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8"/>
        <w:tabs>
          <w:tab w:val="right" w:leader="dot" w:pos="9061"/>
        </w:tabs>
        <w:spacing w:line="360" w:lineRule="auto"/>
        <w:rPr>
          <w:rFonts w:hint="eastAsia"/>
          <w:i w:val="0"/>
          <w:iCs w:val="0"/>
          <w:smallCaps w:val="0"/>
          <w:sz w:val="21"/>
          <w:szCs w:val="24"/>
        </w:rPr>
      </w:pPr>
    </w:p>
    <w:p>
      <w:pPr>
        <w:spacing w:line="360" w:lineRule="auto"/>
        <w:rPr>
          <w:rFonts w:hint="eastAsia"/>
          <w:i w:val="0"/>
          <w:iCs w:val="0"/>
        </w:rPr>
      </w:pPr>
    </w:p>
    <w:p>
      <w:pPr>
        <w:spacing w:line="360" w:lineRule="auto"/>
        <w:rPr>
          <w:rFonts w:hint="eastAsia"/>
          <w:i w:val="0"/>
          <w:iCs w:val="0"/>
        </w:rPr>
      </w:pPr>
    </w:p>
    <w:p>
      <w:pPr>
        <w:pStyle w:val="47"/>
        <w:spacing w:after="120" w:afterLines="50" w:line="360" w:lineRule="auto"/>
        <w:ind w:firstLine="9" w:firstLineChars="2"/>
        <w:jc w:val="center"/>
        <w:rPr>
          <w:rFonts w:hint="eastAsia" w:eastAsia="宋体"/>
          <w:b/>
          <w:bCs/>
          <w:i w:val="0"/>
          <w:iCs w:val="0"/>
          <w:sz w:val="44"/>
          <w:szCs w:val="44"/>
        </w:rPr>
      </w:pPr>
    </w:p>
    <w:p>
      <w:pPr>
        <w:spacing w:before="360" w:after="120" w:afterLines="50" w:line="360" w:lineRule="auto"/>
        <w:jc w:val="center"/>
        <w:rPr>
          <w:rFonts w:hint="eastAsia"/>
          <w:b/>
          <w:bCs/>
          <w:i w:val="0"/>
          <w:iCs w:val="0"/>
          <w:color w:val="auto"/>
          <w:sz w:val="44"/>
          <w:szCs w:val="44"/>
        </w:rPr>
      </w:pPr>
      <w:r>
        <w:rPr>
          <w:rFonts w:hint="eastAsia"/>
          <w:b/>
          <w:bCs/>
          <w:i w:val="0"/>
          <w:iCs w:val="0"/>
          <w:sz w:val="44"/>
          <w:szCs w:val="44"/>
        </w:rPr>
        <w:t>年产1.2万吨天然红法夫酵母虾青素项</w:t>
      </w:r>
      <w:r>
        <w:rPr>
          <w:rFonts w:hint="eastAsia"/>
          <w:b/>
          <w:bCs/>
          <w:i w:val="0"/>
          <w:iCs w:val="0"/>
          <w:color w:val="auto"/>
          <w:sz w:val="44"/>
          <w:szCs w:val="44"/>
        </w:rPr>
        <w:t>目</w:t>
      </w:r>
    </w:p>
    <w:p>
      <w:pPr>
        <w:spacing w:before="360" w:after="120" w:afterLines="50" w:line="360" w:lineRule="auto"/>
        <w:jc w:val="center"/>
        <w:rPr>
          <w:rFonts w:hint="eastAsia"/>
          <w:b/>
          <w:bCs/>
          <w:i w:val="0"/>
          <w:iCs w:val="0"/>
          <w:sz w:val="44"/>
          <w:szCs w:val="44"/>
        </w:rPr>
      </w:pPr>
      <w:r>
        <w:rPr>
          <w:rFonts w:hint="eastAsia"/>
          <w:b/>
          <w:bCs/>
          <w:i w:val="0"/>
          <w:iCs w:val="0"/>
          <w:sz w:val="44"/>
          <w:szCs w:val="44"/>
        </w:rPr>
        <w:t>环境影响报告书</w:t>
      </w:r>
    </w:p>
    <w:p>
      <w:pPr>
        <w:pStyle w:val="47"/>
        <w:spacing w:after="120" w:afterLines="50" w:line="360" w:lineRule="auto"/>
        <w:ind w:firstLine="6" w:firstLineChars="2"/>
        <w:jc w:val="center"/>
        <w:rPr>
          <w:rFonts w:eastAsia="宋体"/>
          <w:b/>
          <w:i w:val="0"/>
          <w:iCs w:val="0"/>
          <w:spacing w:val="-32"/>
          <w:szCs w:val="30"/>
        </w:rPr>
      </w:pPr>
      <w:r>
        <w:rPr>
          <w:rFonts w:eastAsia="宋体"/>
          <w:b/>
          <w:bCs/>
          <w:i w:val="0"/>
          <w:iCs w:val="0"/>
          <w:szCs w:val="30"/>
        </w:rPr>
        <w:t>（</w:t>
      </w:r>
      <w:r>
        <w:rPr>
          <w:rFonts w:hint="eastAsia" w:eastAsia="宋体"/>
          <w:b/>
          <w:bCs/>
          <w:i w:val="0"/>
          <w:iCs w:val="0"/>
          <w:szCs w:val="30"/>
          <w:lang w:eastAsia="zh-CN"/>
        </w:rPr>
        <w:t>报批</w:t>
      </w:r>
      <w:r>
        <w:rPr>
          <w:rFonts w:hint="eastAsia" w:eastAsia="宋体"/>
          <w:b/>
          <w:bCs/>
          <w:i w:val="0"/>
          <w:iCs w:val="0"/>
          <w:szCs w:val="30"/>
        </w:rPr>
        <w:t>版</w:t>
      </w:r>
      <w:r>
        <w:rPr>
          <w:rFonts w:eastAsia="宋体"/>
          <w:b/>
          <w:bCs/>
          <w:i w:val="0"/>
          <w:iCs w:val="0"/>
          <w:szCs w:val="30"/>
        </w:rPr>
        <w:t>）</w:t>
      </w:r>
    </w:p>
    <w:p>
      <w:pPr>
        <w:spacing w:before="160" w:line="360" w:lineRule="auto"/>
        <w:jc w:val="center"/>
        <w:rPr>
          <w:rFonts w:eastAsia="黑体"/>
          <w:b/>
          <w:i w:val="0"/>
          <w:iCs w:val="0"/>
          <w:spacing w:val="-32"/>
          <w:sz w:val="52"/>
          <w:szCs w:val="52"/>
        </w:rPr>
      </w:pPr>
    </w:p>
    <w:p>
      <w:pPr>
        <w:spacing w:line="360" w:lineRule="auto"/>
        <w:rPr>
          <w:i w:val="0"/>
          <w:iCs w:val="0"/>
        </w:rPr>
      </w:pPr>
    </w:p>
    <w:p>
      <w:pPr>
        <w:pStyle w:val="48"/>
        <w:spacing w:line="360" w:lineRule="auto"/>
        <w:rPr>
          <w:i w:val="0"/>
          <w:iCs w:val="0"/>
        </w:rPr>
      </w:pPr>
    </w:p>
    <w:p>
      <w:pPr>
        <w:spacing w:line="360" w:lineRule="auto"/>
        <w:rPr>
          <w:i w:val="0"/>
          <w:iCs w:val="0"/>
        </w:rPr>
      </w:pPr>
    </w:p>
    <w:p>
      <w:pPr>
        <w:pStyle w:val="48"/>
        <w:spacing w:line="360" w:lineRule="auto"/>
        <w:rPr>
          <w:i w:val="0"/>
          <w:iCs w:val="0"/>
        </w:rPr>
      </w:pPr>
    </w:p>
    <w:p>
      <w:pPr>
        <w:spacing w:line="360" w:lineRule="auto"/>
        <w:rPr>
          <w:i w:val="0"/>
          <w:iCs w:val="0"/>
        </w:rPr>
      </w:pPr>
    </w:p>
    <w:p>
      <w:pPr>
        <w:pStyle w:val="48"/>
        <w:spacing w:line="360" w:lineRule="auto"/>
        <w:rPr>
          <w:i w:val="0"/>
          <w:iCs w:val="0"/>
        </w:rPr>
      </w:pPr>
    </w:p>
    <w:p>
      <w:pPr>
        <w:spacing w:line="360" w:lineRule="auto"/>
        <w:rPr>
          <w:i w:val="0"/>
          <w:iCs w:val="0"/>
        </w:rPr>
      </w:pPr>
    </w:p>
    <w:p>
      <w:pPr>
        <w:pStyle w:val="48"/>
        <w:spacing w:line="360" w:lineRule="auto"/>
        <w:rPr>
          <w:i w:val="0"/>
          <w:iCs w:val="0"/>
        </w:rPr>
      </w:pPr>
    </w:p>
    <w:p>
      <w:pPr>
        <w:spacing w:line="360" w:lineRule="auto"/>
        <w:rPr>
          <w:i w:val="0"/>
          <w:iCs w:val="0"/>
        </w:rPr>
      </w:pPr>
    </w:p>
    <w:p>
      <w:pPr>
        <w:pStyle w:val="48"/>
        <w:spacing w:line="360" w:lineRule="auto"/>
        <w:rPr>
          <w:i w:val="0"/>
          <w:iCs w:val="0"/>
        </w:rPr>
      </w:pPr>
    </w:p>
    <w:p>
      <w:pPr>
        <w:spacing w:line="360" w:lineRule="auto"/>
        <w:rPr>
          <w:i w:val="0"/>
          <w:iCs w:val="0"/>
        </w:rPr>
      </w:pPr>
    </w:p>
    <w:p>
      <w:pPr>
        <w:pStyle w:val="48"/>
        <w:spacing w:line="360" w:lineRule="auto"/>
        <w:rPr>
          <w:i w:val="0"/>
          <w:iCs w:val="0"/>
        </w:rPr>
      </w:pPr>
    </w:p>
    <w:p>
      <w:pPr>
        <w:spacing w:before="160" w:line="360" w:lineRule="auto"/>
        <w:jc w:val="center"/>
        <w:rPr>
          <w:rFonts w:eastAsia="黑体"/>
          <w:b/>
          <w:i w:val="0"/>
          <w:iCs w:val="0"/>
          <w:spacing w:val="-32"/>
          <w:sz w:val="52"/>
          <w:szCs w:val="52"/>
        </w:rPr>
      </w:pPr>
    </w:p>
    <w:p>
      <w:pPr>
        <w:spacing w:line="360" w:lineRule="auto"/>
        <w:rPr>
          <w:i w:val="0"/>
          <w:iCs w:val="0"/>
          <w:sz w:val="30"/>
        </w:rPr>
      </w:pPr>
    </w:p>
    <w:p>
      <w:pPr>
        <w:spacing w:line="360" w:lineRule="auto"/>
        <w:ind w:firstLine="600"/>
        <w:jc w:val="center"/>
        <w:rPr>
          <w:i w:val="0"/>
          <w:iCs w:val="0"/>
          <w:sz w:val="28"/>
        </w:rPr>
      </w:pPr>
    </w:p>
    <w:p>
      <w:pPr>
        <w:spacing w:line="360" w:lineRule="auto"/>
        <w:ind w:firstLine="600"/>
        <w:jc w:val="center"/>
        <w:rPr>
          <w:rFonts w:hint="eastAsia"/>
          <w:b/>
          <w:i w:val="0"/>
          <w:iCs w:val="0"/>
          <w:sz w:val="30"/>
          <w:szCs w:val="30"/>
        </w:rPr>
      </w:pPr>
      <w:r>
        <w:rPr>
          <w:rFonts w:hint="eastAsia"/>
          <w:b/>
          <w:i w:val="0"/>
          <w:iCs w:val="0"/>
          <w:sz w:val="30"/>
          <w:szCs w:val="30"/>
        </w:rPr>
        <w:t>吉林省元瑞环保科技有限公司</w:t>
      </w:r>
    </w:p>
    <w:p>
      <w:pPr>
        <w:spacing w:line="360" w:lineRule="auto"/>
        <w:ind w:firstLine="600"/>
        <w:jc w:val="center"/>
        <w:rPr>
          <w:b/>
          <w:i w:val="0"/>
          <w:iCs w:val="0"/>
          <w:sz w:val="30"/>
          <w:szCs w:val="30"/>
        </w:rPr>
      </w:pPr>
      <w:r>
        <w:rPr>
          <w:b/>
          <w:i w:val="0"/>
          <w:iCs w:val="0"/>
          <w:sz w:val="30"/>
          <w:szCs w:val="30"/>
        </w:rPr>
        <w:t>二</w:t>
      </w:r>
      <w:r>
        <w:rPr>
          <w:rFonts w:hint="eastAsia"/>
          <w:b/>
          <w:i w:val="0"/>
          <w:iCs w:val="0"/>
          <w:sz w:val="30"/>
          <w:szCs w:val="30"/>
        </w:rPr>
        <w:t>O二四</w:t>
      </w:r>
      <w:r>
        <w:rPr>
          <w:b/>
          <w:i w:val="0"/>
          <w:iCs w:val="0"/>
          <w:sz w:val="30"/>
          <w:szCs w:val="30"/>
        </w:rPr>
        <w:t>年</w:t>
      </w:r>
      <w:r>
        <w:rPr>
          <w:rFonts w:hint="eastAsia"/>
          <w:b/>
          <w:i w:val="0"/>
          <w:iCs w:val="0"/>
          <w:sz w:val="30"/>
          <w:szCs w:val="30"/>
          <w:lang w:eastAsia="zh-CN"/>
        </w:rPr>
        <w:t>十二</w:t>
      </w:r>
      <w:r>
        <w:rPr>
          <w:b/>
          <w:i w:val="0"/>
          <w:iCs w:val="0"/>
          <w:sz w:val="30"/>
          <w:szCs w:val="30"/>
        </w:rPr>
        <w:t>月</w:t>
      </w:r>
    </w:p>
    <w:p>
      <w:pPr>
        <w:pStyle w:val="48"/>
        <w:spacing w:line="360" w:lineRule="auto"/>
        <w:rPr>
          <w:i w:val="0"/>
          <w:iCs w:val="0"/>
        </w:rPr>
      </w:pPr>
    </w:p>
    <w:p>
      <w:pPr>
        <w:spacing w:line="360" w:lineRule="auto"/>
        <w:rPr>
          <w:i w:val="0"/>
          <w:iCs w:val="0"/>
          <w:sz w:val="30"/>
        </w:rPr>
        <w:sectPr>
          <w:headerReference r:id="rId3" w:type="default"/>
          <w:footerReference r:id="rId4" w:type="default"/>
          <w:footerReference r:id="rId5" w:type="even"/>
          <w:pgSz w:w="11907" w:h="16840"/>
          <w:pgMar w:top="1304" w:right="1418" w:bottom="1304" w:left="1418" w:header="851" w:footer="851" w:gutter="0"/>
          <w:pgBorders>
            <w:top w:val="none" w:sz="0" w:space="0"/>
            <w:left w:val="none" w:sz="0" w:space="0"/>
            <w:bottom w:val="none" w:sz="0" w:space="0"/>
            <w:right w:val="none" w:sz="0" w:space="0"/>
          </w:pgBorders>
          <w:pgNumType w:start="1"/>
          <w:cols w:space="720" w:num="1"/>
          <w:docGrid w:linePitch="435" w:charSpace="0"/>
        </w:sectPr>
      </w:pPr>
    </w:p>
    <w:p>
      <w:pPr>
        <w:spacing w:line="360" w:lineRule="auto"/>
        <w:jc w:val="center"/>
        <w:rPr>
          <w:b/>
          <w:bCs/>
          <w:i w:val="0"/>
          <w:iCs w:val="0"/>
          <w:sz w:val="32"/>
        </w:rPr>
      </w:pPr>
      <w:r>
        <w:rPr>
          <w:b/>
          <w:bCs/>
          <w:i w:val="0"/>
          <w:iCs w:val="0"/>
          <w:sz w:val="32"/>
        </w:rPr>
        <w:t>目录</w:t>
      </w:r>
    </w:p>
    <w:p>
      <w:pPr>
        <w:pStyle w:val="42"/>
        <w:tabs>
          <w:tab w:val="right" w:leader="dot" w:pos="9071"/>
        </w:tabs>
        <w:rPr>
          <w:i w:val="0"/>
          <w:iCs w:val="0"/>
        </w:rPr>
      </w:pPr>
      <w:r>
        <w:rPr>
          <w:b w:val="0"/>
          <w:i w:val="0"/>
          <w:iCs w:val="0"/>
          <w:sz w:val="21"/>
          <w:szCs w:val="21"/>
        </w:rPr>
        <w:fldChar w:fldCharType="begin"/>
      </w:r>
      <w:r>
        <w:rPr>
          <w:b w:val="0"/>
          <w:i w:val="0"/>
          <w:iCs w:val="0"/>
          <w:sz w:val="21"/>
          <w:szCs w:val="21"/>
        </w:rPr>
        <w:instrText xml:space="preserve"> TOC \o "1-2" \h \z \u </w:instrText>
      </w:r>
      <w:r>
        <w:rPr>
          <w:b w:val="0"/>
          <w:i w:val="0"/>
          <w:iCs w:val="0"/>
          <w:sz w:val="21"/>
          <w:szCs w:val="21"/>
        </w:rPr>
        <w:fldChar w:fldCharType="separate"/>
      </w:r>
      <w:r>
        <w:rPr>
          <w:i w:val="0"/>
          <w:iCs w:val="0"/>
          <w:szCs w:val="21"/>
        </w:rPr>
        <w:fldChar w:fldCharType="begin"/>
      </w:r>
      <w:r>
        <w:rPr>
          <w:i w:val="0"/>
          <w:iCs w:val="0"/>
          <w:szCs w:val="21"/>
        </w:rPr>
        <w:instrText xml:space="preserve"> HYPERLINK \l _Toc27410 </w:instrText>
      </w:r>
      <w:r>
        <w:rPr>
          <w:i w:val="0"/>
          <w:iCs w:val="0"/>
          <w:szCs w:val="21"/>
        </w:rPr>
        <w:fldChar w:fldCharType="separate"/>
      </w:r>
      <w:r>
        <w:rPr>
          <w:rFonts w:hint="eastAsia"/>
          <w:i w:val="0"/>
          <w:iCs w:val="0"/>
        </w:rPr>
        <w:t>第一章</w:t>
      </w:r>
      <w:r>
        <w:rPr>
          <w:i w:val="0"/>
          <w:iCs w:val="0"/>
        </w:rPr>
        <w:t>概述</w:t>
      </w:r>
      <w:r>
        <w:rPr>
          <w:i w:val="0"/>
          <w:iCs w:val="0"/>
        </w:rPr>
        <w:tab/>
      </w:r>
      <w:r>
        <w:rPr>
          <w:i w:val="0"/>
          <w:iCs w:val="0"/>
        </w:rPr>
        <w:fldChar w:fldCharType="begin"/>
      </w:r>
      <w:r>
        <w:rPr>
          <w:i w:val="0"/>
          <w:iCs w:val="0"/>
        </w:rPr>
        <w:instrText xml:space="preserve"> PAGEREF _Toc27410 \h </w:instrText>
      </w:r>
      <w:r>
        <w:rPr>
          <w:i w:val="0"/>
          <w:iCs w:val="0"/>
        </w:rPr>
        <w:fldChar w:fldCharType="separate"/>
      </w:r>
      <w:r>
        <w:rPr>
          <w:i w:val="0"/>
          <w:iCs w:val="0"/>
        </w:rPr>
        <w:t>3</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_Toc28714 </w:instrText>
      </w:r>
      <w:r>
        <w:rPr>
          <w:i w:val="0"/>
          <w:iCs w:val="0"/>
          <w:szCs w:val="21"/>
        </w:rPr>
        <w:fldChar w:fldCharType="separate"/>
      </w:r>
      <w:r>
        <w:rPr>
          <w:rFonts w:hint="eastAsia" w:ascii="Times New Roman" w:hAnsi="Times New Roman" w:eastAsia="宋体"/>
          <w:i w:val="0"/>
          <w:iCs w:val="0"/>
          <w:szCs w:val="28"/>
        </w:rPr>
        <w:t>1.1</w:t>
      </w:r>
      <w:r>
        <w:rPr>
          <w:rFonts w:ascii="Times New Roman" w:hAnsi="Times New Roman" w:eastAsia="宋体"/>
          <w:i w:val="0"/>
          <w:iCs w:val="0"/>
          <w:szCs w:val="28"/>
        </w:rPr>
        <w:t>项目由来</w:t>
      </w:r>
      <w:r>
        <w:rPr>
          <w:i w:val="0"/>
          <w:iCs w:val="0"/>
        </w:rPr>
        <w:tab/>
      </w:r>
      <w:r>
        <w:rPr>
          <w:i w:val="0"/>
          <w:iCs w:val="0"/>
        </w:rPr>
        <w:fldChar w:fldCharType="begin"/>
      </w:r>
      <w:r>
        <w:rPr>
          <w:i w:val="0"/>
          <w:iCs w:val="0"/>
        </w:rPr>
        <w:instrText xml:space="preserve"> PAGEREF _Toc28714 \h </w:instrText>
      </w:r>
      <w:r>
        <w:rPr>
          <w:i w:val="0"/>
          <w:iCs w:val="0"/>
        </w:rPr>
        <w:fldChar w:fldCharType="separate"/>
      </w:r>
      <w:r>
        <w:rPr>
          <w:i w:val="0"/>
          <w:iCs w:val="0"/>
        </w:rPr>
        <w:t>3</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_Toc14187 </w:instrText>
      </w:r>
      <w:r>
        <w:rPr>
          <w:i w:val="0"/>
          <w:iCs w:val="0"/>
          <w:szCs w:val="21"/>
        </w:rPr>
        <w:fldChar w:fldCharType="separate"/>
      </w:r>
      <w:r>
        <w:rPr>
          <w:rFonts w:hint="eastAsia" w:ascii="Times New Roman" w:hAnsi="Times New Roman" w:eastAsia="宋体"/>
          <w:i w:val="0"/>
          <w:iCs w:val="0"/>
          <w:szCs w:val="28"/>
        </w:rPr>
        <w:t>1.2</w:t>
      </w:r>
      <w:r>
        <w:rPr>
          <w:rFonts w:ascii="Times New Roman" w:hAnsi="Times New Roman" w:eastAsia="宋体"/>
          <w:i w:val="0"/>
          <w:iCs w:val="0"/>
          <w:szCs w:val="28"/>
        </w:rPr>
        <w:t>.建设项目特点</w:t>
      </w:r>
      <w:r>
        <w:rPr>
          <w:i w:val="0"/>
          <w:iCs w:val="0"/>
        </w:rPr>
        <w:tab/>
      </w:r>
      <w:r>
        <w:rPr>
          <w:i w:val="0"/>
          <w:iCs w:val="0"/>
        </w:rPr>
        <w:fldChar w:fldCharType="begin"/>
      </w:r>
      <w:r>
        <w:rPr>
          <w:i w:val="0"/>
          <w:iCs w:val="0"/>
        </w:rPr>
        <w:instrText xml:space="preserve"> PAGEREF _Toc14187 \h </w:instrText>
      </w:r>
      <w:r>
        <w:rPr>
          <w:i w:val="0"/>
          <w:iCs w:val="0"/>
        </w:rPr>
        <w:fldChar w:fldCharType="separate"/>
      </w:r>
      <w:r>
        <w:rPr>
          <w:i w:val="0"/>
          <w:iCs w:val="0"/>
        </w:rPr>
        <w:t>4</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_Toc21568 </w:instrText>
      </w:r>
      <w:r>
        <w:rPr>
          <w:i w:val="0"/>
          <w:iCs w:val="0"/>
          <w:szCs w:val="21"/>
        </w:rPr>
        <w:fldChar w:fldCharType="separate"/>
      </w:r>
      <w:r>
        <w:rPr>
          <w:rFonts w:hint="eastAsia" w:ascii="Times New Roman" w:hAnsi="Times New Roman" w:eastAsia="宋体"/>
          <w:i w:val="0"/>
          <w:iCs w:val="0"/>
          <w:szCs w:val="28"/>
        </w:rPr>
        <w:t>1.3</w:t>
      </w:r>
      <w:r>
        <w:rPr>
          <w:rFonts w:ascii="Times New Roman" w:hAnsi="Times New Roman" w:eastAsia="宋体"/>
          <w:i w:val="0"/>
          <w:iCs w:val="0"/>
          <w:szCs w:val="28"/>
        </w:rPr>
        <w:t>评价工作程序</w:t>
      </w:r>
      <w:r>
        <w:rPr>
          <w:i w:val="0"/>
          <w:iCs w:val="0"/>
        </w:rPr>
        <w:tab/>
      </w:r>
      <w:r>
        <w:rPr>
          <w:i w:val="0"/>
          <w:iCs w:val="0"/>
        </w:rPr>
        <w:fldChar w:fldCharType="begin"/>
      </w:r>
      <w:r>
        <w:rPr>
          <w:i w:val="0"/>
          <w:iCs w:val="0"/>
        </w:rPr>
        <w:instrText xml:space="preserve"> PAGEREF _Toc21568 \h </w:instrText>
      </w:r>
      <w:r>
        <w:rPr>
          <w:i w:val="0"/>
          <w:iCs w:val="0"/>
        </w:rPr>
        <w:fldChar w:fldCharType="separate"/>
      </w:r>
      <w:r>
        <w:rPr>
          <w:i w:val="0"/>
          <w:iCs w:val="0"/>
        </w:rPr>
        <w:t>5</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_Toc871 </w:instrText>
      </w:r>
      <w:r>
        <w:rPr>
          <w:i w:val="0"/>
          <w:iCs w:val="0"/>
          <w:szCs w:val="21"/>
        </w:rPr>
        <w:fldChar w:fldCharType="separate"/>
      </w:r>
      <w:r>
        <w:rPr>
          <w:rFonts w:hint="eastAsia" w:ascii="Times New Roman" w:hAnsi="Times New Roman" w:eastAsia="宋体"/>
          <w:i w:val="0"/>
          <w:iCs w:val="0"/>
          <w:szCs w:val="28"/>
        </w:rPr>
        <w:t>1.4</w:t>
      </w:r>
      <w:r>
        <w:rPr>
          <w:rFonts w:ascii="Times New Roman" w:hAnsi="Times New Roman" w:eastAsia="宋体" w:cs="Times New Roman"/>
          <w:i w:val="0"/>
          <w:iCs w:val="0"/>
          <w:szCs w:val="28"/>
        </w:rPr>
        <w:t>项目与相关规划、政策的符合性</w:t>
      </w:r>
      <w:r>
        <w:rPr>
          <w:i w:val="0"/>
          <w:iCs w:val="0"/>
        </w:rPr>
        <w:tab/>
      </w:r>
      <w:r>
        <w:rPr>
          <w:i w:val="0"/>
          <w:iCs w:val="0"/>
        </w:rPr>
        <w:fldChar w:fldCharType="begin"/>
      </w:r>
      <w:r>
        <w:rPr>
          <w:i w:val="0"/>
          <w:iCs w:val="0"/>
        </w:rPr>
        <w:instrText xml:space="preserve"> PAGEREF _Toc871 \h </w:instrText>
      </w:r>
      <w:r>
        <w:rPr>
          <w:i w:val="0"/>
          <w:iCs w:val="0"/>
        </w:rPr>
        <w:fldChar w:fldCharType="separate"/>
      </w:r>
      <w:r>
        <w:rPr>
          <w:i w:val="0"/>
          <w:iCs w:val="0"/>
        </w:rPr>
        <w:t>6</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_Toc3247 </w:instrText>
      </w:r>
      <w:r>
        <w:rPr>
          <w:i w:val="0"/>
          <w:iCs w:val="0"/>
          <w:szCs w:val="21"/>
        </w:rPr>
        <w:fldChar w:fldCharType="separate"/>
      </w:r>
      <w:r>
        <w:rPr>
          <w:rFonts w:hint="eastAsia" w:ascii="Times New Roman" w:hAnsi="Times New Roman" w:eastAsia="宋体"/>
          <w:i w:val="0"/>
          <w:iCs w:val="0"/>
          <w:szCs w:val="28"/>
        </w:rPr>
        <w:t>1.5</w:t>
      </w:r>
      <w:r>
        <w:rPr>
          <w:rFonts w:ascii="Times New Roman" w:hAnsi="Times New Roman" w:eastAsia="宋体"/>
          <w:i w:val="0"/>
          <w:iCs w:val="0"/>
          <w:szCs w:val="28"/>
        </w:rPr>
        <w:t>主要环境问题及</w:t>
      </w:r>
      <w:r>
        <w:rPr>
          <w:rFonts w:hint="eastAsia" w:ascii="Times New Roman" w:hAnsi="Times New Roman" w:eastAsia="宋体"/>
          <w:i w:val="0"/>
          <w:iCs w:val="0"/>
          <w:szCs w:val="28"/>
        </w:rPr>
        <w:t>环境</w:t>
      </w:r>
      <w:r>
        <w:rPr>
          <w:rFonts w:ascii="Times New Roman" w:hAnsi="Times New Roman" w:eastAsia="宋体"/>
          <w:i w:val="0"/>
          <w:iCs w:val="0"/>
          <w:szCs w:val="28"/>
        </w:rPr>
        <w:t>影响</w:t>
      </w:r>
      <w:r>
        <w:rPr>
          <w:i w:val="0"/>
          <w:iCs w:val="0"/>
        </w:rPr>
        <w:tab/>
      </w:r>
      <w:r>
        <w:rPr>
          <w:i w:val="0"/>
          <w:iCs w:val="0"/>
        </w:rPr>
        <w:fldChar w:fldCharType="begin"/>
      </w:r>
      <w:r>
        <w:rPr>
          <w:i w:val="0"/>
          <w:iCs w:val="0"/>
        </w:rPr>
        <w:instrText xml:space="preserve"> PAGEREF _Toc3247 \h </w:instrText>
      </w:r>
      <w:r>
        <w:rPr>
          <w:i w:val="0"/>
          <w:iCs w:val="0"/>
        </w:rPr>
        <w:fldChar w:fldCharType="separate"/>
      </w:r>
      <w:r>
        <w:rPr>
          <w:i w:val="0"/>
          <w:iCs w:val="0"/>
        </w:rPr>
        <w:t>33</w:t>
      </w:r>
      <w:r>
        <w:rPr>
          <w:i w:val="0"/>
          <w:iCs w:val="0"/>
        </w:rPr>
        <w:fldChar w:fldCharType="end"/>
      </w:r>
      <w:r>
        <w:rPr>
          <w:i w:val="0"/>
          <w:iCs w:val="0"/>
          <w:szCs w:val="21"/>
        </w:rPr>
        <w:fldChar w:fldCharType="end"/>
      </w:r>
    </w:p>
    <w:p>
      <w:pPr>
        <w:pStyle w:val="42"/>
        <w:tabs>
          <w:tab w:val="right" w:leader="dot" w:pos="9071"/>
        </w:tabs>
        <w:rPr>
          <w:i w:val="0"/>
          <w:iCs w:val="0"/>
        </w:rPr>
      </w:pPr>
      <w:r>
        <w:rPr>
          <w:i w:val="0"/>
          <w:iCs w:val="0"/>
          <w:szCs w:val="21"/>
        </w:rPr>
        <w:fldChar w:fldCharType="begin"/>
      </w:r>
      <w:r>
        <w:rPr>
          <w:i w:val="0"/>
          <w:iCs w:val="0"/>
          <w:szCs w:val="21"/>
        </w:rPr>
        <w:instrText xml:space="preserve"> HYPERLINK \l _Toc30095 </w:instrText>
      </w:r>
      <w:r>
        <w:rPr>
          <w:i w:val="0"/>
          <w:iCs w:val="0"/>
          <w:szCs w:val="21"/>
        </w:rPr>
        <w:fldChar w:fldCharType="separate"/>
      </w:r>
      <w:r>
        <w:rPr>
          <w:i w:val="0"/>
          <w:iCs w:val="0"/>
        </w:rPr>
        <w:t>第</w:t>
      </w:r>
      <w:r>
        <w:rPr>
          <w:rFonts w:hint="eastAsia"/>
          <w:i w:val="0"/>
          <w:iCs w:val="0"/>
        </w:rPr>
        <w:t>二</w:t>
      </w:r>
      <w:r>
        <w:rPr>
          <w:i w:val="0"/>
          <w:iCs w:val="0"/>
        </w:rPr>
        <w:t>章总论</w:t>
      </w:r>
      <w:r>
        <w:rPr>
          <w:i w:val="0"/>
          <w:iCs w:val="0"/>
        </w:rPr>
        <w:tab/>
      </w:r>
      <w:r>
        <w:rPr>
          <w:i w:val="0"/>
          <w:iCs w:val="0"/>
        </w:rPr>
        <w:fldChar w:fldCharType="begin"/>
      </w:r>
      <w:r>
        <w:rPr>
          <w:i w:val="0"/>
          <w:iCs w:val="0"/>
        </w:rPr>
        <w:instrText xml:space="preserve"> PAGEREF _Toc30095 \h </w:instrText>
      </w:r>
      <w:r>
        <w:rPr>
          <w:i w:val="0"/>
          <w:iCs w:val="0"/>
        </w:rPr>
        <w:fldChar w:fldCharType="separate"/>
      </w:r>
      <w:r>
        <w:rPr>
          <w:i w:val="0"/>
          <w:iCs w:val="0"/>
        </w:rPr>
        <w:t>36</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_Toc4600 </w:instrText>
      </w:r>
      <w:r>
        <w:rPr>
          <w:i w:val="0"/>
          <w:iCs w:val="0"/>
          <w:szCs w:val="21"/>
        </w:rPr>
        <w:fldChar w:fldCharType="separate"/>
      </w:r>
      <w:r>
        <w:rPr>
          <w:rFonts w:hint="eastAsia" w:ascii="Times New Roman" w:hAnsi="Times New Roman" w:eastAsia="宋体"/>
          <w:i w:val="0"/>
          <w:iCs w:val="0"/>
          <w:szCs w:val="28"/>
        </w:rPr>
        <w:t>2</w:t>
      </w:r>
      <w:r>
        <w:rPr>
          <w:rFonts w:ascii="Times New Roman" w:hAnsi="Times New Roman" w:eastAsia="宋体"/>
          <w:i w:val="0"/>
          <w:iCs w:val="0"/>
          <w:szCs w:val="28"/>
        </w:rPr>
        <w:t>.1编制依据</w:t>
      </w:r>
      <w:r>
        <w:rPr>
          <w:i w:val="0"/>
          <w:iCs w:val="0"/>
        </w:rPr>
        <w:tab/>
      </w:r>
      <w:r>
        <w:rPr>
          <w:i w:val="0"/>
          <w:iCs w:val="0"/>
        </w:rPr>
        <w:fldChar w:fldCharType="begin"/>
      </w:r>
      <w:r>
        <w:rPr>
          <w:i w:val="0"/>
          <w:iCs w:val="0"/>
        </w:rPr>
        <w:instrText xml:space="preserve"> PAGEREF _Toc4600 \h </w:instrText>
      </w:r>
      <w:r>
        <w:rPr>
          <w:i w:val="0"/>
          <w:iCs w:val="0"/>
        </w:rPr>
        <w:fldChar w:fldCharType="separate"/>
      </w:r>
      <w:r>
        <w:rPr>
          <w:i w:val="0"/>
          <w:iCs w:val="0"/>
        </w:rPr>
        <w:t>36</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_Toc18449 </w:instrText>
      </w:r>
      <w:r>
        <w:rPr>
          <w:i w:val="0"/>
          <w:iCs w:val="0"/>
          <w:szCs w:val="21"/>
        </w:rPr>
        <w:fldChar w:fldCharType="separate"/>
      </w:r>
      <w:r>
        <w:rPr>
          <w:rFonts w:hint="eastAsia" w:ascii="Times New Roman" w:hAnsi="Times New Roman" w:eastAsia="宋体"/>
          <w:i w:val="0"/>
          <w:iCs w:val="0"/>
          <w:szCs w:val="28"/>
        </w:rPr>
        <w:t>2</w:t>
      </w:r>
      <w:r>
        <w:rPr>
          <w:rFonts w:ascii="Times New Roman" w:hAnsi="Times New Roman" w:eastAsia="宋体"/>
          <w:i w:val="0"/>
          <w:iCs w:val="0"/>
          <w:szCs w:val="28"/>
        </w:rPr>
        <w:t>.2环境影响因素识别与评价因子筛选</w:t>
      </w:r>
      <w:r>
        <w:rPr>
          <w:i w:val="0"/>
          <w:iCs w:val="0"/>
        </w:rPr>
        <w:tab/>
      </w:r>
      <w:r>
        <w:rPr>
          <w:i w:val="0"/>
          <w:iCs w:val="0"/>
        </w:rPr>
        <w:fldChar w:fldCharType="begin"/>
      </w:r>
      <w:r>
        <w:rPr>
          <w:i w:val="0"/>
          <w:iCs w:val="0"/>
        </w:rPr>
        <w:instrText xml:space="preserve"> PAGEREF _Toc18449 \h </w:instrText>
      </w:r>
      <w:r>
        <w:rPr>
          <w:i w:val="0"/>
          <w:iCs w:val="0"/>
        </w:rPr>
        <w:fldChar w:fldCharType="separate"/>
      </w:r>
      <w:r>
        <w:rPr>
          <w:i w:val="0"/>
          <w:iCs w:val="0"/>
        </w:rPr>
        <w:t>38</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_Toc4731 </w:instrText>
      </w:r>
      <w:r>
        <w:rPr>
          <w:i w:val="0"/>
          <w:iCs w:val="0"/>
          <w:szCs w:val="21"/>
        </w:rPr>
        <w:fldChar w:fldCharType="separate"/>
      </w:r>
      <w:r>
        <w:rPr>
          <w:rFonts w:hint="eastAsia" w:ascii="Times New Roman" w:hAnsi="Times New Roman" w:eastAsia="宋体"/>
          <w:i w:val="0"/>
          <w:iCs w:val="0"/>
          <w:szCs w:val="28"/>
        </w:rPr>
        <w:t>2</w:t>
      </w:r>
      <w:r>
        <w:rPr>
          <w:rFonts w:ascii="Times New Roman" w:hAnsi="Times New Roman" w:eastAsia="宋体"/>
          <w:i w:val="0"/>
          <w:iCs w:val="0"/>
          <w:szCs w:val="28"/>
        </w:rPr>
        <w:t>.3环境质量功能区及评价标准</w:t>
      </w:r>
      <w:r>
        <w:rPr>
          <w:i w:val="0"/>
          <w:iCs w:val="0"/>
        </w:rPr>
        <w:tab/>
      </w:r>
      <w:r>
        <w:rPr>
          <w:i w:val="0"/>
          <w:iCs w:val="0"/>
        </w:rPr>
        <w:fldChar w:fldCharType="begin"/>
      </w:r>
      <w:r>
        <w:rPr>
          <w:i w:val="0"/>
          <w:iCs w:val="0"/>
        </w:rPr>
        <w:instrText xml:space="preserve"> PAGEREF _Toc4731 \h </w:instrText>
      </w:r>
      <w:r>
        <w:rPr>
          <w:i w:val="0"/>
          <w:iCs w:val="0"/>
        </w:rPr>
        <w:fldChar w:fldCharType="separate"/>
      </w:r>
      <w:r>
        <w:rPr>
          <w:i w:val="0"/>
          <w:iCs w:val="0"/>
        </w:rPr>
        <w:t>39</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_Toc272 </w:instrText>
      </w:r>
      <w:r>
        <w:rPr>
          <w:i w:val="0"/>
          <w:iCs w:val="0"/>
          <w:szCs w:val="21"/>
        </w:rPr>
        <w:fldChar w:fldCharType="separate"/>
      </w:r>
      <w:r>
        <w:rPr>
          <w:rFonts w:hint="eastAsia" w:ascii="Times New Roman" w:hAnsi="Times New Roman" w:eastAsia="宋体"/>
          <w:i w:val="0"/>
          <w:iCs w:val="0"/>
          <w:szCs w:val="28"/>
        </w:rPr>
        <w:t>2</w:t>
      </w:r>
      <w:r>
        <w:rPr>
          <w:rFonts w:ascii="Times New Roman" w:hAnsi="Times New Roman" w:eastAsia="宋体"/>
          <w:i w:val="0"/>
          <w:iCs w:val="0"/>
          <w:szCs w:val="28"/>
        </w:rPr>
        <w:t>.4控制污染与环境保护目标</w:t>
      </w:r>
      <w:r>
        <w:rPr>
          <w:i w:val="0"/>
          <w:iCs w:val="0"/>
        </w:rPr>
        <w:tab/>
      </w:r>
      <w:r>
        <w:rPr>
          <w:i w:val="0"/>
          <w:iCs w:val="0"/>
        </w:rPr>
        <w:fldChar w:fldCharType="begin"/>
      </w:r>
      <w:r>
        <w:rPr>
          <w:i w:val="0"/>
          <w:iCs w:val="0"/>
        </w:rPr>
        <w:instrText xml:space="preserve"> PAGEREF _Toc272 \h </w:instrText>
      </w:r>
      <w:r>
        <w:rPr>
          <w:i w:val="0"/>
          <w:iCs w:val="0"/>
        </w:rPr>
        <w:fldChar w:fldCharType="separate"/>
      </w:r>
      <w:r>
        <w:rPr>
          <w:i w:val="0"/>
          <w:iCs w:val="0"/>
        </w:rPr>
        <w:t>44</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_Toc20486 </w:instrText>
      </w:r>
      <w:r>
        <w:rPr>
          <w:i w:val="0"/>
          <w:iCs w:val="0"/>
          <w:szCs w:val="21"/>
        </w:rPr>
        <w:fldChar w:fldCharType="separate"/>
      </w:r>
      <w:r>
        <w:rPr>
          <w:rFonts w:hint="eastAsia" w:ascii="Times New Roman" w:hAnsi="Times New Roman" w:eastAsia="宋体"/>
          <w:i w:val="0"/>
          <w:iCs w:val="0"/>
          <w:szCs w:val="28"/>
        </w:rPr>
        <w:t>2</w:t>
      </w:r>
      <w:r>
        <w:rPr>
          <w:rFonts w:ascii="Times New Roman" w:hAnsi="Times New Roman" w:eastAsia="宋体"/>
          <w:i w:val="0"/>
          <w:iCs w:val="0"/>
          <w:szCs w:val="28"/>
        </w:rPr>
        <w:t>.5评价工作等级及范围</w:t>
      </w:r>
      <w:r>
        <w:rPr>
          <w:i w:val="0"/>
          <w:iCs w:val="0"/>
        </w:rPr>
        <w:tab/>
      </w:r>
      <w:r>
        <w:rPr>
          <w:i w:val="0"/>
          <w:iCs w:val="0"/>
        </w:rPr>
        <w:fldChar w:fldCharType="begin"/>
      </w:r>
      <w:r>
        <w:rPr>
          <w:i w:val="0"/>
          <w:iCs w:val="0"/>
        </w:rPr>
        <w:instrText xml:space="preserve"> PAGEREF _Toc20486 \h </w:instrText>
      </w:r>
      <w:r>
        <w:rPr>
          <w:i w:val="0"/>
          <w:iCs w:val="0"/>
        </w:rPr>
        <w:fldChar w:fldCharType="separate"/>
      </w:r>
      <w:r>
        <w:rPr>
          <w:i w:val="0"/>
          <w:iCs w:val="0"/>
        </w:rPr>
        <w:t>46</w:t>
      </w:r>
      <w:r>
        <w:rPr>
          <w:i w:val="0"/>
          <w:iCs w:val="0"/>
        </w:rPr>
        <w:fldChar w:fldCharType="end"/>
      </w:r>
      <w:r>
        <w:rPr>
          <w:i w:val="0"/>
          <w:iCs w:val="0"/>
          <w:szCs w:val="21"/>
        </w:rPr>
        <w:fldChar w:fldCharType="end"/>
      </w:r>
    </w:p>
    <w:p>
      <w:pPr>
        <w:pStyle w:val="42"/>
        <w:tabs>
          <w:tab w:val="right" w:leader="dot" w:pos="9071"/>
        </w:tabs>
        <w:rPr>
          <w:i w:val="0"/>
          <w:iCs w:val="0"/>
        </w:rPr>
      </w:pPr>
      <w:r>
        <w:rPr>
          <w:i w:val="0"/>
          <w:iCs w:val="0"/>
          <w:szCs w:val="21"/>
        </w:rPr>
        <w:fldChar w:fldCharType="begin"/>
      </w:r>
      <w:r>
        <w:rPr>
          <w:i w:val="0"/>
          <w:iCs w:val="0"/>
          <w:szCs w:val="21"/>
        </w:rPr>
        <w:instrText xml:space="preserve"> HYPERLINK \l _Toc18035 </w:instrText>
      </w:r>
      <w:r>
        <w:rPr>
          <w:i w:val="0"/>
          <w:iCs w:val="0"/>
          <w:szCs w:val="21"/>
        </w:rPr>
        <w:fldChar w:fldCharType="separate"/>
      </w:r>
      <w:r>
        <w:rPr>
          <w:i w:val="0"/>
          <w:iCs w:val="0"/>
        </w:rPr>
        <w:t>第</w:t>
      </w:r>
      <w:r>
        <w:rPr>
          <w:rFonts w:hint="eastAsia"/>
          <w:i w:val="0"/>
          <w:iCs w:val="0"/>
        </w:rPr>
        <w:t>三</w:t>
      </w:r>
      <w:r>
        <w:rPr>
          <w:i w:val="0"/>
          <w:iCs w:val="0"/>
        </w:rPr>
        <w:t>章</w:t>
      </w:r>
      <w:r>
        <w:rPr>
          <w:rFonts w:hint="eastAsia"/>
          <w:i w:val="0"/>
          <w:iCs w:val="0"/>
        </w:rPr>
        <w:t xml:space="preserve"> </w:t>
      </w:r>
      <w:r>
        <w:rPr>
          <w:i w:val="0"/>
          <w:iCs w:val="0"/>
        </w:rPr>
        <w:t>建设项目工程分析</w:t>
      </w:r>
      <w:r>
        <w:rPr>
          <w:i w:val="0"/>
          <w:iCs w:val="0"/>
        </w:rPr>
        <w:tab/>
      </w:r>
      <w:r>
        <w:rPr>
          <w:i w:val="0"/>
          <w:iCs w:val="0"/>
        </w:rPr>
        <w:fldChar w:fldCharType="begin"/>
      </w:r>
      <w:r>
        <w:rPr>
          <w:i w:val="0"/>
          <w:iCs w:val="0"/>
        </w:rPr>
        <w:instrText xml:space="preserve"> PAGEREF _Toc18035 \h </w:instrText>
      </w:r>
      <w:r>
        <w:rPr>
          <w:i w:val="0"/>
          <w:iCs w:val="0"/>
        </w:rPr>
        <w:fldChar w:fldCharType="separate"/>
      </w:r>
      <w:r>
        <w:rPr>
          <w:i w:val="0"/>
          <w:iCs w:val="0"/>
        </w:rPr>
        <w:t>59</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_Toc24305 </w:instrText>
      </w:r>
      <w:r>
        <w:rPr>
          <w:i w:val="0"/>
          <w:iCs w:val="0"/>
          <w:szCs w:val="21"/>
        </w:rPr>
        <w:fldChar w:fldCharType="separate"/>
      </w:r>
      <w:r>
        <w:rPr>
          <w:rFonts w:hint="eastAsia" w:ascii="Times New Roman" w:hAnsi="Times New Roman" w:eastAsia="宋体"/>
          <w:i w:val="0"/>
          <w:iCs w:val="0"/>
          <w:szCs w:val="28"/>
        </w:rPr>
        <w:t>3</w:t>
      </w:r>
      <w:r>
        <w:rPr>
          <w:rFonts w:ascii="Times New Roman" w:hAnsi="Times New Roman" w:eastAsia="宋体"/>
          <w:i w:val="0"/>
          <w:iCs w:val="0"/>
          <w:szCs w:val="28"/>
        </w:rPr>
        <w:t>.1建设项目概况</w:t>
      </w:r>
      <w:r>
        <w:rPr>
          <w:i w:val="0"/>
          <w:iCs w:val="0"/>
        </w:rPr>
        <w:tab/>
      </w:r>
      <w:r>
        <w:rPr>
          <w:i w:val="0"/>
          <w:iCs w:val="0"/>
        </w:rPr>
        <w:fldChar w:fldCharType="begin"/>
      </w:r>
      <w:r>
        <w:rPr>
          <w:i w:val="0"/>
          <w:iCs w:val="0"/>
        </w:rPr>
        <w:instrText xml:space="preserve"> PAGEREF _Toc24305 \h </w:instrText>
      </w:r>
      <w:r>
        <w:rPr>
          <w:i w:val="0"/>
          <w:iCs w:val="0"/>
        </w:rPr>
        <w:fldChar w:fldCharType="separate"/>
      </w:r>
      <w:r>
        <w:rPr>
          <w:i w:val="0"/>
          <w:iCs w:val="0"/>
        </w:rPr>
        <w:t>59</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_Toc28948 </w:instrText>
      </w:r>
      <w:r>
        <w:rPr>
          <w:i w:val="0"/>
          <w:iCs w:val="0"/>
          <w:szCs w:val="21"/>
        </w:rPr>
        <w:fldChar w:fldCharType="separate"/>
      </w:r>
      <w:r>
        <w:rPr>
          <w:rFonts w:hint="eastAsia" w:ascii="Times New Roman" w:hAnsi="Times New Roman" w:eastAsia="宋体"/>
          <w:i w:val="0"/>
          <w:iCs w:val="0"/>
          <w:szCs w:val="28"/>
        </w:rPr>
        <w:t>3.2物料平衡</w:t>
      </w:r>
      <w:r>
        <w:rPr>
          <w:i w:val="0"/>
          <w:iCs w:val="0"/>
        </w:rPr>
        <w:tab/>
      </w:r>
      <w:r>
        <w:rPr>
          <w:i w:val="0"/>
          <w:iCs w:val="0"/>
        </w:rPr>
        <w:fldChar w:fldCharType="begin"/>
      </w:r>
      <w:r>
        <w:rPr>
          <w:i w:val="0"/>
          <w:iCs w:val="0"/>
        </w:rPr>
        <w:instrText xml:space="preserve"> PAGEREF _Toc28948 \h </w:instrText>
      </w:r>
      <w:r>
        <w:rPr>
          <w:i w:val="0"/>
          <w:iCs w:val="0"/>
        </w:rPr>
        <w:fldChar w:fldCharType="separate"/>
      </w:r>
      <w:r>
        <w:rPr>
          <w:i w:val="0"/>
          <w:iCs w:val="0"/>
        </w:rPr>
        <w:t>65</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_Toc31497 </w:instrText>
      </w:r>
      <w:r>
        <w:rPr>
          <w:i w:val="0"/>
          <w:iCs w:val="0"/>
          <w:szCs w:val="21"/>
        </w:rPr>
        <w:fldChar w:fldCharType="separate"/>
      </w:r>
      <w:r>
        <w:rPr>
          <w:rFonts w:hint="eastAsia" w:ascii="Times New Roman" w:hAnsi="Times New Roman" w:eastAsia="宋体"/>
          <w:i w:val="0"/>
          <w:iCs w:val="0"/>
          <w:szCs w:val="28"/>
        </w:rPr>
        <w:t>3.3公用工程</w:t>
      </w:r>
      <w:r>
        <w:rPr>
          <w:i w:val="0"/>
          <w:iCs w:val="0"/>
        </w:rPr>
        <w:tab/>
      </w:r>
      <w:r>
        <w:rPr>
          <w:i w:val="0"/>
          <w:iCs w:val="0"/>
        </w:rPr>
        <w:fldChar w:fldCharType="begin"/>
      </w:r>
      <w:r>
        <w:rPr>
          <w:i w:val="0"/>
          <w:iCs w:val="0"/>
        </w:rPr>
        <w:instrText xml:space="preserve"> PAGEREF _Toc31497 \h </w:instrText>
      </w:r>
      <w:r>
        <w:rPr>
          <w:i w:val="0"/>
          <w:iCs w:val="0"/>
        </w:rPr>
        <w:fldChar w:fldCharType="separate"/>
      </w:r>
      <w:r>
        <w:rPr>
          <w:i w:val="0"/>
          <w:iCs w:val="0"/>
        </w:rPr>
        <w:t>68</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_Toc25214 </w:instrText>
      </w:r>
      <w:r>
        <w:rPr>
          <w:i w:val="0"/>
          <w:iCs w:val="0"/>
          <w:szCs w:val="21"/>
        </w:rPr>
        <w:fldChar w:fldCharType="separate"/>
      </w:r>
      <w:r>
        <w:rPr>
          <w:rFonts w:hint="eastAsia" w:ascii="Times New Roman" w:hAnsi="Times New Roman" w:eastAsia="宋体"/>
          <w:i w:val="0"/>
          <w:iCs w:val="0"/>
          <w:szCs w:val="28"/>
        </w:rPr>
        <w:t>3.3</w:t>
      </w:r>
      <w:r>
        <w:rPr>
          <w:rFonts w:ascii="Times New Roman" w:hAnsi="Times New Roman" w:eastAsia="宋体"/>
          <w:i w:val="0"/>
          <w:iCs w:val="0"/>
          <w:szCs w:val="28"/>
        </w:rPr>
        <w:t>生产工艺及</w:t>
      </w:r>
      <w:r>
        <w:rPr>
          <w:rFonts w:hint="eastAsia" w:ascii="Times New Roman" w:hAnsi="Times New Roman" w:eastAsia="宋体"/>
          <w:i w:val="0"/>
          <w:iCs w:val="0"/>
          <w:szCs w:val="28"/>
        </w:rPr>
        <w:t>产污环节</w:t>
      </w:r>
      <w:r>
        <w:rPr>
          <w:i w:val="0"/>
          <w:iCs w:val="0"/>
        </w:rPr>
        <w:tab/>
      </w:r>
      <w:r>
        <w:rPr>
          <w:i w:val="0"/>
          <w:iCs w:val="0"/>
        </w:rPr>
        <w:fldChar w:fldCharType="begin"/>
      </w:r>
      <w:r>
        <w:rPr>
          <w:i w:val="0"/>
          <w:iCs w:val="0"/>
        </w:rPr>
        <w:instrText xml:space="preserve"> PAGEREF _Toc25214 \h </w:instrText>
      </w:r>
      <w:r>
        <w:rPr>
          <w:i w:val="0"/>
          <w:iCs w:val="0"/>
        </w:rPr>
        <w:fldChar w:fldCharType="separate"/>
      </w:r>
      <w:r>
        <w:rPr>
          <w:i w:val="0"/>
          <w:iCs w:val="0"/>
        </w:rPr>
        <w:t>74</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_Toc2259 </w:instrText>
      </w:r>
      <w:r>
        <w:rPr>
          <w:i w:val="0"/>
          <w:iCs w:val="0"/>
          <w:szCs w:val="21"/>
        </w:rPr>
        <w:fldChar w:fldCharType="separate"/>
      </w:r>
      <w:r>
        <w:rPr>
          <w:rFonts w:hint="eastAsia" w:ascii="Times New Roman" w:hAnsi="Times New Roman" w:eastAsia="宋体"/>
          <w:i w:val="0"/>
          <w:iCs w:val="0"/>
          <w:szCs w:val="28"/>
        </w:rPr>
        <w:t>3</w:t>
      </w:r>
      <w:r>
        <w:rPr>
          <w:rFonts w:ascii="Times New Roman" w:hAnsi="Times New Roman" w:eastAsia="宋体"/>
          <w:i w:val="0"/>
          <w:iCs w:val="0"/>
          <w:szCs w:val="28"/>
        </w:rPr>
        <w:t>.</w:t>
      </w:r>
      <w:r>
        <w:rPr>
          <w:rFonts w:hint="eastAsia" w:ascii="Times New Roman" w:hAnsi="Times New Roman" w:eastAsia="宋体"/>
          <w:i w:val="0"/>
          <w:iCs w:val="0"/>
          <w:szCs w:val="28"/>
        </w:rPr>
        <w:t>5</w:t>
      </w:r>
      <w:r>
        <w:rPr>
          <w:rFonts w:ascii="Times New Roman" w:hAnsi="Times New Roman" w:eastAsia="宋体"/>
          <w:i w:val="0"/>
          <w:iCs w:val="0"/>
          <w:szCs w:val="28"/>
        </w:rPr>
        <w:t>施工期污染源</w:t>
      </w:r>
      <w:r>
        <w:rPr>
          <w:i w:val="0"/>
          <w:iCs w:val="0"/>
        </w:rPr>
        <w:tab/>
      </w:r>
      <w:r>
        <w:rPr>
          <w:i w:val="0"/>
          <w:iCs w:val="0"/>
        </w:rPr>
        <w:fldChar w:fldCharType="begin"/>
      </w:r>
      <w:r>
        <w:rPr>
          <w:i w:val="0"/>
          <w:iCs w:val="0"/>
        </w:rPr>
        <w:instrText xml:space="preserve"> PAGEREF _Toc2259 \h </w:instrText>
      </w:r>
      <w:r>
        <w:rPr>
          <w:i w:val="0"/>
          <w:iCs w:val="0"/>
        </w:rPr>
        <w:fldChar w:fldCharType="separate"/>
      </w:r>
      <w:r>
        <w:rPr>
          <w:i w:val="0"/>
          <w:iCs w:val="0"/>
        </w:rPr>
        <w:t>78</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_Toc31141 </w:instrText>
      </w:r>
      <w:r>
        <w:rPr>
          <w:i w:val="0"/>
          <w:iCs w:val="0"/>
          <w:szCs w:val="21"/>
        </w:rPr>
        <w:fldChar w:fldCharType="separate"/>
      </w:r>
      <w:r>
        <w:rPr>
          <w:rFonts w:hint="eastAsia" w:ascii="Times New Roman" w:hAnsi="Times New Roman" w:eastAsia="宋体"/>
          <w:i w:val="0"/>
          <w:iCs w:val="0"/>
          <w:szCs w:val="28"/>
        </w:rPr>
        <w:t>3</w:t>
      </w:r>
      <w:r>
        <w:rPr>
          <w:rFonts w:ascii="Times New Roman" w:hAnsi="Times New Roman" w:eastAsia="宋体"/>
          <w:i w:val="0"/>
          <w:iCs w:val="0"/>
          <w:szCs w:val="28"/>
        </w:rPr>
        <w:t>.</w:t>
      </w:r>
      <w:r>
        <w:rPr>
          <w:rFonts w:hint="eastAsia" w:ascii="Times New Roman" w:hAnsi="Times New Roman" w:eastAsia="宋体"/>
          <w:i w:val="0"/>
          <w:iCs w:val="0"/>
          <w:szCs w:val="28"/>
        </w:rPr>
        <w:t>6</w:t>
      </w:r>
      <w:r>
        <w:rPr>
          <w:rFonts w:ascii="Times New Roman" w:hAnsi="Times New Roman" w:eastAsia="宋体"/>
          <w:i w:val="0"/>
          <w:iCs w:val="0"/>
          <w:szCs w:val="28"/>
        </w:rPr>
        <w:t>运行期污染源</w:t>
      </w:r>
      <w:r>
        <w:rPr>
          <w:i w:val="0"/>
          <w:iCs w:val="0"/>
        </w:rPr>
        <w:tab/>
      </w:r>
      <w:r>
        <w:rPr>
          <w:i w:val="0"/>
          <w:iCs w:val="0"/>
        </w:rPr>
        <w:fldChar w:fldCharType="begin"/>
      </w:r>
      <w:r>
        <w:rPr>
          <w:i w:val="0"/>
          <w:iCs w:val="0"/>
        </w:rPr>
        <w:instrText xml:space="preserve"> PAGEREF _Toc31141 \h </w:instrText>
      </w:r>
      <w:r>
        <w:rPr>
          <w:i w:val="0"/>
          <w:iCs w:val="0"/>
        </w:rPr>
        <w:fldChar w:fldCharType="separate"/>
      </w:r>
      <w:r>
        <w:rPr>
          <w:i w:val="0"/>
          <w:iCs w:val="0"/>
        </w:rPr>
        <w:t>82</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_Toc19954 </w:instrText>
      </w:r>
      <w:r>
        <w:rPr>
          <w:i w:val="0"/>
          <w:iCs w:val="0"/>
          <w:szCs w:val="21"/>
        </w:rPr>
        <w:fldChar w:fldCharType="separate"/>
      </w:r>
      <w:r>
        <w:rPr>
          <w:rFonts w:hint="eastAsia" w:ascii="Times New Roman" w:hAnsi="Times New Roman" w:eastAsia="宋体"/>
          <w:i w:val="0"/>
          <w:iCs w:val="0"/>
          <w:szCs w:val="28"/>
        </w:rPr>
        <w:t>3</w:t>
      </w:r>
      <w:r>
        <w:rPr>
          <w:rFonts w:ascii="Times New Roman" w:hAnsi="Times New Roman" w:eastAsia="宋体"/>
          <w:i w:val="0"/>
          <w:iCs w:val="0"/>
          <w:szCs w:val="28"/>
        </w:rPr>
        <w:t>.</w:t>
      </w:r>
      <w:r>
        <w:rPr>
          <w:rFonts w:hint="eastAsia" w:ascii="Times New Roman" w:hAnsi="Times New Roman" w:eastAsia="宋体"/>
          <w:i w:val="0"/>
          <w:iCs w:val="0"/>
          <w:szCs w:val="28"/>
        </w:rPr>
        <w:t>8</w:t>
      </w:r>
      <w:r>
        <w:rPr>
          <w:rFonts w:ascii="Times New Roman" w:hAnsi="Times New Roman" w:eastAsia="宋体"/>
          <w:i w:val="0"/>
          <w:iCs w:val="0"/>
          <w:szCs w:val="28"/>
        </w:rPr>
        <w:t>非正常工况分析</w:t>
      </w:r>
      <w:r>
        <w:rPr>
          <w:i w:val="0"/>
          <w:iCs w:val="0"/>
        </w:rPr>
        <w:tab/>
      </w:r>
      <w:r>
        <w:rPr>
          <w:i w:val="0"/>
          <w:iCs w:val="0"/>
        </w:rPr>
        <w:fldChar w:fldCharType="begin"/>
      </w:r>
      <w:r>
        <w:rPr>
          <w:i w:val="0"/>
          <w:iCs w:val="0"/>
        </w:rPr>
        <w:instrText xml:space="preserve"> PAGEREF _Toc19954 \h </w:instrText>
      </w:r>
      <w:r>
        <w:rPr>
          <w:i w:val="0"/>
          <w:iCs w:val="0"/>
        </w:rPr>
        <w:fldChar w:fldCharType="separate"/>
      </w:r>
      <w:r>
        <w:rPr>
          <w:i w:val="0"/>
          <w:iCs w:val="0"/>
        </w:rPr>
        <w:t>92</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_Toc9776 </w:instrText>
      </w:r>
      <w:r>
        <w:rPr>
          <w:i w:val="0"/>
          <w:iCs w:val="0"/>
          <w:szCs w:val="21"/>
        </w:rPr>
        <w:fldChar w:fldCharType="separate"/>
      </w:r>
      <w:r>
        <w:rPr>
          <w:rFonts w:hint="eastAsia" w:ascii="Times New Roman" w:hAnsi="Times New Roman" w:eastAsia="宋体"/>
          <w:i w:val="0"/>
          <w:iCs w:val="0"/>
          <w:szCs w:val="28"/>
        </w:rPr>
        <w:t>3</w:t>
      </w:r>
      <w:r>
        <w:rPr>
          <w:rFonts w:ascii="Times New Roman" w:hAnsi="Times New Roman" w:eastAsia="宋体"/>
          <w:i w:val="0"/>
          <w:iCs w:val="0"/>
          <w:szCs w:val="28"/>
        </w:rPr>
        <w:t>.</w:t>
      </w:r>
      <w:r>
        <w:rPr>
          <w:rFonts w:hint="eastAsia" w:ascii="Times New Roman" w:hAnsi="Times New Roman" w:eastAsia="宋体"/>
          <w:i w:val="0"/>
          <w:iCs w:val="0"/>
          <w:szCs w:val="28"/>
        </w:rPr>
        <w:t>9全厂污染物核算</w:t>
      </w:r>
      <w:r>
        <w:rPr>
          <w:i w:val="0"/>
          <w:iCs w:val="0"/>
        </w:rPr>
        <w:tab/>
      </w:r>
      <w:r>
        <w:rPr>
          <w:i w:val="0"/>
          <w:iCs w:val="0"/>
        </w:rPr>
        <w:fldChar w:fldCharType="begin"/>
      </w:r>
      <w:r>
        <w:rPr>
          <w:i w:val="0"/>
          <w:iCs w:val="0"/>
        </w:rPr>
        <w:instrText xml:space="preserve"> PAGEREF _Toc9776 \h </w:instrText>
      </w:r>
      <w:r>
        <w:rPr>
          <w:i w:val="0"/>
          <w:iCs w:val="0"/>
        </w:rPr>
        <w:fldChar w:fldCharType="separate"/>
      </w:r>
      <w:r>
        <w:rPr>
          <w:i w:val="0"/>
          <w:iCs w:val="0"/>
        </w:rPr>
        <w:t>95</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_Toc437 </w:instrText>
      </w:r>
      <w:r>
        <w:rPr>
          <w:i w:val="0"/>
          <w:iCs w:val="0"/>
          <w:szCs w:val="21"/>
        </w:rPr>
        <w:fldChar w:fldCharType="separate"/>
      </w:r>
      <w:r>
        <w:rPr>
          <w:rFonts w:hint="eastAsia" w:ascii="Times New Roman" w:hAnsi="Times New Roman" w:eastAsia="宋体"/>
          <w:i w:val="0"/>
          <w:iCs w:val="0"/>
          <w:szCs w:val="28"/>
        </w:rPr>
        <w:t>3</w:t>
      </w:r>
      <w:r>
        <w:rPr>
          <w:rFonts w:ascii="Times New Roman" w:hAnsi="Times New Roman" w:eastAsia="宋体"/>
          <w:i w:val="0"/>
          <w:iCs w:val="0"/>
          <w:szCs w:val="28"/>
        </w:rPr>
        <w:t>.1</w:t>
      </w:r>
      <w:r>
        <w:rPr>
          <w:rFonts w:hint="eastAsia" w:ascii="Times New Roman" w:hAnsi="Times New Roman" w:eastAsia="宋体"/>
          <w:i w:val="0"/>
          <w:iCs w:val="0"/>
          <w:szCs w:val="28"/>
        </w:rPr>
        <w:t>0</w:t>
      </w:r>
      <w:r>
        <w:rPr>
          <w:rFonts w:ascii="Times New Roman" w:hAnsi="Times New Roman" w:eastAsia="宋体"/>
          <w:i w:val="0"/>
          <w:iCs w:val="0"/>
          <w:szCs w:val="28"/>
        </w:rPr>
        <w:t>污染物总量控制</w:t>
      </w:r>
      <w:r>
        <w:rPr>
          <w:i w:val="0"/>
          <w:iCs w:val="0"/>
        </w:rPr>
        <w:tab/>
      </w:r>
      <w:r>
        <w:rPr>
          <w:i w:val="0"/>
          <w:iCs w:val="0"/>
        </w:rPr>
        <w:fldChar w:fldCharType="begin"/>
      </w:r>
      <w:r>
        <w:rPr>
          <w:i w:val="0"/>
          <w:iCs w:val="0"/>
        </w:rPr>
        <w:instrText xml:space="preserve"> PAGEREF _Toc437 \h </w:instrText>
      </w:r>
      <w:r>
        <w:rPr>
          <w:i w:val="0"/>
          <w:iCs w:val="0"/>
        </w:rPr>
        <w:fldChar w:fldCharType="separate"/>
      </w:r>
      <w:r>
        <w:rPr>
          <w:i w:val="0"/>
          <w:iCs w:val="0"/>
        </w:rPr>
        <w:t>95</w:t>
      </w:r>
      <w:r>
        <w:rPr>
          <w:i w:val="0"/>
          <w:iCs w:val="0"/>
        </w:rPr>
        <w:fldChar w:fldCharType="end"/>
      </w:r>
      <w:r>
        <w:rPr>
          <w:i w:val="0"/>
          <w:iCs w:val="0"/>
          <w:szCs w:val="21"/>
        </w:rPr>
        <w:fldChar w:fldCharType="end"/>
      </w:r>
    </w:p>
    <w:p>
      <w:pPr>
        <w:pStyle w:val="42"/>
        <w:tabs>
          <w:tab w:val="right" w:leader="dot" w:pos="9071"/>
        </w:tabs>
        <w:rPr>
          <w:i w:val="0"/>
          <w:iCs w:val="0"/>
        </w:rPr>
      </w:pPr>
      <w:r>
        <w:rPr>
          <w:i w:val="0"/>
          <w:iCs w:val="0"/>
          <w:szCs w:val="21"/>
        </w:rPr>
        <w:fldChar w:fldCharType="begin"/>
      </w:r>
      <w:r>
        <w:rPr>
          <w:i w:val="0"/>
          <w:iCs w:val="0"/>
          <w:szCs w:val="21"/>
        </w:rPr>
        <w:instrText xml:space="preserve"> HYPERLINK \l _Toc22359 </w:instrText>
      </w:r>
      <w:r>
        <w:rPr>
          <w:i w:val="0"/>
          <w:iCs w:val="0"/>
          <w:szCs w:val="21"/>
        </w:rPr>
        <w:fldChar w:fldCharType="separate"/>
      </w:r>
      <w:r>
        <w:rPr>
          <w:i w:val="0"/>
          <w:iCs w:val="0"/>
        </w:rPr>
        <w:t>第</w:t>
      </w:r>
      <w:r>
        <w:rPr>
          <w:rFonts w:hint="eastAsia"/>
          <w:i w:val="0"/>
          <w:iCs w:val="0"/>
        </w:rPr>
        <w:t>四</w:t>
      </w:r>
      <w:r>
        <w:rPr>
          <w:i w:val="0"/>
          <w:iCs w:val="0"/>
        </w:rPr>
        <w:t>章环境现状调查与评价</w:t>
      </w:r>
      <w:r>
        <w:rPr>
          <w:i w:val="0"/>
          <w:iCs w:val="0"/>
        </w:rPr>
        <w:tab/>
      </w:r>
      <w:r>
        <w:rPr>
          <w:i w:val="0"/>
          <w:iCs w:val="0"/>
        </w:rPr>
        <w:fldChar w:fldCharType="begin"/>
      </w:r>
      <w:r>
        <w:rPr>
          <w:i w:val="0"/>
          <w:iCs w:val="0"/>
        </w:rPr>
        <w:instrText xml:space="preserve"> PAGEREF _Toc22359 \h </w:instrText>
      </w:r>
      <w:r>
        <w:rPr>
          <w:i w:val="0"/>
          <w:iCs w:val="0"/>
        </w:rPr>
        <w:fldChar w:fldCharType="separate"/>
      </w:r>
      <w:r>
        <w:rPr>
          <w:i w:val="0"/>
          <w:iCs w:val="0"/>
        </w:rPr>
        <w:t>96</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_Toc7958 </w:instrText>
      </w:r>
      <w:r>
        <w:rPr>
          <w:i w:val="0"/>
          <w:iCs w:val="0"/>
          <w:szCs w:val="21"/>
        </w:rPr>
        <w:fldChar w:fldCharType="separate"/>
      </w:r>
      <w:r>
        <w:rPr>
          <w:rFonts w:hint="eastAsia" w:ascii="Times New Roman" w:hAnsi="Times New Roman" w:eastAsia="宋体"/>
          <w:i w:val="0"/>
          <w:iCs w:val="0"/>
          <w:szCs w:val="28"/>
        </w:rPr>
        <w:t>4</w:t>
      </w:r>
      <w:r>
        <w:rPr>
          <w:rFonts w:ascii="Times New Roman" w:hAnsi="Times New Roman" w:eastAsia="宋体"/>
          <w:i w:val="0"/>
          <w:iCs w:val="0"/>
          <w:szCs w:val="28"/>
        </w:rPr>
        <w:t>.1自然环境概况</w:t>
      </w:r>
      <w:r>
        <w:rPr>
          <w:i w:val="0"/>
          <w:iCs w:val="0"/>
        </w:rPr>
        <w:tab/>
      </w:r>
      <w:r>
        <w:rPr>
          <w:i w:val="0"/>
          <w:iCs w:val="0"/>
        </w:rPr>
        <w:fldChar w:fldCharType="begin"/>
      </w:r>
      <w:r>
        <w:rPr>
          <w:i w:val="0"/>
          <w:iCs w:val="0"/>
        </w:rPr>
        <w:instrText xml:space="preserve"> PAGEREF _Toc7958 \h </w:instrText>
      </w:r>
      <w:r>
        <w:rPr>
          <w:i w:val="0"/>
          <w:iCs w:val="0"/>
        </w:rPr>
        <w:fldChar w:fldCharType="separate"/>
      </w:r>
      <w:r>
        <w:rPr>
          <w:i w:val="0"/>
          <w:iCs w:val="0"/>
        </w:rPr>
        <w:t>96</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_Toc10843 </w:instrText>
      </w:r>
      <w:r>
        <w:rPr>
          <w:i w:val="0"/>
          <w:iCs w:val="0"/>
          <w:szCs w:val="21"/>
        </w:rPr>
        <w:fldChar w:fldCharType="separate"/>
      </w:r>
      <w:r>
        <w:rPr>
          <w:rFonts w:hint="eastAsia" w:ascii="Times New Roman" w:hAnsi="Times New Roman" w:eastAsia="宋体"/>
          <w:i w:val="0"/>
          <w:iCs w:val="0"/>
          <w:szCs w:val="28"/>
        </w:rPr>
        <w:t>4</w:t>
      </w:r>
      <w:r>
        <w:rPr>
          <w:rFonts w:ascii="Times New Roman" w:hAnsi="Times New Roman" w:eastAsia="宋体"/>
          <w:i w:val="0"/>
          <w:iCs w:val="0"/>
          <w:szCs w:val="28"/>
        </w:rPr>
        <w:t>.</w:t>
      </w:r>
      <w:r>
        <w:rPr>
          <w:rFonts w:hint="eastAsia" w:ascii="Times New Roman" w:hAnsi="Times New Roman" w:eastAsia="宋体"/>
          <w:i w:val="0"/>
          <w:iCs w:val="0"/>
          <w:szCs w:val="28"/>
        </w:rPr>
        <w:t>2</w:t>
      </w:r>
      <w:r>
        <w:rPr>
          <w:rFonts w:ascii="Times New Roman" w:hAnsi="Times New Roman" w:eastAsia="宋体"/>
          <w:i w:val="0"/>
          <w:iCs w:val="0"/>
          <w:szCs w:val="28"/>
        </w:rPr>
        <w:t>区域环境质量概况</w:t>
      </w:r>
      <w:r>
        <w:rPr>
          <w:i w:val="0"/>
          <w:iCs w:val="0"/>
        </w:rPr>
        <w:tab/>
      </w:r>
      <w:r>
        <w:rPr>
          <w:i w:val="0"/>
          <w:iCs w:val="0"/>
        </w:rPr>
        <w:fldChar w:fldCharType="begin"/>
      </w:r>
      <w:r>
        <w:rPr>
          <w:i w:val="0"/>
          <w:iCs w:val="0"/>
        </w:rPr>
        <w:instrText xml:space="preserve"> PAGEREF _Toc10843 \h </w:instrText>
      </w:r>
      <w:r>
        <w:rPr>
          <w:i w:val="0"/>
          <w:iCs w:val="0"/>
        </w:rPr>
        <w:fldChar w:fldCharType="separate"/>
      </w:r>
      <w:r>
        <w:rPr>
          <w:i w:val="0"/>
          <w:iCs w:val="0"/>
        </w:rPr>
        <w:t>97</w:t>
      </w:r>
      <w:r>
        <w:rPr>
          <w:i w:val="0"/>
          <w:iCs w:val="0"/>
        </w:rPr>
        <w:fldChar w:fldCharType="end"/>
      </w:r>
      <w:r>
        <w:rPr>
          <w:i w:val="0"/>
          <w:iCs w:val="0"/>
          <w:szCs w:val="21"/>
        </w:rPr>
        <w:fldChar w:fldCharType="end"/>
      </w:r>
    </w:p>
    <w:p>
      <w:pPr>
        <w:pStyle w:val="42"/>
        <w:tabs>
          <w:tab w:val="right" w:leader="dot" w:pos="9071"/>
        </w:tabs>
        <w:rPr>
          <w:i w:val="0"/>
          <w:iCs w:val="0"/>
        </w:rPr>
      </w:pPr>
      <w:r>
        <w:rPr>
          <w:i w:val="0"/>
          <w:iCs w:val="0"/>
          <w:szCs w:val="21"/>
        </w:rPr>
        <w:fldChar w:fldCharType="begin"/>
      </w:r>
      <w:r>
        <w:rPr>
          <w:i w:val="0"/>
          <w:iCs w:val="0"/>
          <w:szCs w:val="21"/>
        </w:rPr>
        <w:instrText xml:space="preserve"> HYPERLINK \l _Toc27569 </w:instrText>
      </w:r>
      <w:r>
        <w:rPr>
          <w:i w:val="0"/>
          <w:iCs w:val="0"/>
          <w:szCs w:val="21"/>
        </w:rPr>
        <w:fldChar w:fldCharType="separate"/>
      </w:r>
      <w:r>
        <w:rPr>
          <w:i w:val="0"/>
          <w:iCs w:val="0"/>
        </w:rPr>
        <w:t>第</w:t>
      </w:r>
      <w:r>
        <w:rPr>
          <w:rFonts w:hint="eastAsia"/>
          <w:i w:val="0"/>
          <w:iCs w:val="0"/>
        </w:rPr>
        <w:t>五</w:t>
      </w:r>
      <w:r>
        <w:rPr>
          <w:i w:val="0"/>
          <w:iCs w:val="0"/>
        </w:rPr>
        <w:t>章环境影响预测与评价</w:t>
      </w:r>
      <w:r>
        <w:rPr>
          <w:i w:val="0"/>
          <w:iCs w:val="0"/>
        </w:rPr>
        <w:tab/>
      </w:r>
      <w:r>
        <w:rPr>
          <w:i w:val="0"/>
          <w:iCs w:val="0"/>
        </w:rPr>
        <w:fldChar w:fldCharType="begin"/>
      </w:r>
      <w:r>
        <w:rPr>
          <w:i w:val="0"/>
          <w:iCs w:val="0"/>
        </w:rPr>
        <w:instrText xml:space="preserve"> PAGEREF _Toc27569 \h </w:instrText>
      </w:r>
      <w:r>
        <w:rPr>
          <w:i w:val="0"/>
          <w:iCs w:val="0"/>
        </w:rPr>
        <w:fldChar w:fldCharType="separate"/>
      </w:r>
      <w:r>
        <w:rPr>
          <w:i w:val="0"/>
          <w:iCs w:val="0"/>
        </w:rPr>
        <w:t>105</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_Toc7722 </w:instrText>
      </w:r>
      <w:r>
        <w:rPr>
          <w:i w:val="0"/>
          <w:iCs w:val="0"/>
          <w:szCs w:val="21"/>
        </w:rPr>
        <w:fldChar w:fldCharType="separate"/>
      </w:r>
      <w:r>
        <w:rPr>
          <w:rFonts w:hint="eastAsia" w:ascii="Times New Roman" w:hAnsi="Times New Roman" w:eastAsia="宋体"/>
          <w:i w:val="0"/>
          <w:iCs w:val="0"/>
          <w:szCs w:val="28"/>
        </w:rPr>
        <w:t>5</w:t>
      </w:r>
      <w:r>
        <w:rPr>
          <w:rFonts w:ascii="Times New Roman" w:hAnsi="Times New Roman" w:eastAsia="宋体"/>
          <w:i w:val="0"/>
          <w:iCs w:val="0"/>
          <w:szCs w:val="28"/>
        </w:rPr>
        <w:t>.1施工期环境影响</w:t>
      </w:r>
      <w:r>
        <w:rPr>
          <w:rFonts w:hint="eastAsia" w:ascii="Times New Roman" w:hAnsi="Times New Roman" w:eastAsia="宋体"/>
          <w:i w:val="0"/>
          <w:iCs w:val="0"/>
          <w:szCs w:val="28"/>
        </w:rPr>
        <w:t>预测与评价</w:t>
      </w:r>
      <w:r>
        <w:rPr>
          <w:i w:val="0"/>
          <w:iCs w:val="0"/>
        </w:rPr>
        <w:tab/>
      </w:r>
      <w:r>
        <w:rPr>
          <w:i w:val="0"/>
          <w:iCs w:val="0"/>
        </w:rPr>
        <w:fldChar w:fldCharType="begin"/>
      </w:r>
      <w:r>
        <w:rPr>
          <w:i w:val="0"/>
          <w:iCs w:val="0"/>
        </w:rPr>
        <w:instrText xml:space="preserve"> PAGEREF _Toc7722 \h </w:instrText>
      </w:r>
      <w:r>
        <w:rPr>
          <w:i w:val="0"/>
          <w:iCs w:val="0"/>
        </w:rPr>
        <w:fldChar w:fldCharType="separate"/>
      </w:r>
      <w:r>
        <w:rPr>
          <w:i w:val="0"/>
          <w:iCs w:val="0"/>
        </w:rPr>
        <w:t>105</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_Toc897 </w:instrText>
      </w:r>
      <w:r>
        <w:rPr>
          <w:i w:val="0"/>
          <w:iCs w:val="0"/>
          <w:szCs w:val="21"/>
        </w:rPr>
        <w:fldChar w:fldCharType="separate"/>
      </w:r>
      <w:r>
        <w:rPr>
          <w:rFonts w:hint="eastAsia" w:ascii="Times New Roman" w:hAnsi="Times New Roman" w:eastAsia="宋体"/>
          <w:i w:val="0"/>
          <w:iCs w:val="0"/>
          <w:szCs w:val="28"/>
        </w:rPr>
        <w:t>5</w:t>
      </w:r>
      <w:r>
        <w:rPr>
          <w:rFonts w:ascii="Times New Roman" w:hAnsi="Times New Roman" w:eastAsia="宋体"/>
          <w:i w:val="0"/>
          <w:iCs w:val="0"/>
          <w:szCs w:val="28"/>
        </w:rPr>
        <w:t>.2营运期环境影响预测与评价</w:t>
      </w:r>
      <w:r>
        <w:rPr>
          <w:i w:val="0"/>
          <w:iCs w:val="0"/>
        </w:rPr>
        <w:tab/>
      </w:r>
      <w:r>
        <w:rPr>
          <w:i w:val="0"/>
          <w:iCs w:val="0"/>
        </w:rPr>
        <w:fldChar w:fldCharType="begin"/>
      </w:r>
      <w:r>
        <w:rPr>
          <w:i w:val="0"/>
          <w:iCs w:val="0"/>
        </w:rPr>
        <w:instrText xml:space="preserve"> PAGEREF _Toc897 \h </w:instrText>
      </w:r>
      <w:r>
        <w:rPr>
          <w:i w:val="0"/>
          <w:iCs w:val="0"/>
        </w:rPr>
        <w:fldChar w:fldCharType="separate"/>
      </w:r>
      <w:r>
        <w:rPr>
          <w:i w:val="0"/>
          <w:iCs w:val="0"/>
        </w:rPr>
        <w:t>108</w:t>
      </w:r>
      <w:r>
        <w:rPr>
          <w:i w:val="0"/>
          <w:iCs w:val="0"/>
        </w:rPr>
        <w:fldChar w:fldCharType="end"/>
      </w:r>
      <w:r>
        <w:rPr>
          <w:i w:val="0"/>
          <w:iCs w:val="0"/>
          <w:szCs w:val="21"/>
        </w:rPr>
        <w:fldChar w:fldCharType="end"/>
      </w:r>
    </w:p>
    <w:p>
      <w:pPr>
        <w:pStyle w:val="42"/>
        <w:tabs>
          <w:tab w:val="right" w:leader="dot" w:pos="9071"/>
        </w:tabs>
        <w:rPr>
          <w:i w:val="0"/>
          <w:iCs w:val="0"/>
        </w:rPr>
      </w:pPr>
      <w:r>
        <w:rPr>
          <w:i w:val="0"/>
          <w:iCs w:val="0"/>
          <w:szCs w:val="21"/>
        </w:rPr>
        <w:fldChar w:fldCharType="begin"/>
      </w:r>
      <w:r>
        <w:rPr>
          <w:i w:val="0"/>
          <w:iCs w:val="0"/>
          <w:szCs w:val="21"/>
        </w:rPr>
        <w:instrText xml:space="preserve"> HYPERLINK \l _Toc31912 </w:instrText>
      </w:r>
      <w:r>
        <w:rPr>
          <w:i w:val="0"/>
          <w:iCs w:val="0"/>
          <w:szCs w:val="21"/>
        </w:rPr>
        <w:fldChar w:fldCharType="separate"/>
      </w:r>
      <w:r>
        <w:rPr>
          <w:i w:val="0"/>
          <w:iCs w:val="0"/>
        </w:rPr>
        <w:t>第</w:t>
      </w:r>
      <w:r>
        <w:rPr>
          <w:rFonts w:hint="eastAsia"/>
          <w:i w:val="0"/>
          <w:iCs w:val="0"/>
        </w:rPr>
        <w:t>六</w:t>
      </w:r>
      <w:r>
        <w:rPr>
          <w:i w:val="0"/>
          <w:iCs w:val="0"/>
        </w:rPr>
        <w:t>章</w:t>
      </w:r>
      <w:r>
        <w:rPr>
          <w:rFonts w:hint="eastAsia"/>
          <w:i w:val="0"/>
          <w:iCs w:val="0"/>
        </w:rPr>
        <w:t>环境保护措施及其可行性论证</w:t>
      </w:r>
      <w:r>
        <w:rPr>
          <w:i w:val="0"/>
          <w:iCs w:val="0"/>
        </w:rPr>
        <w:tab/>
      </w:r>
      <w:r>
        <w:rPr>
          <w:i w:val="0"/>
          <w:iCs w:val="0"/>
        </w:rPr>
        <w:fldChar w:fldCharType="begin"/>
      </w:r>
      <w:r>
        <w:rPr>
          <w:i w:val="0"/>
          <w:iCs w:val="0"/>
        </w:rPr>
        <w:instrText xml:space="preserve"> PAGEREF _Toc31912 \h </w:instrText>
      </w:r>
      <w:r>
        <w:rPr>
          <w:i w:val="0"/>
          <w:iCs w:val="0"/>
        </w:rPr>
        <w:fldChar w:fldCharType="separate"/>
      </w:r>
      <w:r>
        <w:rPr>
          <w:i w:val="0"/>
          <w:iCs w:val="0"/>
        </w:rPr>
        <w:t>126</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_Toc30557 </w:instrText>
      </w:r>
      <w:r>
        <w:rPr>
          <w:i w:val="0"/>
          <w:iCs w:val="0"/>
          <w:szCs w:val="21"/>
        </w:rPr>
        <w:fldChar w:fldCharType="separate"/>
      </w:r>
      <w:r>
        <w:rPr>
          <w:rFonts w:hint="eastAsia" w:ascii="Times New Roman" w:hAnsi="Times New Roman" w:eastAsia="宋体"/>
          <w:i w:val="0"/>
          <w:iCs w:val="0"/>
          <w:szCs w:val="28"/>
        </w:rPr>
        <w:t>6</w:t>
      </w:r>
      <w:r>
        <w:rPr>
          <w:rFonts w:ascii="Times New Roman" w:hAnsi="Times New Roman" w:eastAsia="宋体"/>
          <w:i w:val="0"/>
          <w:iCs w:val="0"/>
          <w:szCs w:val="28"/>
        </w:rPr>
        <w:t>.1施工期污染防治措施</w:t>
      </w:r>
      <w:r>
        <w:rPr>
          <w:i w:val="0"/>
          <w:iCs w:val="0"/>
        </w:rPr>
        <w:tab/>
      </w:r>
      <w:r>
        <w:rPr>
          <w:i w:val="0"/>
          <w:iCs w:val="0"/>
        </w:rPr>
        <w:fldChar w:fldCharType="begin"/>
      </w:r>
      <w:r>
        <w:rPr>
          <w:i w:val="0"/>
          <w:iCs w:val="0"/>
        </w:rPr>
        <w:instrText xml:space="preserve"> PAGEREF _Toc30557 \h </w:instrText>
      </w:r>
      <w:r>
        <w:rPr>
          <w:i w:val="0"/>
          <w:iCs w:val="0"/>
        </w:rPr>
        <w:fldChar w:fldCharType="separate"/>
      </w:r>
      <w:r>
        <w:rPr>
          <w:i w:val="0"/>
          <w:iCs w:val="0"/>
        </w:rPr>
        <w:t>126</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_Toc28593 </w:instrText>
      </w:r>
      <w:r>
        <w:rPr>
          <w:i w:val="0"/>
          <w:iCs w:val="0"/>
          <w:szCs w:val="21"/>
        </w:rPr>
        <w:fldChar w:fldCharType="separate"/>
      </w:r>
      <w:r>
        <w:rPr>
          <w:rFonts w:hint="eastAsia" w:ascii="Times New Roman" w:hAnsi="Times New Roman" w:eastAsia="宋体"/>
          <w:i w:val="0"/>
          <w:iCs w:val="0"/>
          <w:szCs w:val="28"/>
        </w:rPr>
        <w:t>6</w:t>
      </w:r>
      <w:r>
        <w:rPr>
          <w:rFonts w:ascii="Times New Roman" w:hAnsi="Times New Roman" w:eastAsia="宋体"/>
          <w:i w:val="0"/>
          <w:iCs w:val="0"/>
          <w:szCs w:val="28"/>
        </w:rPr>
        <w:t>.</w:t>
      </w:r>
      <w:r>
        <w:rPr>
          <w:rFonts w:hint="eastAsia" w:ascii="Times New Roman" w:hAnsi="Times New Roman" w:eastAsia="宋体"/>
          <w:i w:val="0"/>
          <w:iCs w:val="0"/>
          <w:szCs w:val="28"/>
        </w:rPr>
        <w:t>2运营</w:t>
      </w:r>
      <w:r>
        <w:rPr>
          <w:rFonts w:ascii="Times New Roman" w:hAnsi="Times New Roman" w:eastAsia="宋体"/>
          <w:i w:val="0"/>
          <w:iCs w:val="0"/>
          <w:szCs w:val="28"/>
        </w:rPr>
        <w:t>期污染防治措施</w:t>
      </w:r>
      <w:r>
        <w:rPr>
          <w:i w:val="0"/>
          <w:iCs w:val="0"/>
        </w:rPr>
        <w:tab/>
      </w:r>
      <w:r>
        <w:rPr>
          <w:i w:val="0"/>
          <w:iCs w:val="0"/>
        </w:rPr>
        <w:fldChar w:fldCharType="begin"/>
      </w:r>
      <w:r>
        <w:rPr>
          <w:i w:val="0"/>
          <w:iCs w:val="0"/>
        </w:rPr>
        <w:instrText xml:space="preserve"> PAGEREF _Toc28593 \h </w:instrText>
      </w:r>
      <w:r>
        <w:rPr>
          <w:i w:val="0"/>
          <w:iCs w:val="0"/>
        </w:rPr>
        <w:fldChar w:fldCharType="separate"/>
      </w:r>
      <w:r>
        <w:rPr>
          <w:i w:val="0"/>
          <w:iCs w:val="0"/>
        </w:rPr>
        <w:t>130</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_Toc15501 </w:instrText>
      </w:r>
      <w:r>
        <w:rPr>
          <w:i w:val="0"/>
          <w:iCs w:val="0"/>
          <w:szCs w:val="21"/>
        </w:rPr>
        <w:fldChar w:fldCharType="separate"/>
      </w:r>
      <w:r>
        <w:rPr>
          <w:rFonts w:hint="eastAsia" w:ascii="Times New Roman" w:hAnsi="Times New Roman" w:eastAsia="宋体"/>
          <w:i w:val="0"/>
          <w:iCs w:val="0"/>
          <w:szCs w:val="28"/>
        </w:rPr>
        <w:t>6</w:t>
      </w:r>
      <w:r>
        <w:rPr>
          <w:rFonts w:ascii="Times New Roman" w:hAnsi="Times New Roman" w:eastAsia="宋体"/>
          <w:i w:val="0"/>
          <w:iCs w:val="0"/>
          <w:szCs w:val="28"/>
        </w:rPr>
        <w:t>.</w:t>
      </w:r>
      <w:r>
        <w:rPr>
          <w:rFonts w:hint="eastAsia" w:ascii="Times New Roman" w:hAnsi="Times New Roman" w:eastAsia="宋体"/>
          <w:i w:val="0"/>
          <w:iCs w:val="0"/>
          <w:szCs w:val="28"/>
        </w:rPr>
        <w:t>3</w:t>
      </w:r>
      <w:r>
        <w:rPr>
          <w:rFonts w:ascii="Times New Roman" w:hAnsi="Times New Roman" w:eastAsia="宋体"/>
          <w:i w:val="0"/>
          <w:iCs w:val="0"/>
          <w:szCs w:val="28"/>
        </w:rPr>
        <w:t>环保投资及污染防治“三同时”验收项目</w:t>
      </w:r>
      <w:r>
        <w:rPr>
          <w:i w:val="0"/>
          <w:iCs w:val="0"/>
        </w:rPr>
        <w:tab/>
      </w:r>
      <w:r>
        <w:rPr>
          <w:i w:val="0"/>
          <w:iCs w:val="0"/>
        </w:rPr>
        <w:fldChar w:fldCharType="begin"/>
      </w:r>
      <w:r>
        <w:rPr>
          <w:i w:val="0"/>
          <w:iCs w:val="0"/>
        </w:rPr>
        <w:instrText xml:space="preserve"> PAGEREF _Toc15501 \h </w:instrText>
      </w:r>
      <w:r>
        <w:rPr>
          <w:i w:val="0"/>
          <w:iCs w:val="0"/>
        </w:rPr>
        <w:fldChar w:fldCharType="separate"/>
      </w:r>
      <w:r>
        <w:rPr>
          <w:i w:val="0"/>
          <w:iCs w:val="0"/>
        </w:rPr>
        <w:t>134</w:t>
      </w:r>
      <w:r>
        <w:rPr>
          <w:i w:val="0"/>
          <w:iCs w:val="0"/>
        </w:rPr>
        <w:fldChar w:fldCharType="end"/>
      </w:r>
      <w:r>
        <w:rPr>
          <w:i w:val="0"/>
          <w:iCs w:val="0"/>
          <w:szCs w:val="21"/>
        </w:rPr>
        <w:fldChar w:fldCharType="end"/>
      </w:r>
    </w:p>
    <w:p>
      <w:pPr>
        <w:pStyle w:val="42"/>
        <w:tabs>
          <w:tab w:val="right" w:leader="dot" w:pos="9071"/>
        </w:tabs>
        <w:rPr>
          <w:i w:val="0"/>
          <w:iCs w:val="0"/>
        </w:rPr>
      </w:pPr>
      <w:r>
        <w:rPr>
          <w:i w:val="0"/>
          <w:iCs w:val="0"/>
          <w:szCs w:val="21"/>
        </w:rPr>
        <w:fldChar w:fldCharType="begin"/>
      </w:r>
      <w:r>
        <w:rPr>
          <w:i w:val="0"/>
          <w:iCs w:val="0"/>
          <w:szCs w:val="21"/>
        </w:rPr>
        <w:instrText xml:space="preserve"> HYPERLINK \l _Toc9947 </w:instrText>
      </w:r>
      <w:r>
        <w:rPr>
          <w:i w:val="0"/>
          <w:iCs w:val="0"/>
          <w:szCs w:val="21"/>
        </w:rPr>
        <w:fldChar w:fldCharType="separate"/>
      </w:r>
      <w:r>
        <w:rPr>
          <w:i w:val="0"/>
          <w:iCs w:val="0"/>
        </w:rPr>
        <w:t>第</w:t>
      </w:r>
      <w:r>
        <w:rPr>
          <w:rFonts w:hint="eastAsia"/>
          <w:i w:val="0"/>
          <w:iCs w:val="0"/>
        </w:rPr>
        <w:t>七</w:t>
      </w:r>
      <w:r>
        <w:rPr>
          <w:i w:val="0"/>
          <w:iCs w:val="0"/>
        </w:rPr>
        <w:t>章</w:t>
      </w:r>
      <w:r>
        <w:rPr>
          <w:rFonts w:hint="eastAsia"/>
          <w:i w:val="0"/>
          <w:iCs w:val="0"/>
        </w:rPr>
        <w:t xml:space="preserve"> </w:t>
      </w:r>
      <w:r>
        <w:rPr>
          <w:i w:val="0"/>
          <w:iCs w:val="0"/>
        </w:rPr>
        <w:t>环境风险评价</w:t>
      </w:r>
      <w:r>
        <w:rPr>
          <w:i w:val="0"/>
          <w:iCs w:val="0"/>
        </w:rPr>
        <w:tab/>
      </w:r>
      <w:r>
        <w:rPr>
          <w:i w:val="0"/>
          <w:iCs w:val="0"/>
        </w:rPr>
        <w:fldChar w:fldCharType="begin"/>
      </w:r>
      <w:r>
        <w:rPr>
          <w:i w:val="0"/>
          <w:iCs w:val="0"/>
        </w:rPr>
        <w:instrText xml:space="preserve"> PAGEREF _Toc9947 \h </w:instrText>
      </w:r>
      <w:r>
        <w:rPr>
          <w:i w:val="0"/>
          <w:iCs w:val="0"/>
        </w:rPr>
        <w:fldChar w:fldCharType="separate"/>
      </w:r>
      <w:r>
        <w:rPr>
          <w:i w:val="0"/>
          <w:iCs w:val="0"/>
        </w:rPr>
        <w:t>135</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_Toc24058 </w:instrText>
      </w:r>
      <w:r>
        <w:rPr>
          <w:i w:val="0"/>
          <w:iCs w:val="0"/>
          <w:szCs w:val="21"/>
        </w:rPr>
        <w:fldChar w:fldCharType="separate"/>
      </w:r>
      <w:r>
        <w:rPr>
          <w:rFonts w:hint="eastAsia" w:ascii="Times New Roman" w:hAnsi="Times New Roman" w:eastAsia="宋体"/>
          <w:i w:val="0"/>
          <w:iCs w:val="0"/>
          <w:szCs w:val="28"/>
        </w:rPr>
        <w:t>7.1 总则</w:t>
      </w:r>
      <w:r>
        <w:rPr>
          <w:i w:val="0"/>
          <w:iCs w:val="0"/>
        </w:rPr>
        <w:tab/>
      </w:r>
      <w:r>
        <w:rPr>
          <w:i w:val="0"/>
          <w:iCs w:val="0"/>
        </w:rPr>
        <w:fldChar w:fldCharType="begin"/>
      </w:r>
      <w:r>
        <w:rPr>
          <w:i w:val="0"/>
          <w:iCs w:val="0"/>
        </w:rPr>
        <w:instrText xml:space="preserve"> PAGEREF _Toc24058 \h </w:instrText>
      </w:r>
      <w:r>
        <w:rPr>
          <w:i w:val="0"/>
          <w:iCs w:val="0"/>
        </w:rPr>
        <w:fldChar w:fldCharType="separate"/>
      </w:r>
      <w:r>
        <w:rPr>
          <w:i w:val="0"/>
          <w:iCs w:val="0"/>
        </w:rPr>
        <w:t>135</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_Toc23668 </w:instrText>
      </w:r>
      <w:r>
        <w:rPr>
          <w:i w:val="0"/>
          <w:iCs w:val="0"/>
          <w:szCs w:val="21"/>
        </w:rPr>
        <w:fldChar w:fldCharType="separate"/>
      </w:r>
      <w:r>
        <w:rPr>
          <w:rFonts w:hint="eastAsia"/>
          <w:i w:val="0"/>
          <w:iCs w:val="0"/>
        </w:rPr>
        <w:t>7.2 风险识别</w:t>
      </w:r>
      <w:r>
        <w:rPr>
          <w:i w:val="0"/>
          <w:iCs w:val="0"/>
        </w:rPr>
        <w:tab/>
      </w:r>
      <w:r>
        <w:rPr>
          <w:i w:val="0"/>
          <w:iCs w:val="0"/>
        </w:rPr>
        <w:fldChar w:fldCharType="begin"/>
      </w:r>
      <w:r>
        <w:rPr>
          <w:i w:val="0"/>
          <w:iCs w:val="0"/>
        </w:rPr>
        <w:instrText xml:space="preserve"> PAGEREF _Toc23668 \h </w:instrText>
      </w:r>
      <w:r>
        <w:rPr>
          <w:i w:val="0"/>
          <w:iCs w:val="0"/>
        </w:rPr>
        <w:fldChar w:fldCharType="separate"/>
      </w:r>
      <w:r>
        <w:rPr>
          <w:i w:val="0"/>
          <w:iCs w:val="0"/>
        </w:rPr>
        <w:t>141</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_Toc9140 </w:instrText>
      </w:r>
      <w:r>
        <w:rPr>
          <w:i w:val="0"/>
          <w:iCs w:val="0"/>
          <w:szCs w:val="21"/>
        </w:rPr>
        <w:fldChar w:fldCharType="separate"/>
      </w:r>
      <w:r>
        <w:rPr>
          <w:rFonts w:hint="eastAsia"/>
          <w:i w:val="0"/>
          <w:iCs w:val="0"/>
        </w:rPr>
        <w:t>7.3 风险事故统计资料分析</w:t>
      </w:r>
      <w:r>
        <w:rPr>
          <w:i w:val="0"/>
          <w:iCs w:val="0"/>
        </w:rPr>
        <w:tab/>
      </w:r>
      <w:r>
        <w:rPr>
          <w:i w:val="0"/>
          <w:iCs w:val="0"/>
        </w:rPr>
        <w:fldChar w:fldCharType="begin"/>
      </w:r>
      <w:r>
        <w:rPr>
          <w:i w:val="0"/>
          <w:iCs w:val="0"/>
        </w:rPr>
        <w:instrText xml:space="preserve"> PAGEREF _Toc9140 \h </w:instrText>
      </w:r>
      <w:r>
        <w:rPr>
          <w:i w:val="0"/>
          <w:iCs w:val="0"/>
        </w:rPr>
        <w:fldChar w:fldCharType="separate"/>
      </w:r>
      <w:r>
        <w:rPr>
          <w:i w:val="0"/>
          <w:iCs w:val="0"/>
        </w:rPr>
        <w:t>145</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_Toc15193 </w:instrText>
      </w:r>
      <w:r>
        <w:rPr>
          <w:i w:val="0"/>
          <w:iCs w:val="0"/>
          <w:szCs w:val="21"/>
        </w:rPr>
        <w:fldChar w:fldCharType="separate"/>
      </w:r>
      <w:r>
        <w:rPr>
          <w:rFonts w:hint="eastAsia"/>
          <w:i w:val="0"/>
          <w:iCs w:val="0"/>
        </w:rPr>
        <w:t>7.4 风险事故情形分析</w:t>
      </w:r>
      <w:r>
        <w:rPr>
          <w:i w:val="0"/>
          <w:iCs w:val="0"/>
        </w:rPr>
        <w:tab/>
      </w:r>
      <w:r>
        <w:rPr>
          <w:i w:val="0"/>
          <w:iCs w:val="0"/>
        </w:rPr>
        <w:fldChar w:fldCharType="begin"/>
      </w:r>
      <w:r>
        <w:rPr>
          <w:i w:val="0"/>
          <w:iCs w:val="0"/>
        </w:rPr>
        <w:instrText xml:space="preserve"> PAGEREF _Toc15193 \h </w:instrText>
      </w:r>
      <w:r>
        <w:rPr>
          <w:i w:val="0"/>
          <w:iCs w:val="0"/>
        </w:rPr>
        <w:fldChar w:fldCharType="separate"/>
      </w:r>
      <w:r>
        <w:rPr>
          <w:i w:val="0"/>
          <w:iCs w:val="0"/>
        </w:rPr>
        <w:t>147</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_Toc19438 </w:instrText>
      </w:r>
      <w:r>
        <w:rPr>
          <w:i w:val="0"/>
          <w:iCs w:val="0"/>
          <w:szCs w:val="21"/>
        </w:rPr>
        <w:fldChar w:fldCharType="separate"/>
      </w:r>
      <w:r>
        <w:rPr>
          <w:rFonts w:hint="eastAsia"/>
          <w:i w:val="0"/>
          <w:iCs w:val="0"/>
        </w:rPr>
        <w:t>7.5 风险预测与评价</w:t>
      </w:r>
      <w:r>
        <w:rPr>
          <w:i w:val="0"/>
          <w:iCs w:val="0"/>
        </w:rPr>
        <w:tab/>
      </w:r>
      <w:r>
        <w:rPr>
          <w:i w:val="0"/>
          <w:iCs w:val="0"/>
        </w:rPr>
        <w:fldChar w:fldCharType="begin"/>
      </w:r>
      <w:r>
        <w:rPr>
          <w:i w:val="0"/>
          <w:iCs w:val="0"/>
        </w:rPr>
        <w:instrText xml:space="preserve"> PAGEREF _Toc19438 \h </w:instrText>
      </w:r>
      <w:r>
        <w:rPr>
          <w:i w:val="0"/>
          <w:iCs w:val="0"/>
        </w:rPr>
        <w:fldChar w:fldCharType="separate"/>
      </w:r>
      <w:r>
        <w:rPr>
          <w:i w:val="0"/>
          <w:iCs w:val="0"/>
        </w:rPr>
        <w:t>151</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_Toc29844 </w:instrText>
      </w:r>
      <w:r>
        <w:rPr>
          <w:i w:val="0"/>
          <w:iCs w:val="0"/>
          <w:szCs w:val="21"/>
        </w:rPr>
        <w:fldChar w:fldCharType="separate"/>
      </w:r>
      <w:r>
        <w:rPr>
          <w:rFonts w:hint="eastAsia"/>
          <w:i w:val="0"/>
          <w:iCs w:val="0"/>
        </w:rPr>
        <w:t>7.6 环境风险防范及应急预案</w:t>
      </w:r>
      <w:r>
        <w:rPr>
          <w:i w:val="0"/>
          <w:iCs w:val="0"/>
        </w:rPr>
        <w:tab/>
      </w:r>
      <w:r>
        <w:rPr>
          <w:i w:val="0"/>
          <w:iCs w:val="0"/>
        </w:rPr>
        <w:fldChar w:fldCharType="begin"/>
      </w:r>
      <w:r>
        <w:rPr>
          <w:i w:val="0"/>
          <w:iCs w:val="0"/>
        </w:rPr>
        <w:instrText xml:space="preserve"> PAGEREF _Toc29844 \h </w:instrText>
      </w:r>
      <w:r>
        <w:rPr>
          <w:i w:val="0"/>
          <w:iCs w:val="0"/>
        </w:rPr>
        <w:fldChar w:fldCharType="separate"/>
      </w:r>
      <w:r>
        <w:rPr>
          <w:i w:val="0"/>
          <w:iCs w:val="0"/>
        </w:rPr>
        <w:t>156</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_Toc2211 </w:instrText>
      </w:r>
      <w:r>
        <w:rPr>
          <w:i w:val="0"/>
          <w:iCs w:val="0"/>
          <w:szCs w:val="21"/>
        </w:rPr>
        <w:fldChar w:fldCharType="separate"/>
      </w:r>
      <w:r>
        <w:rPr>
          <w:rFonts w:hint="eastAsia"/>
          <w:i w:val="0"/>
          <w:iCs w:val="0"/>
        </w:rPr>
        <w:t>7.7 评价结论与建议</w:t>
      </w:r>
      <w:r>
        <w:rPr>
          <w:i w:val="0"/>
          <w:iCs w:val="0"/>
        </w:rPr>
        <w:tab/>
      </w:r>
      <w:r>
        <w:rPr>
          <w:i w:val="0"/>
          <w:iCs w:val="0"/>
        </w:rPr>
        <w:fldChar w:fldCharType="begin"/>
      </w:r>
      <w:r>
        <w:rPr>
          <w:i w:val="0"/>
          <w:iCs w:val="0"/>
        </w:rPr>
        <w:instrText xml:space="preserve"> PAGEREF _Toc2211 \h </w:instrText>
      </w:r>
      <w:r>
        <w:rPr>
          <w:i w:val="0"/>
          <w:iCs w:val="0"/>
        </w:rPr>
        <w:fldChar w:fldCharType="separate"/>
      </w:r>
      <w:r>
        <w:rPr>
          <w:i w:val="0"/>
          <w:iCs w:val="0"/>
        </w:rPr>
        <w:t>168</w:t>
      </w:r>
      <w:r>
        <w:rPr>
          <w:i w:val="0"/>
          <w:iCs w:val="0"/>
        </w:rPr>
        <w:fldChar w:fldCharType="end"/>
      </w:r>
      <w:r>
        <w:rPr>
          <w:i w:val="0"/>
          <w:iCs w:val="0"/>
          <w:szCs w:val="21"/>
        </w:rPr>
        <w:fldChar w:fldCharType="end"/>
      </w:r>
    </w:p>
    <w:p>
      <w:pPr>
        <w:pStyle w:val="42"/>
        <w:tabs>
          <w:tab w:val="right" w:leader="dot" w:pos="9071"/>
        </w:tabs>
        <w:rPr>
          <w:i w:val="0"/>
          <w:iCs w:val="0"/>
        </w:rPr>
      </w:pPr>
      <w:r>
        <w:rPr>
          <w:i w:val="0"/>
          <w:iCs w:val="0"/>
          <w:szCs w:val="21"/>
        </w:rPr>
        <w:fldChar w:fldCharType="begin"/>
      </w:r>
      <w:r>
        <w:rPr>
          <w:i w:val="0"/>
          <w:iCs w:val="0"/>
          <w:szCs w:val="21"/>
        </w:rPr>
        <w:instrText xml:space="preserve"> HYPERLINK \l _Toc2791 </w:instrText>
      </w:r>
      <w:r>
        <w:rPr>
          <w:i w:val="0"/>
          <w:iCs w:val="0"/>
          <w:szCs w:val="21"/>
        </w:rPr>
        <w:fldChar w:fldCharType="separate"/>
      </w:r>
      <w:r>
        <w:rPr>
          <w:i w:val="0"/>
          <w:iCs w:val="0"/>
        </w:rPr>
        <w:t>第</w:t>
      </w:r>
      <w:r>
        <w:rPr>
          <w:rFonts w:hint="eastAsia"/>
          <w:i w:val="0"/>
          <w:iCs w:val="0"/>
        </w:rPr>
        <w:t>八</w:t>
      </w:r>
      <w:r>
        <w:rPr>
          <w:i w:val="0"/>
          <w:iCs w:val="0"/>
        </w:rPr>
        <w:t>章环境管理与监测计划</w:t>
      </w:r>
      <w:r>
        <w:rPr>
          <w:i w:val="0"/>
          <w:iCs w:val="0"/>
        </w:rPr>
        <w:tab/>
      </w:r>
      <w:r>
        <w:rPr>
          <w:i w:val="0"/>
          <w:iCs w:val="0"/>
        </w:rPr>
        <w:fldChar w:fldCharType="begin"/>
      </w:r>
      <w:r>
        <w:rPr>
          <w:i w:val="0"/>
          <w:iCs w:val="0"/>
        </w:rPr>
        <w:instrText xml:space="preserve"> PAGEREF _Toc2791 \h </w:instrText>
      </w:r>
      <w:r>
        <w:rPr>
          <w:i w:val="0"/>
          <w:iCs w:val="0"/>
        </w:rPr>
        <w:fldChar w:fldCharType="separate"/>
      </w:r>
      <w:r>
        <w:rPr>
          <w:i w:val="0"/>
          <w:iCs w:val="0"/>
        </w:rPr>
        <w:t>170</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_Toc20341 </w:instrText>
      </w:r>
      <w:r>
        <w:rPr>
          <w:i w:val="0"/>
          <w:iCs w:val="0"/>
          <w:szCs w:val="21"/>
        </w:rPr>
        <w:fldChar w:fldCharType="separate"/>
      </w:r>
      <w:r>
        <w:rPr>
          <w:rFonts w:hint="eastAsia" w:ascii="Times New Roman" w:hAnsi="Times New Roman" w:eastAsia="宋体"/>
          <w:i w:val="0"/>
          <w:iCs w:val="0"/>
          <w:szCs w:val="28"/>
        </w:rPr>
        <w:t>8</w:t>
      </w:r>
      <w:r>
        <w:rPr>
          <w:rFonts w:ascii="Times New Roman" w:hAnsi="Times New Roman" w:eastAsia="宋体"/>
          <w:i w:val="0"/>
          <w:iCs w:val="0"/>
          <w:szCs w:val="28"/>
        </w:rPr>
        <w:t>.1环境管理</w:t>
      </w:r>
      <w:r>
        <w:rPr>
          <w:i w:val="0"/>
          <w:iCs w:val="0"/>
        </w:rPr>
        <w:tab/>
      </w:r>
      <w:r>
        <w:rPr>
          <w:i w:val="0"/>
          <w:iCs w:val="0"/>
        </w:rPr>
        <w:fldChar w:fldCharType="begin"/>
      </w:r>
      <w:r>
        <w:rPr>
          <w:i w:val="0"/>
          <w:iCs w:val="0"/>
        </w:rPr>
        <w:instrText xml:space="preserve"> PAGEREF _Toc20341 \h </w:instrText>
      </w:r>
      <w:r>
        <w:rPr>
          <w:i w:val="0"/>
          <w:iCs w:val="0"/>
        </w:rPr>
        <w:fldChar w:fldCharType="separate"/>
      </w:r>
      <w:r>
        <w:rPr>
          <w:i w:val="0"/>
          <w:iCs w:val="0"/>
        </w:rPr>
        <w:t>170</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_Toc19373 </w:instrText>
      </w:r>
      <w:r>
        <w:rPr>
          <w:i w:val="0"/>
          <w:iCs w:val="0"/>
          <w:szCs w:val="21"/>
        </w:rPr>
        <w:fldChar w:fldCharType="separate"/>
      </w:r>
      <w:r>
        <w:rPr>
          <w:rFonts w:hint="eastAsia" w:ascii="Times New Roman" w:hAnsi="Times New Roman" w:eastAsia="宋体"/>
          <w:i w:val="0"/>
          <w:iCs w:val="0"/>
          <w:szCs w:val="28"/>
        </w:rPr>
        <w:t>8</w:t>
      </w:r>
      <w:r>
        <w:rPr>
          <w:rFonts w:ascii="Times New Roman" w:hAnsi="Times New Roman" w:eastAsia="宋体"/>
          <w:i w:val="0"/>
          <w:iCs w:val="0"/>
          <w:szCs w:val="28"/>
        </w:rPr>
        <w:t>.2环境监测</w:t>
      </w:r>
      <w:r>
        <w:rPr>
          <w:i w:val="0"/>
          <w:iCs w:val="0"/>
        </w:rPr>
        <w:tab/>
      </w:r>
      <w:r>
        <w:rPr>
          <w:i w:val="0"/>
          <w:iCs w:val="0"/>
        </w:rPr>
        <w:fldChar w:fldCharType="begin"/>
      </w:r>
      <w:r>
        <w:rPr>
          <w:i w:val="0"/>
          <w:iCs w:val="0"/>
        </w:rPr>
        <w:instrText xml:space="preserve"> PAGEREF _Toc19373 \h </w:instrText>
      </w:r>
      <w:r>
        <w:rPr>
          <w:i w:val="0"/>
          <w:iCs w:val="0"/>
        </w:rPr>
        <w:fldChar w:fldCharType="separate"/>
      </w:r>
      <w:r>
        <w:rPr>
          <w:i w:val="0"/>
          <w:iCs w:val="0"/>
        </w:rPr>
        <w:t>174</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_Toc13711 </w:instrText>
      </w:r>
      <w:r>
        <w:rPr>
          <w:i w:val="0"/>
          <w:iCs w:val="0"/>
          <w:szCs w:val="21"/>
        </w:rPr>
        <w:fldChar w:fldCharType="separate"/>
      </w:r>
      <w:r>
        <w:rPr>
          <w:rFonts w:hint="eastAsia" w:ascii="Times New Roman" w:hAnsi="Times New Roman" w:eastAsia="宋体"/>
          <w:i w:val="0"/>
          <w:iCs w:val="0"/>
          <w:szCs w:val="28"/>
        </w:rPr>
        <w:t>8</w:t>
      </w:r>
      <w:r>
        <w:rPr>
          <w:rFonts w:ascii="Times New Roman" w:hAnsi="Times New Roman" w:eastAsia="宋体"/>
          <w:i w:val="0"/>
          <w:iCs w:val="0"/>
          <w:szCs w:val="28"/>
        </w:rPr>
        <w:t>.3排污许可证</w:t>
      </w:r>
      <w:r>
        <w:rPr>
          <w:rFonts w:hint="eastAsia" w:ascii="Times New Roman" w:hAnsi="Times New Roman" w:eastAsia="宋体"/>
          <w:i w:val="0"/>
          <w:iCs w:val="0"/>
          <w:szCs w:val="28"/>
        </w:rPr>
        <w:t>制度</w:t>
      </w:r>
      <w:r>
        <w:rPr>
          <w:i w:val="0"/>
          <w:iCs w:val="0"/>
        </w:rPr>
        <w:tab/>
      </w:r>
      <w:r>
        <w:rPr>
          <w:i w:val="0"/>
          <w:iCs w:val="0"/>
        </w:rPr>
        <w:fldChar w:fldCharType="begin"/>
      </w:r>
      <w:r>
        <w:rPr>
          <w:i w:val="0"/>
          <w:iCs w:val="0"/>
        </w:rPr>
        <w:instrText xml:space="preserve"> PAGEREF _Toc13711 \h </w:instrText>
      </w:r>
      <w:r>
        <w:rPr>
          <w:i w:val="0"/>
          <w:iCs w:val="0"/>
        </w:rPr>
        <w:fldChar w:fldCharType="separate"/>
      </w:r>
      <w:r>
        <w:rPr>
          <w:i w:val="0"/>
          <w:iCs w:val="0"/>
        </w:rPr>
        <w:t>177</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_Toc26548 </w:instrText>
      </w:r>
      <w:r>
        <w:rPr>
          <w:i w:val="0"/>
          <w:iCs w:val="0"/>
          <w:szCs w:val="21"/>
        </w:rPr>
        <w:fldChar w:fldCharType="separate"/>
      </w:r>
      <w:r>
        <w:rPr>
          <w:rFonts w:hint="eastAsia" w:ascii="Times New Roman" w:hAnsi="Times New Roman" w:eastAsia="宋体"/>
          <w:i w:val="0"/>
          <w:iCs w:val="0"/>
          <w:szCs w:val="28"/>
        </w:rPr>
        <w:t>8</w:t>
      </w:r>
      <w:r>
        <w:rPr>
          <w:rFonts w:ascii="Times New Roman" w:hAnsi="Times New Roman" w:eastAsia="宋体"/>
          <w:i w:val="0"/>
          <w:iCs w:val="0"/>
          <w:szCs w:val="28"/>
        </w:rPr>
        <w:t>.4环保验收</w:t>
      </w:r>
      <w:r>
        <w:rPr>
          <w:i w:val="0"/>
          <w:iCs w:val="0"/>
        </w:rPr>
        <w:tab/>
      </w:r>
      <w:r>
        <w:rPr>
          <w:i w:val="0"/>
          <w:iCs w:val="0"/>
        </w:rPr>
        <w:fldChar w:fldCharType="begin"/>
      </w:r>
      <w:r>
        <w:rPr>
          <w:i w:val="0"/>
          <w:iCs w:val="0"/>
        </w:rPr>
        <w:instrText xml:space="preserve"> PAGEREF _Toc26548 \h </w:instrText>
      </w:r>
      <w:r>
        <w:rPr>
          <w:i w:val="0"/>
          <w:iCs w:val="0"/>
        </w:rPr>
        <w:fldChar w:fldCharType="separate"/>
      </w:r>
      <w:r>
        <w:rPr>
          <w:i w:val="0"/>
          <w:iCs w:val="0"/>
        </w:rPr>
        <w:t>177</w:t>
      </w:r>
      <w:r>
        <w:rPr>
          <w:i w:val="0"/>
          <w:iCs w:val="0"/>
        </w:rPr>
        <w:fldChar w:fldCharType="end"/>
      </w:r>
      <w:r>
        <w:rPr>
          <w:i w:val="0"/>
          <w:iCs w:val="0"/>
          <w:szCs w:val="21"/>
        </w:rPr>
        <w:fldChar w:fldCharType="end"/>
      </w:r>
    </w:p>
    <w:p>
      <w:pPr>
        <w:pStyle w:val="42"/>
        <w:tabs>
          <w:tab w:val="right" w:leader="dot" w:pos="9071"/>
        </w:tabs>
        <w:rPr>
          <w:i w:val="0"/>
          <w:iCs w:val="0"/>
        </w:rPr>
      </w:pPr>
      <w:r>
        <w:rPr>
          <w:i w:val="0"/>
          <w:iCs w:val="0"/>
          <w:szCs w:val="21"/>
        </w:rPr>
        <w:fldChar w:fldCharType="begin"/>
      </w:r>
      <w:r>
        <w:rPr>
          <w:i w:val="0"/>
          <w:iCs w:val="0"/>
          <w:szCs w:val="21"/>
        </w:rPr>
        <w:instrText xml:space="preserve"> HYPERLINK \l _Toc8083 </w:instrText>
      </w:r>
      <w:r>
        <w:rPr>
          <w:i w:val="0"/>
          <w:iCs w:val="0"/>
          <w:szCs w:val="21"/>
        </w:rPr>
        <w:fldChar w:fldCharType="separate"/>
      </w:r>
      <w:r>
        <w:rPr>
          <w:rFonts w:hint="eastAsia" w:ascii="Times New Roman" w:hAnsi="Times New Roman" w:eastAsia="宋体" w:cs="Times New Roman"/>
          <w:i w:val="0"/>
          <w:iCs w:val="0"/>
          <w:lang w:val="en-US" w:eastAsia="zh-CN"/>
        </w:rPr>
        <w:t xml:space="preserve">第九章 </w:t>
      </w:r>
      <w:r>
        <w:rPr>
          <w:rFonts w:hint="eastAsia" w:ascii="Times New Roman" w:hAnsi="Times New Roman" w:eastAsia="宋体" w:cs="Times New Roman"/>
          <w:i w:val="0"/>
          <w:iCs w:val="0"/>
        </w:rPr>
        <w:t>清洁生产</w:t>
      </w:r>
      <w:r>
        <w:rPr>
          <w:i w:val="0"/>
          <w:iCs w:val="0"/>
        </w:rPr>
        <w:tab/>
      </w:r>
      <w:r>
        <w:rPr>
          <w:i w:val="0"/>
          <w:iCs w:val="0"/>
        </w:rPr>
        <w:fldChar w:fldCharType="begin"/>
      </w:r>
      <w:r>
        <w:rPr>
          <w:i w:val="0"/>
          <w:iCs w:val="0"/>
        </w:rPr>
        <w:instrText xml:space="preserve"> PAGEREF _Toc8083 \h </w:instrText>
      </w:r>
      <w:r>
        <w:rPr>
          <w:i w:val="0"/>
          <w:iCs w:val="0"/>
        </w:rPr>
        <w:fldChar w:fldCharType="separate"/>
      </w:r>
      <w:r>
        <w:rPr>
          <w:i w:val="0"/>
          <w:iCs w:val="0"/>
        </w:rPr>
        <w:t>178</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_Toc29696 </w:instrText>
      </w:r>
      <w:r>
        <w:rPr>
          <w:i w:val="0"/>
          <w:iCs w:val="0"/>
          <w:szCs w:val="21"/>
        </w:rPr>
        <w:fldChar w:fldCharType="separate"/>
      </w:r>
      <w:r>
        <w:rPr>
          <w:rFonts w:hint="eastAsia" w:ascii="Times New Roman" w:hAnsi="Times New Roman" w:eastAsia="宋体"/>
          <w:i w:val="0"/>
          <w:iCs w:val="0"/>
          <w:szCs w:val="28"/>
          <w:lang w:val="en-US" w:eastAsia="zh-CN"/>
        </w:rPr>
        <w:t>9.1</w:t>
      </w:r>
      <w:r>
        <w:rPr>
          <w:rFonts w:ascii="Times New Roman" w:hAnsi="Times New Roman" w:eastAsia="宋体"/>
          <w:i w:val="0"/>
          <w:iCs w:val="0"/>
          <w:szCs w:val="28"/>
        </w:rPr>
        <w:t>清洁生产</w:t>
      </w:r>
      <w:r>
        <w:rPr>
          <w:rFonts w:hint="eastAsia" w:ascii="Times New Roman" w:hAnsi="Times New Roman" w:eastAsia="宋体"/>
          <w:i w:val="0"/>
          <w:iCs w:val="0"/>
          <w:szCs w:val="28"/>
        </w:rPr>
        <w:t>定义</w:t>
      </w:r>
      <w:r>
        <w:rPr>
          <w:i w:val="0"/>
          <w:iCs w:val="0"/>
        </w:rPr>
        <w:tab/>
      </w:r>
      <w:r>
        <w:rPr>
          <w:i w:val="0"/>
          <w:iCs w:val="0"/>
        </w:rPr>
        <w:fldChar w:fldCharType="begin"/>
      </w:r>
      <w:r>
        <w:rPr>
          <w:i w:val="0"/>
          <w:iCs w:val="0"/>
        </w:rPr>
        <w:instrText xml:space="preserve"> PAGEREF _Toc29696 \h </w:instrText>
      </w:r>
      <w:r>
        <w:rPr>
          <w:i w:val="0"/>
          <w:iCs w:val="0"/>
        </w:rPr>
        <w:fldChar w:fldCharType="separate"/>
      </w:r>
      <w:r>
        <w:rPr>
          <w:i w:val="0"/>
          <w:iCs w:val="0"/>
        </w:rPr>
        <w:t>178</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_Toc3532 </w:instrText>
      </w:r>
      <w:r>
        <w:rPr>
          <w:i w:val="0"/>
          <w:iCs w:val="0"/>
          <w:szCs w:val="21"/>
        </w:rPr>
        <w:fldChar w:fldCharType="separate"/>
      </w:r>
      <w:r>
        <w:rPr>
          <w:rFonts w:hint="eastAsia" w:ascii="Times New Roman" w:hAnsi="Times New Roman" w:eastAsia="宋体" w:cs="Times New Roman"/>
          <w:i w:val="0"/>
          <w:iCs w:val="0"/>
          <w:szCs w:val="28"/>
          <w:lang w:val="en-US" w:eastAsia="zh-CN"/>
        </w:rPr>
        <w:t>9.2推行清洁生产的必要性分析</w:t>
      </w:r>
      <w:r>
        <w:rPr>
          <w:i w:val="0"/>
          <w:iCs w:val="0"/>
        </w:rPr>
        <w:tab/>
      </w:r>
      <w:r>
        <w:rPr>
          <w:i w:val="0"/>
          <w:iCs w:val="0"/>
        </w:rPr>
        <w:fldChar w:fldCharType="begin"/>
      </w:r>
      <w:r>
        <w:rPr>
          <w:i w:val="0"/>
          <w:iCs w:val="0"/>
        </w:rPr>
        <w:instrText xml:space="preserve"> PAGEREF _Toc3532 \h </w:instrText>
      </w:r>
      <w:r>
        <w:rPr>
          <w:i w:val="0"/>
          <w:iCs w:val="0"/>
        </w:rPr>
        <w:fldChar w:fldCharType="separate"/>
      </w:r>
      <w:r>
        <w:rPr>
          <w:i w:val="0"/>
          <w:iCs w:val="0"/>
        </w:rPr>
        <w:t>178</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_Toc6554 </w:instrText>
      </w:r>
      <w:r>
        <w:rPr>
          <w:i w:val="0"/>
          <w:iCs w:val="0"/>
          <w:szCs w:val="21"/>
        </w:rPr>
        <w:fldChar w:fldCharType="separate"/>
      </w:r>
      <w:r>
        <w:rPr>
          <w:rFonts w:hint="eastAsia" w:ascii="Times New Roman" w:hAnsi="Times New Roman" w:eastAsia="宋体" w:cs="Times New Roman"/>
          <w:i w:val="0"/>
          <w:iCs w:val="0"/>
          <w:szCs w:val="28"/>
          <w:lang w:val="en-US" w:eastAsia="zh-CN"/>
        </w:rPr>
        <w:t>9.3产品及原辅材料</w:t>
      </w:r>
      <w:r>
        <w:rPr>
          <w:i w:val="0"/>
          <w:iCs w:val="0"/>
        </w:rPr>
        <w:tab/>
      </w:r>
      <w:r>
        <w:rPr>
          <w:i w:val="0"/>
          <w:iCs w:val="0"/>
        </w:rPr>
        <w:fldChar w:fldCharType="begin"/>
      </w:r>
      <w:r>
        <w:rPr>
          <w:i w:val="0"/>
          <w:iCs w:val="0"/>
        </w:rPr>
        <w:instrText xml:space="preserve"> PAGEREF _Toc6554 \h </w:instrText>
      </w:r>
      <w:r>
        <w:rPr>
          <w:i w:val="0"/>
          <w:iCs w:val="0"/>
        </w:rPr>
        <w:fldChar w:fldCharType="separate"/>
      </w:r>
      <w:r>
        <w:rPr>
          <w:i w:val="0"/>
          <w:iCs w:val="0"/>
        </w:rPr>
        <w:t>179</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_Toc20301 </w:instrText>
      </w:r>
      <w:r>
        <w:rPr>
          <w:i w:val="0"/>
          <w:iCs w:val="0"/>
          <w:szCs w:val="21"/>
        </w:rPr>
        <w:fldChar w:fldCharType="separate"/>
      </w:r>
      <w:r>
        <w:rPr>
          <w:rFonts w:hint="eastAsia" w:ascii="Times New Roman" w:hAnsi="Times New Roman" w:eastAsia="宋体" w:cs="Times New Roman"/>
          <w:i w:val="0"/>
          <w:iCs w:val="0"/>
          <w:szCs w:val="28"/>
          <w:lang w:val="en-US" w:eastAsia="zh-CN"/>
        </w:rPr>
        <w:t>9.4生产工艺与设备</w:t>
      </w:r>
      <w:r>
        <w:rPr>
          <w:i w:val="0"/>
          <w:iCs w:val="0"/>
        </w:rPr>
        <w:tab/>
      </w:r>
      <w:r>
        <w:rPr>
          <w:i w:val="0"/>
          <w:iCs w:val="0"/>
        </w:rPr>
        <w:fldChar w:fldCharType="begin"/>
      </w:r>
      <w:r>
        <w:rPr>
          <w:i w:val="0"/>
          <w:iCs w:val="0"/>
        </w:rPr>
        <w:instrText xml:space="preserve"> PAGEREF _Toc20301 \h </w:instrText>
      </w:r>
      <w:r>
        <w:rPr>
          <w:i w:val="0"/>
          <w:iCs w:val="0"/>
        </w:rPr>
        <w:fldChar w:fldCharType="separate"/>
      </w:r>
      <w:r>
        <w:rPr>
          <w:i w:val="0"/>
          <w:iCs w:val="0"/>
        </w:rPr>
        <w:t>179</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_Toc13522 </w:instrText>
      </w:r>
      <w:r>
        <w:rPr>
          <w:i w:val="0"/>
          <w:iCs w:val="0"/>
          <w:szCs w:val="21"/>
        </w:rPr>
        <w:fldChar w:fldCharType="separate"/>
      </w:r>
      <w:r>
        <w:rPr>
          <w:rFonts w:hint="eastAsia" w:ascii="Times New Roman" w:hAnsi="Times New Roman" w:eastAsia="宋体" w:cs="Times New Roman"/>
          <w:i w:val="0"/>
          <w:iCs w:val="0"/>
          <w:szCs w:val="28"/>
          <w:lang w:val="en-US" w:eastAsia="zh-CN"/>
        </w:rPr>
        <w:t>9.5节能</w:t>
      </w:r>
      <w:r>
        <w:rPr>
          <w:i w:val="0"/>
          <w:iCs w:val="0"/>
        </w:rPr>
        <w:tab/>
      </w:r>
      <w:r>
        <w:rPr>
          <w:i w:val="0"/>
          <w:iCs w:val="0"/>
        </w:rPr>
        <w:fldChar w:fldCharType="begin"/>
      </w:r>
      <w:r>
        <w:rPr>
          <w:i w:val="0"/>
          <w:iCs w:val="0"/>
        </w:rPr>
        <w:instrText xml:space="preserve"> PAGEREF _Toc13522 \h </w:instrText>
      </w:r>
      <w:r>
        <w:rPr>
          <w:i w:val="0"/>
          <w:iCs w:val="0"/>
        </w:rPr>
        <w:fldChar w:fldCharType="separate"/>
      </w:r>
      <w:r>
        <w:rPr>
          <w:i w:val="0"/>
          <w:iCs w:val="0"/>
        </w:rPr>
        <w:t>180</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_Toc31388 </w:instrText>
      </w:r>
      <w:r>
        <w:rPr>
          <w:i w:val="0"/>
          <w:iCs w:val="0"/>
          <w:szCs w:val="21"/>
        </w:rPr>
        <w:fldChar w:fldCharType="separate"/>
      </w:r>
      <w:r>
        <w:rPr>
          <w:rFonts w:hint="eastAsia" w:ascii="Times New Roman" w:hAnsi="Times New Roman" w:eastAsia="宋体" w:cs="Times New Roman"/>
          <w:i w:val="0"/>
          <w:iCs w:val="0"/>
          <w:szCs w:val="28"/>
          <w:lang w:val="en-US" w:eastAsia="zh-CN"/>
        </w:rPr>
        <w:t>9.6污染物产生与处置</w:t>
      </w:r>
      <w:r>
        <w:rPr>
          <w:i w:val="0"/>
          <w:iCs w:val="0"/>
        </w:rPr>
        <w:tab/>
      </w:r>
      <w:r>
        <w:rPr>
          <w:i w:val="0"/>
          <w:iCs w:val="0"/>
        </w:rPr>
        <w:fldChar w:fldCharType="begin"/>
      </w:r>
      <w:r>
        <w:rPr>
          <w:i w:val="0"/>
          <w:iCs w:val="0"/>
        </w:rPr>
        <w:instrText xml:space="preserve"> PAGEREF _Toc31388 \h </w:instrText>
      </w:r>
      <w:r>
        <w:rPr>
          <w:i w:val="0"/>
          <w:iCs w:val="0"/>
        </w:rPr>
        <w:fldChar w:fldCharType="separate"/>
      </w:r>
      <w:r>
        <w:rPr>
          <w:i w:val="0"/>
          <w:iCs w:val="0"/>
        </w:rPr>
        <w:t>181</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_Toc26529 </w:instrText>
      </w:r>
      <w:r>
        <w:rPr>
          <w:i w:val="0"/>
          <w:iCs w:val="0"/>
          <w:szCs w:val="21"/>
        </w:rPr>
        <w:fldChar w:fldCharType="separate"/>
      </w:r>
      <w:r>
        <w:rPr>
          <w:rFonts w:hint="eastAsia" w:ascii="Times New Roman" w:hAnsi="Times New Roman" w:eastAsia="宋体" w:cs="Times New Roman"/>
          <w:i w:val="0"/>
          <w:iCs w:val="0"/>
          <w:szCs w:val="28"/>
          <w:lang w:val="en-US" w:eastAsia="zh-CN"/>
        </w:rPr>
        <w:t>9.7生产保障措施</w:t>
      </w:r>
      <w:r>
        <w:rPr>
          <w:i w:val="0"/>
          <w:iCs w:val="0"/>
        </w:rPr>
        <w:tab/>
      </w:r>
      <w:r>
        <w:rPr>
          <w:i w:val="0"/>
          <w:iCs w:val="0"/>
        </w:rPr>
        <w:fldChar w:fldCharType="begin"/>
      </w:r>
      <w:r>
        <w:rPr>
          <w:i w:val="0"/>
          <w:iCs w:val="0"/>
        </w:rPr>
        <w:instrText xml:space="preserve"> PAGEREF _Toc26529 \h </w:instrText>
      </w:r>
      <w:r>
        <w:rPr>
          <w:i w:val="0"/>
          <w:iCs w:val="0"/>
        </w:rPr>
        <w:fldChar w:fldCharType="separate"/>
      </w:r>
      <w:r>
        <w:rPr>
          <w:i w:val="0"/>
          <w:iCs w:val="0"/>
        </w:rPr>
        <w:t>182</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_Toc16664 </w:instrText>
      </w:r>
      <w:r>
        <w:rPr>
          <w:i w:val="0"/>
          <w:iCs w:val="0"/>
          <w:szCs w:val="21"/>
        </w:rPr>
        <w:fldChar w:fldCharType="separate"/>
      </w:r>
      <w:r>
        <w:rPr>
          <w:rFonts w:hint="eastAsia" w:ascii="Times New Roman" w:hAnsi="Times New Roman" w:eastAsia="宋体" w:cs="Times New Roman"/>
          <w:i w:val="0"/>
          <w:iCs w:val="0"/>
          <w:szCs w:val="28"/>
          <w:lang w:val="en-US" w:eastAsia="zh-CN"/>
        </w:rPr>
        <w:t>9.8环境管理要求</w:t>
      </w:r>
      <w:r>
        <w:rPr>
          <w:i w:val="0"/>
          <w:iCs w:val="0"/>
        </w:rPr>
        <w:tab/>
      </w:r>
      <w:r>
        <w:rPr>
          <w:i w:val="0"/>
          <w:iCs w:val="0"/>
        </w:rPr>
        <w:fldChar w:fldCharType="begin"/>
      </w:r>
      <w:r>
        <w:rPr>
          <w:i w:val="0"/>
          <w:iCs w:val="0"/>
        </w:rPr>
        <w:instrText xml:space="preserve"> PAGEREF _Toc16664 \h </w:instrText>
      </w:r>
      <w:r>
        <w:rPr>
          <w:i w:val="0"/>
          <w:iCs w:val="0"/>
        </w:rPr>
        <w:fldChar w:fldCharType="separate"/>
      </w:r>
      <w:r>
        <w:rPr>
          <w:i w:val="0"/>
          <w:iCs w:val="0"/>
        </w:rPr>
        <w:t>182</w:t>
      </w:r>
      <w:r>
        <w:rPr>
          <w:i w:val="0"/>
          <w:iCs w:val="0"/>
        </w:rPr>
        <w:fldChar w:fldCharType="end"/>
      </w:r>
      <w:r>
        <w:rPr>
          <w:i w:val="0"/>
          <w:iCs w:val="0"/>
          <w:szCs w:val="21"/>
        </w:rPr>
        <w:fldChar w:fldCharType="end"/>
      </w:r>
    </w:p>
    <w:p>
      <w:pPr>
        <w:pStyle w:val="42"/>
        <w:tabs>
          <w:tab w:val="right" w:leader="dot" w:pos="9071"/>
        </w:tabs>
        <w:rPr>
          <w:i w:val="0"/>
          <w:iCs w:val="0"/>
        </w:rPr>
      </w:pPr>
      <w:r>
        <w:rPr>
          <w:i w:val="0"/>
          <w:iCs w:val="0"/>
          <w:szCs w:val="21"/>
        </w:rPr>
        <w:fldChar w:fldCharType="begin"/>
      </w:r>
      <w:r>
        <w:rPr>
          <w:i w:val="0"/>
          <w:iCs w:val="0"/>
          <w:szCs w:val="21"/>
        </w:rPr>
        <w:instrText xml:space="preserve"> HYPERLINK \l _Toc15 </w:instrText>
      </w:r>
      <w:r>
        <w:rPr>
          <w:i w:val="0"/>
          <w:iCs w:val="0"/>
          <w:szCs w:val="21"/>
        </w:rPr>
        <w:fldChar w:fldCharType="separate"/>
      </w:r>
      <w:r>
        <w:rPr>
          <w:i w:val="0"/>
          <w:iCs w:val="0"/>
        </w:rPr>
        <w:t>第</w:t>
      </w:r>
      <w:r>
        <w:rPr>
          <w:rFonts w:hint="eastAsia"/>
          <w:i w:val="0"/>
          <w:iCs w:val="0"/>
          <w:lang w:val="en-US" w:eastAsia="zh-CN"/>
        </w:rPr>
        <w:t>十</w:t>
      </w:r>
      <w:r>
        <w:rPr>
          <w:i w:val="0"/>
          <w:iCs w:val="0"/>
        </w:rPr>
        <w:t>章环境经济损益分析</w:t>
      </w:r>
      <w:r>
        <w:rPr>
          <w:i w:val="0"/>
          <w:iCs w:val="0"/>
        </w:rPr>
        <w:tab/>
      </w:r>
      <w:r>
        <w:rPr>
          <w:i w:val="0"/>
          <w:iCs w:val="0"/>
        </w:rPr>
        <w:fldChar w:fldCharType="begin"/>
      </w:r>
      <w:r>
        <w:rPr>
          <w:i w:val="0"/>
          <w:iCs w:val="0"/>
        </w:rPr>
        <w:instrText xml:space="preserve"> PAGEREF _Toc15 \h </w:instrText>
      </w:r>
      <w:r>
        <w:rPr>
          <w:i w:val="0"/>
          <w:iCs w:val="0"/>
        </w:rPr>
        <w:fldChar w:fldCharType="separate"/>
      </w:r>
      <w:r>
        <w:rPr>
          <w:i w:val="0"/>
          <w:iCs w:val="0"/>
        </w:rPr>
        <w:t>183</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_Toc6725 </w:instrText>
      </w:r>
      <w:r>
        <w:rPr>
          <w:i w:val="0"/>
          <w:iCs w:val="0"/>
          <w:szCs w:val="21"/>
        </w:rPr>
        <w:fldChar w:fldCharType="separate"/>
      </w:r>
      <w:r>
        <w:rPr>
          <w:rFonts w:hint="eastAsia" w:ascii="Times New Roman" w:hAnsi="Times New Roman" w:eastAsia="宋体"/>
          <w:i w:val="0"/>
          <w:iCs w:val="0"/>
          <w:szCs w:val="28"/>
          <w:lang w:val="en-US" w:eastAsia="zh-CN"/>
        </w:rPr>
        <w:t>10</w:t>
      </w:r>
      <w:r>
        <w:rPr>
          <w:rFonts w:ascii="Times New Roman" w:hAnsi="Times New Roman" w:eastAsia="宋体"/>
          <w:i w:val="0"/>
          <w:iCs w:val="0"/>
          <w:szCs w:val="28"/>
        </w:rPr>
        <w:t>.1经济效益分析</w:t>
      </w:r>
      <w:r>
        <w:rPr>
          <w:i w:val="0"/>
          <w:iCs w:val="0"/>
        </w:rPr>
        <w:tab/>
      </w:r>
      <w:r>
        <w:rPr>
          <w:i w:val="0"/>
          <w:iCs w:val="0"/>
        </w:rPr>
        <w:fldChar w:fldCharType="begin"/>
      </w:r>
      <w:r>
        <w:rPr>
          <w:i w:val="0"/>
          <w:iCs w:val="0"/>
        </w:rPr>
        <w:instrText xml:space="preserve"> PAGEREF _Toc6725 \h </w:instrText>
      </w:r>
      <w:r>
        <w:rPr>
          <w:i w:val="0"/>
          <w:iCs w:val="0"/>
        </w:rPr>
        <w:fldChar w:fldCharType="separate"/>
      </w:r>
      <w:r>
        <w:rPr>
          <w:i w:val="0"/>
          <w:iCs w:val="0"/>
        </w:rPr>
        <w:t>183</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_Toc23237 </w:instrText>
      </w:r>
      <w:r>
        <w:rPr>
          <w:i w:val="0"/>
          <w:iCs w:val="0"/>
          <w:szCs w:val="21"/>
        </w:rPr>
        <w:fldChar w:fldCharType="separate"/>
      </w:r>
      <w:r>
        <w:rPr>
          <w:rFonts w:hint="eastAsia" w:ascii="Times New Roman" w:hAnsi="Times New Roman" w:eastAsia="宋体"/>
          <w:i w:val="0"/>
          <w:iCs w:val="0"/>
          <w:szCs w:val="28"/>
          <w:lang w:val="en-US" w:eastAsia="zh-CN"/>
        </w:rPr>
        <w:t>10</w:t>
      </w:r>
      <w:r>
        <w:rPr>
          <w:rFonts w:ascii="Times New Roman" w:hAnsi="Times New Roman" w:eastAsia="宋体"/>
          <w:i w:val="0"/>
          <w:iCs w:val="0"/>
          <w:szCs w:val="28"/>
        </w:rPr>
        <w:t>.2社会效益分析</w:t>
      </w:r>
      <w:r>
        <w:rPr>
          <w:i w:val="0"/>
          <w:iCs w:val="0"/>
        </w:rPr>
        <w:tab/>
      </w:r>
      <w:r>
        <w:rPr>
          <w:i w:val="0"/>
          <w:iCs w:val="0"/>
        </w:rPr>
        <w:fldChar w:fldCharType="begin"/>
      </w:r>
      <w:r>
        <w:rPr>
          <w:i w:val="0"/>
          <w:iCs w:val="0"/>
        </w:rPr>
        <w:instrText xml:space="preserve"> PAGEREF _Toc23237 \h </w:instrText>
      </w:r>
      <w:r>
        <w:rPr>
          <w:i w:val="0"/>
          <w:iCs w:val="0"/>
        </w:rPr>
        <w:fldChar w:fldCharType="separate"/>
      </w:r>
      <w:r>
        <w:rPr>
          <w:i w:val="0"/>
          <w:iCs w:val="0"/>
        </w:rPr>
        <w:t>183</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_Toc28306 </w:instrText>
      </w:r>
      <w:r>
        <w:rPr>
          <w:i w:val="0"/>
          <w:iCs w:val="0"/>
          <w:szCs w:val="21"/>
        </w:rPr>
        <w:fldChar w:fldCharType="separate"/>
      </w:r>
      <w:r>
        <w:rPr>
          <w:rFonts w:hint="eastAsia" w:ascii="Times New Roman" w:hAnsi="Times New Roman" w:eastAsia="宋体"/>
          <w:i w:val="0"/>
          <w:iCs w:val="0"/>
          <w:szCs w:val="28"/>
          <w:lang w:val="en-US" w:eastAsia="zh-CN"/>
        </w:rPr>
        <w:t>10</w:t>
      </w:r>
      <w:r>
        <w:rPr>
          <w:rFonts w:ascii="Times New Roman" w:hAnsi="Times New Roman" w:eastAsia="宋体"/>
          <w:i w:val="0"/>
          <w:iCs w:val="0"/>
          <w:szCs w:val="28"/>
        </w:rPr>
        <w:t>.3环境效益分析</w:t>
      </w:r>
      <w:r>
        <w:rPr>
          <w:i w:val="0"/>
          <w:iCs w:val="0"/>
        </w:rPr>
        <w:tab/>
      </w:r>
      <w:r>
        <w:rPr>
          <w:i w:val="0"/>
          <w:iCs w:val="0"/>
        </w:rPr>
        <w:fldChar w:fldCharType="begin"/>
      </w:r>
      <w:r>
        <w:rPr>
          <w:i w:val="0"/>
          <w:iCs w:val="0"/>
        </w:rPr>
        <w:instrText xml:space="preserve"> PAGEREF _Toc28306 \h </w:instrText>
      </w:r>
      <w:r>
        <w:rPr>
          <w:i w:val="0"/>
          <w:iCs w:val="0"/>
        </w:rPr>
        <w:fldChar w:fldCharType="separate"/>
      </w:r>
      <w:r>
        <w:rPr>
          <w:i w:val="0"/>
          <w:iCs w:val="0"/>
        </w:rPr>
        <w:t>183</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_Toc27443 </w:instrText>
      </w:r>
      <w:r>
        <w:rPr>
          <w:i w:val="0"/>
          <w:iCs w:val="0"/>
          <w:szCs w:val="21"/>
        </w:rPr>
        <w:fldChar w:fldCharType="separate"/>
      </w:r>
      <w:r>
        <w:rPr>
          <w:rFonts w:hint="eastAsia" w:ascii="Times New Roman" w:hAnsi="Times New Roman" w:eastAsia="宋体"/>
          <w:i w:val="0"/>
          <w:iCs w:val="0"/>
          <w:szCs w:val="28"/>
          <w:lang w:val="en-US" w:eastAsia="zh-CN"/>
        </w:rPr>
        <w:t>10</w:t>
      </w:r>
      <w:r>
        <w:rPr>
          <w:rFonts w:ascii="Times New Roman" w:hAnsi="Times New Roman" w:eastAsia="宋体"/>
          <w:i w:val="0"/>
          <w:iCs w:val="0"/>
          <w:szCs w:val="28"/>
        </w:rPr>
        <w:t>.4环境损益分析综合结论</w:t>
      </w:r>
      <w:r>
        <w:rPr>
          <w:i w:val="0"/>
          <w:iCs w:val="0"/>
        </w:rPr>
        <w:tab/>
      </w:r>
      <w:r>
        <w:rPr>
          <w:i w:val="0"/>
          <w:iCs w:val="0"/>
        </w:rPr>
        <w:fldChar w:fldCharType="begin"/>
      </w:r>
      <w:r>
        <w:rPr>
          <w:i w:val="0"/>
          <w:iCs w:val="0"/>
        </w:rPr>
        <w:instrText xml:space="preserve"> PAGEREF _Toc27443 \h </w:instrText>
      </w:r>
      <w:r>
        <w:rPr>
          <w:i w:val="0"/>
          <w:iCs w:val="0"/>
        </w:rPr>
        <w:fldChar w:fldCharType="separate"/>
      </w:r>
      <w:r>
        <w:rPr>
          <w:i w:val="0"/>
          <w:iCs w:val="0"/>
        </w:rPr>
        <w:t>183</w:t>
      </w:r>
      <w:r>
        <w:rPr>
          <w:i w:val="0"/>
          <w:iCs w:val="0"/>
        </w:rPr>
        <w:fldChar w:fldCharType="end"/>
      </w:r>
      <w:r>
        <w:rPr>
          <w:i w:val="0"/>
          <w:iCs w:val="0"/>
          <w:szCs w:val="21"/>
        </w:rPr>
        <w:fldChar w:fldCharType="end"/>
      </w:r>
    </w:p>
    <w:p>
      <w:pPr>
        <w:pStyle w:val="42"/>
        <w:tabs>
          <w:tab w:val="right" w:leader="dot" w:pos="9071"/>
        </w:tabs>
        <w:rPr>
          <w:i w:val="0"/>
          <w:iCs w:val="0"/>
        </w:rPr>
      </w:pPr>
      <w:r>
        <w:rPr>
          <w:i w:val="0"/>
          <w:iCs w:val="0"/>
          <w:szCs w:val="21"/>
        </w:rPr>
        <w:fldChar w:fldCharType="begin"/>
      </w:r>
      <w:r>
        <w:rPr>
          <w:i w:val="0"/>
          <w:iCs w:val="0"/>
          <w:szCs w:val="21"/>
        </w:rPr>
        <w:instrText xml:space="preserve"> HYPERLINK \l _Toc25958 </w:instrText>
      </w:r>
      <w:r>
        <w:rPr>
          <w:i w:val="0"/>
          <w:iCs w:val="0"/>
          <w:szCs w:val="21"/>
        </w:rPr>
        <w:fldChar w:fldCharType="separate"/>
      </w:r>
      <w:r>
        <w:rPr>
          <w:i w:val="0"/>
          <w:iCs w:val="0"/>
        </w:rPr>
        <w:t>第</w:t>
      </w:r>
      <w:r>
        <w:rPr>
          <w:rFonts w:hint="eastAsia"/>
          <w:i w:val="0"/>
          <w:iCs w:val="0"/>
          <w:lang w:val="en-US" w:eastAsia="zh-CN"/>
        </w:rPr>
        <w:t>十一</w:t>
      </w:r>
      <w:r>
        <w:rPr>
          <w:i w:val="0"/>
          <w:iCs w:val="0"/>
        </w:rPr>
        <w:t>章结论</w:t>
      </w:r>
      <w:r>
        <w:rPr>
          <w:i w:val="0"/>
          <w:iCs w:val="0"/>
        </w:rPr>
        <w:tab/>
      </w:r>
      <w:r>
        <w:rPr>
          <w:i w:val="0"/>
          <w:iCs w:val="0"/>
        </w:rPr>
        <w:fldChar w:fldCharType="begin"/>
      </w:r>
      <w:r>
        <w:rPr>
          <w:i w:val="0"/>
          <w:iCs w:val="0"/>
        </w:rPr>
        <w:instrText xml:space="preserve"> PAGEREF _Toc25958 \h </w:instrText>
      </w:r>
      <w:r>
        <w:rPr>
          <w:i w:val="0"/>
          <w:iCs w:val="0"/>
        </w:rPr>
        <w:fldChar w:fldCharType="separate"/>
      </w:r>
      <w:r>
        <w:rPr>
          <w:i w:val="0"/>
          <w:iCs w:val="0"/>
        </w:rPr>
        <w:t>184</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_Toc7673 </w:instrText>
      </w:r>
      <w:r>
        <w:rPr>
          <w:i w:val="0"/>
          <w:iCs w:val="0"/>
          <w:szCs w:val="21"/>
        </w:rPr>
        <w:fldChar w:fldCharType="separate"/>
      </w:r>
      <w:r>
        <w:rPr>
          <w:rFonts w:ascii="Times New Roman" w:hAnsi="Times New Roman" w:eastAsia="宋体"/>
          <w:i w:val="0"/>
          <w:iCs w:val="0"/>
          <w:szCs w:val="28"/>
        </w:rPr>
        <w:t>1</w:t>
      </w:r>
      <w:r>
        <w:rPr>
          <w:rFonts w:hint="eastAsia" w:ascii="Times New Roman" w:hAnsi="Times New Roman" w:eastAsia="宋体"/>
          <w:i w:val="0"/>
          <w:iCs w:val="0"/>
          <w:szCs w:val="28"/>
          <w:lang w:val="en-US" w:eastAsia="zh-CN"/>
        </w:rPr>
        <w:t>1</w:t>
      </w:r>
      <w:r>
        <w:rPr>
          <w:rFonts w:ascii="Times New Roman" w:hAnsi="Times New Roman" w:eastAsia="宋体"/>
          <w:i w:val="0"/>
          <w:iCs w:val="0"/>
          <w:szCs w:val="28"/>
        </w:rPr>
        <w:t>.1项目选址环境敏感条件分析</w:t>
      </w:r>
      <w:r>
        <w:rPr>
          <w:i w:val="0"/>
          <w:iCs w:val="0"/>
        </w:rPr>
        <w:tab/>
      </w:r>
      <w:r>
        <w:rPr>
          <w:i w:val="0"/>
          <w:iCs w:val="0"/>
        </w:rPr>
        <w:fldChar w:fldCharType="begin"/>
      </w:r>
      <w:r>
        <w:rPr>
          <w:i w:val="0"/>
          <w:iCs w:val="0"/>
        </w:rPr>
        <w:instrText xml:space="preserve"> PAGEREF _Toc7673 \h </w:instrText>
      </w:r>
      <w:r>
        <w:rPr>
          <w:i w:val="0"/>
          <w:iCs w:val="0"/>
        </w:rPr>
        <w:fldChar w:fldCharType="separate"/>
      </w:r>
      <w:r>
        <w:rPr>
          <w:i w:val="0"/>
          <w:iCs w:val="0"/>
        </w:rPr>
        <w:t>184</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_Toc22640 </w:instrText>
      </w:r>
      <w:r>
        <w:rPr>
          <w:i w:val="0"/>
          <w:iCs w:val="0"/>
          <w:szCs w:val="21"/>
        </w:rPr>
        <w:fldChar w:fldCharType="separate"/>
      </w:r>
      <w:r>
        <w:rPr>
          <w:rFonts w:ascii="Times New Roman" w:hAnsi="Times New Roman" w:eastAsia="宋体"/>
          <w:i w:val="0"/>
          <w:iCs w:val="0"/>
          <w:szCs w:val="28"/>
        </w:rPr>
        <w:t>1</w:t>
      </w:r>
      <w:r>
        <w:rPr>
          <w:rFonts w:hint="eastAsia" w:ascii="Times New Roman" w:hAnsi="Times New Roman" w:eastAsia="宋体"/>
          <w:i w:val="0"/>
          <w:iCs w:val="0"/>
          <w:szCs w:val="28"/>
          <w:lang w:val="en-US" w:eastAsia="zh-CN"/>
        </w:rPr>
        <w:t>1</w:t>
      </w:r>
      <w:r>
        <w:rPr>
          <w:rFonts w:ascii="Times New Roman" w:hAnsi="Times New Roman" w:eastAsia="宋体"/>
          <w:i w:val="0"/>
          <w:iCs w:val="0"/>
          <w:szCs w:val="28"/>
        </w:rPr>
        <w:t>.2与相关规划</w:t>
      </w:r>
      <w:r>
        <w:rPr>
          <w:rFonts w:hint="eastAsia" w:ascii="Times New Roman" w:hAnsi="Times New Roman" w:eastAsia="宋体"/>
          <w:i w:val="0"/>
          <w:iCs w:val="0"/>
          <w:szCs w:val="28"/>
        </w:rPr>
        <w:t>及产业政策</w:t>
      </w:r>
      <w:r>
        <w:rPr>
          <w:rFonts w:ascii="Times New Roman" w:hAnsi="Times New Roman" w:eastAsia="宋体"/>
          <w:i w:val="0"/>
          <w:iCs w:val="0"/>
          <w:szCs w:val="28"/>
        </w:rPr>
        <w:t>相符性分析</w:t>
      </w:r>
      <w:r>
        <w:rPr>
          <w:i w:val="0"/>
          <w:iCs w:val="0"/>
        </w:rPr>
        <w:tab/>
      </w:r>
      <w:r>
        <w:rPr>
          <w:i w:val="0"/>
          <w:iCs w:val="0"/>
        </w:rPr>
        <w:fldChar w:fldCharType="begin"/>
      </w:r>
      <w:r>
        <w:rPr>
          <w:i w:val="0"/>
          <w:iCs w:val="0"/>
        </w:rPr>
        <w:instrText xml:space="preserve"> PAGEREF _Toc22640 \h </w:instrText>
      </w:r>
      <w:r>
        <w:rPr>
          <w:i w:val="0"/>
          <w:iCs w:val="0"/>
        </w:rPr>
        <w:fldChar w:fldCharType="separate"/>
      </w:r>
      <w:r>
        <w:rPr>
          <w:i w:val="0"/>
          <w:iCs w:val="0"/>
        </w:rPr>
        <w:t>184</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_Toc12138 </w:instrText>
      </w:r>
      <w:r>
        <w:rPr>
          <w:i w:val="0"/>
          <w:iCs w:val="0"/>
          <w:szCs w:val="21"/>
        </w:rPr>
        <w:fldChar w:fldCharType="separate"/>
      </w:r>
      <w:r>
        <w:rPr>
          <w:rFonts w:ascii="Times New Roman" w:hAnsi="Times New Roman" w:eastAsia="宋体"/>
          <w:i w:val="0"/>
          <w:iCs w:val="0"/>
          <w:szCs w:val="28"/>
        </w:rPr>
        <w:t>1</w:t>
      </w:r>
      <w:r>
        <w:rPr>
          <w:rFonts w:hint="eastAsia" w:ascii="Times New Roman" w:hAnsi="Times New Roman" w:eastAsia="宋体"/>
          <w:i w:val="0"/>
          <w:iCs w:val="0"/>
          <w:szCs w:val="28"/>
          <w:lang w:val="en-US" w:eastAsia="zh-CN"/>
        </w:rPr>
        <w:t>1</w:t>
      </w:r>
      <w:r>
        <w:rPr>
          <w:rFonts w:ascii="Times New Roman" w:hAnsi="Times New Roman" w:eastAsia="宋体"/>
          <w:i w:val="0"/>
          <w:iCs w:val="0"/>
          <w:szCs w:val="28"/>
        </w:rPr>
        <w:t>.</w:t>
      </w:r>
      <w:r>
        <w:rPr>
          <w:rFonts w:hint="eastAsia" w:ascii="Times New Roman" w:hAnsi="Times New Roman" w:eastAsia="宋体"/>
          <w:i w:val="0"/>
          <w:iCs w:val="0"/>
          <w:szCs w:val="28"/>
        </w:rPr>
        <w:t>3</w:t>
      </w:r>
      <w:r>
        <w:rPr>
          <w:rFonts w:ascii="Times New Roman" w:hAnsi="Times New Roman" w:eastAsia="宋体"/>
          <w:i w:val="0"/>
          <w:iCs w:val="0"/>
          <w:szCs w:val="28"/>
        </w:rPr>
        <w:t>环保措施有效性分析</w:t>
      </w:r>
      <w:r>
        <w:rPr>
          <w:i w:val="0"/>
          <w:iCs w:val="0"/>
        </w:rPr>
        <w:tab/>
      </w:r>
      <w:r>
        <w:rPr>
          <w:i w:val="0"/>
          <w:iCs w:val="0"/>
        </w:rPr>
        <w:fldChar w:fldCharType="begin"/>
      </w:r>
      <w:r>
        <w:rPr>
          <w:i w:val="0"/>
          <w:iCs w:val="0"/>
        </w:rPr>
        <w:instrText xml:space="preserve"> PAGEREF _Toc12138 \h </w:instrText>
      </w:r>
      <w:r>
        <w:rPr>
          <w:i w:val="0"/>
          <w:iCs w:val="0"/>
        </w:rPr>
        <w:fldChar w:fldCharType="separate"/>
      </w:r>
      <w:r>
        <w:rPr>
          <w:i w:val="0"/>
          <w:iCs w:val="0"/>
        </w:rPr>
        <w:t>185</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_Toc16010 </w:instrText>
      </w:r>
      <w:r>
        <w:rPr>
          <w:i w:val="0"/>
          <w:iCs w:val="0"/>
          <w:szCs w:val="21"/>
        </w:rPr>
        <w:fldChar w:fldCharType="separate"/>
      </w:r>
      <w:r>
        <w:rPr>
          <w:rFonts w:ascii="Times New Roman" w:hAnsi="Times New Roman" w:eastAsia="宋体"/>
          <w:i w:val="0"/>
          <w:iCs w:val="0"/>
          <w:szCs w:val="28"/>
        </w:rPr>
        <w:t>1</w:t>
      </w:r>
      <w:r>
        <w:rPr>
          <w:rFonts w:hint="eastAsia" w:ascii="Times New Roman" w:hAnsi="Times New Roman" w:eastAsia="宋体"/>
          <w:i w:val="0"/>
          <w:iCs w:val="0"/>
          <w:szCs w:val="28"/>
          <w:lang w:val="en-US" w:eastAsia="zh-CN"/>
        </w:rPr>
        <w:t>1</w:t>
      </w:r>
      <w:r>
        <w:rPr>
          <w:rFonts w:ascii="Times New Roman" w:hAnsi="Times New Roman" w:eastAsia="宋体"/>
          <w:i w:val="0"/>
          <w:iCs w:val="0"/>
          <w:szCs w:val="28"/>
        </w:rPr>
        <w:t>.</w:t>
      </w:r>
      <w:r>
        <w:rPr>
          <w:rFonts w:hint="eastAsia" w:ascii="Times New Roman" w:hAnsi="Times New Roman" w:eastAsia="宋体"/>
          <w:i w:val="0"/>
          <w:iCs w:val="0"/>
          <w:szCs w:val="28"/>
        </w:rPr>
        <w:t>4</w:t>
      </w:r>
      <w:r>
        <w:rPr>
          <w:rFonts w:ascii="Times New Roman" w:hAnsi="Times New Roman" w:eastAsia="宋体"/>
          <w:i w:val="0"/>
          <w:iCs w:val="0"/>
          <w:szCs w:val="28"/>
        </w:rPr>
        <w:t>公众参与认同程度</w:t>
      </w:r>
      <w:r>
        <w:rPr>
          <w:i w:val="0"/>
          <w:iCs w:val="0"/>
        </w:rPr>
        <w:tab/>
      </w:r>
      <w:r>
        <w:rPr>
          <w:i w:val="0"/>
          <w:iCs w:val="0"/>
        </w:rPr>
        <w:fldChar w:fldCharType="begin"/>
      </w:r>
      <w:r>
        <w:rPr>
          <w:i w:val="0"/>
          <w:iCs w:val="0"/>
        </w:rPr>
        <w:instrText xml:space="preserve"> PAGEREF _Toc16010 \h </w:instrText>
      </w:r>
      <w:r>
        <w:rPr>
          <w:i w:val="0"/>
          <w:iCs w:val="0"/>
        </w:rPr>
        <w:fldChar w:fldCharType="separate"/>
      </w:r>
      <w:r>
        <w:rPr>
          <w:i w:val="0"/>
          <w:iCs w:val="0"/>
        </w:rPr>
        <w:t>186</w:t>
      </w:r>
      <w:r>
        <w:rPr>
          <w:i w:val="0"/>
          <w:iCs w:val="0"/>
        </w:rPr>
        <w:fldChar w:fldCharType="end"/>
      </w:r>
      <w:r>
        <w:rPr>
          <w:i w:val="0"/>
          <w:iCs w:val="0"/>
          <w:szCs w:val="21"/>
        </w:rPr>
        <w:fldChar w:fldCharType="end"/>
      </w:r>
    </w:p>
    <w:p>
      <w:pPr>
        <w:pStyle w:val="48"/>
        <w:tabs>
          <w:tab w:val="right" w:leader="dot" w:pos="9071"/>
        </w:tabs>
        <w:rPr>
          <w:i w:val="0"/>
          <w:iCs w:val="0"/>
        </w:rPr>
      </w:pPr>
      <w:r>
        <w:rPr>
          <w:i w:val="0"/>
          <w:iCs w:val="0"/>
          <w:szCs w:val="21"/>
        </w:rPr>
        <w:fldChar w:fldCharType="begin"/>
      </w:r>
      <w:r>
        <w:rPr>
          <w:i w:val="0"/>
          <w:iCs w:val="0"/>
          <w:szCs w:val="21"/>
        </w:rPr>
        <w:instrText xml:space="preserve"> HYPERLINK \l _Toc8043 </w:instrText>
      </w:r>
      <w:r>
        <w:rPr>
          <w:i w:val="0"/>
          <w:iCs w:val="0"/>
          <w:szCs w:val="21"/>
        </w:rPr>
        <w:fldChar w:fldCharType="separate"/>
      </w:r>
      <w:r>
        <w:rPr>
          <w:rFonts w:ascii="Times New Roman" w:hAnsi="Times New Roman" w:eastAsia="宋体"/>
          <w:i w:val="0"/>
          <w:iCs w:val="0"/>
          <w:szCs w:val="28"/>
        </w:rPr>
        <w:t>1</w:t>
      </w:r>
      <w:r>
        <w:rPr>
          <w:rFonts w:hint="eastAsia" w:ascii="Times New Roman" w:hAnsi="Times New Roman" w:eastAsia="宋体"/>
          <w:i w:val="0"/>
          <w:iCs w:val="0"/>
          <w:szCs w:val="28"/>
          <w:lang w:val="en-US" w:eastAsia="zh-CN"/>
        </w:rPr>
        <w:t>1</w:t>
      </w:r>
      <w:r>
        <w:rPr>
          <w:rFonts w:ascii="Times New Roman" w:hAnsi="Times New Roman" w:eastAsia="宋体"/>
          <w:i w:val="0"/>
          <w:iCs w:val="0"/>
          <w:szCs w:val="28"/>
        </w:rPr>
        <w:t>.</w:t>
      </w:r>
      <w:r>
        <w:rPr>
          <w:rFonts w:hint="eastAsia" w:ascii="Times New Roman" w:hAnsi="Times New Roman" w:eastAsia="宋体"/>
          <w:i w:val="0"/>
          <w:iCs w:val="0"/>
          <w:szCs w:val="28"/>
        </w:rPr>
        <w:t>5</w:t>
      </w:r>
      <w:r>
        <w:rPr>
          <w:rFonts w:ascii="Times New Roman" w:hAnsi="Times New Roman" w:eastAsia="宋体"/>
          <w:i w:val="0"/>
          <w:iCs w:val="0"/>
          <w:szCs w:val="28"/>
        </w:rPr>
        <w:t>小结</w:t>
      </w:r>
      <w:r>
        <w:rPr>
          <w:i w:val="0"/>
          <w:iCs w:val="0"/>
        </w:rPr>
        <w:tab/>
      </w:r>
      <w:r>
        <w:rPr>
          <w:i w:val="0"/>
          <w:iCs w:val="0"/>
        </w:rPr>
        <w:fldChar w:fldCharType="begin"/>
      </w:r>
      <w:r>
        <w:rPr>
          <w:i w:val="0"/>
          <w:iCs w:val="0"/>
        </w:rPr>
        <w:instrText xml:space="preserve"> PAGEREF _Toc8043 \h </w:instrText>
      </w:r>
      <w:r>
        <w:rPr>
          <w:i w:val="0"/>
          <w:iCs w:val="0"/>
        </w:rPr>
        <w:fldChar w:fldCharType="separate"/>
      </w:r>
      <w:r>
        <w:rPr>
          <w:i w:val="0"/>
          <w:iCs w:val="0"/>
        </w:rPr>
        <w:t>186</w:t>
      </w:r>
      <w:r>
        <w:rPr>
          <w:i w:val="0"/>
          <w:iCs w:val="0"/>
        </w:rPr>
        <w:fldChar w:fldCharType="end"/>
      </w:r>
      <w:r>
        <w:rPr>
          <w:i w:val="0"/>
          <w:iCs w:val="0"/>
          <w:szCs w:val="21"/>
        </w:rPr>
        <w:fldChar w:fldCharType="end"/>
      </w:r>
    </w:p>
    <w:p>
      <w:pPr>
        <w:spacing w:line="360" w:lineRule="auto"/>
        <w:rPr>
          <w:b/>
          <w:bCs/>
          <w:i w:val="0"/>
          <w:iCs w:val="0"/>
        </w:rPr>
      </w:pPr>
      <w:r>
        <w:rPr>
          <w:i w:val="0"/>
          <w:iCs w:val="0"/>
          <w:szCs w:val="21"/>
        </w:rPr>
        <w:fldChar w:fldCharType="end"/>
      </w:r>
    </w:p>
    <w:p>
      <w:pPr>
        <w:pStyle w:val="48"/>
        <w:numPr>
          <w:ilvl w:val="0"/>
          <w:numId w:val="11"/>
        </w:numPr>
        <w:spacing w:line="360" w:lineRule="auto"/>
        <w:ind w:firstLine="420"/>
        <w:rPr>
          <w:rFonts w:hint="eastAsia"/>
          <w:i w:val="0"/>
          <w:iCs w:val="0"/>
          <w:sz w:val="21"/>
          <w:szCs w:val="21"/>
        </w:rPr>
        <w:sectPr>
          <w:footerReference r:id="rId6" w:type="default"/>
          <w:pgSz w:w="11907" w:h="16840"/>
          <w:pgMar w:top="1304" w:right="1418" w:bottom="1304" w:left="1418" w:header="851" w:footer="851" w:gutter="0"/>
          <w:pgBorders>
            <w:top w:val="none" w:sz="0" w:space="0"/>
            <w:left w:val="none" w:sz="0" w:space="0"/>
            <w:bottom w:val="none" w:sz="0" w:space="0"/>
            <w:right w:val="none" w:sz="0" w:space="0"/>
          </w:pgBorders>
          <w:pgNumType w:start="1"/>
          <w:cols w:space="720" w:num="1"/>
          <w:docGrid w:linePitch="312" w:charSpace="0"/>
        </w:sectPr>
      </w:pPr>
    </w:p>
    <w:p>
      <w:pPr>
        <w:pStyle w:val="3"/>
        <w:spacing w:before="240" w:after="360" w:line="360" w:lineRule="auto"/>
        <w:jc w:val="center"/>
        <w:rPr>
          <w:i w:val="0"/>
          <w:iCs w:val="0"/>
          <w:sz w:val="36"/>
        </w:rPr>
      </w:pPr>
      <w:bookmarkStart w:id="0" w:name="_Hlt196616236"/>
      <w:bookmarkEnd w:id="0"/>
      <w:bookmarkStart w:id="1" w:name="_Hlt196630931"/>
      <w:bookmarkEnd w:id="1"/>
      <w:bookmarkStart w:id="2" w:name="_Toc499905406"/>
      <w:bookmarkStart w:id="3" w:name="_Toc502831484"/>
      <w:bookmarkStart w:id="4" w:name="_Toc27410"/>
      <w:bookmarkStart w:id="5" w:name="_Toc92788696"/>
      <w:bookmarkStart w:id="6" w:name="_Toc82921597"/>
      <w:bookmarkStart w:id="7" w:name="_Toc3952795"/>
      <w:bookmarkStart w:id="8" w:name="_Toc194206364"/>
      <w:bookmarkStart w:id="9" w:name="_Toc114016078"/>
      <w:bookmarkStart w:id="10" w:name="_Toc3952916"/>
      <w:r>
        <w:rPr>
          <w:rFonts w:hint="eastAsia"/>
          <w:i w:val="0"/>
          <w:iCs w:val="0"/>
          <w:sz w:val="36"/>
        </w:rPr>
        <w:t>第一章</w:t>
      </w:r>
      <w:r>
        <w:rPr>
          <w:i w:val="0"/>
          <w:iCs w:val="0"/>
          <w:sz w:val="36"/>
        </w:rPr>
        <w:t>概述</w:t>
      </w:r>
      <w:bookmarkEnd w:id="2"/>
      <w:bookmarkEnd w:id="3"/>
      <w:bookmarkEnd w:id="4"/>
    </w:p>
    <w:p>
      <w:pPr>
        <w:pStyle w:val="4"/>
        <w:rPr>
          <w:rFonts w:ascii="Times New Roman" w:hAnsi="Times New Roman" w:eastAsia="宋体"/>
          <w:b/>
          <w:i w:val="0"/>
          <w:iCs w:val="0"/>
          <w:sz w:val="28"/>
          <w:szCs w:val="28"/>
        </w:rPr>
      </w:pPr>
      <w:bookmarkStart w:id="11" w:name="_Toc28714"/>
      <w:r>
        <w:rPr>
          <w:rFonts w:hint="eastAsia" w:ascii="Times New Roman" w:hAnsi="Times New Roman" w:eastAsia="宋体"/>
          <w:b/>
          <w:i w:val="0"/>
          <w:iCs w:val="0"/>
          <w:sz w:val="28"/>
          <w:szCs w:val="28"/>
        </w:rPr>
        <w:t>1.1</w:t>
      </w:r>
      <w:r>
        <w:rPr>
          <w:rFonts w:ascii="Times New Roman" w:hAnsi="Times New Roman" w:eastAsia="宋体"/>
          <w:b/>
          <w:i w:val="0"/>
          <w:iCs w:val="0"/>
          <w:sz w:val="28"/>
          <w:szCs w:val="28"/>
        </w:rPr>
        <w:t>项目由来</w:t>
      </w:r>
      <w:bookmarkEnd w:id="11"/>
    </w:p>
    <w:p>
      <w:pPr>
        <w:spacing w:line="360" w:lineRule="auto"/>
        <w:ind w:firstLine="480" w:firstLineChars="200"/>
        <w:rPr>
          <w:i w:val="0"/>
          <w:iCs w:val="0"/>
          <w:color w:val="000000"/>
        </w:rPr>
      </w:pPr>
      <w:bookmarkStart w:id="12" w:name="_Toc499905408"/>
      <w:bookmarkStart w:id="13" w:name="_Toc502831486"/>
      <w:r>
        <w:rPr>
          <w:i w:val="0"/>
          <w:iCs w:val="0"/>
          <w:color w:val="000000"/>
        </w:rPr>
        <w:t>虾青素（astaxanthin/astacin/astacean）是自然界水生动物体中主要的类胡萝卜素成分，对水生生物的生命活动有重要的意义。同大多数动物一样，人类不能在体内合成类胡萝卜素类物质，也只能通过食品摄入而获得，如水产品，如虾、蟹和某些冷水鱼类中就含有虾青素，成为人们补充类胡萝卜素的动物性来源。</w:t>
      </w:r>
    </w:p>
    <w:p>
      <w:pPr>
        <w:spacing w:line="360" w:lineRule="auto"/>
        <w:ind w:firstLine="480" w:firstLineChars="200"/>
        <w:rPr>
          <w:i w:val="0"/>
          <w:iCs w:val="0"/>
          <w:color w:val="000000"/>
        </w:rPr>
      </w:pPr>
      <w:r>
        <w:rPr>
          <w:i w:val="0"/>
          <w:iCs w:val="0"/>
          <w:color w:val="000000"/>
        </w:rPr>
        <w:t>虾青素其化学名称为3，3-二羟基-4，4-羰基-</w:t>
      </w:r>
      <w:r>
        <w:rPr>
          <w:i w:val="0"/>
          <w:iCs w:val="0"/>
          <w:color w:val="000000"/>
        </w:rPr>
        <w:sym w:font="Math1" w:char="F062"/>
      </w:r>
      <w:r>
        <w:rPr>
          <w:i w:val="0"/>
          <w:iCs w:val="0"/>
          <w:color w:val="000000"/>
        </w:rPr>
        <w:t>-胡萝卜素。是一种氧化态的胡萝卜素，研究表明虾青素的抗氧化能力是维生素E的500倍，是胡萝卜素的11倍以上，具有明显的抗氧化、消除活性的单线态氧的作用。</w:t>
      </w:r>
    </w:p>
    <w:p>
      <w:pPr>
        <w:spacing w:line="360" w:lineRule="auto"/>
        <w:ind w:firstLine="480" w:firstLineChars="200"/>
        <w:rPr>
          <w:i w:val="0"/>
          <w:iCs w:val="0"/>
          <w:color w:val="000000"/>
        </w:rPr>
      </w:pPr>
      <w:r>
        <w:rPr>
          <w:i w:val="0"/>
          <w:iCs w:val="0"/>
          <w:color w:val="000000"/>
        </w:rPr>
        <w:t>地球上虾青素的最终生产者是植物和一些如藻类等微生物，水产品中的虾青素也是通过饮食而摄入的。人们可以从甲壳类的加工废弃物中提取，但产量极为有限且受季节的变化。美国罗氏公司发明了化学合成法制造虾青素，但生产成本高昂，且大多数为顺式结构，在体内也不能转化成天然的反式构型。而且由于虾青素分子中含有两个手性的碳原子，化学合成的虾青素为混旋的组成，其生物可利用度比天然的虾青素有很大的差别。美国食品药品管理局（FDA）仅批准反式结构的虾青素用于水产养殖的添加剂，而且不准任何化学合成产品进入保健食品市场。多数国家不允许使用合成虾青素用于饲料添加剂方面。因此迫切需要有非化学合成的廉价的生产工艺取代合成工艺。</w:t>
      </w:r>
    </w:p>
    <w:p>
      <w:pPr>
        <w:spacing w:line="360" w:lineRule="auto"/>
        <w:ind w:firstLine="480" w:firstLineChars="200"/>
        <w:rPr>
          <w:i w:val="0"/>
          <w:iCs w:val="0"/>
          <w:color w:val="000000"/>
        </w:rPr>
      </w:pPr>
      <w:r>
        <w:rPr>
          <w:i w:val="0"/>
          <w:iCs w:val="0"/>
          <w:color w:val="000000"/>
        </w:rPr>
        <w:t>近年来，人们开始研究通过培养天然的虾青素生产者来生产虾青素，这些工艺主要包括以下两类：</w:t>
      </w:r>
    </w:p>
    <w:p>
      <w:pPr>
        <w:spacing w:line="360" w:lineRule="auto"/>
        <w:ind w:firstLine="480" w:firstLineChars="200"/>
        <w:rPr>
          <w:i w:val="0"/>
          <w:iCs w:val="0"/>
          <w:color w:val="000000"/>
        </w:rPr>
      </w:pPr>
      <w:r>
        <w:rPr>
          <w:i w:val="0"/>
          <w:iCs w:val="0"/>
          <w:color w:val="000000"/>
        </w:rPr>
        <w:t>其一，用人工培养特殊的单细胞绿藻（Chlamydomonas nivalis），采用特殊的人工光照生物反应器或在天然露天池塘中进行藻类的培植，又称为红色池塘工艺，吸收光能和二氧化碳使细胞内积累虾青素。</w:t>
      </w:r>
    </w:p>
    <w:p>
      <w:pPr>
        <w:spacing w:line="360" w:lineRule="auto"/>
        <w:ind w:firstLine="480" w:firstLineChars="200"/>
        <w:rPr>
          <w:i w:val="0"/>
          <w:iCs w:val="0"/>
          <w:color w:val="000000"/>
        </w:rPr>
      </w:pPr>
      <w:r>
        <w:rPr>
          <w:i w:val="0"/>
          <w:iCs w:val="0"/>
          <w:color w:val="000000"/>
        </w:rPr>
        <w:t>其二，使用一种产红色素的酵母菌种（Phaffia rodozyma）采用传统的深层发酵技术，将糖质类原料转化为含虾青素的酵母菌体。</w:t>
      </w:r>
    </w:p>
    <w:p>
      <w:pPr>
        <w:spacing w:line="360" w:lineRule="auto"/>
        <w:ind w:firstLine="480" w:firstLineChars="200"/>
        <w:rPr>
          <w:i w:val="0"/>
          <w:iCs w:val="0"/>
          <w:color w:val="000000"/>
        </w:rPr>
      </w:pPr>
      <w:r>
        <w:rPr>
          <w:i w:val="0"/>
          <w:iCs w:val="0"/>
          <w:color w:val="000000"/>
        </w:rPr>
        <w:t xml:space="preserve">两种途径比较，第一种通过所谓“红色池塘”技术通过光合作用培养的藻类中的虾青素含量较高，原料成本较低但培养技术复杂，生产周期长，对气候、阳光和场地的要求较高，生产效率不高；第二种采用糖质原料发酵生产，利于大规模高密度生产，而且不受地域和气候的限制，是当今世界上最具工业化潜力的生物法虾青素生产工艺。 </w:t>
      </w:r>
    </w:p>
    <w:p>
      <w:pPr>
        <w:spacing w:line="360" w:lineRule="auto"/>
        <w:ind w:firstLine="480" w:firstLineChars="200"/>
        <w:rPr>
          <w:i w:val="0"/>
          <w:iCs w:val="0"/>
          <w:color w:val="000000"/>
        </w:rPr>
      </w:pPr>
      <w:r>
        <w:rPr>
          <w:i w:val="0"/>
          <w:iCs w:val="0"/>
          <w:color w:val="000000"/>
        </w:rPr>
        <w:t>本项目</w:t>
      </w:r>
      <w:r>
        <w:rPr>
          <w:rFonts w:hint="eastAsia"/>
          <w:i w:val="0"/>
          <w:iCs w:val="0"/>
          <w:color w:val="000000"/>
        </w:rPr>
        <w:t>采用第二种工艺，</w:t>
      </w:r>
      <w:r>
        <w:rPr>
          <w:i w:val="0"/>
          <w:iCs w:val="0"/>
          <w:color w:val="000000"/>
        </w:rPr>
        <w:t xml:space="preserve">采用的虾青素生产技术是基于优良的虾青素生产能力菌种，配合高密度发酵、喷雾干燥工艺，突破生产成本瓶颈并提高虾青素的生产效益提供了必要的条件。 </w:t>
      </w:r>
    </w:p>
    <w:p>
      <w:pPr>
        <w:spacing w:line="360" w:lineRule="auto"/>
        <w:ind w:firstLine="480" w:firstLineChars="200"/>
        <w:rPr>
          <w:i w:val="0"/>
          <w:iCs w:val="0"/>
          <w:color w:val="000000"/>
        </w:rPr>
      </w:pPr>
      <w:r>
        <w:rPr>
          <w:i w:val="0"/>
          <w:iCs w:val="0"/>
          <w:color w:val="000000"/>
        </w:rPr>
        <w:t>吉林万方东巽虾青素产业科技发展有限公司年产1.2万吨天然红法夫酵母虾青素项目位于吉林省白山市江源区</w:t>
      </w:r>
      <w:r>
        <w:rPr>
          <w:rFonts w:hint="eastAsia" w:ascii="宋体" w:hAnsi="宋体" w:cs="宋体"/>
          <w:i w:val="0"/>
          <w:iCs w:val="0"/>
          <w:kern w:val="0"/>
          <w:szCs w:val="21"/>
        </w:rPr>
        <w:t>长白山特色食药科技产业园</w:t>
      </w:r>
      <w:r>
        <w:rPr>
          <w:rFonts w:hint="eastAsia"/>
          <w:i w:val="0"/>
          <w:iCs w:val="0"/>
          <w:color w:val="000000"/>
        </w:rPr>
        <w:t>和谐</w:t>
      </w:r>
      <w:r>
        <w:rPr>
          <w:i w:val="0"/>
          <w:iCs w:val="0"/>
          <w:color w:val="000000"/>
        </w:rPr>
        <w:t>大街西侧，规划纬三路北侧</w:t>
      </w:r>
      <w:r>
        <w:rPr>
          <w:rFonts w:hint="eastAsia"/>
          <w:i w:val="0"/>
          <w:iCs w:val="0"/>
          <w:color w:val="000000"/>
        </w:rPr>
        <w:t>，</w:t>
      </w:r>
      <w:r>
        <w:rPr>
          <w:i w:val="0"/>
          <w:iCs w:val="0"/>
          <w:color w:val="000000"/>
        </w:rPr>
        <w:t>项目分</w:t>
      </w:r>
      <w:r>
        <w:rPr>
          <w:rFonts w:hint="eastAsia"/>
          <w:i w:val="0"/>
          <w:iCs w:val="0"/>
          <w:color w:val="000000"/>
        </w:rPr>
        <w:t>三</w:t>
      </w:r>
      <w:r>
        <w:rPr>
          <w:i w:val="0"/>
          <w:iCs w:val="0"/>
          <w:color w:val="000000"/>
        </w:rPr>
        <w:t>期建设，</w:t>
      </w:r>
      <w:r>
        <w:rPr>
          <w:rFonts w:hint="eastAsia"/>
          <w:i w:val="0"/>
          <w:iCs w:val="0"/>
          <w:color w:val="000000"/>
        </w:rPr>
        <w:t>预计</w:t>
      </w:r>
      <w:r>
        <w:rPr>
          <w:i w:val="0"/>
          <w:iCs w:val="0"/>
          <w:color w:val="000000"/>
        </w:rPr>
        <w:t>一期</w:t>
      </w:r>
      <w:r>
        <w:rPr>
          <w:rFonts w:hint="eastAsia"/>
          <w:i w:val="0"/>
          <w:iCs w:val="0"/>
          <w:color w:val="000000"/>
        </w:rPr>
        <w:t>产能</w:t>
      </w:r>
      <w:r>
        <w:rPr>
          <w:i w:val="0"/>
          <w:iCs w:val="0"/>
          <w:color w:val="000000"/>
        </w:rPr>
        <w:t>为</w:t>
      </w:r>
      <w:r>
        <w:rPr>
          <w:rFonts w:hint="eastAsia"/>
          <w:i w:val="0"/>
          <w:iCs w:val="0"/>
          <w:color w:val="000000"/>
          <w:lang w:val="en-US" w:eastAsia="zh-CN"/>
        </w:rPr>
        <w:t>2000</w:t>
      </w:r>
      <w:r>
        <w:rPr>
          <w:i w:val="0"/>
          <w:iCs w:val="0"/>
          <w:color w:val="000000"/>
        </w:rPr>
        <w:t>t/a，二期</w:t>
      </w:r>
      <w:r>
        <w:rPr>
          <w:rFonts w:hint="eastAsia"/>
          <w:i w:val="0"/>
          <w:iCs w:val="0"/>
          <w:color w:val="000000"/>
        </w:rPr>
        <w:t>产能</w:t>
      </w:r>
      <w:r>
        <w:rPr>
          <w:i w:val="0"/>
          <w:iCs w:val="0"/>
          <w:color w:val="000000"/>
        </w:rPr>
        <w:t>为</w:t>
      </w:r>
      <w:r>
        <w:rPr>
          <w:rFonts w:hint="eastAsia"/>
          <w:i w:val="0"/>
          <w:iCs w:val="0"/>
          <w:color w:val="000000"/>
          <w:lang w:val="en-US" w:eastAsia="zh-CN"/>
        </w:rPr>
        <w:t>4000</w:t>
      </w:r>
      <w:r>
        <w:rPr>
          <w:i w:val="0"/>
          <w:iCs w:val="0"/>
          <w:color w:val="000000"/>
        </w:rPr>
        <w:t>t/a，三期</w:t>
      </w:r>
      <w:r>
        <w:rPr>
          <w:rFonts w:hint="eastAsia"/>
          <w:i w:val="0"/>
          <w:iCs w:val="0"/>
          <w:color w:val="000000"/>
        </w:rPr>
        <w:t>产能</w:t>
      </w:r>
      <w:r>
        <w:rPr>
          <w:i w:val="0"/>
          <w:iCs w:val="0"/>
          <w:color w:val="000000"/>
        </w:rPr>
        <w:t>为</w:t>
      </w:r>
      <w:r>
        <w:rPr>
          <w:rFonts w:hint="eastAsia"/>
          <w:i w:val="0"/>
          <w:iCs w:val="0"/>
          <w:color w:val="000000"/>
        </w:rPr>
        <w:t>6</w:t>
      </w:r>
      <w:r>
        <w:rPr>
          <w:i w:val="0"/>
          <w:iCs w:val="0"/>
          <w:color w:val="000000"/>
        </w:rPr>
        <w:t>0</w:t>
      </w:r>
      <w:r>
        <w:rPr>
          <w:rFonts w:hint="eastAsia"/>
          <w:i w:val="0"/>
          <w:iCs w:val="0"/>
          <w:color w:val="000000"/>
          <w:lang w:val="en-US" w:eastAsia="zh-CN"/>
        </w:rPr>
        <w:t>00</w:t>
      </w:r>
      <w:r>
        <w:rPr>
          <w:i w:val="0"/>
          <w:iCs w:val="0"/>
          <w:color w:val="000000"/>
        </w:rPr>
        <w:t>t/a，达产后总体工程年产红法夫酵母虾青素</w:t>
      </w:r>
      <w:r>
        <w:rPr>
          <w:rFonts w:hint="eastAsia"/>
          <w:i w:val="0"/>
          <w:iCs w:val="0"/>
          <w:color w:val="000000"/>
        </w:rPr>
        <w:t>1.2</w:t>
      </w:r>
      <w:r>
        <w:rPr>
          <w:i w:val="0"/>
          <w:iCs w:val="0"/>
          <w:color w:val="000000"/>
        </w:rPr>
        <w:t>万吨</w:t>
      </w:r>
      <w:r>
        <w:rPr>
          <w:rFonts w:hint="eastAsia"/>
          <w:i w:val="0"/>
          <w:iCs w:val="0"/>
          <w:color w:val="000000"/>
        </w:rPr>
        <w:t>，本次只对</w:t>
      </w:r>
      <w:r>
        <w:rPr>
          <w:i w:val="0"/>
          <w:iCs w:val="0"/>
          <w:color w:val="000000"/>
        </w:rPr>
        <w:t>一期</w:t>
      </w:r>
      <w:r>
        <w:rPr>
          <w:rFonts w:hint="eastAsia"/>
          <w:i w:val="0"/>
          <w:iCs w:val="0"/>
          <w:color w:val="000000"/>
        </w:rPr>
        <w:t>建设内容进行评价，二、三期建设内容另行委托有资质单位进行评价。一期项目拟建设</w:t>
      </w:r>
      <w:r>
        <w:rPr>
          <w:rFonts w:hint="eastAsia"/>
          <w:i w:val="0"/>
          <w:iCs w:val="0"/>
          <w:color w:val="000000"/>
          <w:lang w:eastAsia="zh-CN"/>
        </w:rPr>
        <w:t>部分</w:t>
      </w:r>
      <w:r>
        <w:rPr>
          <w:rFonts w:hint="eastAsia"/>
          <w:i w:val="0"/>
          <w:iCs w:val="0"/>
          <w:color w:val="000000"/>
        </w:rPr>
        <w:t>厂房、公用工程和辅助工程，二、三期工程</w:t>
      </w:r>
      <w:r>
        <w:rPr>
          <w:rFonts w:hint="eastAsia"/>
          <w:i w:val="0"/>
          <w:iCs w:val="0"/>
          <w:color w:val="000000"/>
          <w:lang w:val="en-US" w:eastAsia="zh-CN"/>
        </w:rPr>
        <w:t>在</w:t>
      </w:r>
      <w:r>
        <w:rPr>
          <w:rFonts w:hint="eastAsia"/>
          <w:i w:val="0"/>
          <w:iCs w:val="0"/>
          <w:color w:val="000000"/>
          <w:lang w:eastAsia="zh-CN"/>
        </w:rPr>
        <w:t>厂区内预留空地新增构筑物、</w:t>
      </w:r>
      <w:r>
        <w:rPr>
          <w:rFonts w:hint="eastAsia"/>
          <w:i w:val="0"/>
          <w:iCs w:val="0"/>
          <w:color w:val="000000"/>
        </w:rPr>
        <w:t>生产设备和环保措施。</w:t>
      </w:r>
      <w:r>
        <w:rPr>
          <w:rFonts w:hint="eastAsia"/>
          <w:i w:val="0"/>
          <w:iCs w:val="0"/>
          <w:color w:val="000000"/>
          <w:lang w:eastAsia="zh-CN"/>
        </w:rPr>
        <w:t>本</w:t>
      </w:r>
      <w:r>
        <w:rPr>
          <w:i w:val="0"/>
          <w:iCs w:val="0"/>
          <w:color w:val="000000"/>
        </w:rPr>
        <w:t>项目</w:t>
      </w:r>
      <w:r>
        <w:rPr>
          <w:rFonts w:hint="eastAsia"/>
          <w:i w:val="0"/>
          <w:iCs w:val="0"/>
          <w:color w:val="000000"/>
        </w:rPr>
        <w:t>占地</w:t>
      </w:r>
      <w:r>
        <w:rPr>
          <w:i w:val="0"/>
          <w:iCs w:val="0"/>
          <w:color w:val="000000"/>
        </w:rPr>
        <w:t>面积</w:t>
      </w:r>
      <w:r>
        <w:rPr>
          <w:rFonts w:hint="eastAsia"/>
          <w:i w:val="0"/>
          <w:iCs w:val="0"/>
          <w:color w:val="000000"/>
        </w:rPr>
        <w:t>45936</w:t>
      </w:r>
      <w:r>
        <w:rPr>
          <w:i w:val="0"/>
          <w:iCs w:val="0"/>
          <w:color w:val="000000"/>
        </w:rPr>
        <w:t>m</w:t>
      </w:r>
      <w:r>
        <w:rPr>
          <w:i w:val="0"/>
          <w:iCs w:val="0"/>
          <w:color w:val="000000"/>
          <w:vertAlign w:val="superscript"/>
        </w:rPr>
        <w:t>2</w:t>
      </w:r>
      <w:r>
        <w:rPr>
          <w:i w:val="0"/>
          <w:iCs w:val="0"/>
          <w:color w:val="000000"/>
        </w:rPr>
        <w:t>，建筑面积为</w:t>
      </w:r>
      <w:r>
        <w:rPr>
          <w:rFonts w:hint="eastAsia"/>
          <w:i w:val="0"/>
          <w:iCs w:val="0"/>
          <w:color w:val="000000"/>
        </w:rPr>
        <w:t>40759.19</w:t>
      </w:r>
      <w:r>
        <w:rPr>
          <w:i w:val="0"/>
          <w:iCs w:val="0"/>
          <w:color w:val="000000"/>
        </w:rPr>
        <w:t>m</w:t>
      </w:r>
      <w:r>
        <w:rPr>
          <w:i w:val="0"/>
          <w:iCs w:val="0"/>
          <w:color w:val="000000"/>
          <w:vertAlign w:val="superscript"/>
        </w:rPr>
        <w:t>2</w:t>
      </w:r>
      <w:r>
        <w:rPr>
          <w:i w:val="0"/>
          <w:iCs w:val="0"/>
          <w:color w:val="000000"/>
        </w:rPr>
        <w:t>，总投资</w:t>
      </w:r>
      <w:r>
        <w:rPr>
          <w:rFonts w:hint="eastAsia"/>
          <w:i w:val="0"/>
          <w:iCs w:val="0"/>
          <w:color w:val="000000"/>
          <w:lang w:val="en-US" w:eastAsia="zh-CN"/>
        </w:rPr>
        <w:t>24000</w:t>
      </w:r>
      <w:r>
        <w:rPr>
          <w:i w:val="0"/>
          <w:iCs w:val="0"/>
          <w:color w:val="000000"/>
        </w:rPr>
        <w:t>万元人民币</w:t>
      </w:r>
      <w:r>
        <w:rPr>
          <w:rFonts w:hint="eastAsia"/>
          <w:i w:val="0"/>
          <w:iCs w:val="0"/>
          <w:color w:val="000000"/>
        </w:rPr>
        <w:t>，</w:t>
      </w:r>
      <w:r>
        <w:rPr>
          <w:i w:val="0"/>
          <w:iCs w:val="0"/>
          <w:color w:val="000000"/>
        </w:rPr>
        <w:t>环保投资</w:t>
      </w:r>
      <w:r>
        <w:rPr>
          <w:rFonts w:hint="eastAsia"/>
          <w:i w:val="0"/>
          <w:iCs w:val="0"/>
          <w:szCs w:val="18"/>
        </w:rPr>
        <w:t>774</w:t>
      </w:r>
      <w:r>
        <w:rPr>
          <w:i w:val="0"/>
          <w:iCs w:val="0"/>
          <w:color w:val="000000"/>
        </w:rPr>
        <w:t>万元，占总投资的</w:t>
      </w:r>
      <w:r>
        <w:rPr>
          <w:rFonts w:hint="eastAsia"/>
          <w:i w:val="0"/>
          <w:iCs w:val="0"/>
          <w:color w:val="000000"/>
        </w:rPr>
        <w:t>0.</w:t>
      </w:r>
      <w:r>
        <w:rPr>
          <w:rFonts w:hint="eastAsia"/>
          <w:i w:val="0"/>
          <w:iCs w:val="0"/>
          <w:color w:val="000000"/>
          <w:lang w:val="en-US" w:eastAsia="zh-CN"/>
        </w:rPr>
        <w:t>32</w:t>
      </w:r>
      <w:r>
        <w:rPr>
          <w:i w:val="0"/>
          <w:iCs w:val="0"/>
          <w:color w:val="000000"/>
        </w:rPr>
        <w:t>%</w:t>
      </w:r>
      <w:r>
        <w:rPr>
          <w:rFonts w:hint="eastAsia"/>
          <w:i w:val="0"/>
          <w:iCs w:val="0"/>
          <w:color w:val="000000"/>
        </w:rPr>
        <w:t>，</w:t>
      </w:r>
      <w:r>
        <w:rPr>
          <w:i w:val="0"/>
          <w:iCs w:val="0"/>
          <w:color w:val="000000"/>
        </w:rPr>
        <w:t>采用现代生物高密度发酵技术生产天然红法夫酵母虾青素，</w:t>
      </w:r>
      <w:r>
        <w:rPr>
          <w:rFonts w:hint="eastAsia"/>
          <w:i w:val="0"/>
          <w:iCs w:val="0"/>
          <w:color w:val="000000"/>
        </w:rPr>
        <w:t>本</w:t>
      </w:r>
      <w:r>
        <w:rPr>
          <w:i w:val="0"/>
          <w:iCs w:val="0"/>
          <w:color w:val="000000"/>
        </w:rPr>
        <w:t>项目属于国家《产业结构调整指导目录（20</w:t>
      </w:r>
      <w:r>
        <w:rPr>
          <w:rFonts w:hint="eastAsia"/>
          <w:i w:val="0"/>
          <w:iCs w:val="0"/>
          <w:color w:val="000000"/>
        </w:rPr>
        <w:t>24</w:t>
      </w:r>
      <w:r>
        <w:rPr>
          <w:i w:val="0"/>
          <w:iCs w:val="0"/>
          <w:color w:val="000000"/>
        </w:rPr>
        <w:t>年本）》中鼓励类，选址也符合城市总体规划和土地利用规划的要求。</w:t>
      </w:r>
    </w:p>
    <w:p>
      <w:pPr>
        <w:spacing w:line="360" w:lineRule="auto"/>
        <w:ind w:firstLine="480" w:firstLineChars="200"/>
        <w:rPr>
          <w:rFonts w:hint="eastAsia"/>
          <w:i w:val="0"/>
          <w:iCs w:val="0"/>
          <w:color w:val="000000"/>
        </w:rPr>
      </w:pPr>
      <w:r>
        <w:rPr>
          <w:i w:val="0"/>
          <w:iCs w:val="0"/>
          <w:color w:val="000000"/>
        </w:rPr>
        <w:t>根据《中华人民共和国环境保护法》、《中华人民共和国环境影响评价法》和《建设项目环境保护管理条例》等有关法律、法规规定，项目的建设必须执行环境影响评价制度。为此，吉林万方东巽虾青素产业科技发展有限公司于20</w:t>
      </w:r>
      <w:r>
        <w:rPr>
          <w:rFonts w:hint="eastAsia"/>
          <w:i w:val="0"/>
          <w:iCs w:val="0"/>
          <w:color w:val="000000"/>
        </w:rPr>
        <w:t>24</w:t>
      </w:r>
      <w:r>
        <w:rPr>
          <w:i w:val="0"/>
          <w:iCs w:val="0"/>
          <w:color w:val="000000"/>
        </w:rPr>
        <w:t>年</w:t>
      </w:r>
      <w:r>
        <w:rPr>
          <w:rFonts w:hint="eastAsia"/>
          <w:i w:val="0"/>
          <w:iCs w:val="0"/>
          <w:color w:val="000000"/>
        </w:rPr>
        <w:t>5</w:t>
      </w:r>
      <w:r>
        <w:rPr>
          <w:i w:val="0"/>
          <w:iCs w:val="0"/>
          <w:color w:val="000000"/>
        </w:rPr>
        <w:t>月委托吉林省元瑞环保科技有限公司承担该项目环境影响报告书的编制工作。评价单位接受委托后，认真研究了该项目的有关材料，经过踏勘现场的社会、自然环境状况，调查、收集并核实有关项目资料，通过对项目所在区域的环境特征和该项目的工程特征进行深入分析，按照环境保护有关部门的要求，编写了《年产1.2万吨天然红法夫酵母虾青素项目环境影响报告书</w:t>
      </w:r>
      <w:r>
        <w:rPr>
          <w:rFonts w:hint="eastAsia"/>
          <w:i w:val="0"/>
          <w:iCs w:val="0"/>
          <w:color w:val="000000"/>
        </w:rPr>
        <w:t>》</w:t>
      </w:r>
      <w:r>
        <w:rPr>
          <w:i w:val="0"/>
          <w:iCs w:val="0"/>
          <w:color w:val="000000"/>
        </w:rPr>
        <w:t>。</w:t>
      </w:r>
    </w:p>
    <w:p>
      <w:pPr>
        <w:pStyle w:val="4"/>
        <w:rPr>
          <w:rFonts w:hint="eastAsia" w:ascii="Times New Roman" w:hAnsi="Times New Roman" w:eastAsia="宋体"/>
          <w:b/>
          <w:i w:val="0"/>
          <w:iCs w:val="0"/>
          <w:sz w:val="28"/>
          <w:szCs w:val="28"/>
        </w:rPr>
      </w:pPr>
      <w:bookmarkStart w:id="14" w:name="_Toc14187"/>
      <w:r>
        <w:rPr>
          <w:rFonts w:hint="eastAsia" w:ascii="Times New Roman" w:hAnsi="Times New Roman" w:eastAsia="宋体"/>
          <w:b/>
          <w:i w:val="0"/>
          <w:iCs w:val="0"/>
          <w:sz w:val="28"/>
          <w:szCs w:val="28"/>
        </w:rPr>
        <w:t>1.2</w:t>
      </w:r>
      <w:r>
        <w:rPr>
          <w:rFonts w:ascii="Times New Roman" w:hAnsi="Times New Roman" w:eastAsia="宋体"/>
          <w:b/>
          <w:i w:val="0"/>
          <w:iCs w:val="0"/>
          <w:sz w:val="28"/>
          <w:szCs w:val="28"/>
        </w:rPr>
        <w:t>.建设项目特点</w:t>
      </w:r>
      <w:bookmarkEnd w:id="12"/>
      <w:bookmarkEnd w:id="13"/>
      <w:bookmarkEnd w:id="14"/>
    </w:p>
    <w:p>
      <w:pPr>
        <w:spacing w:line="360" w:lineRule="auto"/>
        <w:ind w:firstLine="480" w:firstLineChars="200"/>
        <w:rPr>
          <w:i w:val="0"/>
          <w:iCs w:val="0"/>
          <w:color w:val="000000"/>
        </w:rPr>
      </w:pPr>
      <w:bookmarkStart w:id="15" w:name="_Toc502831487"/>
      <w:bookmarkStart w:id="16" w:name="_Toc499905409"/>
      <w:r>
        <w:rPr>
          <w:rFonts w:hint="eastAsia"/>
          <w:i w:val="0"/>
          <w:iCs w:val="0"/>
          <w:color w:val="000000"/>
        </w:rPr>
        <w:t>1、</w:t>
      </w:r>
      <w:r>
        <w:rPr>
          <w:i w:val="0"/>
          <w:iCs w:val="0"/>
          <w:color w:val="000000"/>
        </w:rPr>
        <w:t>拟建项目为新建项目，位于吉林省白山市江源区</w:t>
      </w:r>
      <w:r>
        <w:rPr>
          <w:rFonts w:hint="eastAsia" w:ascii="宋体" w:hAnsi="宋体" w:cs="宋体"/>
          <w:i w:val="0"/>
          <w:iCs w:val="0"/>
          <w:kern w:val="0"/>
          <w:szCs w:val="21"/>
        </w:rPr>
        <w:t>长白山特色食药科技产业园</w:t>
      </w:r>
      <w:r>
        <w:rPr>
          <w:rFonts w:hint="eastAsia"/>
          <w:i w:val="0"/>
          <w:iCs w:val="0"/>
          <w:color w:val="000000"/>
        </w:rPr>
        <w:t>和谐</w:t>
      </w:r>
      <w:r>
        <w:rPr>
          <w:i w:val="0"/>
          <w:iCs w:val="0"/>
          <w:color w:val="000000"/>
        </w:rPr>
        <w:t>大街西侧</w:t>
      </w:r>
      <w:r>
        <w:rPr>
          <w:rFonts w:hint="eastAsia"/>
          <w:i w:val="0"/>
          <w:iCs w:val="0"/>
          <w:color w:val="000000"/>
        </w:rPr>
        <w:t>，位置详见附图1-1</w:t>
      </w:r>
      <w:r>
        <w:rPr>
          <w:i w:val="0"/>
          <w:iCs w:val="0"/>
          <w:color w:val="000000"/>
        </w:rPr>
        <w:t>，规划纬三路北侧，距</w:t>
      </w:r>
      <w:r>
        <w:rPr>
          <w:rFonts w:hint="eastAsia"/>
          <w:i w:val="0"/>
          <w:iCs w:val="0"/>
          <w:color w:val="000000"/>
        </w:rPr>
        <w:t>项目</w:t>
      </w:r>
      <w:r>
        <w:rPr>
          <w:i w:val="0"/>
          <w:iCs w:val="0"/>
          <w:color w:val="000000"/>
        </w:rPr>
        <w:t>最近</w:t>
      </w:r>
      <w:r>
        <w:rPr>
          <w:rFonts w:hint="eastAsia"/>
          <w:i w:val="0"/>
          <w:iCs w:val="0"/>
          <w:color w:val="000000"/>
        </w:rPr>
        <w:t>村庄</w:t>
      </w:r>
      <w:r>
        <w:rPr>
          <w:i w:val="0"/>
          <w:iCs w:val="0"/>
          <w:color w:val="000000"/>
        </w:rPr>
        <w:t>为</w:t>
      </w:r>
      <w:r>
        <w:rPr>
          <w:rFonts w:hint="eastAsia"/>
          <w:i w:val="0"/>
          <w:iCs w:val="0"/>
          <w:color w:val="000000"/>
        </w:rPr>
        <w:t>项目西侧20</w:t>
      </w:r>
      <w:r>
        <w:rPr>
          <w:i w:val="0"/>
          <w:iCs w:val="0"/>
          <w:color w:val="000000"/>
        </w:rPr>
        <w:t>m</w:t>
      </w:r>
      <w:r>
        <w:rPr>
          <w:rFonts w:hint="eastAsia"/>
          <w:i w:val="0"/>
          <w:iCs w:val="0"/>
          <w:color w:val="000000"/>
        </w:rPr>
        <w:t>的后大台村</w:t>
      </w:r>
      <w:r>
        <w:rPr>
          <w:i w:val="0"/>
          <w:iCs w:val="0"/>
          <w:color w:val="000000"/>
        </w:rPr>
        <w:t>；</w:t>
      </w:r>
    </w:p>
    <w:p>
      <w:pPr>
        <w:spacing w:line="360" w:lineRule="auto"/>
        <w:ind w:firstLine="480" w:firstLineChars="200"/>
        <w:rPr>
          <w:i w:val="0"/>
          <w:iCs w:val="0"/>
          <w:color w:val="000000"/>
        </w:rPr>
      </w:pPr>
      <w:r>
        <w:rPr>
          <w:rFonts w:hint="eastAsia"/>
          <w:i w:val="0"/>
          <w:iCs w:val="0"/>
          <w:color w:val="000000"/>
        </w:rPr>
        <w:t>2、</w:t>
      </w:r>
      <w:r>
        <w:rPr>
          <w:i w:val="0"/>
          <w:iCs w:val="0"/>
          <w:color w:val="000000"/>
        </w:rPr>
        <w:t>拟建项目为工业类项目，拟建地周边不存在生态敏感保护区，故本项目主要分析运营期的大气、水、声和固废对周边环境的影响；</w:t>
      </w:r>
    </w:p>
    <w:p>
      <w:pPr>
        <w:spacing w:line="360" w:lineRule="auto"/>
        <w:ind w:firstLine="480" w:firstLineChars="200"/>
        <w:rPr>
          <w:i w:val="0"/>
          <w:iCs w:val="0"/>
          <w:color w:val="000000"/>
        </w:rPr>
      </w:pPr>
      <w:r>
        <w:rPr>
          <w:rFonts w:hint="eastAsia"/>
          <w:i w:val="0"/>
          <w:iCs w:val="0"/>
          <w:color w:val="000000"/>
        </w:rPr>
        <w:t>3、</w:t>
      </w:r>
      <w:r>
        <w:rPr>
          <w:i w:val="0"/>
          <w:iCs w:val="0"/>
          <w:color w:val="000000"/>
        </w:rPr>
        <w:t>拟建项目的生产工艺主要有</w:t>
      </w:r>
      <w:r>
        <w:rPr>
          <w:rFonts w:hint="eastAsia"/>
          <w:i w:val="0"/>
          <w:iCs w:val="0"/>
          <w:color w:val="000000"/>
        </w:rPr>
        <w:t>种子扩培</w:t>
      </w:r>
      <w:r>
        <w:rPr>
          <w:i w:val="0"/>
          <w:iCs w:val="0"/>
          <w:color w:val="000000"/>
        </w:rPr>
        <w:t>、</w:t>
      </w:r>
      <w:r>
        <w:rPr>
          <w:rFonts w:hint="eastAsia"/>
          <w:i w:val="0"/>
          <w:iCs w:val="0"/>
          <w:color w:val="000000"/>
        </w:rPr>
        <w:t>发酵</w:t>
      </w:r>
      <w:r>
        <w:rPr>
          <w:i w:val="0"/>
          <w:iCs w:val="0"/>
          <w:color w:val="000000"/>
        </w:rPr>
        <w:t>、</w:t>
      </w:r>
      <w:r>
        <w:rPr>
          <w:rFonts w:hint="eastAsia"/>
          <w:i w:val="0"/>
          <w:iCs w:val="0"/>
          <w:color w:val="000000"/>
        </w:rPr>
        <w:t>菌泥分离洗涤</w:t>
      </w:r>
      <w:r>
        <w:rPr>
          <w:i w:val="0"/>
          <w:iCs w:val="0"/>
          <w:color w:val="000000"/>
        </w:rPr>
        <w:t>、</w:t>
      </w:r>
      <w:r>
        <w:rPr>
          <w:rFonts w:hint="eastAsia"/>
          <w:i w:val="0"/>
          <w:iCs w:val="0"/>
          <w:color w:val="000000"/>
        </w:rPr>
        <w:t>喷雾干燥</w:t>
      </w:r>
      <w:r>
        <w:rPr>
          <w:i w:val="0"/>
          <w:iCs w:val="0"/>
          <w:color w:val="000000"/>
        </w:rPr>
        <w:t>等</w:t>
      </w:r>
      <w:r>
        <w:rPr>
          <w:rFonts w:hint="eastAsia"/>
          <w:i w:val="0"/>
          <w:iCs w:val="0"/>
          <w:color w:val="000000"/>
        </w:rPr>
        <w:t>，</w:t>
      </w:r>
      <w:r>
        <w:rPr>
          <w:i w:val="0"/>
          <w:iCs w:val="0"/>
          <w:color w:val="000000"/>
        </w:rPr>
        <w:t>生产过程中产生一定的</w:t>
      </w:r>
      <w:r>
        <w:rPr>
          <w:rFonts w:hint="eastAsia"/>
          <w:i w:val="0"/>
          <w:iCs w:val="0"/>
          <w:color w:val="000000"/>
        </w:rPr>
        <w:t>废水、</w:t>
      </w:r>
      <w:r>
        <w:rPr>
          <w:i w:val="0"/>
          <w:iCs w:val="0"/>
          <w:color w:val="000000"/>
        </w:rPr>
        <w:t>废气、噪声及固废，本项目评价重点为大气污染物、</w:t>
      </w:r>
      <w:r>
        <w:rPr>
          <w:rFonts w:hint="eastAsia"/>
          <w:i w:val="0"/>
          <w:iCs w:val="0"/>
          <w:color w:val="000000"/>
        </w:rPr>
        <w:t>废水污染物、</w:t>
      </w:r>
      <w:r>
        <w:rPr>
          <w:i w:val="0"/>
          <w:iCs w:val="0"/>
          <w:color w:val="000000"/>
        </w:rPr>
        <w:t>噪声、固废的影响分析。</w:t>
      </w:r>
    </w:p>
    <w:p>
      <w:pPr>
        <w:pStyle w:val="4"/>
        <w:rPr>
          <w:rFonts w:ascii="Times New Roman" w:hAnsi="Times New Roman" w:eastAsia="宋体"/>
          <w:b/>
          <w:i w:val="0"/>
          <w:iCs w:val="0"/>
          <w:sz w:val="28"/>
          <w:szCs w:val="28"/>
        </w:rPr>
      </w:pPr>
      <w:bookmarkStart w:id="17" w:name="_Toc21568"/>
      <w:r>
        <w:rPr>
          <w:rFonts w:hint="eastAsia" w:ascii="Times New Roman" w:hAnsi="Times New Roman" w:eastAsia="宋体"/>
          <w:b/>
          <w:i w:val="0"/>
          <w:iCs w:val="0"/>
          <w:sz w:val="28"/>
          <w:szCs w:val="28"/>
        </w:rPr>
        <w:t>1.3</w:t>
      </w:r>
      <w:r>
        <w:rPr>
          <w:rFonts w:ascii="Times New Roman" w:hAnsi="Times New Roman" w:eastAsia="宋体"/>
          <w:b/>
          <w:i w:val="0"/>
          <w:iCs w:val="0"/>
          <w:sz w:val="28"/>
          <w:szCs w:val="28"/>
        </w:rPr>
        <w:t>评价工作程序</w:t>
      </w:r>
      <w:bookmarkEnd w:id="15"/>
      <w:bookmarkEnd w:id="16"/>
      <w:bookmarkEnd w:id="17"/>
    </w:p>
    <w:p>
      <w:pPr>
        <w:spacing w:line="360" w:lineRule="auto"/>
        <w:ind w:firstLine="480" w:firstLineChars="200"/>
        <w:rPr>
          <w:i w:val="0"/>
          <w:iCs w:val="0"/>
        </w:rPr>
      </w:pPr>
      <w:r>
        <w:rPr>
          <w:rFonts w:hint="eastAsia" w:ascii="宋体" w:hAnsi="宋体" w:cs="宋体"/>
          <w:i w:val="0"/>
          <w:iCs w:val="0"/>
        </w:rPr>
        <w:t>在本项目环境影响评价第一阶段</w:t>
      </w:r>
      <w:r>
        <w:rPr>
          <w:rFonts w:hint="eastAsia"/>
          <w:i w:val="0"/>
          <w:iCs w:val="0"/>
        </w:rPr>
        <w:t>，</w:t>
      </w:r>
      <w:r>
        <w:rPr>
          <w:i w:val="0"/>
          <w:iCs w:val="0"/>
          <w:kern w:val="0"/>
        </w:rPr>
        <w:t>根据生态环境部第</w:t>
      </w:r>
      <w:r>
        <w:rPr>
          <w:rFonts w:hint="eastAsia"/>
          <w:i w:val="0"/>
          <w:iCs w:val="0"/>
          <w:kern w:val="0"/>
        </w:rPr>
        <w:t>16</w:t>
      </w:r>
      <w:r>
        <w:rPr>
          <w:i w:val="0"/>
          <w:iCs w:val="0"/>
          <w:kern w:val="0"/>
        </w:rPr>
        <w:t>号令</w:t>
      </w:r>
      <w:r>
        <w:rPr>
          <w:rFonts w:hint="eastAsia"/>
          <w:i w:val="0"/>
          <w:iCs w:val="0"/>
          <w:kern w:val="0"/>
        </w:rPr>
        <w:t>《建设项目环境影响评价分类管理名录》（2021年版）</w:t>
      </w:r>
      <w:r>
        <w:rPr>
          <w:i w:val="0"/>
          <w:iCs w:val="0"/>
          <w:kern w:val="0"/>
        </w:rPr>
        <w:t>，本项目属于</w:t>
      </w:r>
      <w:r>
        <w:rPr>
          <w:rFonts w:hint="eastAsia"/>
          <w:i w:val="0"/>
          <w:iCs w:val="0"/>
          <w:kern w:val="0"/>
        </w:rPr>
        <w:t>“十一、食品制造业-24、其他食品制造149*（有发酵工艺的食品添加剂制造；有发酵工艺的饲料添加剂制造）”，</w:t>
      </w:r>
      <w:r>
        <w:rPr>
          <w:i w:val="0"/>
          <w:iCs w:val="0"/>
          <w:kern w:val="0"/>
        </w:rPr>
        <w:t>因此需编制环境影响报告书。</w:t>
      </w:r>
    </w:p>
    <w:p>
      <w:pPr>
        <w:spacing w:line="360" w:lineRule="auto"/>
        <w:ind w:firstLine="480" w:firstLineChars="200"/>
        <w:rPr>
          <w:i w:val="0"/>
          <w:iCs w:val="0"/>
        </w:rPr>
      </w:pPr>
      <w:r>
        <w:rPr>
          <w:i w:val="0"/>
          <w:iCs w:val="0"/>
        </w:rPr>
        <w:t>在依据环境保护法律、环境影响评价技术导则等文件的基础上，进行了初步工程分析，在初步了解项目工程之后，进行了现场调查，初步了解了区域敏感目标分布、环境质量现状（环境空气、声环境、地表水、地下水等）。</w:t>
      </w:r>
    </w:p>
    <w:p>
      <w:pPr>
        <w:spacing w:line="360" w:lineRule="auto"/>
        <w:ind w:firstLine="480" w:firstLineChars="200"/>
        <w:rPr>
          <w:i w:val="0"/>
          <w:iCs w:val="0"/>
        </w:rPr>
      </w:pPr>
      <w:r>
        <w:rPr>
          <w:i w:val="0"/>
          <w:iCs w:val="0"/>
        </w:rPr>
        <w:t>在调查了</w:t>
      </w:r>
      <w:r>
        <w:rPr>
          <w:rFonts w:hint="eastAsia"/>
          <w:i w:val="0"/>
          <w:iCs w:val="0"/>
        </w:rPr>
        <w:t>现状工程</w:t>
      </w:r>
      <w:r>
        <w:rPr>
          <w:i w:val="0"/>
          <w:iCs w:val="0"/>
        </w:rPr>
        <w:t>的基础上，识别并筛选了项目环境影响评价因子，明确了评价重点（工程分析、废水治理措施、废气治理措施）和环境保护目标（周边村屯、周围水体、地下水等）。根据工程特征及区域环境调查，确定了工作等级、评价范围及评价标准。</w:t>
      </w:r>
    </w:p>
    <w:p>
      <w:pPr>
        <w:spacing w:line="360" w:lineRule="auto"/>
        <w:ind w:firstLine="480" w:firstLineChars="200"/>
        <w:rPr>
          <w:i w:val="0"/>
          <w:iCs w:val="0"/>
        </w:rPr>
      </w:pPr>
      <w:r>
        <w:rPr>
          <w:i w:val="0"/>
          <w:iCs w:val="0"/>
        </w:rPr>
        <w:t>在确定评价工作等级、评价范围之后，根据环境影响评价技术导则要求进行环境现状调查监测与评价，根据企业提供的资料、查阅资料等完成项目工程组成、污染因素分析、污染源核算等内容。</w:t>
      </w:r>
    </w:p>
    <w:p>
      <w:pPr>
        <w:spacing w:line="360" w:lineRule="auto"/>
        <w:ind w:firstLine="480" w:firstLineChars="200"/>
        <w:rPr>
          <w:i w:val="0"/>
          <w:iCs w:val="0"/>
        </w:rPr>
      </w:pPr>
      <w:r>
        <w:rPr>
          <w:i w:val="0"/>
          <w:iCs w:val="0"/>
        </w:rPr>
        <w:t>在工程分析及环境现状调查的基础上，开展环境各个要素环境影响预测与评价。明确了项目采取的污染防治措施、风险防范措施，并论证采取措施的可行性及合理性，同时给出污染物排放清单。</w:t>
      </w:r>
    </w:p>
    <w:p>
      <w:pPr>
        <w:spacing w:line="360" w:lineRule="auto"/>
        <w:ind w:firstLine="480" w:firstLineChars="200"/>
        <w:rPr>
          <w:i w:val="0"/>
          <w:iCs w:val="0"/>
        </w:rPr>
      </w:pPr>
      <w:r>
        <w:rPr>
          <w:i w:val="0"/>
          <w:iCs w:val="0"/>
        </w:rPr>
        <w:t>在</w:t>
      </w:r>
      <w:r>
        <w:rPr>
          <w:rFonts w:hint="eastAsia"/>
          <w:i w:val="0"/>
          <w:iCs w:val="0"/>
        </w:rPr>
        <w:t>结合</w:t>
      </w:r>
      <w:r>
        <w:rPr>
          <w:i w:val="0"/>
          <w:iCs w:val="0"/>
        </w:rPr>
        <w:t>建设项目工程内容、环境质量现状、污染物排放情况、主要环境影响、环境保护措施等基础上，给出了项目建设的可行性的结论</w:t>
      </w:r>
      <w:r>
        <w:rPr>
          <w:rFonts w:hint="eastAsia"/>
          <w:i w:val="0"/>
          <w:iCs w:val="0"/>
        </w:rPr>
        <w:t>，编制完成环境影响报告书</w:t>
      </w:r>
      <w:r>
        <w:rPr>
          <w:i w:val="0"/>
          <w:iCs w:val="0"/>
        </w:rPr>
        <w:t>。</w:t>
      </w:r>
    </w:p>
    <w:p>
      <w:pPr>
        <w:spacing w:line="360" w:lineRule="auto"/>
        <w:ind w:firstLine="480" w:firstLineChars="200"/>
        <w:rPr>
          <w:i w:val="0"/>
          <w:iCs w:val="0"/>
        </w:rPr>
      </w:pPr>
      <w:r>
        <w:rPr>
          <w:i w:val="0"/>
          <w:iCs w:val="0"/>
        </w:rPr>
        <w:t>具体工作程序见图</w:t>
      </w:r>
      <w:r>
        <w:rPr>
          <w:rFonts w:hint="eastAsia"/>
          <w:i w:val="0"/>
          <w:iCs w:val="0"/>
        </w:rPr>
        <w:t>1-1</w:t>
      </w:r>
      <w:r>
        <w:rPr>
          <w:i w:val="0"/>
          <w:iCs w:val="0"/>
        </w:rPr>
        <w:t>。</w:t>
      </w:r>
    </w:p>
    <w:p>
      <w:pPr>
        <w:spacing w:line="360" w:lineRule="auto"/>
        <w:jc w:val="center"/>
        <w:rPr>
          <w:i w:val="0"/>
          <w:iCs w:val="0"/>
        </w:rPr>
      </w:pPr>
      <w:r>
        <w:rPr>
          <w:i w:val="0"/>
          <w:iCs w:val="0"/>
        </w:rPr>
        <w:drawing>
          <wp:inline distT="0" distB="0" distL="114300" distR="114300">
            <wp:extent cx="4189730" cy="5767705"/>
            <wp:effectExtent l="0" t="0" r="0" b="0"/>
            <wp:docPr id="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9"/>
                    <pic:cNvPicPr>
                      <a:picLocks noChangeAspect="1"/>
                    </pic:cNvPicPr>
                  </pic:nvPicPr>
                  <pic:blipFill>
                    <a:blip r:embed="rId21"/>
                    <a:stretch>
                      <a:fillRect/>
                    </a:stretch>
                  </pic:blipFill>
                  <pic:spPr>
                    <a:xfrm>
                      <a:off x="0" y="0"/>
                      <a:ext cx="4189730" cy="5767705"/>
                    </a:xfrm>
                    <a:prstGeom prst="rect">
                      <a:avLst/>
                    </a:prstGeom>
                    <a:noFill/>
                    <a:ln>
                      <a:noFill/>
                    </a:ln>
                  </pic:spPr>
                </pic:pic>
              </a:graphicData>
            </a:graphic>
          </wp:inline>
        </w:drawing>
      </w:r>
    </w:p>
    <w:p>
      <w:pPr>
        <w:pStyle w:val="250"/>
        <w:spacing w:line="360" w:lineRule="auto"/>
        <w:rPr>
          <w:rFonts w:ascii="Times New Roman" w:hAnsi="Times New Roman"/>
          <w:i w:val="0"/>
          <w:iCs w:val="0"/>
        </w:rPr>
      </w:pPr>
      <w:r>
        <w:rPr>
          <w:rFonts w:ascii="Times New Roman" w:hAnsi="Times New Roman"/>
          <w:i w:val="0"/>
          <w:iCs w:val="0"/>
        </w:rPr>
        <w:t>图</w:t>
      </w:r>
      <w:r>
        <w:rPr>
          <w:rFonts w:hint="eastAsia" w:ascii="Times New Roman" w:hAnsi="Times New Roman"/>
          <w:i w:val="0"/>
          <w:iCs w:val="0"/>
        </w:rPr>
        <w:t>1-1</w:t>
      </w:r>
      <w:r>
        <w:rPr>
          <w:rFonts w:ascii="Times New Roman" w:hAnsi="Times New Roman"/>
          <w:i w:val="0"/>
          <w:iCs w:val="0"/>
        </w:rPr>
        <w:t>建设项目环境影响评价工作程序图</w:t>
      </w:r>
    </w:p>
    <w:p>
      <w:pPr>
        <w:pStyle w:val="77"/>
        <w:adjustRightInd w:val="0"/>
        <w:snapToGrid w:val="0"/>
        <w:spacing w:before="0" w:beforeLines="0" w:after="0" w:afterLines="0"/>
        <w:jc w:val="both"/>
        <w:outlineLvl w:val="1"/>
        <w:rPr>
          <w:rFonts w:ascii="Times New Roman" w:hAnsi="Times New Roman" w:eastAsia="宋体"/>
          <w:b/>
          <w:i w:val="0"/>
          <w:iCs w:val="0"/>
          <w:szCs w:val="28"/>
        </w:rPr>
      </w:pPr>
      <w:bookmarkStart w:id="18" w:name="_Toc871"/>
      <w:bookmarkStart w:id="19" w:name="_Toc8428"/>
      <w:bookmarkStart w:id="20" w:name="_Toc28769"/>
      <w:bookmarkStart w:id="21" w:name="_Toc25239"/>
      <w:r>
        <w:rPr>
          <w:rFonts w:hint="eastAsia" w:ascii="Times New Roman" w:hAnsi="Times New Roman" w:eastAsia="宋体"/>
          <w:b/>
          <w:i w:val="0"/>
          <w:iCs w:val="0"/>
          <w:szCs w:val="28"/>
        </w:rPr>
        <w:t>1.4</w:t>
      </w:r>
      <w:r>
        <w:rPr>
          <w:rFonts w:ascii="Times New Roman" w:hAnsi="Times New Roman" w:eastAsia="宋体" w:cs="Times New Roman"/>
          <w:b/>
          <w:i w:val="0"/>
          <w:iCs w:val="0"/>
          <w:szCs w:val="28"/>
        </w:rPr>
        <w:t>项目与相关规划、政策的符合性</w:t>
      </w:r>
      <w:bookmarkEnd w:id="18"/>
    </w:p>
    <w:p>
      <w:pPr>
        <w:snapToGrid w:val="0"/>
        <w:spacing w:line="360" w:lineRule="auto"/>
        <w:ind w:firstLine="480" w:firstLineChars="200"/>
        <w:rPr>
          <w:rFonts w:hint="eastAsia"/>
          <w:i w:val="0"/>
          <w:iCs w:val="0"/>
        </w:rPr>
      </w:pPr>
      <w:r>
        <w:rPr>
          <w:rFonts w:hint="eastAsia"/>
          <w:i w:val="0"/>
          <w:iCs w:val="0"/>
        </w:rPr>
        <w:t>1、与《吉林省主体功能区划》相符性分析</w:t>
      </w:r>
    </w:p>
    <w:p>
      <w:pPr>
        <w:snapToGrid w:val="0"/>
        <w:spacing w:line="360" w:lineRule="auto"/>
        <w:ind w:firstLine="480" w:firstLineChars="200"/>
        <w:rPr>
          <w:rFonts w:hint="eastAsia"/>
          <w:i w:val="0"/>
          <w:iCs w:val="0"/>
        </w:rPr>
      </w:pPr>
      <w:r>
        <w:rPr>
          <w:rFonts w:hint="eastAsia"/>
          <w:i w:val="0"/>
          <w:iCs w:val="0"/>
        </w:rPr>
        <w:t>根据《吉林省人民政府关于印发吉林省主体功能区规划的通知》（吉政发[2013]13号）和《吉林省主体功能区规划》（2013年5月）的有关规定，按开发方式分为重点开发区域、限制开发区域、禁止开发区域三类；按开发内容分为城市化地区、农产品主产区和重点生态功能区。</w:t>
      </w:r>
    </w:p>
    <w:p>
      <w:pPr>
        <w:snapToGrid w:val="0"/>
        <w:spacing w:line="360" w:lineRule="auto"/>
        <w:ind w:firstLine="480" w:firstLineChars="200"/>
        <w:rPr>
          <w:rFonts w:hint="eastAsia"/>
          <w:i w:val="0"/>
          <w:iCs w:val="0"/>
        </w:rPr>
      </w:pPr>
      <w:r>
        <w:rPr>
          <w:rFonts w:hint="eastAsia"/>
          <w:i w:val="0"/>
          <w:iCs w:val="0"/>
        </w:rPr>
        <w:t>本项目位于白山市江源区，属于国家层面重点生态功能区，重点生态功能区发展方向：要以保护和修复生态环境，提供生态产品为首要任务，因地制宜发展不影响主体功能定位的适宜产业，引导超载人口逐步有序转移。本项目位于白山市江源工业经济开发区长白山特色食药科技产业园区，区内开发程度较高，项目不占用基本农田，不会影响当地的生态环境因此项目建设与《吉林省主体功能区划》具有相符性。</w:t>
      </w:r>
    </w:p>
    <w:p>
      <w:pPr>
        <w:snapToGrid w:val="0"/>
        <w:spacing w:line="360" w:lineRule="auto"/>
        <w:ind w:firstLine="480" w:firstLineChars="200"/>
        <w:rPr>
          <w:rFonts w:hint="eastAsia"/>
          <w:i w:val="0"/>
          <w:iCs w:val="0"/>
        </w:rPr>
      </w:pPr>
      <w:r>
        <w:rPr>
          <w:rFonts w:hint="eastAsia"/>
          <w:i w:val="0"/>
          <w:iCs w:val="0"/>
        </w:rPr>
        <w:t>2、</w:t>
      </w:r>
      <w:bookmarkStart w:id="22" w:name="_Ref142168868"/>
      <w:r>
        <w:rPr>
          <w:rFonts w:hint="eastAsia"/>
          <w:i w:val="0"/>
          <w:iCs w:val="0"/>
        </w:rPr>
        <w:t>与《吉林江源经济开发区总体规划（2020-2035年）》及规划环评相符性分析</w:t>
      </w:r>
      <w:bookmarkEnd w:id="22"/>
    </w:p>
    <w:p>
      <w:pPr>
        <w:pStyle w:val="24"/>
        <w:tabs>
          <w:tab w:val="left" w:pos="0"/>
          <w:tab w:val="left" w:pos="1260"/>
        </w:tabs>
        <w:spacing w:line="360" w:lineRule="auto"/>
        <w:ind w:firstLine="480"/>
        <w:jc w:val="left"/>
        <w:rPr>
          <w:rFonts w:hint="eastAsia"/>
          <w:i w:val="0"/>
          <w:iCs w:val="0"/>
        </w:rPr>
      </w:pPr>
      <w:r>
        <w:rPr>
          <w:rFonts w:hint="eastAsia"/>
          <w:i w:val="0"/>
          <w:iCs w:val="0"/>
        </w:rPr>
        <w:t>（1）吉林江源经济开发区简介</w:t>
      </w:r>
    </w:p>
    <w:p>
      <w:pPr>
        <w:pStyle w:val="24"/>
        <w:tabs>
          <w:tab w:val="left" w:pos="0"/>
          <w:tab w:val="left" w:pos="1260"/>
        </w:tabs>
        <w:spacing w:line="360" w:lineRule="auto"/>
        <w:ind w:firstLine="480"/>
        <w:jc w:val="left"/>
        <w:rPr>
          <w:rFonts w:hint="eastAsia"/>
          <w:i w:val="0"/>
          <w:iCs w:val="0"/>
        </w:rPr>
      </w:pPr>
      <w:r>
        <w:rPr>
          <w:rFonts w:hint="eastAsia"/>
          <w:i w:val="0"/>
          <w:iCs w:val="0"/>
        </w:rPr>
        <w:t>江源工业经济开发区为吉林省人民政府于2005年批准建立的省级开发区，位于白山市江源区，规划面积12.56km</w:t>
      </w:r>
      <w:r>
        <w:rPr>
          <w:rFonts w:hint="eastAsia"/>
          <w:i w:val="0"/>
          <w:iCs w:val="0"/>
          <w:vertAlign w:val="superscript"/>
        </w:rPr>
        <w:t>2</w:t>
      </w:r>
      <w:r>
        <w:rPr>
          <w:rFonts w:hint="eastAsia"/>
          <w:i w:val="0"/>
          <w:iCs w:val="0"/>
        </w:rPr>
        <w:t>。</w:t>
      </w:r>
    </w:p>
    <w:p>
      <w:pPr>
        <w:pStyle w:val="24"/>
        <w:tabs>
          <w:tab w:val="left" w:pos="0"/>
          <w:tab w:val="left" w:pos="1260"/>
        </w:tabs>
        <w:spacing w:line="360" w:lineRule="auto"/>
        <w:ind w:firstLine="480"/>
        <w:jc w:val="left"/>
        <w:rPr>
          <w:rFonts w:hint="eastAsia"/>
          <w:i w:val="0"/>
          <w:iCs w:val="0"/>
        </w:rPr>
      </w:pPr>
      <w:r>
        <w:rPr>
          <w:rFonts w:hint="eastAsia"/>
          <w:i w:val="0"/>
          <w:iCs w:val="0"/>
        </w:rPr>
        <w:t>白山市江源区人民政府于2018年7月23日印发了《关于实施“一区多园”发展模式的批复》（江源政函[2018]79号），明确现有人参生命科技产业园、煤炭循环经济产业园区全部划入江源工业经济开发区管理，园区所占地块统一纳入开发区建设规划。白山市人民政府于2018年12月14日印发了《关于调整江源工业经济开发区规划备案的函》（白山政函[2018]288号），明确调整后开发区规划面积为20.94km</w:t>
      </w:r>
      <w:r>
        <w:rPr>
          <w:rFonts w:hint="eastAsia"/>
          <w:i w:val="0"/>
          <w:iCs w:val="0"/>
          <w:vertAlign w:val="superscript"/>
        </w:rPr>
        <w:t>2</w:t>
      </w:r>
      <w:r>
        <w:rPr>
          <w:rFonts w:hint="eastAsia"/>
          <w:i w:val="0"/>
          <w:iCs w:val="0"/>
        </w:rPr>
        <w:t>，包括江源工业经济开发区、吉林人参生命科技产业园、煤化工产业园区、江源区木制品加工园区。</w:t>
      </w:r>
    </w:p>
    <w:p>
      <w:pPr>
        <w:pStyle w:val="24"/>
        <w:tabs>
          <w:tab w:val="left" w:pos="0"/>
          <w:tab w:val="left" w:pos="1260"/>
        </w:tabs>
        <w:spacing w:line="360" w:lineRule="auto"/>
        <w:ind w:firstLine="480"/>
        <w:jc w:val="left"/>
        <w:rPr>
          <w:rFonts w:hint="eastAsia"/>
          <w:i w:val="0"/>
          <w:iCs w:val="0"/>
        </w:rPr>
      </w:pPr>
      <w:r>
        <w:rPr>
          <w:rFonts w:hint="eastAsia"/>
          <w:i w:val="0"/>
          <w:iCs w:val="0"/>
        </w:rPr>
        <w:t>吉林省人民政府于2021年2月10日印发了《关于同意江源工业经济开发区晋升为省级开发区的批复》（吉政函[2021]16号），晋升后开发区名称为吉林江源经济开发区（以下简称开发区），总规划面积1310.115hm</w:t>
      </w:r>
      <w:r>
        <w:rPr>
          <w:rFonts w:hint="eastAsia"/>
          <w:i w:val="0"/>
          <w:iCs w:val="0"/>
          <w:vertAlign w:val="superscript"/>
        </w:rPr>
        <w:t>2</w:t>
      </w:r>
      <w:r>
        <w:rPr>
          <w:rFonts w:hint="eastAsia"/>
          <w:i w:val="0"/>
          <w:iCs w:val="0"/>
        </w:rPr>
        <w:t>，涵盖四个地块。</w:t>
      </w:r>
    </w:p>
    <w:p>
      <w:pPr>
        <w:pStyle w:val="24"/>
        <w:tabs>
          <w:tab w:val="left" w:pos="0"/>
          <w:tab w:val="left" w:pos="1260"/>
        </w:tabs>
        <w:spacing w:line="360" w:lineRule="auto"/>
        <w:ind w:firstLine="480"/>
        <w:jc w:val="left"/>
        <w:rPr>
          <w:rFonts w:hint="eastAsia"/>
          <w:i w:val="0"/>
          <w:iCs w:val="0"/>
        </w:rPr>
      </w:pPr>
      <w:r>
        <w:rPr>
          <w:rFonts w:hint="eastAsia"/>
          <w:i w:val="0"/>
          <w:iCs w:val="0"/>
        </w:rPr>
        <w:t>（2）功能定位</w:t>
      </w:r>
    </w:p>
    <w:p>
      <w:pPr>
        <w:pStyle w:val="24"/>
        <w:tabs>
          <w:tab w:val="left" w:pos="0"/>
          <w:tab w:val="left" w:pos="1260"/>
        </w:tabs>
        <w:spacing w:line="360" w:lineRule="auto"/>
        <w:ind w:firstLine="480"/>
        <w:jc w:val="left"/>
        <w:rPr>
          <w:i w:val="0"/>
          <w:iCs w:val="0"/>
        </w:rPr>
      </w:pPr>
      <w:r>
        <w:rPr>
          <w:i w:val="0"/>
          <w:iCs w:val="0"/>
        </w:rPr>
        <w:t>结合“一区多园”的建设目标，确定开发区功能定位为：东北东部地区的产业开放平台；吉林省绿色转型发展示范区；“白通”经济带上的创智发展新动能。</w:t>
      </w:r>
    </w:p>
    <w:p>
      <w:pPr>
        <w:pStyle w:val="24"/>
        <w:tabs>
          <w:tab w:val="left" w:pos="0"/>
          <w:tab w:val="left" w:pos="1260"/>
        </w:tabs>
        <w:spacing w:line="360" w:lineRule="auto"/>
        <w:ind w:firstLine="480"/>
        <w:jc w:val="left"/>
        <w:rPr>
          <w:i w:val="0"/>
          <w:iCs w:val="0"/>
        </w:rPr>
      </w:pPr>
      <w:r>
        <w:rPr>
          <w:i w:val="0"/>
          <w:iCs w:val="0"/>
        </w:rPr>
        <w:t>长白山特色食药科技产业园区的园区定位：规划秉承“产城融合”的发展理念，重点聚焦医药、绿色食品和科技产品的生产以及健康生活的营造，以产业化、科技化、人性化作为大健康主题的主要目标，构建“产、居、游”相融合的现代园区。规划依托园区科技产业的引领性、医药产业的联动性以及健康生活所具有的示范性，将园区打造成为开发区转型发展的新动能和产业开放的创新平台。</w:t>
      </w:r>
    </w:p>
    <w:p>
      <w:pPr>
        <w:pStyle w:val="24"/>
        <w:tabs>
          <w:tab w:val="left" w:pos="0"/>
          <w:tab w:val="left" w:pos="1260"/>
        </w:tabs>
        <w:spacing w:line="360" w:lineRule="auto"/>
        <w:ind w:firstLine="480"/>
        <w:jc w:val="left"/>
        <w:rPr>
          <w:i w:val="0"/>
          <w:iCs w:val="0"/>
        </w:rPr>
      </w:pPr>
      <w:r>
        <w:rPr>
          <w:i w:val="0"/>
          <w:iCs w:val="0"/>
        </w:rPr>
        <w:t>煤炭循环经济产业园的园区定位：发挥白山市主产冶炼焦煤的优势，结合我国“富煤、贫油、少气”的资源禀赋，规划在园区发展建设煤（矸石）建材→粉煤灰综合利用、原煤→精煤→焦化→热能利用→煤气、焦油、粗苯综合利用两条煤炭深加工产业链，将原煤价值吃干榨净，提高产品附加值，将煤炭资源优势转化为能源优势和经济优势，将园区建设成为高科技、高质量、高效益的具有中国特色的煤、建材循环发展的煤炭循环经济产业园。</w:t>
      </w:r>
    </w:p>
    <w:p>
      <w:pPr>
        <w:pStyle w:val="24"/>
        <w:tabs>
          <w:tab w:val="left" w:pos="0"/>
          <w:tab w:val="left" w:pos="1260"/>
        </w:tabs>
        <w:spacing w:line="360" w:lineRule="auto"/>
        <w:ind w:firstLine="480"/>
        <w:jc w:val="left"/>
        <w:rPr>
          <w:i w:val="0"/>
          <w:iCs w:val="0"/>
        </w:rPr>
      </w:pPr>
      <w:r>
        <w:rPr>
          <w:i w:val="0"/>
          <w:iCs w:val="0"/>
        </w:rPr>
        <w:t>木材加工园的园区定位：园区坚持“腾笼换鸟、筑巢引凤”的发展思路，利用新技术应用对原有木材初级加工产业进行升级，依托园区打造名牌产品和区域品牌，扩大产品知名度，将其建设成为江源特色木加产业基地。同时，联动国际木材原料基地，立体开发多种森林资源，打造区域木材原料储运基地。</w:t>
      </w:r>
    </w:p>
    <w:p>
      <w:pPr>
        <w:pStyle w:val="24"/>
        <w:tabs>
          <w:tab w:val="left" w:pos="0"/>
          <w:tab w:val="left" w:pos="1260"/>
        </w:tabs>
        <w:spacing w:line="360" w:lineRule="auto"/>
        <w:ind w:firstLine="480"/>
        <w:jc w:val="left"/>
        <w:rPr>
          <w:i w:val="0"/>
          <w:iCs w:val="0"/>
        </w:rPr>
      </w:pPr>
      <w:r>
        <w:rPr>
          <w:i w:val="0"/>
          <w:iCs w:val="0"/>
        </w:rPr>
        <w:t>新型建材及新材料制造产业园的园区定位：园区在聚焦产业发展的同时，不断完善生产性、生活性配套服务功能，优化生态景观空间和公共开发空间，将其打造成为生产、生活、生态“三生合一”的新型园区。</w:t>
      </w:r>
    </w:p>
    <w:p>
      <w:pPr>
        <w:pStyle w:val="24"/>
        <w:tabs>
          <w:tab w:val="left" w:pos="0"/>
          <w:tab w:val="left" w:pos="1260"/>
        </w:tabs>
        <w:spacing w:line="360" w:lineRule="auto"/>
        <w:ind w:firstLine="480"/>
        <w:jc w:val="left"/>
        <w:rPr>
          <w:i w:val="0"/>
          <w:iCs w:val="0"/>
        </w:rPr>
      </w:pPr>
      <w:r>
        <w:rPr>
          <w:i w:val="0"/>
          <w:iCs w:val="0"/>
        </w:rPr>
        <w:t>上述产业发展方向为各功能分区的主要发展方向，各功能分区的落区项目不仅限于上述产业方向，只要从环境保护角度可接受，即可考虑落区。</w:t>
      </w:r>
    </w:p>
    <w:p>
      <w:pPr>
        <w:pStyle w:val="24"/>
        <w:tabs>
          <w:tab w:val="left" w:pos="0"/>
          <w:tab w:val="left" w:pos="1260"/>
        </w:tabs>
        <w:spacing w:line="360" w:lineRule="auto"/>
        <w:ind w:firstLine="480"/>
        <w:jc w:val="left"/>
        <w:rPr>
          <w:rFonts w:hint="eastAsia"/>
          <w:i w:val="0"/>
          <w:iCs w:val="0"/>
          <w:lang w:eastAsia="zh-CN"/>
        </w:rPr>
      </w:pPr>
      <w:r>
        <w:rPr>
          <w:rFonts w:hint="eastAsia"/>
          <w:i w:val="0"/>
          <w:iCs w:val="0"/>
        </w:rPr>
        <w:t>本项目位于吉林江源经济开发区</w:t>
      </w:r>
      <w:r>
        <w:rPr>
          <w:i w:val="0"/>
          <w:iCs w:val="0"/>
        </w:rPr>
        <w:t>长白山特色食药科技产业园区</w:t>
      </w:r>
      <w:r>
        <w:rPr>
          <w:rFonts w:hint="eastAsia"/>
          <w:i w:val="0"/>
          <w:iCs w:val="0"/>
        </w:rPr>
        <w:t>，本项目非《吉林江源经济开发区生态环境准入清单》中“禁止类”、“限制类”行业，</w:t>
      </w:r>
      <w:r>
        <w:rPr>
          <w:rFonts w:hint="eastAsia"/>
          <w:i w:val="0"/>
          <w:iCs w:val="0"/>
          <w:lang w:eastAsia="zh-CN"/>
        </w:rPr>
        <w:t>符合园区产业定位。</w:t>
      </w:r>
    </w:p>
    <w:p>
      <w:pPr>
        <w:pStyle w:val="24"/>
        <w:tabs>
          <w:tab w:val="left" w:pos="0"/>
          <w:tab w:val="left" w:pos="1260"/>
        </w:tabs>
        <w:spacing w:line="360" w:lineRule="auto"/>
        <w:ind w:firstLine="480"/>
        <w:jc w:val="left"/>
        <w:rPr>
          <w:rFonts w:hint="eastAsia"/>
          <w:i w:val="0"/>
          <w:iCs w:val="0"/>
        </w:rPr>
      </w:pPr>
      <w:r>
        <w:rPr>
          <w:rFonts w:hint="eastAsia"/>
          <w:i w:val="0"/>
          <w:iCs w:val="0"/>
        </w:rPr>
        <w:t>（3）基础设施建设</w:t>
      </w:r>
    </w:p>
    <w:p>
      <w:pPr>
        <w:pStyle w:val="24"/>
        <w:tabs>
          <w:tab w:val="left" w:pos="0"/>
          <w:tab w:val="left" w:pos="1260"/>
        </w:tabs>
        <w:spacing w:line="360" w:lineRule="auto"/>
        <w:ind w:firstLine="480"/>
        <w:jc w:val="left"/>
        <w:rPr>
          <w:rFonts w:hint="default" w:ascii="Times New Roman" w:hAnsi="Times New Roman" w:eastAsia="宋体" w:cs="Times New Roman"/>
          <w:i w:val="0"/>
          <w:iCs w:val="0"/>
          <w:u w:val="single"/>
        </w:rPr>
      </w:pPr>
      <w:r>
        <w:rPr>
          <w:rFonts w:hint="default" w:ascii="Times New Roman" w:hAnsi="Times New Roman" w:eastAsia="宋体" w:cs="Times New Roman"/>
          <w:i w:val="0"/>
          <w:iCs w:val="0"/>
          <w:u w:val="single"/>
        </w:rPr>
        <w:fldChar w:fldCharType="begin"/>
      </w:r>
      <w:r>
        <w:rPr>
          <w:rFonts w:hint="default" w:ascii="Times New Roman" w:hAnsi="Times New Roman" w:eastAsia="宋体" w:cs="Times New Roman"/>
          <w:i w:val="0"/>
          <w:iCs w:val="0"/>
          <w:u w:val="single"/>
        </w:rPr>
        <w:instrText xml:space="preserve"> = 1 \* GB3 \* MERGEFORMAT </w:instrText>
      </w:r>
      <w:r>
        <w:rPr>
          <w:rFonts w:hint="default" w:ascii="Times New Roman" w:hAnsi="Times New Roman" w:eastAsia="宋体" w:cs="Times New Roman"/>
          <w:i w:val="0"/>
          <w:iCs w:val="0"/>
          <w:u w:val="single"/>
        </w:rPr>
        <w:fldChar w:fldCharType="separate"/>
      </w:r>
      <w:r>
        <w:rPr>
          <w:rFonts w:hint="eastAsia" w:ascii="Times New Roman" w:hAnsi="Times New Roman" w:eastAsia="宋体" w:cs="Times New Roman"/>
          <w:i w:val="0"/>
          <w:iCs w:val="0"/>
          <w:u w:val="single"/>
        </w:rPr>
        <w:t>①</w:t>
      </w:r>
      <w:r>
        <w:rPr>
          <w:rFonts w:hint="default" w:ascii="Times New Roman" w:hAnsi="Times New Roman" w:eastAsia="宋体" w:cs="Times New Roman"/>
          <w:i w:val="0"/>
          <w:iCs w:val="0"/>
          <w:u w:val="single"/>
        </w:rPr>
        <w:fldChar w:fldCharType="end"/>
      </w:r>
      <w:r>
        <w:rPr>
          <w:rFonts w:hint="default" w:ascii="Times New Roman" w:hAnsi="Times New Roman" w:eastAsia="宋体" w:cs="Times New Roman"/>
          <w:i w:val="0"/>
          <w:iCs w:val="0"/>
          <w:u w:val="single"/>
        </w:rPr>
        <w:t>给水工程规划</w:t>
      </w:r>
    </w:p>
    <w:p>
      <w:pPr>
        <w:spacing w:line="400" w:lineRule="exact"/>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fldChar w:fldCharType="begin"/>
      </w:r>
      <w:r>
        <w:rPr>
          <w:rFonts w:hint="default" w:ascii="Times New Roman" w:hAnsi="Times New Roman" w:cs="Times New Roman"/>
          <w:i w:val="0"/>
          <w:iCs w:val="0"/>
          <w:color w:val="auto"/>
          <w:sz w:val="24"/>
          <w:u w:val="single"/>
        </w:rPr>
        <w:instrText xml:space="preserve"> = 1 \* ROMAN \* MERGEFORMAT </w:instrText>
      </w:r>
      <w:r>
        <w:rPr>
          <w:rFonts w:hint="default" w:ascii="Times New Roman" w:hAnsi="Times New Roman" w:cs="Times New Roman"/>
          <w:i w:val="0"/>
          <w:iCs w:val="0"/>
          <w:color w:val="auto"/>
          <w:sz w:val="24"/>
          <w:u w:val="single"/>
        </w:rPr>
        <w:fldChar w:fldCharType="separate"/>
      </w:r>
      <w:r>
        <w:rPr>
          <w:i w:val="0"/>
          <w:iCs w:val="0"/>
          <w:u w:val="single"/>
        </w:rPr>
        <w:t>I</w:t>
      </w:r>
      <w:r>
        <w:rPr>
          <w:rFonts w:hint="default" w:ascii="Times New Roman" w:hAnsi="Times New Roman" w:cs="Times New Roman"/>
          <w:i w:val="0"/>
          <w:iCs w:val="0"/>
          <w:color w:val="auto"/>
          <w:sz w:val="24"/>
          <w:u w:val="single"/>
        </w:rPr>
        <w:fldChar w:fldCharType="end"/>
      </w:r>
      <w:r>
        <w:rPr>
          <w:rFonts w:hint="eastAsia" w:ascii="Times New Roman" w:hAnsi="Times New Roman" w:cs="Times New Roman"/>
          <w:i w:val="0"/>
          <w:iCs w:val="0"/>
          <w:color w:val="auto"/>
          <w:sz w:val="24"/>
          <w:u w:val="single"/>
          <w:lang w:eastAsia="zh-CN"/>
        </w:rPr>
        <w:t>、</w:t>
      </w:r>
      <w:r>
        <w:rPr>
          <w:rFonts w:hint="default" w:ascii="Times New Roman" w:hAnsi="Times New Roman" w:cs="Times New Roman"/>
          <w:i w:val="0"/>
          <w:iCs w:val="0"/>
          <w:color w:val="auto"/>
          <w:sz w:val="24"/>
          <w:u w:val="single"/>
        </w:rPr>
        <w:t>规划目标</w:t>
      </w:r>
    </w:p>
    <w:p>
      <w:pPr>
        <w:spacing w:line="400" w:lineRule="exact"/>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规划近期和远期供水普及率均达到100%，供水水质合格率均达到100%。</w:t>
      </w:r>
    </w:p>
    <w:p>
      <w:pPr>
        <w:spacing w:line="400" w:lineRule="exact"/>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fldChar w:fldCharType="begin"/>
      </w:r>
      <w:r>
        <w:rPr>
          <w:rFonts w:hint="default" w:ascii="Times New Roman" w:hAnsi="Times New Roman" w:cs="Times New Roman"/>
          <w:i w:val="0"/>
          <w:iCs w:val="0"/>
          <w:color w:val="auto"/>
          <w:sz w:val="24"/>
          <w:u w:val="single"/>
        </w:rPr>
        <w:instrText xml:space="preserve"> = 2 \* ROMAN \* MERGEFORMAT </w:instrText>
      </w:r>
      <w:r>
        <w:rPr>
          <w:rFonts w:hint="default" w:ascii="Times New Roman" w:hAnsi="Times New Roman" w:cs="Times New Roman"/>
          <w:i w:val="0"/>
          <w:iCs w:val="0"/>
          <w:color w:val="auto"/>
          <w:sz w:val="24"/>
          <w:u w:val="single"/>
        </w:rPr>
        <w:fldChar w:fldCharType="separate"/>
      </w:r>
      <w:r>
        <w:rPr>
          <w:i w:val="0"/>
          <w:iCs w:val="0"/>
          <w:u w:val="single"/>
        </w:rPr>
        <w:t>II</w:t>
      </w:r>
      <w:r>
        <w:rPr>
          <w:rFonts w:hint="default" w:ascii="Times New Roman" w:hAnsi="Times New Roman" w:cs="Times New Roman"/>
          <w:i w:val="0"/>
          <w:iCs w:val="0"/>
          <w:color w:val="auto"/>
          <w:sz w:val="24"/>
          <w:u w:val="single"/>
        </w:rPr>
        <w:fldChar w:fldCharType="end"/>
      </w:r>
      <w:r>
        <w:rPr>
          <w:rFonts w:hint="eastAsia" w:ascii="Times New Roman" w:hAnsi="Times New Roman" w:cs="Times New Roman"/>
          <w:i w:val="0"/>
          <w:iCs w:val="0"/>
          <w:color w:val="auto"/>
          <w:sz w:val="24"/>
          <w:u w:val="single"/>
          <w:lang w:eastAsia="zh-CN"/>
        </w:rPr>
        <w:t>、</w:t>
      </w:r>
      <w:r>
        <w:rPr>
          <w:rFonts w:hint="default" w:ascii="Times New Roman" w:hAnsi="Times New Roman" w:cs="Times New Roman"/>
          <w:i w:val="0"/>
          <w:iCs w:val="0"/>
          <w:color w:val="auto"/>
          <w:sz w:val="24"/>
          <w:u w:val="single"/>
        </w:rPr>
        <w:t>用水量预测</w:t>
      </w:r>
    </w:p>
    <w:p>
      <w:pPr>
        <w:spacing w:line="400" w:lineRule="exact"/>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按照《城市给水工程规划规范》（GB50282-2016）的规定，规划用水量预测采用不同类别用地用水量指标法。</w:t>
      </w:r>
    </w:p>
    <w:p>
      <w:pPr>
        <w:jc w:val="center"/>
        <w:rPr>
          <w:rFonts w:hint="default" w:ascii="Times New Roman" w:hAnsi="Times New Roman" w:cs="Times New Roman"/>
          <w:b/>
          <w:bCs/>
          <w:i w:val="0"/>
          <w:iCs w:val="0"/>
          <w:color w:val="auto"/>
          <w:szCs w:val="21"/>
          <w:u w:val="single"/>
        </w:rPr>
      </w:pPr>
      <w:r>
        <w:rPr>
          <w:rFonts w:hint="default" w:ascii="Times New Roman" w:hAnsi="Times New Roman" w:cs="Times New Roman"/>
          <w:b/>
          <w:bCs/>
          <w:i w:val="0"/>
          <w:iCs w:val="0"/>
          <w:color w:val="auto"/>
          <w:szCs w:val="21"/>
          <w:u w:val="single"/>
        </w:rPr>
        <w:t>表</w:t>
      </w:r>
      <w:r>
        <w:rPr>
          <w:rFonts w:hint="eastAsia" w:cs="Times New Roman"/>
          <w:b/>
          <w:bCs/>
          <w:i w:val="0"/>
          <w:iCs w:val="0"/>
          <w:color w:val="auto"/>
          <w:szCs w:val="21"/>
          <w:u w:val="single"/>
          <w:lang w:val="en-US" w:eastAsia="zh-CN"/>
        </w:rPr>
        <w:t>1-1</w:t>
      </w:r>
      <w:r>
        <w:rPr>
          <w:rFonts w:hint="default" w:ascii="Times New Roman" w:hAnsi="Times New Roman" w:cs="Times New Roman"/>
          <w:b/>
          <w:bCs/>
          <w:i w:val="0"/>
          <w:iCs w:val="0"/>
          <w:color w:val="auto"/>
          <w:szCs w:val="21"/>
          <w:u w:val="single"/>
        </w:rPr>
        <w:t>开发区近期（2025年）用水量预测表</w:t>
      </w:r>
    </w:p>
    <w:tbl>
      <w:tblPr>
        <w:tblStyle w:val="5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2"/>
        <w:gridCol w:w="2005"/>
        <w:gridCol w:w="1254"/>
        <w:gridCol w:w="977"/>
        <w:gridCol w:w="1025"/>
        <w:gridCol w:w="1311"/>
        <w:gridCol w:w="1008"/>
        <w:gridCol w:w="10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319" w:type="pct"/>
            <w:gridSpan w:val="2"/>
            <w:vMerge w:val="restart"/>
            <w:noWrap/>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用地名称</w:t>
            </w:r>
          </w:p>
        </w:tc>
        <w:tc>
          <w:tcPr>
            <w:tcW w:w="1808" w:type="pct"/>
            <w:gridSpan w:val="3"/>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eastAsia="宋体" w:cs="Times New Roman"/>
                <w:i w:val="0"/>
                <w:iCs w:val="0"/>
                <w:color w:val="auto"/>
                <w:kern w:val="0"/>
                <w:sz w:val="18"/>
                <w:szCs w:val="18"/>
                <w:u w:val="single"/>
              </w:rPr>
              <w:t>江源片区</w:t>
            </w:r>
          </w:p>
        </w:tc>
        <w:tc>
          <w:tcPr>
            <w:tcW w:w="1872" w:type="pct"/>
            <w:gridSpan w:val="3"/>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eastAsia="宋体" w:cs="Times New Roman"/>
                <w:i w:val="0"/>
                <w:iCs w:val="0"/>
                <w:color w:val="auto"/>
                <w:kern w:val="0"/>
                <w:sz w:val="18"/>
                <w:szCs w:val="18"/>
                <w:u w:val="single"/>
              </w:rPr>
              <w:t>石人镇片区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319" w:type="pct"/>
            <w:gridSpan w:val="2"/>
            <w:vMerge w:val="continue"/>
            <w:noWrap/>
            <w:vAlign w:val="center"/>
          </w:tcPr>
          <w:p>
            <w:pPr>
              <w:widowControl/>
              <w:jc w:val="center"/>
              <w:rPr>
                <w:rFonts w:hint="default" w:ascii="Times New Roman" w:hAnsi="Times New Roman" w:cs="Times New Roman"/>
                <w:i w:val="0"/>
                <w:iCs w:val="0"/>
                <w:color w:val="auto"/>
                <w:kern w:val="0"/>
                <w:sz w:val="18"/>
                <w:szCs w:val="18"/>
                <w:u w:val="single"/>
              </w:rPr>
            </w:pPr>
          </w:p>
        </w:tc>
        <w:tc>
          <w:tcPr>
            <w:tcW w:w="696"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用水定额（m</w:t>
            </w:r>
            <w:r>
              <w:rPr>
                <w:rFonts w:hint="default" w:ascii="Times New Roman" w:hAnsi="Times New Roman" w:cs="Times New Roman"/>
                <w:i w:val="0"/>
                <w:iCs w:val="0"/>
                <w:color w:val="auto"/>
                <w:kern w:val="0"/>
                <w:sz w:val="18"/>
                <w:szCs w:val="18"/>
                <w:u w:val="single"/>
                <w:vertAlign w:val="superscript"/>
              </w:rPr>
              <w:t>3</w:t>
            </w:r>
            <w:r>
              <w:rPr>
                <w:rFonts w:hint="default" w:ascii="Times New Roman" w:hAnsi="Times New Roman" w:cs="Times New Roman"/>
                <w:i w:val="0"/>
                <w:iCs w:val="0"/>
                <w:color w:val="auto"/>
                <w:kern w:val="0"/>
                <w:sz w:val="18"/>
                <w:szCs w:val="18"/>
                <w:u w:val="single"/>
              </w:rPr>
              <w:t>/km</w:t>
            </w:r>
            <w:r>
              <w:rPr>
                <w:rFonts w:hint="default" w:ascii="Times New Roman" w:hAnsi="Times New Roman" w:cs="Times New Roman"/>
                <w:i w:val="0"/>
                <w:iCs w:val="0"/>
                <w:color w:val="auto"/>
                <w:kern w:val="0"/>
                <w:sz w:val="18"/>
                <w:szCs w:val="18"/>
                <w:u w:val="single"/>
                <w:vertAlign w:val="superscript"/>
              </w:rPr>
              <w:t>2</w:t>
            </w:r>
            <w:r>
              <w:rPr>
                <w:rFonts w:hint="default" w:ascii="Times New Roman" w:hAnsi="Times New Roman" w:cs="Times New Roman"/>
                <w:i w:val="0"/>
                <w:iCs w:val="0"/>
                <w:color w:val="auto"/>
                <w:kern w:val="0"/>
                <w:sz w:val="18"/>
                <w:szCs w:val="18"/>
                <w:u w:val="single"/>
              </w:rPr>
              <w:t>•d）</w:t>
            </w:r>
          </w:p>
        </w:tc>
        <w:tc>
          <w:tcPr>
            <w:tcW w:w="543"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用地面积（km</w:t>
            </w:r>
            <w:r>
              <w:rPr>
                <w:rFonts w:hint="default" w:ascii="Times New Roman" w:hAnsi="Times New Roman" w:cs="Times New Roman"/>
                <w:i w:val="0"/>
                <w:iCs w:val="0"/>
                <w:color w:val="auto"/>
                <w:kern w:val="0"/>
                <w:sz w:val="18"/>
                <w:szCs w:val="18"/>
                <w:u w:val="single"/>
                <w:vertAlign w:val="superscript"/>
              </w:rPr>
              <w:t>2</w:t>
            </w:r>
            <w:r>
              <w:rPr>
                <w:rFonts w:hint="default" w:ascii="Times New Roman" w:hAnsi="Times New Roman" w:cs="Times New Roman"/>
                <w:i w:val="0"/>
                <w:iCs w:val="0"/>
                <w:color w:val="auto"/>
                <w:kern w:val="0"/>
                <w:sz w:val="18"/>
                <w:szCs w:val="18"/>
                <w:u w:val="single"/>
              </w:rPr>
              <w:t>）</w:t>
            </w:r>
          </w:p>
        </w:tc>
        <w:tc>
          <w:tcPr>
            <w:tcW w:w="567"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用水量（</w:t>
            </w:r>
            <w:r>
              <w:rPr>
                <w:rFonts w:hint="default" w:ascii="Times New Roman" w:hAnsi="Times New Roman" w:cs="Times New Roman"/>
                <w:i w:val="0"/>
                <w:iCs w:val="0"/>
                <w:color w:val="auto"/>
                <w:sz w:val="18"/>
                <w:szCs w:val="18"/>
                <w:u w:val="single"/>
              </w:rPr>
              <w:t>m</w:t>
            </w:r>
            <w:r>
              <w:rPr>
                <w:rFonts w:hint="default" w:ascii="Times New Roman" w:hAnsi="Times New Roman" w:cs="Times New Roman"/>
                <w:i w:val="0"/>
                <w:iCs w:val="0"/>
                <w:color w:val="auto"/>
                <w:sz w:val="18"/>
                <w:szCs w:val="18"/>
                <w:u w:val="single"/>
                <w:vertAlign w:val="superscript"/>
              </w:rPr>
              <w:t>3</w:t>
            </w:r>
            <w:r>
              <w:rPr>
                <w:rFonts w:hint="default" w:ascii="Times New Roman" w:hAnsi="Times New Roman" w:cs="Times New Roman"/>
                <w:i w:val="0"/>
                <w:iCs w:val="0"/>
                <w:color w:val="auto"/>
                <w:kern w:val="0"/>
                <w:sz w:val="18"/>
                <w:szCs w:val="18"/>
                <w:u w:val="single"/>
              </w:rPr>
              <w:t>/d）</w:t>
            </w:r>
          </w:p>
        </w:tc>
        <w:tc>
          <w:tcPr>
            <w:tcW w:w="728"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用水定额（m</w:t>
            </w:r>
            <w:r>
              <w:rPr>
                <w:rFonts w:hint="default" w:ascii="Times New Roman" w:hAnsi="Times New Roman" w:cs="Times New Roman"/>
                <w:i w:val="0"/>
                <w:iCs w:val="0"/>
                <w:color w:val="auto"/>
                <w:kern w:val="0"/>
                <w:sz w:val="18"/>
                <w:szCs w:val="18"/>
                <w:u w:val="single"/>
                <w:vertAlign w:val="superscript"/>
              </w:rPr>
              <w:t>3</w:t>
            </w:r>
            <w:r>
              <w:rPr>
                <w:rFonts w:hint="default" w:ascii="Times New Roman" w:hAnsi="Times New Roman" w:cs="Times New Roman"/>
                <w:i w:val="0"/>
                <w:iCs w:val="0"/>
                <w:color w:val="auto"/>
                <w:kern w:val="0"/>
                <w:sz w:val="18"/>
                <w:szCs w:val="18"/>
                <w:u w:val="single"/>
              </w:rPr>
              <w:t>/km</w:t>
            </w:r>
            <w:r>
              <w:rPr>
                <w:rFonts w:hint="default" w:ascii="Times New Roman" w:hAnsi="Times New Roman" w:cs="Times New Roman"/>
                <w:i w:val="0"/>
                <w:iCs w:val="0"/>
                <w:color w:val="auto"/>
                <w:kern w:val="0"/>
                <w:sz w:val="18"/>
                <w:szCs w:val="18"/>
                <w:u w:val="single"/>
                <w:vertAlign w:val="superscript"/>
              </w:rPr>
              <w:t>2</w:t>
            </w:r>
            <w:r>
              <w:rPr>
                <w:rFonts w:hint="default" w:ascii="Times New Roman" w:hAnsi="Times New Roman" w:cs="Times New Roman"/>
                <w:i w:val="0"/>
                <w:iCs w:val="0"/>
                <w:color w:val="auto"/>
                <w:kern w:val="0"/>
                <w:sz w:val="18"/>
                <w:szCs w:val="18"/>
                <w:u w:val="single"/>
              </w:rPr>
              <w:t>•d）</w:t>
            </w:r>
          </w:p>
        </w:tc>
        <w:tc>
          <w:tcPr>
            <w:tcW w:w="560"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用地面积（km</w:t>
            </w:r>
            <w:r>
              <w:rPr>
                <w:rFonts w:hint="default" w:ascii="Times New Roman" w:hAnsi="Times New Roman" w:cs="Times New Roman"/>
                <w:i w:val="0"/>
                <w:iCs w:val="0"/>
                <w:color w:val="auto"/>
                <w:kern w:val="0"/>
                <w:sz w:val="18"/>
                <w:szCs w:val="18"/>
                <w:u w:val="single"/>
                <w:vertAlign w:val="superscript"/>
              </w:rPr>
              <w:t>2</w:t>
            </w:r>
            <w:r>
              <w:rPr>
                <w:rFonts w:hint="default" w:ascii="Times New Roman" w:hAnsi="Times New Roman" w:cs="Times New Roman"/>
                <w:i w:val="0"/>
                <w:iCs w:val="0"/>
                <w:color w:val="auto"/>
                <w:kern w:val="0"/>
                <w:sz w:val="18"/>
                <w:szCs w:val="18"/>
                <w:u w:val="single"/>
              </w:rPr>
              <w:t>）</w:t>
            </w:r>
          </w:p>
        </w:tc>
        <w:tc>
          <w:tcPr>
            <w:tcW w:w="583" w:type="pct"/>
            <w:noWrap/>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用水量（</w:t>
            </w:r>
            <w:r>
              <w:rPr>
                <w:rFonts w:hint="default" w:ascii="Times New Roman" w:hAnsi="Times New Roman" w:cs="Times New Roman"/>
                <w:i w:val="0"/>
                <w:iCs w:val="0"/>
                <w:color w:val="auto"/>
                <w:sz w:val="18"/>
                <w:szCs w:val="18"/>
                <w:u w:val="single"/>
              </w:rPr>
              <w:t>m</w:t>
            </w:r>
            <w:r>
              <w:rPr>
                <w:rFonts w:hint="default" w:ascii="Times New Roman" w:hAnsi="Times New Roman" w:cs="Times New Roman"/>
                <w:i w:val="0"/>
                <w:iCs w:val="0"/>
                <w:color w:val="auto"/>
                <w:sz w:val="18"/>
                <w:szCs w:val="18"/>
                <w:u w:val="single"/>
                <w:vertAlign w:val="superscript"/>
              </w:rPr>
              <w:t>3</w:t>
            </w:r>
            <w:r>
              <w:rPr>
                <w:rFonts w:hint="default" w:ascii="Times New Roman" w:hAnsi="Times New Roman" w:cs="Times New Roman"/>
                <w:i w:val="0"/>
                <w:iCs w:val="0"/>
                <w:color w:val="auto"/>
                <w:kern w:val="0"/>
                <w:sz w:val="18"/>
                <w:szCs w:val="18"/>
                <w:u w:val="single"/>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06" w:type="pct"/>
            <w:noWrap/>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R</w:t>
            </w:r>
          </w:p>
        </w:tc>
        <w:tc>
          <w:tcPr>
            <w:tcW w:w="1113" w:type="pct"/>
            <w:noWrap/>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居住用地</w:t>
            </w:r>
          </w:p>
        </w:tc>
        <w:tc>
          <w:tcPr>
            <w:tcW w:w="696" w:type="pct"/>
            <w:noWrap/>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4500</w:t>
            </w:r>
          </w:p>
        </w:tc>
        <w:tc>
          <w:tcPr>
            <w:tcW w:w="543"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0.2525</w:t>
            </w:r>
          </w:p>
        </w:tc>
        <w:tc>
          <w:tcPr>
            <w:tcW w:w="567"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1136.25</w:t>
            </w:r>
          </w:p>
        </w:tc>
        <w:tc>
          <w:tcPr>
            <w:tcW w:w="728"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4500</w:t>
            </w:r>
          </w:p>
        </w:tc>
        <w:tc>
          <w:tcPr>
            <w:tcW w:w="560"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0.4021</w:t>
            </w:r>
          </w:p>
        </w:tc>
        <w:tc>
          <w:tcPr>
            <w:tcW w:w="583"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1809.45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06" w:type="pct"/>
            <w:noWrap/>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A</w:t>
            </w:r>
          </w:p>
        </w:tc>
        <w:tc>
          <w:tcPr>
            <w:tcW w:w="1113" w:type="pct"/>
            <w:noWrap/>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公共管理与公共服务设施用地</w:t>
            </w:r>
          </w:p>
        </w:tc>
        <w:tc>
          <w:tcPr>
            <w:tcW w:w="696" w:type="pct"/>
            <w:noWrap/>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5000</w:t>
            </w:r>
          </w:p>
        </w:tc>
        <w:tc>
          <w:tcPr>
            <w:tcW w:w="543"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0.12</w:t>
            </w:r>
          </w:p>
        </w:tc>
        <w:tc>
          <w:tcPr>
            <w:tcW w:w="567"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600</w:t>
            </w:r>
          </w:p>
        </w:tc>
        <w:tc>
          <w:tcPr>
            <w:tcW w:w="728"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5000</w:t>
            </w:r>
          </w:p>
        </w:tc>
        <w:tc>
          <w:tcPr>
            <w:tcW w:w="560"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0.1417</w:t>
            </w:r>
          </w:p>
        </w:tc>
        <w:tc>
          <w:tcPr>
            <w:tcW w:w="583"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708.5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06" w:type="pct"/>
            <w:noWrap/>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M</w:t>
            </w:r>
          </w:p>
        </w:tc>
        <w:tc>
          <w:tcPr>
            <w:tcW w:w="1113" w:type="pct"/>
            <w:noWrap/>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工业用地</w:t>
            </w:r>
          </w:p>
        </w:tc>
        <w:tc>
          <w:tcPr>
            <w:tcW w:w="696" w:type="pct"/>
            <w:noWrap/>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3500</w:t>
            </w:r>
          </w:p>
        </w:tc>
        <w:tc>
          <w:tcPr>
            <w:tcW w:w="543"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5.046</w:t>
            </w:r>
          </w:p>
        </w:tc>
        <w:tc>
          <w:tcPr>
            <w:tcW w:w="567"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17661</w:t>
            </w:r>
          </w:p>
        </w:tc>
        <w:tc>
          <w:tcPr>
            <w:tcW w:w="728"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3500</w:t>
            </w:r>
          </w:p>
        </w:tc>
        <w:tc>
          <w:tcPr>
            <w:tcW w:w="560"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0.44</w:t>
            </w:r>
          </w:p>
        </w:tc>
        <w:tc>
          <w:tcPr>
            <w:tcW w:w="583"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1540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06" w:type="pct"/>
            <w:noWrap/>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W</w:t>
            </w:r>
          </w:p>
        </w:tc>
        <w:tc>
          <w:tcPr>
            <w:tcW w:w="1113" w:type="pct"/>
            <w:noWrap/>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物流仓储用地</w:t>
            </w:r>
          </w:p>
        </w:tc>
        <w:tc>
          <w:tcPr>
            <w:tcW w:w="696" w:type="pct"/>
            <w:noWrap/>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eastAsia="宋体" w:cs="Times New Roman"/>
                <w:i w:val="0"/>
                <w:iCs w:val="0"/>
                <w:color w:val="auto"/>
                <w:kern w:val="0"/>
                <w:sz w:val="18"/>
                <w:szCs w:val="18"/>
                <w:u w:val="single"/>
              </w:rPr>
              <w:t>2500</w:t>
            </w:r>
          </w:p>
        </w:tc>
        <w:tc>
          <w:tcPr>
            <w:tcW w:w="543"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0.0348</w:t>
            </w:r>
          </w:p>
        </w:tc>
        <w:tc>
          <w:tcPr>
            <w:tcW w:w="567"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87</w:t>
            </w:r>
          </w:p>
        </w:tc>
        <w:tc>
          <w:tcPr>
            <w:tcW w:w="728"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eastAsia="宋体" w:cs="Times New Roman"/>
                <w:i w:val="0"/>
                <w:iCs w:val="0"/>
                <w:color w:val="auto"/>
                <w:kern w:val="0"/>
                <w:sz w:val="18"/>
                <w:szCs w:val="18"/>
                <w:u w:val="single"/>
              </w:rPr>
              <w:t>2500</w:t>
            </w:r>
          </w:p>
        </w:tc>
        <w:tc>
          <w:tcPr>
            <w:tcW w:w="560"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eastAsia="宋体" w:cs="Times New Roman"/>
                <w:i w:val="0"/>
                <w:iCs w:val="0"/>
                <w:color w:val="auto"/>
                <w:kern w:val="0"/>
                <w:sz w:val="18"/>
                <w:szCs w:val="18"/>
                <w:u w:val="single"/>
              </w:rPr>
              <w:t>--</w:t>
            </w:r>
          </w:p>
        </w:tc>
        <w:tc>
          <w:tcPr>
            <w:tcW w:w="583"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eastAsia="宋体" w:cs="Times New Roman"/>
                <w:i w:val="0"/>
                <w:iCs w:val="0"/>
                <w:color w:val="auto"/>
                <w:kern w:val="0"/>
                <w:sz w:val="18"/>
                <w:szCs w:val="18"/>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06" w:type="pct"/>
            <w:noWrap/>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S</w:t>
            </w:r>
          </w:p>
        </w:tc>
        <w:tc>
          <w:tcPr>
            <w:tcW w:w="1113" w:type="pct"/>
            <w:noWrap/>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道路与交通设施用地</w:t>
            </w:r>
          </w:p>
        </w:tc>
        <w:tc>
          <w:tcPr>
            <w:tcW w:w="696" w:type="pct"/>
            <w:noWrap/>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1500</w:t>
            </w:r>
          </w:p>
        </w:tc>
        <w:tc>
          <w:tcPr>
            <w:tcW w:w="543"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1.5156</w:t>
            </w:r>
          </w:p>
        </w:tc>
        <w:tc>
          <w:tcPr>
            <w:tcW w:w="567"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2273.4</w:t>
            </w:r>
          </w:p>
        </w:tc>
        <w:tc>
          <w:tcPr>
            <w:tcW w:w="728"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1500</w:t>
            </w:r>
          </w:p>
        </w:tc>
        <w:tc>
          <w:tcPr>
            <w:tcW w:w="560"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0.527</w:t>
            </w:r>
          </w:p>
        </w:tc>
        <w:tc>
          <w:tcPr>
            <w:tcW w:w="583"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790.5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06" w:type="pct"/>
            <w:noWrap/>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U</w:t>
            </w:r>
          </w:p>
        </w:tc>
        <w:tc>
          <w:tcPr>
            <w:tcW w:w="1113" w:type="pct"/>
            <w:noWrap/>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公用设施用地</w:t>
            </w:r>
          </w:p>
        </w:tc>
        <w:tc>
          <w:tcPr>
            <w:tcW w:w="696" w:type="pct"/>
            <w:noWrap/>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5000</w:t>
            </w:r>
          </w:p>
        </w:tc>
        <w:tc>
          <w:tcPr>
            <w:tcW w:w="543"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0.1873</w:t>
            </w:r>
          </w:p>
        </w:tc>
        <w:tc>
          <w:tcPr>
            <w:tcW w:w="567"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936.5</w:t>
            </w:r>
          </w:p>
        </w:tc>
        <w:tc>
          <w:tcPr>
            <w:tcW w:w="728"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5000</w:t>
            </w:r>
          </w:p>
        </w:tc>
        <w:tc>
          <w:tcPr>
            <w:tcW w:w="560"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0.0611</w:t>
            </w:r>
          </w:p>
        </w:tc>
        <w:tc>
          <w:tcPr>
            <w:tcW w:w="583"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305.5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06" w:type="pct"/>
            <w:noWrap/>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G</w:t>
            </w:r>
          </w:p>
        </w:tc>
        <w:tc>
          <w:tcPr>
            <w:tcW w:w="1113" w:type="pct"/>
            <w:noWrap/>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绿地与广场用地</w:t>
            </w:r>
          </w:p>
        </w:tc>
        <w:tc>
          <w:tcPr>
            <w:tcW w:w="696" w:type="pct"/>
            <w:noWrap/>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1000</w:t>
            </w:r>
          </w:p>
        </w:tc>
        <w:tc>
          <w:tcPr>
            <w:tcW w:w="543"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0.0741</w:t>
            </w:r>
          </w:p>
        </w:tc>
        <w:tc>
          <w:tcPr>
            <w:tcW w:w="567"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74.1</w:t>
            </w:r>
          </w:p>
        </w:tc>
        <w:tc>
          <w:tcPr>
            <w:tcW w:w="728"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1000</w:t>
            </w:r>
          </w:p>
        </w:tc>
        <w:tc>
          <w:tcPr>
            <w:tcW w:w="560"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0.2675</w:t>
            </w:r>
          </w:p>
        </w:tc>
        <w:tc>
          <w:tcPr>
            <w:tcW w:w="583"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267.5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19" w:type="pct"/>
            <w:gridSpan w:val="2"/>
            <w:noWrap/>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未预见水量</w:t>
            </w:r>
          </w:p>
        </w:tc>
        <w:tc>
          <w:tcPr>
            <w:tcW w:w="696" w:type="pct"/>
            <w:noWrap/>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取以上用水量的10%</w:t>
            </w:r>
          </w:p>
        </w:tc>
        <w:tc>
          <w:tcPr>
            <w:tcW w:w="543"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eastAsia="宋体" w:cs="Times New Roman"/>
                <w:i w:val="0"/>
                <w:iCs w:val="0"/>
                <w:color w:val="auto"/>
                <w:kern w:val="0"/>
                <w:sz w:val="18"/>
                <w:szCs w:val="18"/>
                <w:u w:val="single"/>
              </w:rPr>
              <w:t>--</w:t>
            </w:r>
          </w:p>
        </w:tc>
        <w:tc>
          <w:tcPr>
            <w:tcW w:w="567"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2276.8</w:t>
            </w:r>
          </w:p>
        </w:tc>
        <w:tc>
          <w:tcPr>
            <w:tcW w:w="728"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取以上用水量的10%</w:t>
            </w:r>
          </w:p>
        </w:tc>
        <w:tc>
          <w:tcPr>
            <w:tcW w:w="560"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eastAsia="宋体" w:cs="Times New Roman"/>
                <w:i w:val="0"/>
                <w:iCs w:val="0"/>
                <w:color w:val="auto"/>
                <w:kern w:val="0"/>
                <w:sz w:val="18"/>
                <w:szCs w:val="18"/>
                <w:u w:val="single"/>
              </w:rPr>
              <w:t>--</w:t>
            </w:r>
          </w:p>
        </w:tc>
        <w:tc>
          <w:tcPr>
            <w:tcW w:w="583" w:type="pct"/>
            <w:noWrap w:val="0"/>
            <w:vAlign w:val="center"/>
          </w:tcPr>
          <w:p>
            <w:pPr>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542.1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015" w:type="pct"/>
            <w:gridSpan w:val="3"/>
            <w:noWrap/>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总用水量</w:t>
            </w:r>
          </w:p>
        </w:tc>
        <w:tc>
          <w:tcPr>
            <w:tcW w:w="543"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eastAsia="宋体" w:cs="Times New Roman"/>
                <w:i w:val="0"/>
                <w:iCs w:val="0"/>
                <w:color w:val="auto"/>
                <w:kern w:val="0"/>
                <w:sz w:val="18"/>
                <w:szCs w:val="18"/>
                <w:u w:val="single"/>
              </w:rPr>
              <w:t>--</w:t>
            </w:r>
          </w:p>
        </w:tc>
        <w:tc>
          <w:tcPr>
            <w:tcW w:w="567"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25045.08</w:t>
            </w:r>
          </w:p>
        </w:tc>
        <w:tc>
          <w:tcPr>
            <w:tcW w:w="728" w:type="pct"/>
            <w:noWrap w:val="0"/>
            <w:vAlign w:val="center"/>
          </w:tcPr>
          <w:p>
            <w:pPr>
              <w:widowControl/>
              <w:jc w:val="center"/>
              <w:rPr>
                <w:rFonts w:hint="default" w:ascii="Times New Roman" w:hAnsi="Times New Roman" w:cs="Times New Roman"/>
                <w:i w:val="0"/>
                <w:iCs w:val="0"/>
                <w:color w:val="auto"/>
                <w:kern w:val="0"/>
                <w:sz w:val="18"/>
                <w:szCs w:val="18"/>
                <w:u w:val="single"/>
              </w:rPr>
            </w:pPr>
          </w:p>
        </w:tc>
        <w:tc>
          <w:tcPr>
            <w:tcW w:w="560" w:type="pct"/>
            <w:noWrap w:val="0"/>
            <w:vAlign w:val="center"/>
          </w:tcPr>
          <w:p>
            <w:pPr>
              <w:widowControl/>
              <w:jc w:val="center"/>
              <w:rPr>
                <w:rFonts w:hint="default" w:ascii="Times New Roman" w:hAnsi="Times New Roman" w:cs="Times New Roman"/>
                <w:i w:val="0"/>
                <w:iCs w:val="0"/>
                <w:color w:val="auto"/>
                <w:kern w:val="0"/>
                <w:sz w:val="18"/>
                <w:szCs w:val="18"/>
                <w:u w:val="single"/>
              </w:rPr>
            </w:pPr>
            <w:r>
              <w:rPr>
                <w:rFonts w:hint="default" w:ascii="Times New Roman" w:hAnsi="Times New Roman" w:eastAsia="宋体" w:cs="Times New Roman"/>
                <w:i w:val="0"/>
                <w:iCs w:val="0"/>
                <w:color w:val="auto"/>
                <w:kern w:val="0"/>
                <w:sz w:val="18"/>
                <w:szCs w:val="18"/>
                <w:u w:val="single"/>
              </w:rPr>
              <w:t>--</w:t>
            </w:r>
          </w:p>
        </w:tc>
        <w:tc>
          <w:tcPr>
            <w:tcW w:w="583" w:type="pct"/>
            <w:noWrap w:val="0"/>
            <w:vAlign w:val="center"/>
          </w:tcPr>
          <w:p>
            <w:pPr>
              <w:jc w:val="center"/>
              <w:rPr>
                <w:rFonts w:hint="default" w:ascii="Times New Roman" w:hAnsi="Times New Roman" w:cs="Times New Roman"/>
                <w:i w:val="0"/>
                <w:iCs w:val="0"/>
                <w:color w:val="auto"/>
                <w:kern w:val="0"/>
                <w:sz w:val="18"/>
                <w:szCs w:val="18"/>
                <w:u w:val="single"/>
              </w:rPr>
            </w:pPr>
            <w:r>
              <w:rPr>
                <w:rFonts w:hint="default" w:ascii="Times New Roman" w:hAnsi="Times New Roman" w:cs="Times New Roman"/>
                <w:i w:val="0"/>
                <w:iCs w:val="0"/>
                <w:color w:val="auto"/>
                <w:kern w:val="0"/>
                <w:sz w:val="18"/>
                <w:szCs w:val="18"/>
                <w:u w:val="single"/>
              </w:rPr>
              <w:t>5963.6</w:t>
            </w:r>
          </w:p>
        </w:tc>
      </w:tr>
    </w:tbl>
    <w:p>
      <w:pPr>
        <w:ind w:firstLine="482" w:firstLineChars="200"/>
        <w:jc w:val="center"/>
        <w:rPr>
          <w:rFonts w:hint="default" w:ascii="Times New Roman" w:hAnsi="Times New Roman" w:cs="Times New Roman"/>
          <w:b/>
          <w:bCs/>
          <w:i w:val="0"/>
          <w:iCs w:val="0"/>
          <w:color w:val="auto"/>
          <w:szCs w:val="21"/>
          <w:u w:val="single"/>
        </w:rPr>
      </w:pPr>
      <w:r>
        <w:rPr>
          <w:rFonts w:hint="default" w:ascii="Times New Roman" w:hAnsi="Times New Roman" w:cs="Times New Roman"/>
          <w:b/>
          <w:bCs/>
          <w:i w:val="0"/>
          <w:iCs w:val="0"/>
          <w:color w:val="auto"/>
          <w:szCs w:val="21"/>
          <w:u w:val="single"/>
        </w:rPr>
        <w:t>表</w:t>
      </w:r>
      <w:r>
        <w:rPr>
          <w:rFonts w:hint="eastAsia" w:cs="Times New Roman"/>
          <w:b/>
          <w:bCs/>
          <w:i w:val="0"/>
          <w:iCs w:val="0"/>
          <w:color w:val="auto"/>
          <w:szCs w:val="21"/>
          <w:u w:val="single"/>
          <w:lang w:val="en-US" w:eastAsia="zh-CN"/>
        </w:rPr>
        <w:t>1-2</w:t>
      </w:r>
      <w:r>
        <w:rPr>
          <w:rFonts w:hint="default" w:ascii="Times New Roman" w:hAnsi="Times New Roman" w:cs="Times New Roman"/>
          <w:b/>
          <w:bCs/>
          <w:i w:val="0"/>
          <w:iCs w:val="0"/>
          <w:color w:val="auto"/>
          <w:szCs w:val="21"/>
          <w:u w:val="single"/>
        </w:rPr>
        <w:t xml:space="preserve">  开发区远期（2035年）用水量预测表</w:t>
      </w:r>
    </w:p>
    <w:tbl>
      <w:tblPr>
        <w:tblStyle w:val="5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9"/>
        <w:gridCol w:w="1959"/>
        <w:gridCol w:w="1293"/>
        <w:gridCol w:w="977"/>
        <w:gridCol w:w="1025"/>
        <w:gridCol w:w="1294"/>
        <w:gridCol w:w="1037"/>
        <w:gridCol w:w="10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297" w:type="pct"/>
            <w:gridSpan w:val="2"/>
            <w:vMerge w:val="restart"/>
            <w:noWrap/>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用地名称</w:t>
            </w:r>
          </w:p>
        </w:tc>
        <w:tc>
          <w:tcPr>
            <w:tcW w:w="1830" w:type="pct"/>
            <w:gridSpan w:val="3"/>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江源片区</w:t>
            </w:r>
          </w:p>
        </w:tc>
        <w:tc>
          <w:tcPr>
            <w:tcW w:w="1872" w:type="pct"/>
            <w:gridSpan w:val="3"/>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石人镇片区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297" w:type="pct"/>
            <w:gridSpan w:val="2"/>
            <w:vMerge w:val="continue"/>
            <w:noWrap/>
            <w:vAlign w:val="center"/>
          </w:tcPr>
          <w:p>
            <w:pPr>
              <w:widowControl/>
              <w:jc w:val="center"/>
              <w:rPr>
                <w:rFonts w:hint="default" w:ascii="Times New Roman" w:hAnsi="Times New Roman" w:cs="Times New Roman"/>
                <w:i w:val="0"/>
                <w:iCs w:val="0"/>
                <w:color w:val="auto"/>
                <w:kern w:val="0"/>
                <w:sz w:val="21"/>
                <w:szCs w:val="21"/>
                <w:u w:val="single"/>
              </w:rPr>
            </w:pPr>
          </w:p>
        </w:tc>
        <w:tc>
          <w:tcPr>
            <w:tcW w:w="718"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用水定额（m</w:t>
            </w:r>
            <w:r>
              <w:rPr>
                <w:rFonts w:hint="default" w:ascii="Times New Roman" w:hAnsi="Times New Roman" w:cs="Times New Roman"/>
                <w:i w:val="0"/>
                <w:iCs w:val="0"/>
                <w:color w:val="auto"/>
                <w:kern w:val="0"/>
                <w:sz w:val="21"/>
                <w:szCs w:val="21"/>
                <w:u w:val="single"/>
                <w:vertAlign w:val="superscript"/>
              </w:rPr>
              <w:t>3</w:t>
            </w:r>
            <w:r>
              <w:rPr>
                <w:rFonts w:hint="default" w:ascii="Times New Roman" w:hAnsi="Times New Roman" w:cs="Times New Roman"/>
                <w:i w:val="0"/>
                <w:iCs w:val="0"/>
                <w:color w:val="auto"/>
                <w:kern w:val="0"/>
                <w:sz w:val="21"/>
                <w:szCs w:val="21"/>
                <w:u w:val="single"/>
              </w:rPr>
              <w:t>/km</w:t>
            </w:r>
            <w:r>
              <w:rPr>
                <w:rFonts w:hint="default" w:ascii="Times New Roman" w:hAnsi="Times New Roman" w:cs="Times New Roman"/>
                <w:i w:val="0"/>
                <w:iCs w:val="0"/>
                <w:color w:val="auto"/>
                <w:kern w:val="0"/>
                <w:sz w:val="21"/>
                <w:szCs w:val="21"/>
                <w:u w:val="single"/>
                <w:vertAlign w:val="superscript"/>
              </w:rPr>
              <w:t>2</w:t>
            </w:r>
            <w:r>
              <w:rPr>
                <w:rFonts w:hint="default" w:ascii="Times New Roman" w:hAnsi="Times New Roman" w:cs="Times New Roman"/>
                <w:i w:val="0"/>
                <w:iCs w:val="0"/>
                <w:color w:val="auto"/>
                <w:kern w:val="0"/>
                <w:sz w:val="21"/>
                <w:szCs w:val="21"/>
                <w:u w:val="single"/>
              </w:rPr>
              <w:t>•d）</w:t>
            </w:r>
          </w:p>
        </w:tc>
        <w:tc>
          <w:tcPr>
            <w:tcW w:w="543"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用地面积（km</w:t>
            </w:r>
            <w:r>
              <w:rPr>
                <w:rFonts w:hint="default" w:ascii="Times New Roman" w:hAnsi="Times New Roman" w:cs="Times New Roman"/>
                <w:i w:val="0"/>
                <w:iCs w:val="0"/>
                <w:color w:val="auto"/>
                <w:kern w:val="0"/>
                <w:sz w:val="21"/>
                <w:szCs w:val="21"/>
                <w:u w:val="single"/>
                <w:vertAlign w:val="superscript"/>
              </w:rPr>
              <w:t>2</w:t>
            </w:r>
            <w:r>
              <w:rPr>
                <w:rFonts w:hint="default" w:ascii="Times New Roman" w:hAnsi="Times New Roman" w:cs="Times New Roman"/>
                <w:i w:val="0"/>
                <w:iCs w:val="0"/>
                <w:color w:val="auto"/>
                <w:kern w:val="0"/>
                <w:sz w:val="21"/>
                <w:szCs w:val="21"/>
                <w:u w:val="single"/>
              </w:rPr>
              <w:t>）</w:t>
            </w:r>
          </w:p>
        </w:tc>
        <w:tc>
          <w:tcPr>
            <w:tcW w:w="567"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用水量（</w:t>
            </w:r>
            <w:r>
              <w:rPr>
                <w:rFonts w:hint="default" w:ascii="Times New Roman" w:hAnsi="Times New Roman" w:cs="Times New Roman"/>
                <w:i w:val="0"/>
                <w:iCs w:val="0"/>
                <w:color w:val="auto"/>
                <w:sz w:val="21"/>
                <w:szCs w:val="21"/>
                <w:u w:val="single"/>
              </w:rPr>
              <w:t>m</w:t>
            </w:r>
            <w:r>
              <w:rPr>
                <w:rFonts w:hint="default" w:ascii="Times New Roman" w:hAnsi="Times New Roman" w:cs="Times New Roman"/>
                <w:i w:val="0"/>
                <w:iCs w:val="0"/>
                <w:color w:val="auto"/>
                <w:sz w:val="21"/>
                <w:szCs w:val="21"/>
                <w:u w:val="single"/>
                <w:vertAlign w:val="superscript"/>
              </w:rPr>
              <w:t>3</w:t>
            </w:r>
            <w:r>
              <w:rPr>
                <w:rFonts w:hint="default" w:ascii="Times New Roman" w:hAnsi="Times New Roman" w:cs="Times New Roman"/>
                <w:i w:val="0"/>
                <w:iCs w:val="0"/>
                <w:color w:val="auto"/>
                <w:kern w:val="0"/>
                <w:sz w:val="21"/>
                <w:szCs w:val="21"/>
                <w:u w:val="single"/>
              </w:rPr>
              <w:t>/d）</w:t>
            </w:r>
          </w:p>
        </w:tc>
        <w:tc>
          <w:tcPr>
            <w:tcW w:w="719"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用水定额（m</w:t>
            </w:r>
            <w:r>
              <w:rPr>
                <w:rFonts w:hint="default" w:ascii="Times New Roman" w:hAnsi="Times New Roman" w:cs="Times New Roman"/>
                <w:i w:val="0"/>
                <w:iCs w:val="0"/>
                <w:color w:val="auto"/>
                <w:kern w:val="0"/>
                <w:sz w:val="21"/>
                <w:szCs w:val="21"/>
                <w:u w:val="single"/>
                <w:vertAlign w:val="superscript"/>
              </w:rPr>
              <w:t>3</w:t>
            </w:r>
            <w:r>
              <w:rPr>
                <w:rFonts w:hint="default" w:ascii="Times New Roman" w:hAnsi="Times New Roman" w:cs="Times New Roman"/>
                <w:i w:val="0"/>
                <w:iCs w:val="0"/>
                <w:color w:val="auto"/>
                <w:kern w:val="0"/>
                <w:sz w:val="21"/>
                <w:szCs w:val="21"/>
                <w:u w:val="single"/>
              </w:rPr>
              <w:t>/km</w:t>
            </w:r>
            <w:r>
              <w:rPr>
                <w:rFonts w:hint="default" w:ascii="Times New Roman" w:hAnsi="Times New Roman" w:cs="Times New Roman"/>
                <w:i w:val="0"/>
                <w:iCs w:val="0"/>
                <w:color w:val="auto"/>
                <w:kern w:val="0"/>
                <w:sz w:val="21"/>
                <w:szCs w:val="21"/>
                <w:u w:val="single"/>
                <w:vertAlign w:val="superscript"/>
              </w:rPr>
              <w:t>2</w:t>
            </w:r>
            <w:r>
              <w:rPr>
                <w:rFonts w:hint="default" w:ascii="Times New Roman" w:hAnsi="Times New Roman" w:cs="Times New Roman"/>
                <w:i w:val="0"/>
                <w:iCs w:val="0"/>
                <w:color w:val="auto"/>
                <w:kern w:val="0"/>
                <w:sz w:val="21"/>
                <w:szCs w:val="21"/>
                <w:u w:val="single"/>
              </w:rPr>
              <w:t>•d）</w:t>
            </w:r>
          </w:p>
        </w:tc>
        <w:tc>
          <w:tcPr>
            <w:tcW w:w="576"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用地面积（km</w:t>
            </w:r>
            <w:r>
              <w:rPr>
                <w:rFonts w:hint="default" w:ascii="Times New Roman" w:hAnsi="Times New Roman" w:cs="Times New Roman"/>
                <w:i w:val="0"/>
                <w:iCs w:val="0"/>
                <w:color w:val="auto"/>
                <w:kern w:val="0"/>
                <w:sz w:val="21"/>
                <w:szCs w:val="21"/>
                <w:u w:val="single"/>
                <w:vertAlign w:val="superscript"/>
              </w:rPr>
              <w:t>2</w:t>
            </w:r>
            <w:r>
              <w:rPr>
                <w:rFonts w:hint="default" w:ascii="Times New Roman" w:hAnsi="Times New Roman" w:cs="Times New Roman"/>
                <w:i w:val="0"/>
                <w:iCs w:val="0"/>
                <w:color w:val="auto"/>
                <w:kern w:val="0"/>
                <w:sz w:val="21"/>
                <w:szCs w:val="21"/>
                <w:u w:val="single"/>
              </w:rPr>
              <w:t>）</w:t>
            </w:r>
          </w:p>
        </w:tc>
        <w:tc>
          <w:tcPr>
            <w:tcW w:w="576" w:type="pct"/>
            <w:noWrap/>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用水量（</w:t>
            </w:r>
            <w:r>
              <w:rPr>
                <w:rFonts w:hint="default" w:ascii="Times New Roman" w:hAnsi="Times New Roman" w:cs="Times New Roman"/>
                <w:i w:val="0"/>
                <w:iCs w:val="0"/>
                <w:color w:val="auto"/>
                <w:sz w:val="21"/>
                <w:szCs w:val="21"/>
                <w:u w:val="single"/>
              </w:rPr>
              <w:t>m</w:t>
            </w:r>
            <w:r>
              <w:rPr>
                <w:rFonts w:hint="default" w:ascii="Times New Roman" w:hAnsi="Times New Roman" w:cs="Times New Roman"/>
                <w:i w:val="0"/>
                <w:iCs w:val="0"/>
                <w:color w:val="auto"/>
                <w:sz w:val="21"/>
                <w:szCs w:val="21"/>
                <w:u w:val="single"/>
                <w:vertAlign w:val="superscript"/>
              </w:rPr>
              <w:t>3</w:t>
            </w:r>
            <w:r>
              <w:rPr>
                <w:rFonts w:hint="default" w:ascii="Times New Roman" w:hAnsi="Times New Roman" w:cs="Times New Roman"/>
                <w:i w:val="0"/>
                <w:iCs w:val="0"/>
                <w:color w:val="auto"/>
                <w:kern w:val="0"/>
                <w:sz w:val="21"/>
                <w:szCs w:val="21"/>
                <w:u w:val="single"/>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0" w:type="pct"/>
            <w:noWrap/>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R</w:t>
            </w:r>
          </w:p>
        </w:tc>
        <w:tc>
          <w:tcPr>
            <w:tcW w:w="1086" w:type="pct"/>
            <w:noWrap/>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居住用地</w:t>
            </w:r>
          </w:p>
        </w:tc>
        <w:tc>
          <w:tcPr>
            <w:tcW w:w="718" w:type="pct"/>
            <w:noWrap/>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4500</w:t>
            </w:r>
          </w:p>
        </w:tc>
        <w:tc>
          <w:tcPr>
            <w:tcW w:w="543"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0.3291</w:t>
            </w:r>
          </w:p>
        </w:tc>
        <w:tc>
          <w:tcPr>
            <w:tcW w:w="567"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1480.95</w:t>
            </w:r>
          </w:p>
        </w:tc>
        <w:tc>
          <w:tcPr>
            <w:tcW w:w="719"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4500</w:t>
            </w:r>
          </w:p>
        </w:tc>
        <w:tc>
          <w:tcPr>
            <w:tcW w:w="576"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0.9081</w:t>
            </w:r>
          </w:p>
        </w:tc>
        <w:tc>
          <w:tcPr>
            <w:tcW w:w="576"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4086.45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10" w:type="pct"/>
            <w:noWrap/>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A</w:t>
            </w:r>
          </w:p>
        </w:tc>
        <w:tc>
          <w:tcPr>
            <w:tcW w:w="1086" w:type="pct"/>
            <w:noWrap/>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公共管理与公共服务设施用地</w:t>
            </w:r>
          </w:p>
        </w:tc>
        <w:tc>
          <w:tcPr>
            <w:tcW w:w="718" w:type="pct"/>
            <w:noWrap/>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5000</w:t>
            </w:r>
          </w:p>
        </w:tc>
        <w:tc>
          <w:tcPr>
            <w:tcW w:w="543"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0.1309</w:t>
            </w:r>
          </w:p>
        </w:tc>
        <w:tc>
          <w:tcPr>
            <w:tcW w:w="567"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654.5</w:t>
            </w:r>
          </w:p>
        </w:tc>
        <w:tc>
          <w:tcPr>
            <w:tcW w:w="719"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5000</w:t>
            </w:r>
          </w:p>
        </w:tc>
        <w:tc>
          <w:tcPr>
            <w:tcW w:w="576"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0.1571</w:t>
            </w:r>
          </w:p>
        </w:tc>
        <w:tc>
          <w:tcPr>
            <w:tcW w:w="576"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785.5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10" w:type="pct"/>
            <w:noWrap/>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B</w:t>
            </w:r>
          </w:p>
        </w:tc>
        <w:tc>
          <w:tcPr>
            <w:tcW w:w="1086" w:type="pct"/>
            <w:noWrap/>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商业设施用地</w:t>
            </w:r>
          </w:p>
        </w:tc>
        <w:tc>
          <w:tcPr>
            <w:tcW w:w="718" w:type="pct"/>
            <w:noWrap/>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7500</w:t>
            </w:r>
          </w:p>
        </w:tc>
        <w:tc>
          <w:tcPr>
            <w:tcW w:w="543"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0.0567</w:t>
            </w:r>
          </w:p>
        </w:tc>
        <w:tc>
          <w:tcPr>
            <w:tcW w:w="567"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425.25</w:t>
            </w:r>
          </w:p>
        </w:tc>
        <w:tc>
          <w:tcPr>
            <w:tcW w:w="719"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7500</w:t>
            </w:r>
          </w:p>
        </w:tc>
        <w:tc>
          <w:tcPr>
            <w:tcW w:w="576"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0.2052</w:t>
            </w:r>
          </w:p>
        </w:tc>
        <w:tc>
          <w:tcPr>
            <w:tcW w:w="576"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1539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0" w:type="pct"/>
            <w:noWrap/>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M</w:t>
            </w:r>
          </w:p>
        </w:tc>
        <w:tc>
          <w:tcPr>
            <w:tcW w:w="1086" w:type="pct"/>
            <w:noWrap/>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工业用地</w:t>
            </w:r>
          </w:p>
        </w:tc>
        <w:tc>
          <w:tcPr>
            <w:tcW w:w="718" w:type="pct"/>
            <w:noWrap/>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3500</w:t>
            </w:r>
          </w:p>
        </w:tc>
        <w:tc>
          <w:tcPr>
            <w:tcW w:w="543"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5.8249</w:t>
            </w:r>
          </w:p>
        </w:tc>
        <w:tc>
          <w:tcPr>
            <w:tcW w:w="567"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20387.15</w:t>
            </w:r>
          </w:p>
        </w:tc>
        <w:tc>
          <w:tcPr>
            <w:tcW w:w="719"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3500</w:t>
            </w:r>
          </w:p>
        </w:tc>
        <w:tc>
          <w:tcPr>
            <w:tcW w:w="576"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1.5315</w:t>
            </w:r>
          </w:p>
        </w:tc>
        <w:tc>
          <w:tcPr>
            <w:tcW w:w="576"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5360.25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0" w:type="pct"/>
            <w:noWrap/>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W</w:t>
            </w:r>
          </w:p>
        </w:tc>
        <w:tc>
          <w:tcPr>
            <w:tcW w:w="1086" w:type="pct"/>
            <w:noWrap/>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物流仓储用地</w:t>
            </w:r>
          </w:p>
        </w:tc>
        <w:tc>
          <w:tcPr>
            <w:tcW w:w="718" w:type="pct"/>
            <w:noWrap/>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2500</w:t>
            </w:r>
          </w:p>
        </w:tc>
        <w:tc>
          <w:tcPr>
            <w:tcW w:w="543"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0.1483</w:t>
            </w:r>
          </w:p>
        </w:tc>
        <w:tc>
          <w:tcPr>
            <w:tcW w:w="567"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370.75</w:t>
            </w:r>
          </w:p>
        </w:tc>
        <w:tc>
          <w:tcPr>
            <w:tcW w:w="719"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2500</w:t>
            </w:r>
          </w:p>
        </w:tc>
        <w:tc>
          <w:tcPr>
            <w:tcW w:w="576"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w:t>
            </w:r>
          </w:p>
        </w:tc>
        <w:tc>
          <w:tcPr>
            <w:tcW w:w="576"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0" w:type="pct"/>
            <w:noWrap/>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S</w:t>
            </w:r>
          </w:p>
        </w:tc>
        <w:tc>
          <w:tcPr>
            <w:tcW w:w="1086" w:type="pct"/>
            <w:noWrap/>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道路与交通设施用地</w:t>
            </w:r>
          </w:p>
        </w:tc>
        <w:tc>
          <w:tcPr>
            <w:tcW w:w="718" w:type="pct"/>
            <w:noWrap/>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1500</w:t>
            </w:r>
          </w:p>
        </w:tc>
        <w:tc>
          <w:tcPr>
            <w:tcW w:w="543"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0.6865</w:t>
            </w:r>
          </w:p>
        </w:tc>
        <w:tc>
          <w:tcPr>
            <w:tcW w:w="567"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1029.75</w:t>
            </w:r>
          </w:p>
        </w:tc>
        <w:tc>
          <w:tcPr>
            <w:tcW w:w="719"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1500</w:t>
            </w:r>
          </w:p>
        </w:tc>
        <w:tc>
          <w:tcPr>
            <w:tcW w:w="576"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0.717</w:t>
            </w:r>
          </w:p>
        </w:tc>
        <w:tc>
          <w:tcPr>
            <w:tcW w:w="576"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1075.5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0" w:type="pct"/>
            <w:noWrap/>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U</w:t>
            </w:r>
          </w:p>
        </w:tc>
        <w:tc>
          <w:tcPr>
            <w:tcW w:w="1086" w:type="pct"/>
            <w:noWrap/>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公用设施用地</w:t>
            </w:r>
          </w:p>
        </w:tc>
        <w:tc>
          <w:tcPr>
            <w:tcW w:w="718" w:type="pct"/>
            <w:noWrap/>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5000</w:t>
            </w:r>
          </w:p>
        </w:tc>
        <w:tc>
          <w:tcPr>
            <w:tcW w:w="543"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0.4649</w:t>
            </w:r>
          </w:p>
        </w:tc>
        <w:tc>
          <w:tcPr>
            <w:tcW w:w="567"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2324.5</w:t>
            </w:r>
          </w:p>
        </w:tc>
        <w:tc>
          <w:tcPr>
            <w:tcW w:w="719"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5000</w:t>
            </w:r>
          </w:p>
        </w:tc>
        <w:tc>
          <w:tcPr>
            <w:tcW w:w="576"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0.0271</w:t>
            </w:r>
          </w:p>
        </w:tc>
        <w:tc>
          <w:tcPr>
            <w:tcW w:w="576"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135.5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0" w:type="pct"/>
            <w:noWrap/>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G</w:t>
            </w:r>
          </w:p>
        </w:tc>
        <w:tc>
          <w:tcPr>
            <w:tcW w:w="1086" w:type="pct"/>
            <w:noWrap/>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绿地与广场用地</w:t>
            </w:r>
          </w:p>
        </w:tc>
        <w:tc>
          <w:tcPr>
            <w:tcW w:w="718" w:type="pct"/>
            <w:noWrap/>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1000</w:t>
            </w:r>
          </w:p>
        </w:tc>
        <w:tc>
          <w:tcPr>
            <w:tcW w:w="543"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0.7955</w:t>
            </w:r>
          </w:p>
        </w:tc>
        <w:tc>
          <w:tcPr>
            <w:tcW w:w="567"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795.5</w:t>
            </w:r>
          </w:p>
        </w:tc>
        <w:tc>
          <w:tcPr>
            <w:tcW w:w="719"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1000</w:t>
            </w:r>
          </w:p>
        </w:tc>
        <w:tc>
          <w:tcPr>
            <w:tcW w:w="576"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0.4604</w:t>
            </w:r>
          </w:p>
        </w:tc>
        <w:tc>
          <w:tcPr>
            <w:tcW w:w="576"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460.4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297" w:type="pct"/>
            <w:gridSpan w:val="2"/>
            <w:noWrap/>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未预见水量</w:t>
            </w:r>
          </w:p>
        </w:tc>
        <w:tc>
          <w:tcPr>
            <w:tcW w:w="718" w:type="pct"/>
            <w:noWrap/>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取以上用水量的10%</w:t>
            </w:r>
          </w:p>
        </w:tc>
        <w:tc>
          <w:tcPr>
            <w:tcW w:w="543"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w:t>
            </w:r>
          </w:p>
        </w:tc>
        <w:tc>
          <w:tcPr>
            <w:tcW w:w="567"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2746.8</w:t>
            </w:r>
          </w:p>
        </w:tc>
        <w:tc>
          <w:tcPr>
            <w:tcW w:w="719"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取以上用水量的10%</w:t>
            </w:r>
          </w:p>
        </w:tc>
        <w:tc>
          <w:tcPr>
            <w:tcW w:w="576"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w:t>
            </w:r>
          </w:p>
        </w:tc>
        <w:tc>
          <w:tcPr>
            <w:tcW w:w="576" w:type="pct"/>
            <w:noWrap w:val="0"/>
            <w:vAlign w:val="center"/>
          </w:tcPr>
          <w:p>
            <w:pPr>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1344.2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015" w:type="pct"/>
            <w:gridSpan w:val="3"/>
            <w:noWrap/>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总用水量</w:t>
            </w:r>
          </w:p>
        </w:tc>
        <w:tc>
          <w:tcPr>
            <w:tcW w:w="543"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w:t>
            </w:r>
          </w:p>
        </w:tc>
        <w:tc>
          <w:tcPr>
            <w:tcW w:w="567"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30215.18</w:t>
            </w:r>
          </w:p>
        </w:tc>
        <w:tc>
          <w:tcPr>
            <w:tcW w:w="719" w:type="pct"/>
            <w:noWrap w:val="0"/>
            <w:vAlign w:val="center"/>
          </w:tcPr>
          <w:p>
            <w:pPr>
              <w:widowControl/>
              <w:jc w:val="center"/>
              <w:rPr>
                <w:rFonts w:hint="default" w:ascii="Times New Roman" w:hAnsi="Times New Roman" w:cs="Times New Roman"/>
                <w:i w:val="0"/>
                <w:iCs w:val="0"/>
                <w:color w:val="auto"/>
                <w:kern w:val="0"/>
                <w:sz w:val="21"/>
                <w:szCs w:val="21"/>
                <w:u w:val="single"/>
              </w:rPr>
            </w:pPr>
          </w:p>
        </w:tc>
        <w:tc>
          <w:tcPr>
            <w:tcW w:w="576" w:type="pct"/>
            <w:noWrap w:val="0"/>
            <w:vAlign w:val="center"/>
          </w:tcPr>
          <w:p>
            <w:pPr>
              <w:widowControl/>
              <w:jc w:val="center"/>
              <w:rPr>
                <w:rFonts w:hint="default" w:ascii="Times New Roman" w:hAnsi="Times New Roman"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w:t>
            </w:r>
          </w:p>
        </w:tc>
        <w:tc>
          <w:tcPr>
            <w:tcW w:w="576" w:type="pct"/>
            <w:noWrap w:val="0"/>
            <w:vAlign w:val="center"/>
          </w:tcPr>
          <w:p>
            <w:pPr>
              <w:jc w:val="center"/>
              <w:rPr>
                <w:rFonts w:hint="default" w:ascii="Times New Roman" w:hAnsi="Times New Roman" w:cs="Times New Roman"/>
                <w:i w:val="0"/>
                <w:iCs w:val="0"/>
                <w:color w:val="auto"/>
                <w:kern w:val="0"/>
                <w:sz w:val="21"/>
                <w:szCs w:val="21"/>
                <w:u w:val="single"/>
              </w:rPr>
            </w:pPr>
            <w:r>
              <w:rPr>
                <w:rFonts w:hint="default" w:ascii="Times New Roman" w:hAnsi="Times New Roman" w:cs="Times New Roman"/>
                <w:i w:val="0"/>
                <w:iCs w:val="0"/>
                <w:color w:val="auto"/>
                <w:kern w:val="0"/>
                <w:sz w:val="21"/>
                <w:szCs w:val="21"/>
                <w:u w:val="single"/>
              </w:rPr>
              <w:t>14786.86</w:t>
            </w:r>
          </w:p>
        </w:tc>
      </w:tr>
    </w:tbl>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至2025年，江源片区最高日需水量约为2.5万m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sz w:val="24"/>
          <w:u w:val="single"/>
        </w:rPr>
        <w:t>/d；石人镇片区需水量为0.6万m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sz w:val="24"/>
          <w:u w:val="single"/>
        </w:rPr>
        <w:t>/d，开发区总需水量为3.1万m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sz w:val="24"/>
          <w:u w:val="single"/>
        </w:rPr>
        <w:t>/d。</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至2035年，江源片区最高日需水量约为3.02万m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sz w:val="24"/>
          <w:u w:val="single"/>
        </w:rPr>
        <w:t>/d；石人镇片区需水量约为1.48万m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sz w:val="24"/>
          <w:u w:val="single"/>
        </w:rPr>
        <w:t>/d，开发区总需水量为4.5万m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sz w:val="24"/>
          <w:u w:val="single"/>
        </w:rPr>
        <w:t>/d。</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fldChar w:fldCharType="begin"/>
      </w:r>
      <w:r>
        <w:rPr>
          <w:rFonts w:hint="default" w:ascii="Times New Roman" w:hAnsi="Times New Roman" w:cs="Times New Roman"/>
          <w:i w:val="0"/>
          <w:iCs w:val="0"/>
          <w:color w:val="auto"/>
          <w:sz w:val="24"/>
          <w:u w:val="single"/>
        </w:rPr>
        <w:instrText xml:space="preserve"> = 3 \* ROMAN \* MERGEFORMAT </w:instrText>
      </w:r>
      <w:r>
        <w:rPr>
          <w:rFonts w:hint="default" w:ascii="Times New Roman" w:hAnsi="Times New Roman" w:cs="Times New Roman"/>
          <w:i w:val="0"/>
          <w:iCs w:val="0"/>
          <w:color w:val="auto"/>
          <w:sz w:val="24"/>
          <w:u w:val="single"/>
        </w:rPr>
        <w:fldChar w:fldCharType="separate"/>
      </w:r>
      <w:r>
        <w:rPr>
          <w:i w:val="0"/>
          <w:iCs w:val="0"/>
          <w:u w:val="single"/>
        </w:rPr>
        <w:t>III</w:t>
      </w:r>
      <w:r>
        <w:rPr>
          <w:rFonts w:hint="default" w:ascii="Times New Roman" w:hAnsi="Times New Roman" w:cs="Times New Roman"/>
          <w:i w:val="0"/>
          <w:iCs w:val="0"/>
          <w:color w:val="auto"/>
          <w:sz w:val="24"/>
          <w:u w:val="single"/>
        </w:rPr>
        <w:fldChar w:fldCharType="end"/>
      </w:r>
      <w:r>
        <w:rPr>
          <w:rFonts w:hint="eastAsia" w:ascii="Times New Roman" w:hAnsi="Times New Roman" w:cs="Times New Roman"/>
          <w:i w:val="0"/>
          <w:iCs w:val="0"/>
          <w:color w:val="auto"/>
          <w:sz w:val="24"/>
          <w:u w:val="single"/>
          <w:lang w:eastAsia="zh-CN"/>
        </w:rPr>
        <w:t>、</w:t>
      </w:r>
      <w:r>
        <w:rPr>
          <w:rFonts w:hint="default" w:ascii="Times New Roman" w:hAnsi="Times New Roman" w:cs="Times New Roman"/>
          <w:i w:val="0"/>
          <w:iCs w:val="0"/>
          <w:color w:val="auto"/>
          <w:sz w:val="24"/>
          <w:u w:val="single"/>
        </w:rPr>
        <w:t>水源规划</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fldChar w:fldCharType="begin"/>
      </w:r>
      <w:r>
        <w:rPr>
          <w:rFonts w:hint="default" w:ascii="Times New Roman" w:hAnsi="Times New Roman" w:cs="Times New Roman"/>
          <w:i w:val="0"/>
          <w:iCs w:val="0"/>
          <w:color w:val="auto"/>
          <w:sz w:val="24"/>
          <w:u w:val="single"/>
        </w:rPr>
        <w:instrText xml:space="preserve"> = 1 \* alphabetic \* MERGEFORMAT </w:instrText>
      </w:r>
      <w:r>
        <w:rPr>
          <w:rFonts w:hint="default" w:ascii="Times New Roman" w:hAnsi="Times New Roman" w:cs="Times New Roman"/>
          <w:i w:val="0"/>
          <w:iCs w:val="0"/>
          <w:color w:val="auto"/>
          <w:sz w:val="24"/>
          <w:u w:val="single"/>
        </w:rPr>
        <w:fldChar w:fldCharType="separate"/>
      </w:r>
      <w:r>
        <w:rPr>
          <w:i w:val="0"/>
          <w:iCs w:val="0"/>
          <w:u w:val="single"/>
        </w:rPr>
        <w:t>a</w:t>
      </w:r>
      <w:r>
        <w:rPr>
          <w:rFonts w:hint="default" w:ascii="Times New Roman" w:hAnsi="Times New Roman" w:cs="Times New Roman"/>
          <w:i w:val="0"/>
          <w:iCs w:val="0"/>
          <w:color w:val="auto"/>
          <w:sz w:val="24"/>
          <w:u w:val="single"/>
        </w:rPr>
        <w:fldChar w:fldCharType="end"/>
      </w:r>
      <w:r>
        <w:rPr>
          <w:rFonts w:hint="default" w:ascii="Times New Roman" w:hAnsi="Times New Roman" w:cs="Times New Roman"/>
          <w:i w:val="0"/>
          <w:iCs w:val="0"/>
          <w:color w:val="auto"/>
          <w:sz w:val="24"/>
          <w:u w:val="single"/>
        </w:rPr>
        <w:t>常规水源规划</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江源片区常规水源取自西北岔水库，其设计总库容1662.36m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sz w:val="24"/>
          <w:u w:val="single"/>
        </w:rPr>
        <w:t>，将分配给江源区供水量5万m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sz w:val="24"/>
          <w:u w:val="single"/>
        </w:rPr>
        <w:t>/d。</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石人镇片区近期保留位于老岭村、荣斌村和遥林村的四处水源地，原水为山泉水，近期在开发区北侧新建一处备用水源地，不断增加水源地净水、蓄水能力。远期水源引至江源片区供水干管。</w:t>
      </w:r>
    </w:p>
    <w:p>
      <w:pPr>
        <w:spacing w:line="360" w:lineRule="auto"/>
        <w:ind w:firstLine="480" w:firstLineChars="200"/>
        <w:rPr>
          <w:rFonts w:hint="default" w:ascii="Times New Roman" w:hAnsi="Times New Roman" w:cs="Times New Roman"/>
          <w:i w:val="0"/>
          <w:iCs w:val="0"/>
          <w:color w:val="auto"/>
          <w:sz w:val="24"/>
          <w:u w:val="single"/>
        </w:rPr>
      </w:pPr>
      <w:r>
        <w:rPr>
          <w:rFonts w:hint="eastAsia" w:ascii="Times New Roman" w:hAnsi="Times New Roman" w:cs="Times New Roman"/>
          <w:i w:val="0"/>
          <w:iCs w:val="0"/>
          <w:color w:val="auto"/>
          <w:sz w:val="24"/>
          <w:u w:val="single"/>
          <w:lang w:val="en-US" w:eastAsia="zh-CN"/>
        </w:rPr>
        <w:t>b</w:t>
      </w:r>
      <w:r>
        <w:rPr>
          <w:rFonts w:hint="default" w:ascii="Times New Roman" w:hAnsi="Times New Roman" w:cs="Times New Roman"/>
          <w:i w:val="0"/>
          <w:iCs w:val="0"/>
          <w:color w:val="auto"/>
          <w:sz w:val="24"/>
          <w:u w:val="single"/>
        </w:rPr>
        <w:t>非常规水源规划</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江源片区再生水近期供水规模为1.5万m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sz w:val="24"/>
          <w:u w:val="single"/>
        </w:rPr>
        <w:t>/d，远期供水规模为2.0万m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sz w:val="24"/>
          <w:u w:val="single"/>
        </w:rPr>
        <w:t>/d。</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规划建设污水再生利用工程，石人镇片区再生水远期供水规模0.5万m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sz w:val="24"/>
          <w:u w:val="single"/>
        </w:rPr>
        <w:t>/d。</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再生水主要用于非食品工业、市政、消防、建筑、洗车、冲厕等非生活用水。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i w:val="0"/>
          <w:iCs w:val="0"/>
          <w:color w:val="auto"/>
          <w:sz w:val="24"/>
          <w:u w:val="single"/>
          <w:lang w:eastAsia="zh-CN"/>
        </w:rPr>
      </w:pPr>
      <w:r>
        <w:rPr>
          <w:rFonts w:hint="default" w:ascii="Times New Roman" w:hAnsi="Times New Roman" w:eastAsia="宋体" w:cs="Times New Roman"/>
          <w:i w:val="0"/>
          <w:iCs w:val="0"/>
          <w:color w:val="auto"/>
          <w:sz w:val="24"/>
          <w:u w:val="single"/>
          <w:lang w:val="en-US" w:eastAsia="zh-CN"/>
        </w:rPr>
        <w:fldChar w:fldCharType="begin"/>
      </w:r>
      <w:r>
        <w:rPr>
          <w:rFonts w:hint="default" w:ascii="Times New Roman" w:hAnsi="Times New Roman" w:eastAsia="宋体" w:cs="Times New Roman"/>
          <w:i w:val="0"/>
          <w:iCs w:val="0"/>
          <w:color w:val="auto"/>
          <w:sz w:val="24"/>
          <w:u w:val="single"/>
          <w:lang w:val="en-US" w:eastAsia="zh-CN"/>
        </w:rPr>
        <w:instrText xml:space="preserve"> = 4 \* ROMAN \* MERGEFORMAT </w:instrText>
      </w:r>
      <w:r>
        <w:rPr>
          <w:rFonts w:hint="default" w:ascii="Times New Roman" w:hAnsi="Times New Roman" w:eastAsia="宋体" w:cs="Times New Roman"/>
          <w:i w:val="0"/>
          <w:iCs w:val="0"/>
          <w:color w:val="auto"/>
          <w:sz w:val="24"/>
          <w:u w:val="single"/>
          <w:lang w:val="en-US" w:eastAsia="zh-CN"/>
        </w:rPr>
        <w:fldChar w:fldCharType="separate"/>
      </w:r>
      <w:r>
        <w:rPr>
          <w:rFonts w:hint="eastAsia" w:ascii="Times New Roman" w:hAnsi="Times New Roman" w:eastAsia="宋体" w:cs="Times New Roman"/>
          <w:i w:val="0"/>
          <w:iCs w:val="0"/>
          <w:color w:val="auto"/>
          <w:sz w:val="24"/>
          <w:u w:val="single"/>
          <w:lang w:val="en-US" w:eastAsia="zh-CN"/>
        </w:rPr>
        <w:t>IV</w:t>
      </w:r>
      <w:r>
        <w:rPr>
          <w:rFonts w:hint="default" w:ascii="Times New Roman" w:hAnsi="Times New Roman" w:eastAsia="宋体" w:cs="Times New Roman"/>
          <w:i w:val="0"/>
          <w:iCs w:val="0"/>
          <w:color w:val="auto"/>
          <w:sz w:val="24"/>
          <w:u w:val="single"/>
          <w:lang w:val="en-US" w:eastAsia="zh-CN"/>
        </w:rPr>
        <w:fldChar w:fldCharType="end"/>
      </w:r>
      <w:r>
        <w:rPr>
          <w:rFonts w:hint="eastAsia" w:ascii="Times New Roman" w:hAnsi="Times New Roman" w:eastAsia="宋体" w:cs="Times New Roman"/>
          <w:i w:val="0"/>
          <w:iCs w:val="0"/>
          <w:color w:val="auto"/>
          <w:sz w:val="24"/>
          <w:u w:val="single"/>
          <w:lang w:val="en-US" w:eastAsia="zh-CN"/>
        </w:rPr>
        <w:t>、</w:t>
      </w:r>
      <w:r>
        <w:rPr>
          <w:rFonts w:hint="default" w:ascii="Times New Roman" w:hAnsi="Times New Roman" w:eastAsia="宋体" w:cs="Times New Roman"/>
          <w:i w:val="0"/>
          <w:iCs w:val="0"/>
          <w:color w:val="auto"/>
          <w:sz w:val="24"/>
          <w:u w:val="single"/>
          <w:lang w:val="en-US" w:eastAsia="zh-CN"/>
        </w:rPr>
        <w:t>水厂规划</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fldChar w:fldCharType="begin"/>
      </w:r>
      <w:r>
        <w:rPr>
          <w:rFonts w:hint="default" w:ascii="Times New Roman" w:hAnsi="Times New Roman" w:cs="Times New Roman"/>
          <w:i w:val="0"/>
          <w:iCs w:val="0"/>
          <w:color w:val="auto"/>
          <w:sz w:val="24"/>
          <w:u w:val="single"/>
        </w:rPr>
        <w:instrText xml:space="preserve"> = 1 \* alphabetic \* MERGEFORMAT </w:instrText>
      </w:r>
      <w:r>
        <w:rPr>
          <w:rFonts w:hint="default" w:ascii="Times New Roman" w:hAnsi="Times New Roman" w:cs="Times New Roman"/>
          <w:i w:val="0"/>
          <w:iCs w:val="0"/>
          <w:color w:val="auto"/>
          <w:sz w:val="24"/>
          <w:u w:val="single"/>
        </w:rPr>
        <w:fldChar w:fldCharType="separate"/>
      </w:r>
      <w:r>
        <w:rPr>
          <w:i w:val="0"/>
          <w:iCs w:val="0"/>
          <w:u w:val="single"/>
        </w:rPr>
        <w:t>a</w:t>
      </w:r>
      <w:r>
        <w:rPr>
          <w:rFonts w:hint="default" w:ascii="Times New Roman" w:hAnsi="Times New Roman" w:cs="Times New Roman"/>
          <w:i w:val="0"/>
          <w:iCs w:val="0"/>
          <w:color w:val="auto"/>
          <w:sz w:val="24"/>
          <w:u w:val="single"/>
        </w:rPr>
        <w:fldChar w:fldCharType="end"/>
      </w:r>
      <w:r>
        <w:rPr>
          <w:rFonts w:hint="default" w:ascii="Times New Roman" w:hAnsi="Times New Roman" w:cs="Times New Roman"/>
          <w:i w:val="0"/>
          <w:iCs w:val="0"/>
          <w:color w:val="auto"/>
          <w:sz w:val="24"/>
          <w:u w:val="single"/>
        </w:rPr>
        <w:t>江源片区</w:t>
      </w:r>
    </w:p>
    <w:p>
      <w:pPr>
        <w:pStyle w:val="419"/>
        <w:rPr>
          <w:rFonts w:hint="default" w:ascii="Times New Roman" w:hAnsi="Times New Roman" w:cs="Times New Roman"/>
          <w:i w:val="0"/>
          <w:iCs w:val="0"/>
          <w:color w:val="auto"/>
          <w:u w:val="single"/>
        </w:rPr>
      </w:pPr>
      <w:r>
        <w:rPr>
          <w:rFonts w:hint="default" w:ascii="Times New Roman" w:hAnsi="Times New Roman" w:eastAsia="宋体" w:cs="Times New Roman"/>
          <w:i w:val="0"/>
          <w:iCs w:val="0"/>
          <w:color w:val="auto"/>
          <w:kern w:val="2"/>
          <w:u w:val="single"/>
        </w:rPr>
        <w:t>规划近期建设大台子水厂，位于江源区大台子西侧，原水取自西北岔水库，设计供水能力为3.0万m</w:t>
      </w:r>
      <w:r>
        <w:rPr>
          <w:rFonts w:hint="default" w:ascii="Times New Roman" w:hAnsi="Times New Roman" w:eastAsia="宋体" w:cs="Times New Roman"/>
          <w:i w:val="0"/>
          <w:iCs w:val="0"/>
          <w:color w:val="auto"/>
          <w:kern w:val="2"/>
          <w:u w:val="single"/>
          <w:vertAlign w:val="superscript"/>
        </w:rPr>
        <w:t>3</w:t>
      </w:r>
      <w:r>
        <w:rPr>
          <w:rFonts w:hint="default" w:ascii="Times New Roman" w:hAnsi="Times New Roman" w:eastAsia="宋体" w:cs="Times New Roman"/>
          <w:i w:val="0"/>
          <w:iCs w:val="0"/>
          <w:color w:val="auto"/>
          <w:kern w:val="2"/>
          <w:u w:val="single"/>
        </w:rPr>
        <w:t>/d；</w:t>
      </w:r>
      <w:r>
        <w:rPr>
          <w:rFonts w:hint="default" w:ascii="Times New Roman" w:hAnsi="Times New Roman" w:cs="Times New Roman"/>
          <w:i w:val="0"/>
          <w:iCs w:val="0"/>
          <w:color w:val="auto"/>
          <w:u w:val="single"/>
        </w:rPr>
        <w:t>并同时使用江源区龙头水厂，江源区龙头水厂设计日供水能力为2.0万m</w:t>
      </w:r>
      <w:r>
        <w:rPr>
          <w:rFonts w:hint="default" w:ascii="Times New Roman" w:hAnsi="Times New Roman" w:cs="Times New Roman"/>
          <w:i w:val="0"/>
          <w:iCs w:val="0"/>
          <w:color w:val="auto"/>
          <w:u w:val="single"/>
          <w:vertAlign w:val="superscript"/>
        </w:rPr>
        <w:t>3</w:t>
      </w:r>
      <w:r>
        <w:rPr>
          <w:rFonts w:hint="default" w:ascii="Times New Roman" w:hAnsi="Times New Roman" w:cs="Times New Roman"/>
          <w:i w:val="0"/>
          <w:iCs w:val="0"/>
          <w:color w:val="auto"/>
          <w:u w:val="single"/>
        </w:rPr>
        <w:t>/d，江源区近期总设计日供水量为5万m</w:t>
      </w:r>
      <w:r>
        <w:rPr>
          <w:rFonts w:hint="default" w:ascii="Times New Roman" w:hAnsi="Times New Roman" w:cs="Times New Roman"/>
          <w:i w:val="0"/>
          <w:iCs w:val="0"/>
          <w:color w:val="auto"/>
          <w:u w:val="single"/>
          <w:vertAlign w:val="superscript"/>
        </w:rPr>
        <w:t>3</w:t>
      </w:r>
      <w:r>
        <w:rPr>
          <w:rFonts w:hint="default" w:ascii="Times New Roman" w:hAnsi="Times New Roman" w:cs="Times New Roman"/>
          <w:i w:val="0"/>
          <w:iCs w:val="0"/>
          <w:color w:val="auto"/>
          <w:u w:val="single"/>
        </w:rPr>
        <w:t>/d，其中2.5万m</w:t>
      </w:r>
      <w:r>
        <w:rPr>
          <w:rFonts w:hint="default" w:ascii="Times New Roman" w:hAnsi="Times New Roman" w:cs="Times New Roman"/>
          <w:i w:val="0"/>
          <w:iCs w:val="0"/>
          <w:color w:val="auto"/>
          <w:u w:val="single"/>
          <w:vertAlign w:val="superscript"/>
        </w:rPr>
        <w:t>3</w:t>
      </w:r>
      <w:r>
        <w:rPr>
          <w:rFonts w:hint="default" w:ascii="Times New Roman" w:hAnsi="Times New Roman" w:cs="Times New Roman"/>
          <w:i w:val="0"/>
          <w:iCs w:val="0"/>
          <w:color w:val="auto"/>
          <w:u w:val="single"/>
        </w:rPr>
        <w:t>/d分配给江源片区。</w:t>
      </w:r>
    </w:p>
    <w:p>
      <w:pPr>
        <w:pStyle w:val="419"/>
        <w:rPr>
          <w:rFonts w:hint="default" w:ascii="Times New Roman" w:hAnsi="Times New Roman" w:cs="Times New Roman"/>
          <w:i w:val="0"/>
          <w:iCs w:val="0"/>
          <w:color w:val="auto"/>
          <w:u w:val="single"/>
        </w:rPr>
      </w:pPr>
      <w:r>
        <w:rPr>
          <w:rFonts w:hint="default" w:ascii="Times New Roman" w:hAnsi="Times New Roman" w:cs="Times New Roman"/>
          <w:i w:val="0"/>
          <w:iCs w:val="0"/>
          <w:color w:val="auto"/>
          <w:u w:val="single"/>
        </w:rPr>
        <w:t>远期扩建大台子水厂，设计日供水能力为5万m</w:t>
      </w:r>
      <w:r>
        <w:rPr>
          <w:rFonts w:hint="default" w:ascii="Times New Roman" w:hAnsi="Times New Roman" w:cs="Times New Roman"/>
          <w:i w:val="0"/>
          <w:iCs w:val="0"/>
          <w:color w:val="auto"/>
          <w:u w:val="single"/>
          <w:vertAlign w:val="superscript"/>
        </w:rPr>
        <w:t>3</w:t>
      </w:r>
      <w:r>
        <w:rPr>
          <w:rFonts w:hint="default" w:ascii="Times New Roman" w:hAnsi="Times New Roman" w:cs="Times New Roman"/>
          <w:i w:val="0"/>
          <w:iCs w:val="0"/>
          <w:color w:val="auto"/>
          <w:u w:val="single"/>
        </w:rPr>
        <w:t>/d，并使用江源区龙头水厂，设计日供水能力为2万m</w:t>
      </w:r>
      <w:r>
        <w:rPr>
          <w:rFonts w:hint="default" w:ascii="Times New Roman" w:hAnsi="Times New Roman" w:cs="Times New Roman"/>
          <w:i w:val="0"/>
          <w:iCs w:val="0"/>
          <w:color w:val="auto"/>
          <w:u w:val="single"/>
          <w:vertAlign w:val="superscript"/>
        </w:rPr>
        <w:t>3</w:t>
      </w:r>
      <w:r>
        <w:rPr>
          <w:rFonts w:hint="default" w:ascii="Times New Roman" w:hAnsi="Times New Roman" w:cs="Times New Roman"/>
          <w:i w:val="0"/>
          <w:iCs w:val="0"/>
          <w:color w:val="auto"/>
          <w:u w:val="single"/>
        </w:rPr>
        <w:t>/d，江源区远期总设计供水量为7万m</w:t>
      </w:r>
      <w:r>
        <w:rPr>
          <w:rFonts w:hint="default" w:ascii="Times New Roman" w:hAnsi="Times New Roman" w:cs="Times New Roman"/>
          <w:i w:val="0"/>
          <w:iCs w:val="0"/>
          <w:color w:val="auto"/>
          <w:u w:val="single"/>
          <w:vertAlign w:val="superscript"/>
        </w:rPr>
        <w:t>3</w:t>
      </w:r>
      <w:r>
        <w:rPr>
          <w:rFonts w:hint="default" w:ascii="Times New Roman" w:hAnsi="Times New Roman" w:cs="Times New Roman"/>
          <w:i w:val="0"/>
          <w:iCs w:val="0"/>
          <w:color w:val="auto"/>
          <w:u w:val="single"/>
        </w:rPr>
        <w:t>/d，其中3万m</w:t>
      </w:r>
      <w:r>
        <w:rPr>
          <w:rFonts w:hint="default" w:ascii="Times New Roman" w:hAnsi="Times New Roman" w:cs="Times New Roman"/>
          <w:i w:val="0"/>
          <w:iCs w:val="0"/>
          <w:color w:val="auto"/>
          <w:u w:val="single"/>
          <w:vertAlign w:val="superscript"/>
        </w:rPr>
        <w:t>3</w:t>
      </w:r>
      <w:r>
        <w:rPr>
          <w:rFonts w:hint="default" w:ascii="Times New Roman" w:hAnsi="Times New Roman" w:cs="Times New Roman"/>
          <w:i w:val="0"/>
          <w:iCs w:val="0"/>
          <w:color w:val="auto"/>
          <w:u w:val="single"/>
        </w:rPr>
        <w:t>/d分配给江源片区，0.9万m</w:t>
      </w:r>
      <w:r>
        <w:rPr>
          <w:rFonts w:hint="default" w:ascii="Times New Roman" w:hAnsi="Times New Roman" w:cs="Times New Roman"/>
          <w:i w:val="0"/>
          <w:iCs w:val="0"/>
          <w:color w:val="auto"/>
          <w:u w:val="single"/>
          <w:vertAlign w:val="superscript"/>
        </w:rPr>
        <w:t>3</w:t>
      </w:r>
      <w:r>
        <w:rPr>
          <w:rFonts w:hint="default" w:ascii="Times New Roman" w:hAnsi="Times New Roman" w:cs="Times New Roman"/>
          <w:i w:val="0"/>
          <w:iCs w:val="0"/>
          <w:color w:val="auto"/>
          <w:u w:val="single"/>
        </w:rPr>
        <w:t>/d分配给石人镇片区。并且远期扩建江源区污水再生利用水厂，设计日供水能力为2.0万m</w:t>
      </w:r>
      <w:r>
        <w:rPr>
          <w:rFonts w:hint="default" w:ascii="Times New Roman" w:hAnsi="Times New Roman" w:cs="Times New Roman"/>
          <w:i w:val="0"/>
          <w:iCs w:val="0"/>
          <w:color w:val="auto"/>
          <w:u w:val="single"/>
          <w:vertAlign w:val="superscript"/>
        </w:rPr>
        <w:t>3</w:t>
      </w:r>
      <w:r>
        <w:rPr>
          <w:rFonts w:hint="default" w:ascii="Times New Roman" w:hAnsi="Times New Roman" w:cs="Times New Roman"/>
          <w:i w:val="0"/>
          <w:iCs w:val="0"/>
          <w:color w:val="auto"/>
          <w:u w:val="single"/>
        </w:rPr>
        <w:t>/d。以上可保证江源片区近期及远期的用水需求。</w:t>
      </w:r>
    </w:p>
    <w:p>
      <w:pPr>
        <w:spacing w:line="360" w:lineRule="auto"/>
        <w:ind w:firstLine="480" w:firstLineChars="200"/>
        <w:rPr>
          <w:rFonts w:hint="default" w:ascii="Times New Roman" w:hAnsi="Times New Roman" w:cs="Times New Roman"/>
          <w:i w:val="0"/>
          <w:iCs w:val="0"/>
          <w:color w:val="auto"/>
          <w:kern w:val="0"/>
          <w:sz w:val="24"/>
          <w:u w:val="single"/>
        </w:rPr>
      </w:pPr>
      <w:r>
        <w:rPr>
          <w:rFonts w:hint="eastAsia" w:ascii="Times New Roman" w:hAnsi="Times New Roman" w:cs="Times New Roman"/>
          <w:i w:val="0"/>
          <w:iCs w:val="0"/>
          <w:color w:val="auto"/>
          <w:sz w:val="24"/>
          <w:u w:val="single"/>
          <w:lang w:val="en-US" w:eastAsia="zh-CN"/>
        </w:rPr>
        <w:t>b</w:t>
      </w:r>
      <w:r>
        <w:rPr>
          <w:rFonts w:hint="default" w:ascii="Times New Roman" w:hAnsi="Times New Roman" w:cs="Times New Roman"/>
          <w:i w:val="0"/>
          <w:iCs w:val="0"/>
          <w:color w:val="auto"/>
          <w:kern w:val="0"/>
          <w:sz w:val="24"/>
          <w:u w:val="single"/>
        </w:rPr>
        <w:t>石人镇片区</w:t>
      </w:r>
    </w:p>
    <w:p>
      <w:pPr>
        <w:spacing w:line="360" w:lineRule="auto"/>
        <w:ind w:firstLine="480" w:firstLineChars="200"/>
        <w:rPr>
          <w:rFonts w:hint="default" w:ascii="Times New Roman" w:hAnsi="Times New Roman" w:cs="Times New Roman"/>
          <w:i w:val="0"/>
          <w:iCs w:val="0"/>
          <w:color w:val="auto"/>
          <w:kern w:val="0"/>
          <w:sz w:val="24"/>
          <w:u w:val="single"/>
        </w:rPr>
      </w:pPr>
      <w:r>
        <w:rPr>
          <w:rFonts w:hint="default" w:ascii="Times New Roman" w:hAnsi="Times New Roman" w:cs="Times New Roman"/>
          <w:i w:val="0"/>
          <w:iCs w:val="0"/>
          <w:color w:val="auto"/>
          <w:kern w:val="0"/>
          <w:sz w:val="24"/>
          <w:u w:val="single"/>
        </w:rPr>
        <w:t>规划近期在开发区北部新建净水厂，并且集中现状可供水资源，设计日供水能力为0.6万m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kern w:val="0"/>
          <w:sz w:val="24"/>
          <w:u w:val="single"/>
        </w:rPr>
        <w:t>/d；远期由江源片区供水管网分配供水，设计日供水能力为0.9m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kern w:val="0"/>
          <w:sz w:val="24"/>
          <w:u w:val="single"/>
        </w:rPr>
        <w:t>/d，并继续使用石人镇近期新建净水厂，设计日供水能力为0.6万m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kern w:val="0"/>
          <w:sz w:val="24"/>
          <w:u w:val="single"/>
        </w:rPr>
        <w:t>/d。新建污水再生利用水厂，设计日供水能力为0.5万m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kern w:val="0"/>
          <w:sz w:val="24"/>
          <w:u w:val="single"/>
        </w:rPr>
        <w:t>/d。以上可保证石人镇片区近期及远期的用水需求。</w:t>
      </w:r>
    </w:p>
    <w:p>
      <w:pPr>
        <w:spacing w:line="360" w:lineRule="auto"/>
        <w:ind w:firstLine="480" w:firstLineChars="200"/>
        <w:rPr>
          <w:rFonts w:hint="default" w:ascii="Times New Roman" w:hAnsi="Times New Roman" w:cs="Times New Roman"/>
          <w:i w:val="0"/>
          <w:iCs w:val="0"/>
          <w:color w:val="auto"/>
          <w:kern w:val="0"/>
          <w:sz w:val="24"/>
          <w:u w:val="single"/>
        </w:rPr>
      </w:pPr>
      <w:r>
        <w:rPr>
          <w:rFonts w:hint="default" w:ascii="Times New Roman" w:hAnsi="Times New Roman" w:cs="Times New Roman"/>
          <w:i w:val="0"/>
          <w:iCs w:val="0"/>
          <w:color w:val="auto"/>
          <w:kern w:val="0"/>
          <w:sz w:val="24"/>
          <w:u w:val="single"/>
        </w:rPr>
        <w:t>考虑到开发区水厂的实际供水能力，规划建议切实落实再生利用水厂的建设，积极推进分质供水方式，以非常规水源补充开发区工业生产用水需求。同时，增强常规水源的供给能力，满足开发区生活需求。</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fldChar w:fldCharType="begin"/>
      </w:r>
      <w:r>
        <w:rPr>
          <w:rFonts w:hint="default" w:ascii="Times New Roman" w:hAnsi="Times New Roman" w:cs="Times New Roman"/>
          <w:i w:val="0"/>
          <w:iCs w:val="0"/>
          <w:color w:val="auto"/>
          <w:sz w:val="24"/>
          <w:u w:val="single"/>
        </w:rPr>
        <w:instrText xml:space="preserve"> = 5 \* ROMAN \* MERGEFORMAT </w:instrText>
      </w:r>
      <w:r>
        <w:rPr>
          <w:rFonts w:hint="default" w:ascii="Times New Roman" w:hAnsi="Times New Roman" w:cs="Times New Roman"/>
          <w:i w:val="0"/>
          <w:iCs w:val="0"/>
          <w:color w:val="auto"/>
          <w:sz w:val="24"/>
          <w:u w:val="single"/>
        </w:rPr>
        <w:fldChar w:fldCharType="separate"/>
      </w:r>
      <w:r>
        <w:rPr>
          <w:i w:val="0"/>
          <w:iCs w:val="0"/>
          <w:u w:val="single"/>
        </w:rPr>
        <w:t>V</w:t>
      </w:r>
      <w:r>
        <w:rPr>
          <w:rFonts w:hint="default" w:ascii="Times New Roman" w:hAnsi="Times New Roman" w:cs="Times New Roman"/>
          <w:i w:val="0"/>
          <w:iCs w:val="0"/>
          <w:color w:val="auto"/>
          <w:sz w:val="24"/>
          <w:u w:val="single"/>
        </w:rPr>
        <w:fldChar w:fldCharType="end"/>
      </w:r>
      <w:r>
        <w:rPr>
          <w:rFonts w:hint="eastAsia" w:ascii="Times New Roman" w:hAnsi="Times New Roman" w:cs="Times New Roman"/>
          <w:i w:val="0"/>
          <w:iCs w:val="0"/>
          <w:color w:val="auto"/>
          <w:sz w:val="24"/>
          <w:u w:val="single"/>
          <w:lang w:eastAsia="zh-CN"/>
        </w:rPr>
        <w:t>、</w:t>
      </w:r>
      <w:r>
        <w:rPr>
          <w:rFonts w:hint="default" w:ascii="Times New Roman" w:hAnsi="Times New Roman" w:cs="Times New Roman"/>
          <w:i w:val="0"/>
          <w:iCs w:val="0"/>
          <w:color w:val="auto"/>
          <w:sz w:val="24"/>
          <w:u w:val="single"/>
        </w:rPr>
        <w:t>给水设施规划</w:t>
      </w:r>
    </w:p>
    <w:p>
      <w:pPr>
        <w:spacing w:line="360" w:lineRule="auto"/>
        <w:ind w:firstLine="480" w:firstLineChars="200"/>
        <w:rPr>
          <w:rFonts w:hint="default" w:ascii="Times New Roman" w:hAnsi="Times New Roman" w:cs="Times New Roman"/>
          <w:i w:val="0"/>
          <w:iCs w:val="0"/>
          <w:color w:val="auto"/>
          <w:sz w:val="24"/>
          <w:u w:val="single"/>
        </w:rPr>
      </w:pPr>
      <w:r>
        <w:rPr>
          <w:rFonts w:hint="eastAsia" w:ascii="Times New Roman" w:hAnsi="Times New Roman" w:eastAsia="宋体" w:cs="Times New Roman"/>
          <w:i w:val="0"/>
          <w:iCs w:val="0"/>
          <w:color w:val="auto"/>
          <w:sz w:val="24"/>
          <w:u w:val="single"/>
          <w:lang w:val="en-US" w:eastAsia="zh-CN"/>
        </w:rPr>
        <w:t>a</w:t>
      </w:r>
      <w:r>
        <w:rPr>
          <w:rFonts w:hint="default" w:ascii="Times New Roman" w:hAnsi="Times New Roman" w:cs="Times New Roman"/>
          <w:i w:val="0"/>
          <w:iCs w:val="0"/>
          <w:color w:val="auto"/>
          <w:sz w:val="24"/>
          <w:u w:val="single"/>
        </w:rPr>
        <w:t>近期在现有的管网基础上，以枝状管网为主。远期规划管网均采用环状与枝状相结合的管网系统，供水干管管径为DN300，配水管管径为DN150-DN200。</w:t>
      </w:r>
    </w:p>
    <w:p>
      <w:pPr>
        <w:spacing w:line="360" w:lineRule="auto"/>
        <w:ind w:firstLine="480" w:firstLineChars="200"/>
        <w:rPr>
          <w:rFonts w:hint="default" w:ascii="Times New Roman" w:hAnsi="Times New Roman" w:cs="Times New Roman"/>
          <w:i w:val="0"/>
          <w:iCs w:val="0"/>
          <w:color w:val="auto"/>
          <w:sz w:val="24"/>
          <w:u w:val="single"/>
        </w:rPr>
      </w:pPr>
      <w:r>
        <w:rPr>
          <w:rFonts w:hint="eastAsia" w:ascii="Times New Roman" w:hAnsi="Times New Roman" w:cs="Times New Roman"/>
          <w:i w:val="0"/>
          <w:iCs w:val="0"/>
          <w:color w:val="auto"/>
          <w:sz w:val="24"/>
          <w:u w:val="single"/>
          <w:lang w:val="en-US" w:eastAsia="zh-CN"/>
        </w:rPr>
        <w:t>b</w:t>
      </w:r>
      <w:r>
        <w:rPr>
          <w:rFonts w:hint="default" w:ascii="Times New Roman" w:hAnsi="Times New Roman" w:cs="Times New Roman"/>
          <w:i w:val="0"/>
          <w:iCs w:val="0"/>
          <w:color w:val="auto"/>
          <w:sz w:val="24"/>
          <w:u w:val="single"/>
        </w:rPr>
        <w:t>开发区给水管网分为干管和支管两个级别。</w:t>
      </w:r>
    </w:p>
    <w:p>
      <w:pPr>
        <w:spacing w:line="360" w:lineRule="auto"/>
        <w:ind w:firstLine="480" w:firstLineChars="200"/>
        <w:rPr>
          <w:rFonts w:hint="default" w:ascii="Times New Roman" w:hAnsi="Times New Roman" w:cs="Times New Roman"/>
          <w:i w:val="0"/>
          <w:iCs w:val="0"/>
          <w:color w:val="auto"/>
          <w:sz w:val="24"/>
          <w:u w:val="single"/>
        </w:rPr>
      </w:pPr>
      <w:r>
        <w:rPr>
          <w:rFonts w:hint="eastAsia" w:ascii="Times New Roman" w:hAnsi="Times New Roman" w:cs="Times New Roman"/>
          <w:i w:val="0"/>
          <w:iCs w:val="0"/>
          <w:color w:val="auto"/>
          <w:sz w:val="24"/>
          <w:u w:val="single"/>
          <w:lang w:val="en-US" w:eastAsia="zh-CN"/>
        </w:rPr>
        <w:t>c</w:t>
      </w:r>
      <w:r>
        <w:rPr>
          <w:rFonts w:hint="default" w:ascii="Times New Roman" w:hAnsi="Times New Roman" w:cs="Times New Roman"/>
          <w:i w:val="0"/>
          <w:iCs w:val="0"/>
          <w:color w:val="auto"/>
          <w:sz w:val="24"/>
          <w:u w:val="single"/>
        </w:rPr>
        <w:t>给水干管布置的主要方向按用水主要流向延伸，间距200-300米。</w:t>
      </w:r>
    </w:p>
    <w:p>
      <w:pPr>
        <w:spacing w:line="360" w:lineRule="auto"/>
        <w:ind w:firstLine="480" w:firstLineChars="200"/>
        <w:rPr>
          <w:rFonts w:hint="default" w:ascii="Times New Roman" w:hAnsi="Times New Roman" w:cs="Times New Roman"/>
          <w:i w:val="0"/>
          <w:iCs w:val="0"/>
          <w:color w:val="auto"/>
          <w:sz w:val="24"/>
          <w:u w:val="single"/>
        </w:rPr>
      </w:pPr>
      <w:r>
        <w:rPr>
          <w:rFonts w:hint="eastAsia" w:ascii="Times New Roman" w:hAnsi="Times New Roman" w:cs="Times New Roman"/>
          <w:i w:val="0"/>
          <w:iCs w:val="0"/>
          <w:color w:val="auto"/>
          <w:sz w:val="24"/>
          <w:u w:val="single"/>
          <w:lang w:val="en-US" w:eastAsia="zh-CN"/>
        </w:rPr>
        <w:t>d</w:t>
      </w:r>
      <w:r>
        <w:rPr>
          <w:rFonts w:hint="default" w:ascii="Times New Roman" w:hAnsi="Times New Roman" w:cs="Times New Roman"/>
          <w:i w:val="0"/>
          <w:iCs w:val="0"/>
          <w:color w:val="auto"/>
          <w:sz w:val="24"/>
          <w:u w:val="single"/>
        </w:rPr>
        <w:t>给水系统的配水管网最小服务水头要满足多数用户的需求，在敷设管道前做好管网平差计算。</w:t>
      </w:r>
    </w:p>
    <w:p>
      <w:pPr>
        <w:spacing w:line="360" w:lineRule="auto"/>
        <w:ind w:firstLine="480" w:firstLineChars="200"/>
        <w:rPr>
          <w:rFonts w:hint="default" w:ascii="Times New Roman" w:hAnsi="Times New Roman" w:cs="Times New Roman"/>
          <w:i w:val="0"/>
          <w:iCs w:val="0"/>
          <w:color w:val="auto"/>
          <w:sz w:val="24"/>
          <w:u w:val="single"/>
        </w:rPr>
      </w:pPr>
      <w:r>
        <w:rPr>
          <w:rFonts w:hint="eastAsia" w:ascii="Times New Roman" w:hAnsi="Times New Roman" w:cs="Times New Roman"/>
          <w:i w:val="0"/>
          <w:iCs w:val="0"/>
          <w:color w:val="auto"/>
          <w:sz w:val="24"/>
          <w:u w:val="single"/>
          <w:lang w:val="en-US" w:eastAsia="zh-CN"/>
        </w:rPr>
        <w:t>e</w:t>
      </w:r>
      <w:r>
        <w:rPr>
          <w:rFonts w:hint="default" w:ascii="Times New Roman" w:hAnsi="Times New Roman" w:cs="Times New Roman"/>
          <w:i w:val="0"/>
          <w:iCs w:val="0"/>
          <w:color w:val="auto"/>
          <w:sz w:val="24"/>
          <w:u w:val="single"/>
        </w:rPr>
        <w:t>消防采用低压供水系统，并与生活给水共用同一管道，为满足消防需要，在给水管道上设置地埋式消火栓，其间距不大于120米；同时保证最不利点水压不小于0.1MPa。</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开发区供水工程规划见下表，供水工程规划图见图</w:t>
      </w:r>
      <w:r>
        <w:rPr>
          <w:rFonts w:hint="eastAsia" w:ascii="Times New Roman" w:hAnsi="Times New Roman" w:cs="Times New Roman"/>
          <w:i w:val="0"/>
          <w:iCs w:val="0"/>
          <w:color w:val="auto"/>
          <w:sz w:val="24"/>
          <w:u w:val="single"/>
          <w:lang w:val="en-US" w:eastAsia="zh-CN"/>
        </w:rPr>
        <w:t>1-2</w:t>
      </w:r>
      <w:r>
        <w:rPr>
          <w:rFonts w:hint="default" w:ascii="Times New Roman" w:hAnsi="Times New Roman" w:cs="Times New Roman"/>
          <w:i w:val="0"/>
          <w:iCs w:val="0"/>
          <w:color w:val="auto"/>
          <w:sz w:val="24"/>
          <w:u w:val="single"/>
        </w:rPr>
        <w:t>。</w:t>
      </w:r>
    </w:p>
    <w:p>
      <w:pPr>
        <w:ind w:firstLine="482" w:firstLineChars="200"/>
        <w:jc w:val="center"/>
        <w:rPr>
          <w:rFonts w:hint="default" w:cs="Times New Roman"/>
          <w:b/>
          <w:bCs/>
          <w:i w:val="0"/>
          <w:iCs w:val="0"/>
          <w:color w:val="auto"/>
          <w:szCs w:val="21"/>
          <w:u w:val="single"/>
          <w:lang w:val="en-US" w:eastAsia="zh-CN"/>
        </w:rPr>
      </w:pPr>
      <w:r>
        <w:rPr>
          <w:rFonts w:hint="default" w:cs="Times New Roman"/>
          <w:b/>
          <w:bCs/>
          <w:i w:val="0"/>
          <w:iCs w:val="0"/>
          <w:color w:val="auto"/>
          <w:szCs w:val="21"/>
          <w:u w:val="single"/>
          <w:lang w:val="en-US" w:eastAsia="zh-CN"/>
        </w:rPr>
        <w:t>表</w:t>
      </w:r>
      <w:r>
        <w:rPr>
          <w:rFonts w:hint="eastAsia" w:cs="Times New Roman"/>
          <w:b/>
          <w:bCs/>
          <w:i w:val="0"/>
          <w:iCs w:val="0"/>
          <w:color w:val="auto"/>
          <w:szCs w:val="21"/>
          <w:u w:val="single"/>
          <w:lang w:val="en-US" w:eastAsia="zh-CN"/>
        </w:rPr>
        <w:t>1-3</w:t>
      </w:r>
      <w:r>
        <w:rPr>
          <w:rFonts w:hint="default" w:cs="Times New Roman"/>
          <w:b/>
          <w:bCs/>
          <w:i w:val="0"/>
          <w:iCs w:val="0"/>
          <w:color w:val="auto"/>
          <w:szCs w:val="21"/>
          <w:u w:val="single"/>
          <w:lang w:val="en-US" w:eastAsia="zh-CN"/>
        </w:rPr>
        <w:t xml:space="preserve">  开发区供水工程规划   单位：万m</w:t>
      </w:r>
      <w:r>
        <w:rPr>
          <w:rFonts w:hint="default" w:cs="Times New Roman"/>
          <w:b/>
          <w:bCs/>
          <w:i w:val="0"/>
          <w:iCs w:val="0"/>
          <w:color w:val="auto"/>
          <w:szCs w:val="21"/>
          <w:u w:val="single"/>
          <w:vertAlign w:val="superscript"/>
          <w:lang w:val="en-US" w:eastAsia="zh-CN"/>
        </w:rPr>
        <w:t>3</w:t>
      </w:r>
      <w:r>
        <w:rPr>
          <w:rFonts w:hint="default" w:cs="Times New Roman"/>
          <w:b/>
          <w:bCs/>
          <w:i w:val="0"/>
          <w:iCs w:val="0"/>
          <w:color w:val="auto"/>
          <w:szCs w:val="21"/>
          <w:u w:val="single"/>
          <w:lang w:val="en-US" w:eastAsia="zh-CN"/>
        </w:rPr>
        <w:t>/d</w:t>
      </w:r>
    </w:p>
    <w:tbl>
      <w:tblPr>
        <w:tblStyle w:val="5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5"/>
        <w:gridCol w:w="875"/>
        <w:gridCol w:w="1089"/>
        <w:gridCol w:w="1055"/>
        <w:gridCol w:w="1055"/>
        <w:gridCol w:w="1059"/>
        <w:gridCol w:w="1055"/>
        <w:gridCol w:w="1058"/>
        <w:gridCol w:w="8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486" w:type="pct"/>
            <w:vMerge w:val="restar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水源类型</w:t>
            </w:r>
          </w:p>
        </w:tc>
        <w:tc>
          <w:tcPr>
            <w:tcW w:w="486" w:type="pct"/>
            <w:vMerge w:val="restar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片区</w:t>
            </w:r>
          </w:p>
        </w:tc>
        <w:tc>
          <w:tcPr>
            <w:tcW w:w="605" w:type="pct"/>
            <w:vMerge w:val="restar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水厂名称</w:t>
            </w:r>
          </w:p>
        </w:tc>
        <w:tc>
          <w:tcPr>
            <w:tcW w:w="1760" w:type="pct"/>
            <w:gridSpan w:val="3"/>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供水规模</w:t>
            </w:r>
          </w:p>
        </w:tc>
        <w:tc>
          <w:tcPr>
            <w:tcW w:w="1173" w:type="pct"/>
            <w:gridSpan w:val="2"/>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分配给开发区供水量</w:t>
            </w:r>
          </w:p>
        </w:tc>
        <w:tc>
          <w:tcPr>
            <w:tcW w:w="487" w:type="pct"/>
            <w:vMerge w:val="restar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水源名称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Merge w:val="continue"/>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p>
        </w:tc>
        <w:tc>
          <w:tcPr>
            <w:tcW w:w="486" w:type="pct"/>
            <w:vMerge w:val="continue"/>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p>
        </w:tc>
        <w:tc>
          <w:tcPr>
            <w:tcW w:w="605" w:type="pct"/>
            <w:vMerge w:val="continue"/>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p>
        </w:tc>
        <w:tc>
          <w:tcPr>
            <w:tcW w:w="586"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2019</w:t>
            </w:r>
          </w:p>
        </w:tc>
        <w:tc>
          <w:tcPr>
            <w:tcW w:w="586"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2025</w:t>
            </w:r>
          </w:p>
        </w:tc>
        <w:tc>
          <w:tcPr>
            <w:tcW w:w="587"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2035</w:t>
            </w:r>
          </w:p>
        </w:tc>
        <w:tc>
          <w:tcPr>
            <w:tcW w:w="586"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2025</w:t>
            </w:r>
          </w:p>
        </w:tc>
        <w:tc>
          <w:tcPr>
            <w:tcW w:w="587"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2035</w:t>
            </w:r>
          </w:p>
        </w:tc>
        <w:tc>
          <w:tcPr>
            <w:tcW w:w="487" w:type="pct"/>
            <w:vMerge w:val="continue"/>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Merge w:val="restar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常规</w:t>
            </w:r>
          </w:p>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水源</w:t>
            </w:r>
          </w:p>
        </w:tc>
        <w:tc>
          <w:tcPr>
            <w:tcW w:w="486" w:type="pct"/>
            <w:vMerge w:val="restar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江源片区</w:t>
            </w:r>
          </w:p>
        </w:tc>
        <w:tc>
          <w:tcPr>
            <w:tcW w:w="605"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江源区龙头水厂</w:t>
            </w:r>
          </w:p>
        </w:tc>
        <w:tc>
          <w:tcPr>
            <w:tcW w:w="586"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2.0</w:t>
            </w:r>
          </w:p>
        </w:tc>
        <w:tc>
          <w:tcPr>
            <w:tcW w:w="586"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2.0</w:t>
            </w:r>
          </w:p>
        </w:tc>
        <w:tc>
          <w:tcPr>
            <w:tcW w:w="587"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2.0</w:t>
            </w:r>
          </w:p>
        </w:tc>
        <w:tc>
          <w:tcPr>
            <w:tcW w:w="586" w:type="pct"/>
            <w:vMerge w:val="restar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2.5</w:t>
            </w:r>
          </w:p>
        </w:tc>
        <w:tc>
          <w:tcPr>
            <w:tcW w:w="587" w:type="pct"/>
            <w:vMerge w:val="restar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3.0</w:t>
            </w:r>
          </w:p>
        </w:tc>
        <w:tc>
          <w:tcPr>
            <w:tcW w:w="487"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大阳岔河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Merge w:val="continue"/>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p>
        </w:tc>
        <w:tc>
          <w:tcPr>
            <w:tcW w:w="486" w:type="pct"/>
            <w:vMerge w:val="continue"/>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p>
        </w:tc>
        <w:tc>
          <w:tcPr>
            <w:tcW w:w="605"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大台子净水厂</w:t>
            </w:r>
          </w:p>
        </w:tc>
        <w:tc>
          <w:tcPr>
            <w:tcW w:w="586"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w:t>
            </w:r>
          </w:p>
        </w:tc>
        <w:tc>
          <w:tcPr>
            <w:tcW w:w="586"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3.0</w:t>
            </w:r>
          </w:p>
        </w:tc>
        <w:tc>
          <w:tcPr>
            <w:tcW w:w="587"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5.0</w:t>
            </w:r>
          </w:p>
        </w:tc>
        <w:tc>
          <w:tcPr>
            <w:tcW w:w="586" w:type="pct"/>
            <w:vMerge w:val="continue"/>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p>
        </w:tc>
        <w:tc>
          <w:tcPr>
            <w:tcW w:w="587" w:type="pct"/>
            <w:vMerge w:val="continue"/>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p>
        </w:tc>
        <w:tc>
          <w:tcPr>
            <w:tcW w:w="487"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西北岔水库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6" w:type="pct"/>
            <w:vMerge w:val="continue"/>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p>
        </w:tc>
        <w:tc>
          <w:tcPr>
            <w:tcW w:w="486" w:type="pct"/>
            <w:vMerge w:val="restar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石人镇片区</w:t>
            </w:r>
          </w:p>
        </w:tc>
        <w:tc>
          <w:tcPr>
            <w:tcW w:w="605"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规划石人镇净水厂</w:t>
            </w:r>
          </w:p>
        </w:tc>
        <w:tc>
          <w:tcPr>
            <w:tcW w:w="586"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0.3</w:t>
            </w:r>
          </w:p>
        </w:tc>
        <w:tc>
          <w:tcPr>
            <w:tcW w:w="586"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0.6</w:t>
            </w:r>
          </w:p>
        </w:tc>
        <w:tc>
          <w:tcPr>
            <w:tcW w:w="587"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0.6</w:t>
            </w:r>
          </w:p>
        </w:tc>
        <w:tc>
          <w:tcPr>
            <w:tcW w:w="586"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0.6</w:t>
            </w:r>
          </w:p>
        </w:tc>
        <w:tc>
          <w:tcPr>
            <w:tcW w:w="587"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0.6</w:t>
            </w:r>
          </w:p>
        </w:tc>
        <w:tc>
          <w:tcPr>
            <w:tcW w:w="487"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5处水源地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Merge w:val="continue"/>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p>
        </w:tc>
        <w:tc>
          <w:tcPr>
            <w:tcW w:w="486" w:type="pct"/>
            <w:vMerge w:val="continue"/>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p>
        </w:tc>
        <w:tc>
          <w:tcPr>
            <w:tcW w:w="605"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大台子净水厂</w:t>
            </w:r>
          </w:p>
        </w:tc>
        <w:tc>
          <w:tcPr>
            <w:tcW w:w="586"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w:t>
            </w:r>
          </w:p>
        </w:tc>
        <w:tc>
          <w:tcPr>
            <w:tcW w:w="586"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3.0</w:t>
            </w:r>
          </w:p>
        </w:tc>
        <w:tc>
          <w:tcPr>
            <w:tcW w:w="587"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5.0</w:t>
            </w:r>
          </w:p>
        </w:tc>
        <w:tc>
          <w:tcPr>
            <w:tcW w:w="586"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w:t>
            </w:r>
          </w:p>
        </w:tc>
        <w:tc>
          <w:tcPr>
            <w:tcW w:w="587"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0.9</w:t>
            </w:r>
          </w:p>
        </w:tc>
        <w:tc>
          <w:tcPr>
            <w:tcW w:w="487"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引至江源片区主干管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Merge w:val="restar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非常规水源</w:t>
            </w:r>
          </w:p>
        </w:tc>
        <w:tc>
          <w:tcPr>
            <w:tcW w:w="486"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江源片区</w:t>
            </w:r>
          </w:p>
        </w:tc>
        <w:tc>
          <w:tcPr>
            <w:tcW w:w="605"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江源区污水再生水厂</w:t>
            </w:r>
          </w:p>
        </w:tc>
        <w:tc>
          <w:tcPr>
            <w:tcW w:w="586"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w:t>
            </w:r>
          </w:p>
        </w:tc>
        <w:tc>
          <w:tcPr>
            <w:tcW w:w="586"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1.5</w:t>
            </w:r>
          </w:p>
        </w:tc>
        <w:tc>
          <w:tcPr>
            <w:tcW w:w="587"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2.0</w:t>
            </w:r>
          </w:p>
        </w:tc>
        <w:tc>
          <w:tcPr>
            <w:tcW w:w="586"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1.5</w:t>
            </w:r>
          </w:p>
        </w:tc>
        <w:tc>
          <w:tcPr>
            <w:tcW w:w="587"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2.0</w:t>
            </w:r>
          </w:p>
        </w:tc>
        <w:tc>
          <w:tcPr>
            <w:tcW w:w="487"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江源区污水厂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Merge w:val="continue"/>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p>
        </w:tc>
        <w:tc>
          <w:tcPr>
            <w:tcW w:w="486"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石人镇片区</w:t>
            </w:r>
          </w:p>
        </w:tc>
        <w:tc>
          <w:tcPr>
            <w:tcW w:w="605"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规划再生水厂</w:t>
            </w:r>
          </w:p>
        </w:tc>
        <w:tc>
          <w:tcPr>
            <w:tcW w:w="586"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w:t>
            </w:r>
          </w:p>
        </w:tc>
        <w:tc>
          <w:tcPr>
            <w:tcW w:w="586"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w:t>
            </w:r>
          </w:p>
        </w:tc>
        <w:tc>
          <w:tcPr>
            <w:tcW w:w="587"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0.5</w:t>
            </w:r>
          </w:p>
        </w:tc>
        <w:tc>
          <w:tcPr>
            <w:tcW w:w="586"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0</w:t>
            </w:r>
          </w:p>
        </w:tc>
        <w:tc>
          <w:tcPr>
            <w:tcW w:w="587"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0.5</w:t>
            </w:r>
          </w:p>
        </w:tc>
        <w:tc>
          <w:tcPr>
            <w:tcW w:w="487"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石人镇污水厂</w:t>
            </w:r>
          </w:p>
        </w:tc>
      </w:tr>
    </w:tbl>
    <w:p>
      <w:pPr>
        <w:spacing w:line="360" w:lineRule="auto"/>
        <w:ind w:firstLine="480" w:firstLineChars="200"/>
        <w:rPr>
          <w:rFonts w:hint="default" w:ascii="Times New Roman" w:hAnsi="Times New Roman" w:eastAsia="宋体" w:cs="Times New Roman"/>
          <w:i w:val="0"/>
          <w:iCs w:val="0"/>
          <w:color w:val="auto"/>
          <w:sz w:val="24"/>
          <w:u w:val="single"/>
        </w:rPr>
      </w:pPr>
      <w:r>
        <w:rPr>
          <w:rFonts w:hint="eastAsia" w:ascii="Times New Roman" w:hAnsi="Times New Roman" w:eastAsia="宋体" w:cs="Times New Roman"/>
          <w:i w:val="0"/>
          <w:iCs w:val="0"/>
          <w:color w:val="auto"/>
          <w:sz w:val="24"/>
          <w:u w:val="single"/>
          <w:lang w:val="en-US" w:eastAsia="zh-CN"/>
        </w:rPr>
        <w:fldChar w:fldCharType="begin"/>
      </w:r>
      <w:r>
        <w:rPr>
          <w:rFonts w:hint="eastAsia" w:ascii="Times New Roman" w:hAnsi="Times New Roman" w:eastAsia="宋体" w:cs="Times New Roman"/>
          <w:i w:val="0"/>
          <w:iCs w:val="0"/>
          <w:color w:val="auto"/>
          <w:sz w:val="24"/>
          <w:u w:val="single"/>
          <w:lang w:val="en-US" w:eastAsia="zh-CN"/>
        </w:rPr>
        <w:instrText xml:space="preserve"> = 2 \* GB3 \* MERGEFORMAT </w:instrText>
      </w:r>
      <w:r>
        <w:rPr>
          <w:rFonts w:hint="eastAsia" w:ascii="Times New Roman" w:hAnsi="Times New Roman" w:eastAsia="宋体" w:cs="Times New Roman"/>
          <w:i w:val="0"/>
          <w:iCs w:val="0"/>
          <w:color w:val="auto"/>
          <w:sz w:val="24"/>
          <w:u w:val="single"/>
          <w:lang w:val="en-US" w:eastAsia="zh-CN"/>
        </w:rPr>
        <w:fldChar w:fldCharType="separate"/>
      </w:r>
      <w:r>
        <w:rPr>
          <w:rFonts w:hint="default" w:ascii="Times New Roman" w:hAnsi="Times New Roman" w:eastAsia="宋体" w:cs="Times New Roman"/>
          <w:i w:val="0"/>
          <w:iCs w:val="0"/>
          <w:color w:val="auto"/>
          <w:sz w:val="24"/>
          <w:u w:val="single"/>
        </w:rPr>
        <w:t>②</w:t>
      </w:r>
      <w:r>
        <w:rPr>
          <w:rFonts w:hint="eastAsia" w:ascii="Times New Roman" w:hAnsi="Times New Roman" w:eastAsia="宋体" w:cs="Times New Roman"/>
          <w:i w:val="0"/>
          <w:iCs w:val="0"/>
          <w:color w:val="auto"/>
          <w:sz w:val="24"/>
          <w:u w:val="single"/>
          <w:lang w:val="en-US" w:eastAsia="zh-CN"/>
        </w:rPr>
        <w:fldChar w:fldCharType="end"/>
      </w:r>
      <w:r>
        <w:rPr>
          <w:rFonts w:hint="default" w:ascii="Times New Roman" w:hAnsi="Times New Roman" w:eastAsia="宋体" w:cs="Times New Roman"/>
          <w:i w:val="0"/>
          <w:iCs w:val="0"/>
          <w:color w:val="auto"/>
          <w:sz w:val="24"/>
          <w:u w:val="single"/>
        </w:rPr>
        <w:t>污水工程规划</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eastAsia="宋体" w:cs="Times New Roman"/>
          <w:i w:val="0"/>
          <w:iCs w:val="0"/>
          <w:color w:val="auto"/>
          <w:sz w:val="24"/>
          <w:u w:val="single"/>
        </w:rPr>
        <w:fldChar w:fldCharType="begin"/>
      </w:r>
      <w:r>
        <w:rPr>
          <w:rFonts w:hint="default" w:ascii="Times New Roman" w:hAnsi="Times New Roman" w:eastAsia="宋体" w:cs="Times New Roman"/>
          <w:i w:val="0"/>
          <w:iCs w:val="0"/>
          <w:color w:val="auto"/>
          <w:sz w:val="24"/>
          <w:u w:val="single"/>
        </w:rPr>
        <w:instrText xml:space="preserve"> = 1 \* ROMAN \* MERGEFORMAT </w:instrText>
      </w:r>
      <w:r>
        <w:rPr>
          <w:rFonts w:hint="default" w:ascii="Times New Roman" w:hAnsi="Times New Roman" w:eastAsia="宋体" w:cs="Times New Roman"/>
          <w:i w:val="0"/>
          <w:iCs w:val="0"/>
          <w:color w:val="auto"/>
          <w:sz w:val="24"/>
          <w:u w:val="single"/>
        </w:rPr>
        <w:fldChar w:fldCharType="separate"/>
      </w:r>
      <w:r>
        <w:rPr>
          <w:rFonts w:hint="default" w:ascii="Times New Roman" w:hAnsi="Times New Roman" w:eastAsia="宋体" w:cs="Times New Roman"/>
          <w:i w:val="0"/>
          <w:iCs w:val="0"/>
          <w:color w:val="auto"/>
          <w:sz w:val="24"/>
          <w:u w:val="single"/>
        </w:rPr>
        <w:t>I</w:t>
      </w:r>
      <w:r>
        <w:rPr>
          <w:rFonts w:hint="default" w:ascii="Times New Roman" w:hAnsi="Times New Roman" w:eastAsia="宋体" w:cs="Times New Roman"/>
          <w:i w:val="0"/>
          <w:iCs w:val="0"/>
          <w:color w:val="auto"/>
          <w:sz w:val="24"/>
          <w:u w:val="single"/>
        </w:rPr>
        <w:fldChar w:fldCharType="end"/>
      </w:r>
      <w:r>
        <w:rPr>
          <w:rFonts w:hint="eastAsia" w:ascii="Times New Roman" w:hAnsi="Times New Roman" w:eastAsia="宋体" w:cs="Times New Roman"/>
          <w:i w:val="0"/>
          <w:iCs w:val="0"/>
          <w:color w:val="auto"/>
          <w:sz w:val="24"/>
          <w:u w:val="single"/>
          <w:lang w:eastAsia="zh-CN"/>
        </w:rPr>
        <w:t>、</w:t>
      </w:r>
      <w:r>
        <w:rPr>
          <w:rFonts w:hint="default" w:ascii="Times New Roman" w:hAnsi="Times New Roman" w:cs="Times New Roman"/>
          <w:i w:val="0"/>
          <w:iCs w:val="0"/>
          <w:color w:val="auto"/>
          <w:sz w:val="24"/>
          <w:u w:val="single"/>
        </w:rPr>
        <w:t>排水体制</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开发区采用雨、污完全分流制，污水通过管道送到污水处理厂进行集中处理，雨水就近直接排入河流。</w:t>
      </w:r>
    </w:p>
    <w:p>
      <w:pPr>
        <w:spacing w:line="360" w:lineRule="auto"/>
        <w:ind w:firstLine="480" w:firstLineChars="200"/>
        <w:rPr>
          <w:rFonts w:hint="default" w:ascii="Times New Roman" w:hAnsi="Times New Roman" w:cs="Times New Roman"/>
          <w:i w:val="0"/>
          <w:iCs w:val="0"/>
          <w:color w:val="auto"/>
          <w:sz w:val="24"/>
          <w:u w:val="single"/>
        </w:rPr>
      </w:pPr>
      <w:r>
        <w:rPr>
          <w:rFonts w:hint="eastAsia" w:ascii="Times New Roman" w:hAnsi="Times New Roman" w:cs="Times New Roman"/>
          <w:i w:val="0"/>
          <w:iCs w:val="0"/>
          <w:color w:val="auto"/>
          <w:sz w:val="24"/>
          <w:u w:val="single"/>
          <w:lang w:val="en-US" w:eastAsia="zh-CN"/>
        </w:rPr>
        <w:fldChar w:fldCharType="begin"/>
      </w:r>
      <w:r>
        <w:rPr>
          <w:rFonts w:hint="eastAsia" w:ascii="Times New Roman" w:hAnsi="Times New Roman" w:cs="Times New Roman"/>
          <w:i w:val="0"/>
          <w:iCs w:val="0"/>
          <w:color w:val="auto"/>
          <w:sz w:val="24"/>
          <w:u w:val="single"/>
          <w:lang w:val="en-US" w:eastAsia="zh-CN"/>
        </w:rPr>
        <w:instrText xml:space="preserve"> = 2 \* ROMAN \* MERGEFORMAT </w:instrText>
      </w:r>
      <w:r>
        <w:rPr>
          <w:rFonts w:hint="eastAsia" w:ascii="Times New Roman" w:hAnsi="Times New Roman" w:cs="Times New Roman"/>
          <w:i w:val="0"/>
          <w:iCs w:val="0"/>
          <w:color w:val="auto"/>
          <w:sz w:val="24"/>
          <w:u w:val="single"/>
          <w:lang w:val="en-US" w:eastAsia="zh-CN"/>
        </w:rPr>
        <w:fldChar w:fldCharType="separate"/>
      </w:r>
      <w:r>
        <w:rPr>
          <w:i w:val="0"/>
          <w:iCs w:val="0"/>
          <w:u w:val="single"/>
        </w:rPr>
        <w:t>II</w:t>
      </w:r>
      <w:r>
        <w:rPr>
          <w:rFonts w:hint="eastAsia" w:ascii="Times New Roman" w:hAnsi="Times New Roman" w:cs="Times New Roman"/>
          <w:i w:val="0"/>
          <w:iCs w:val="0"/>
          <w:color w:val="auto"/>
          <w:sz w:val="24"/>
          <w:u w:val="single"/>
          <w:lang w:val="en-US" w:eastAsia="zh-CN"/>
        </w:rPr>
        <w:fldChar w:fldCharType="end"/>
      </w:r>
      <w:r>
        <w:rPr>
          <w:rFonts w:hint="eastAsia" w:ascii="Times New Roman" w:hAnsi="Times New Roman" w:cs="Times New Roman"/>
          <w:i w:val="0"/>
          <w:iCs w:val="0"/>
          <w:color w:val="auto"/>
          <w:sz w:val="24"/>
          <w:u w:val="single"/>
          <w:lang w:val="en-US" w:eastAsia="zh-CN"/>
        </w:rPr>
        <w:t>、</w:t>
      </w:r>
      <w:r>
        <w:rPr>
          <w:rFonts w:hint="default" w:ascii="Times New Roman" w:hAnsi="Times New Roman" w:cs="Times New Roman"/>
          <w:i w:val="0"/>
          <w:iCs w:val="0"/>
          <w:color w:val="auto"/>
          <w:sz w:val="24"/>
          <w:u w:val="single"/>
        </w:rPr>
        <w:t>规划目标</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规划污水集中处理率近期、远期均达到100%。污水再生利用率远期达到25%以上。</w:t>
      </w:r>
    </w:p>
    <w:p>
      <w:pPr>
        <w:spacing w:line="360" w:lineRule="auto"/>
        <w:ind w:firstLine="480" w:firstLineChars="200"/>
        <w:rPr>
          <w:rFonts w:hint="default" w:ascii="Times New Roman" w:hAnsi="Times New Roman" w:cs="Times New Roman"/>
          <w:i w:val="0"/>
          <w:iCs w:val="0"/>
          <w:color w:val="auto"/>
          <w:sz w:val="24"/>
          <w:u w:val="single"/>
        </w:rPr>
      </w:pPr>
      <w:r>
        <w:rPr>
          <w:rFonts w:hint="eastAsia" w:ascii="Times New Roman" w:hAnsi="Times New Roman" w:cs="Times New Roman"/>
          <w:i w:val="0"/>
          <w:iCs w:val="0"/>
          <w:color w:val="auto"/>
          <w:sz w:val="24"/>
          <w:u w:val="single"/>
          <w:lang w:val="en-US" w:eastAsia="zh-CN"/>
        </w:rPr>
        <w:fldChar w:fldCharType="begin"/>
      </w:r>
      <w:r>
        <w:rPr>
          <w:rFonts w:hint="eastAsia" w:ascii="Times New Roman" w:hAnsi="Times New Roman" w:cs="Times New Roman"/>
          <w:i w:val="0"/>
          <w:iCs w:val="0"/>
          <w:color w:val="auto"/>
          <w:sz w:val="24"/>
          <w:u w:val="single"/>
          <w:lang w:val="en-US" w:eastAsia="zh-CN"/>
        </w:rPr>
        <w:instrText xml:space="preserve"> = 3 \* ROMAN \* MERGEFORMAT </w:instrText>
      </w:r>
      <w:r>
        <w:rPr>
          <w:rFonts w:hint="eastAsia" w:ascii="Times New Roman" w:hAnsi="Times New Roman" w:cs="Times New Roman"/>
          <w:i w:val="0"/>
          <w:iCs w:val="0"/>
          <w:color w:val="auto"/>
          <w:sz w:val="24"/>
          <w:u w:val="single"/>
          <w:lang w:val="en-US" w:eastAsia="zh-CN"/>
        </w:rPr>
        <w:fldChar w:fldCharType="separate"/>
      </w:r>
      <w:r>
        <w:rPr>
          <w:i w:val="0"/>
          <w:iCs w:val="0"/>
          <w:u w:val="single"/>
        </w:rPr>
        <w:t>III</w:t>
      </w:r>
      <w:r>
        <w:rPr>
          <w:rFonts w:hint="eastAsia" w:ascii="Times New Roman" w:hAnsi="Times New Roman" w:cs="Times New Roman"/>
          <w:i w:val="0"/>
          <w:iCs w:val="0"/>
          <w:color w:val="auto"/>
          <w:sz w:val="24"/>
          <w:u w:val="single"/>
          <w:lang w:val="en-US" w:eastAsia="zh-CN"/>
        </w:rPr>
        <w:fldChar w:fldCharType="end"/>
      </w:r>
      <w:r>
        <w:rPr>
          <w:rFonts w:hint="eastAsia" w:ascii="Times New Roman" w:hAnsi="Times New Roman" w:cs="Times New Roman"/>
          <w:i w:val="0"/>
          <w:iCs w:val="0"/>
          <w:color w:val="auto"/>
          <w:sz w:val="24"/>
          <w:u w:val="single"/>
          <w:lang w:val="en-US" w:eastAsia="zh-CN"/>
        </w:rPr>
        <w:t>、</w:t>
      </w:r>
      <w:r>
        <w:rPr>
          <w:rFonts w:hint="default" w:ascii="Times New Roman" w:hAnsi="Times New Roman" w:cs="Times New Roman"/>
          <w:i w:val="0"/>
          <w:iCs w:val="0"/>
          <w:color w:val="auto"/>
          <w:sz w:val="24"/>
          <w:u w:val="single"/>
        </w:rPr>
        <w:t>污水量预测</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根据相关规划标准，规划取污水排放系数为0.80。</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预计至2025年，江源片区污水总量为2.00万m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sz w:val="24"/>
          <w:u w:val="single"/>
        </w:rPr>
        <w:t>/d（其中，煤化工产业区污水量0.2万m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sz w:val="24"/>
          <w:u w:val="single"/>
        </w:rPr>
        <w:t>/d）；石人镇片区污水总量为0.48万m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sz w:val="24"/>
          <w:u w:val="single"/>
        </w:rPr>
        <w:t>/d。</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预计至2035年，江源片区污水总量为2.41万m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sz w:val="24"/>
          <w:u w:val="single"/>
        </w:rPr>
        <w:t>/d（其中，煤化工产业区污水量为0.61万m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sz w:val="24"/>
          <w:u w:val="single"/>
        </w:rPr>
        <w:t>/d）；石人镇片区污水总量为1.18万m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sz w:val="24"/>
          <w:u w:val="single"/>
        </w:rPr>
        <w:t>/d。</w:t>
      </w:r>
    </w:p>
    <w:p>
      <w:pPr>
        <w:ind w:firstLine="482" w:firstLineChars="200"/>
        <w:jc w:val="center"/>
        <w:rPr>
          <w:rFonts w:hint="default" w:cs="Times New Roman"/>
          <w:b/>
          <w:bCs/>
          <w:i w:val="0"/>
          <w:iCs w:val="0"/>
          <w:color w:val="auto"/>
          <w:szCs w:val="21"/>
          <w:u w:val="single"/>
          <w:lang w:val="en-US" w:eastAsia="zh-CN"/>
        </w:rPr>
      </w:pPr>
      <w:r>
        <w:rPr>
          <w:rFonts w:hint="default" w:cs="Times New Roman"/>
          <w:b/>
          <w:bCs/>
          <w:i w:val="0"/>
          <w:iCs w:val="0"/>
          <w:color w:val="auto"/>
          <w:szCs w:val="21"/>
          <w:u w:val="single"/>
          <w:lang w:val="en-US" w:eastAsia="zh-CN"/>
        </w:rPr>
        <w:t>表</w:t>
      </w:r>
      <w:r>
        <w:rPr>
          <w:rFonts w:hint="eastAsia" w:cs="Times New Roman"/>
          <w:b/>
          <w:bCs/>
          <w:i w:val="0"/>
          <w:iCs w:val="0"/>
          <w:color w:val="auto"/>
          <w:szCs w:val="21"/>
          <w:u w:val="single"/>
          <w:lang w:val="en-US" w:eastAsia="zh-CN"/>
        </w:rPr>
        <w:t>1-4</w:t>
      </w:r>
      <w:r>
        <w:rPr>
          <w:rFonts w:hint="default" w:cs="Times New Roman"/>
          <w:b/>
          <w:bCs/>
          <w:i w:val="0"/>
          <w:iCs w:val="0"/>
          <w:color w:val="auto"/>
          <w:szCs w:val="21"/>
          <w:u w:val="single"/>
          <w:lang w:val="en-US" w:eastAsia="zh-CN"/>
        </w:rPr>
        <w:t xml:space="preserve">  开发区污水量预测表   单位：万m</w:t>
      </w:r>
      <w:r>
        <w:rPr>
          <w:rFonts w:hint="default" w:cs="Times New Roman"/>
          <w:b/>
          <w:bCs/>
          <w:i w:val="0"/>
          <w:iCs w:val="0"/>
          <w:color w:val="auto"/>
          <w:szCs w:val="21"/>
          <w:u w:val="single"/>
          <w:vertAlign w:val="superscript"/>
          <w:lang w:val="en-US" w:eastAsia="zh-CN"/>
        </w:rPr>
        <w:t>3</w:t>
      </w:r>
      <w:r>
        <w:rPr>
          <w:rFonts w:hint="default" w:cs="Times New Roman"/>
          <w:b/>
          <w:bCs/>
          <w:i w:val="0"/>
          <w:iCs w:val="0"/>
          <w:color w:val="auto"/>
          <w:szCs w:val="21"/>
          <w:u w:val="single"/>
          <w:lang w:val="en-US" w:eastAsia="zh-CN"/>
        </w:rPr>
        <w:t>/d</w:t>
      </w:r>
    </w:p>
    <w:tbl>
      <w:tblPr>
        <w:tblStyle w:val="5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352"/>
        <w:gridCol w:w="1936"/>
        <w:gridCol w:w="852"/>
        <w:gridCol w:w="1531"/>
        <w:gridCol w:w="16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6"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片区</w:t>
            </w:r>
          </w:p>
        </w:tc>
        <w:tc>
          <w:tcPr>
            <w:tcW w:w="751"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规划期限</w:t>
            </w:r>
          </w:p>
        </w:tc>
        <w:tc>
          <w:tcPr>
            <w:tcW w:w="1075"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kern w:val="0"/>
                <w:sz w:val="21"/>
                <w:szCs w:val="21"/>
                <w:u w:val="single"/>
              </w:rPr>
              <w:t>最高</w:t>
            </w:r>
            <w:r>
              <w:rPr>
                <w:rFonts w:hint="default" w:ascii="Times New Roman" w:hAnsi="Times New Roman" w:cs="Times New Roman"/>
                <w:i w:val="0"/>
                <w:iCs w:val="0"/>
                <w:color w:val="auto"/>
                <w:sz w:val="21"/>
                <w:szCs w:val="21"/>
                <w:u w:val="single"/>
              </w:rPr>
              <w:t>日用水量</w:t>
            </w:r>
          </w:p>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（万m</w:t>
            </w:r>
            <w:r>
              <w:rPr>
                <w:rFonts w:hint="default" w:ascii="Times New Roman" w:hAnsi="Times New Roman" w:cs="Times New Roman"/>
                <w:i w:val="0"/>
                <w:iCs w:val="0"/>
                <w:color w:val="auto"/>
                <w:sz w:val="21"/>
                <w:szCs w:val="21"/>
                <w:u w:val="single"/>
                <w:vertAlign w:val="superscript"/>
              </w:rPr>
              <w:t>3</w:t>
            </w:r>
            <w:r>
              <w:rPr>
                <w:rFonts w:hint="default" w:ascii="Times New Roman" w:hAnsi="Times New Roman" w:cs="Times New Roman"/>
                <w:i w:val="0"/>
                <w:iCs w:val="0"/>
                <w:color w:val="auto"/>
                <w:sz w:val="21"/>
                <w:szCs w:val="21"/>
                <w:u w:val="single"/>
              </w:rPr>
              <w:t>/d）</w:t>
            </w:r>
          </w:p>
        </w:tc>
        <w:tc>
          <w:tcPr>
            <w:tcW w:w="473"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排放系数</w:t>
            </w:r>
          </w:p>
        </w:tc>
        <w:tc>
          <w:tcPr>
            <w:tcW w:w="850"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污水处理率（%）</w:t>
            </w:r>
          </w:p>
        </w:tc>
        <w:tc>
          <w:tcPr>
            <w:tcW w:w="912"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污水处理量</w:t>
            </w:r>
          </w:p>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（万m</w:t>
            </w:r>
            <w:r>
              <w:rPr>
                <w:rFonts w:hint="default" w:ascii="Times New Roman" w:hAnsi="Times New Roman" w:cs="Times New Roman"/>
                <w:i w:val="0"/>
                <w:iCs w:val="0"/>
                <w:color w:val="auto"/>
                <w:sz w:val="21"/>
                <w:szCs w:val="21"/>
                <w:u w:val="single"/>
                <w:vertAlign w:val="superscript"/>
              </w:rPr>
              <w:t>3</w:t>
            </w:r>
            <w:r>
              <w:rPr>
                <w:rFonts w:hint="default" w:ascii="Times New Roman" w:hAnsi="Times New Roman" w:cs="Times New Roman"/>
                <w:i w:val="0"/>
                <w:iCs w:val="0"/>
                <w:color w:val="auto"/>
                <w:sz w:val="21"/>
                <w:szCs w:val="21"/>
                <w:u w:val="single"/>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6" w:type="pct"/>
            <w:vMerge w:val="restar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江源片区</w:t>
            </w:r>
          </w:p>
        </w:tc>
        <w:tc>
          <w:tcPr>
            <w:tcW w:w="751"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2025年</w:t>
            </w:r>
          </w:p>
        </w:tc>
        <w:tc>
          <w:tcPr>
            <w:tcW w:w="1075"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2.50</w:t>
            </w:r>
          </w:p>
        </w:tc>
        <w:tc>
          <w:tcPr>
            <w:tcW w:w="473"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0.80</w:t>
            </w:r>
          </w:p>
        </w:tc>
        <w:tc>
          <w:tcPr>
            <w:tcW w:w="850"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100</w:t>
            </w:r>
          </w:p>
        </w:tc>
        <w:tc>
          <w:tcPr>
            <w:tcW w:w="912"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6" w:type="pct"/>
            <w:vMerge w:val="continue"/>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p>
        </w:tc>
        <w:tc>
          <w:tcPr>
            <w:tcW w:w="751"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2035年</w:t>
            </w:r>
          </w:p>
        </w:tc>
        <w:tc>
          <w:tcPr>
            <w:tcW w:w="1075"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3.02</w:t>
            </w:r>
          </w:p>
        </w:tc>
        <w:tc>
          <w:tcPr>
            <w:tcW w:w="473" w:type="pct"/>
            <w:tcBorders>
              <w:tl2br w:val="nil"/>
              <w:tr2bl w:val="nil"/>
            </w:tcBorders>
            <w:noWrap w:val="0"/>
            <w:vAlign w:val="center"/>
          </w:tcPr>
          <w:p>
            <w:pPr>
              <w:jc w:val="center"/>
              <w:rPr>
                <w:rFonts w:hint="default" w:ascii="Times New Roman" w:hAnsi="Times New Roman" w:eastAsia="宋体" w:cs="Times New Roman"/>
                <w:i w:val="0"/>
                <w:iCs w:val="0"/>
                <w:color w:val="auto"/>
                <w:szCs w:val="21"/>
                <w:u w:val="single"/>
              </w:rPr>
            </w:pPr>
            <w:r>
              <w:rPr>
                <w:rFonts w:hint="default" w:ascii="Times New Roman" w:hAnsi="Times New Roman" w:eastAsia="宋体" w:cs="Times New Roman"/>
                <w:i w:val="0"/>
                <w:iCs w:val="0"/>
                <w:color w:val="auto"/>
                <w:szCs w:val="21"/>
                <w:u w:val="single"/>
              </w:rPr>
              <w:t>0.8</w:t>
            </w:r>
            <w:r>
              <w:rPr>
                <w:rFonts w:hint="default" w:ascii="Times New Roman" w:hAnsi="Times New Roman" w:cs="Times New Roman"/>
                <w:i w:val="0"/>
                <w:iCs w:val="0"/>
                <w:color w:val="auto"/>
                <w:szCs w:val="21"/>
                <w:u w:val="single"/>
              </w:rPr>
              <w:t>0</w:t>
            </w:r>
          </w:p>
        </w:tc>
        <w:tc>
          <w:tcPr>
            <w:tcW w:w="850"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100</w:t>
            </w:r>
          </w:p>
        </w:tc>
        <w:tc>
          <w:tcPr>
            <w:tcW w:w="912"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2.41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6" w:type="pct"/>
            <w:vMerge w:val="restar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石人镇片区</w:t>
            </w:r>
          </w:p>
        </w:tc>
        <w:tc>
          <w:tcPr>
            <w:tcW w:w="1281" w:type="dxa"/>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2025年</w:t>
            </w:r>
          </w:p>
        </w:tc>
        <w:tc>
          <w:tcPr>
            <w:tcW w:w="1075"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0.60</w:t>
            </w:r>
          </w:p>
        </w:tc>
        <w:tc>
          <w:tcPr>
            <w:tcW w:w="473" w:type="pct"/>
            <w:tcBorders>
              <w:tl2br w:val="nil"/>
              <w:tr2bl w:val="nil"/>
            </w:tcBorders>
            <w:noWrap w:val="0"/>
            <w:vAlign w:val="center"/>
          </w:tcPr>
          <w:p>
            <w:pPr>
              <w:jc w:val="center"/>
              <w:rPr>
                <w:rFonts w:hint="default" w:ascii="Times New Roman" w:hAnsi="Times New Roman" w:eastAsia="宋体" w:cs="Times New Roman"/>
                <w:i w:val="0"/>
                <w:iCs w:val="0"/>
                <w:color w:val="auto"/>
                <w:szCs w:val="21"/>
                <w:u w:val="single"/>
              </w:rPr>
            </w:pPr>
            <w:r>
              <w:rPr>
                <w:rFonts w:hint="default" w:ascii="Times New Roman" w:hAnsi="Times New Roman" w:eastAsia="宋体" w:cs="Times New Roman"/>
                <w:i w:val="0"/>
                <w:iCs w:val="0"/>
                <w:color w:val="auto"/>
                <w:szCs w:val="21"/>
                <w:u w:val="single"/>
              </w:rPr>
              <w:t>0.8</w:t>
            </w:r>
            <w:r>
              <w:rPr>
                <w:rFonts w:hint="default" w:ascii="Times New Roman" w:hAnsi="Times New Roman" w:cs="Times New Roman"/>
                <w:i w:val="0"/>
                <w:iCs w:val="0"/>
                <w:color w:val="auto"/>
                <w:szCs w:val="21"/>
                <w:u w:val="single"/>
              </w:rPr>
              <w:t>0</w:t>
            </w:r>
          </w:p>
        </w:tc>
        <w:tc>
          <w:tcPr>
            <w:tcW w:w="850"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100</w:t>
            </w:r>
          </w:p>
        </w:tc>
        <w:tc>
          <w:tcPr>
            <w:tcW w:w="912"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6" w:type="pct"/>
            <w:vMerge w:val="continue"/>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p>
        </w:tc>
        <w:tc>
          <w:tcPr>
            <w:tcW w:w="1281" w:type="dxa"/>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2035年</w:t>
            </w:r>
          </w:p>
        </w:tc>
        <w:tc>
          <w:tcPr>
            <w:tcW w:w="1075"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1.48</w:t>
            </w:r>
          </w:p>
        </w:tc>
        <w:tc>
          <w:tcPr>
            <w:tcW w:w="473" w:type="pct"/>
            <w:tcBorders>
              <w:tl2br w:val="nil"/>
              <w:tr2bl w:val="nil"/>
            </w:tcBorders>
            <w:noWrap w:val="0"/>
            <w:vAlign w:val="center"/>
          </w:tcPr>
          <w:p>
            <w:pPr>
              <w:jc w:val="center"/>
              <w:rPr>
                <w:rFonts w:hint="default" w:ascii="Times New Roman" w:hAnsi="Times New Roman" w:eastAsia="宋体" w:cs="Times New Roman"/>
                <w:i w:val="0"/>
                <w:iCs w:val="0"/>
                <w:color w:val="auto"/>
                <w:szCs w:val="21"/>
                <w:u w:val="single"/>
              </w:rPr>
            </w:pPr>
            <w:r>
              <w:rPr>
                <w:rFonts w:hint="default" w:ascii="Times New Roman" w:hAnsi="Times New Roman" w:eastAsia="宋体" w:cs="Times New Roman"/>
                <w:i w:val="0"/>
                <w:iCs w:val="0"/>
                <w:color w:val="auto"/>
                <w:szCs w:val="21"/>
                <w:u w:val="single"/>
              </w:rPr>
              <w:t>0.8</w:t>
            </w:r>
            <w:r>
              <w:rPr>
                <w:rFonts w:hint="default" w:ascii="Times New Roman" w:hAnsi="Times New Roman" w:cs="Times New Roman"/>
                <w:i w:val="0"/>
                <w:iCs w:val="0"/>
                <w:color w:val="auto"/>
                <w:szCs w:val="21"/>
                <w:u w:val="single"/>
              </w:rPr>
              <w:t>0</w:t>
            </w:r>
          </w:p>
        </w:tc>
        <w:tc>
          <w:tcPr>
            <w:tcW w:w="850"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100</w:t>
            </w:r>
          </w:p>
        </w:tc>
        <w:tc>
          <w:tcPr>
            <w:tcW w:w="912"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1.18</w:t>
            </w:r>
          </w:p>
        </w:tc>
      </w:tr>
    </w:tbl>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fldChar w:fldCharType="begin"/>
      </w:r>
      <w:r>
        <w:rPr>
          <w:rFonts w:hint="default" w:ascii="Times New Roman" w:hAnsi="Times New Roman" w:cs="Times New Roman"/>
          <w:i w:val="0"/>
          <w:iCs w:val="0"/>
          <w:color w:val="auto"/>
          <w:sz w:val="24"/>
          <w:u w:val="single"/>
        </w:rPr>
        <w:instrText xml:space="preserve"> = 4 \* ROMAN \* MERGEFORMAT </w:instrText>
      </w:r>
      <w:r>
        <w:rPr>
          <w:rFonts w:hint="default" w:ascii="Times New Roman" w:hAnsi="Times New Roman" w:cs="Times New Roman"/>
          <w:i w:val="0"/>
          <w:iCs w:val="0"/>
          <w:color w:val="auto"/>
          <w:sz w:val="24"/>
          <w:u w:val="single"/>
        </w:rPr>
        <w:fldChar w:fldCharType="separate"/>
      </w:r>
      <w:r>
        <w:rPr>
          <w:i w:val="0"/>
          <w:iCs w:val="0"/>
          <w:u w:val="single"/>
        </w:rPr>
        <w:t>IV</w:t>
      </w:r>
      <w:r>
        <w:rPr>
          <w:rFonts w:hint="default" w:ascii="Times New Roman" w:hAnsi="Times New Roman" w:cs="Times New Roman"/>
          <w:i w:val="0"/>
          <w:iCs w:val="0"/>
          <w:color w:val="auto"/>
          <w:sz w:val="24"/>
          <w:u w:val="single"/>
        </w:rPr>
        <w:fldChar w:fldCharType="end"/>
      </w:r>
      <w:r>
        <w:rPr>
          <w:rFonts w:hint="eastAsia" w:ascii="Times New Roman" w:hAnsi="Times New Roman" w:cs="Times New Roman"/>
          <w:i w:val="0"/>
          <w:iCs w:val="0"/>
          <w:color w:val="auto"/>
          <w:sz w:val="24"/>
          <w:u w:val="single"/>
          <w:lang w:eastAsia="zh-CN"/>
        </w:rPr>
        <w:t>、</w:t>
      </w:r>
      <w:r>
        <w:rPr>
          <w:rFonts w:hint="default" w:ascii="Times New Roman" w:hAnsi="Times New Roman" w:cs="Times New Roman"/>
          <w:i w:val="0"/>
          <w:iCs w:val="0"/>
          <w:color w:val="auto"/>
          <w:sz w:val="24"/>
          <w:u w:val="single"/>
        </w:rPr>
        <w:t>污水处理厂</w:t>
      </w:r>
    </w:p>
    <w:p>
      <w:pPr>
        <w:spacing w:line="360" w:lineRule="auto"/>
        <w:ind w:firstLine="480" w:firstLineChars="200"/>
        <w:rPr>
          <w:rFonts w:hint="default" w:ascii="Times New Roman" w:hAnsi="Times New Roman" w:cs="Times New Roman"/>
          <w:i w:val="0"/>
          <w:iCs w:val="0"/>
          <w:color w:val="auto"/>
          <w:sz w:val="24"/>
          <w:u w:val="single"/>
        </w:rPr>
      </w:pPr>
      <w:r>
        <w:rPr>
          <w:rFonts w:hint="eastAsia" w:ascii="Times New Roman" w:hAnsi="Times New Roman" w:cs="Times New Roman"/>
          <w:i w:val="0"/>
          <w:iCs w:val="0"/>
          <w:color w:val="auto"/>
          <w:sz w:val="24"/>
          <w:u w:val="single"/>
          <w:lang w:val="en-US" w:eastAsia="zh-CN"/>
        </w:rPr>
        <w:t>a</w:t>
      </w:r>
      <w:r>
        <w:rPr>
          <w:rFonts w:hint="default" w:ascii="Times New Roman" w:hAnsi="Times New Roman" w:cs="Times New Roman"/>
          <w:i w:val="0"/>
          <w:iCs w:val="0"/>
          <w:color w:val="auto"/>
          <w:sz w:val="24"/>
          <w:u w:val="single"/>
        </w:rPr>
        <w:t>江源片区</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规划近期扩建白山市江源区污水处理厂，占地面积5.20hm</w:t>
      </w:r>
      <w:r>
        <w:rPr>
          <w:rFonts w:hint="default" w:ascii="Times New Roman" w:hAnsi="Times New Roman" w:cs="Times New Roman"/>
          <w:i w:val="0"/>
          <w:iCs w:val="0"/>
          <w:color w:val="auto"/>
          <w:sz w:val="24"/>
          <w:u w:val="single"/>
          <w:vertAlign w:val="superscript"/>
        </w:rPr>
        <w:t>2</w:t>
      </w:r>
      <w:r>
        <w:rPr>
          <w:rFonts w:hint="default" w:ascii="Times New Roman" w:hAnsi="Times New Roman" w:cs="Times New Roman"/>
          <w:i w:val="0"/>
          <w:iCs w:val="0"/>
          <w:color w:val="auto"/>
          <w:sz w:val="24"/>
          <w:u w:val="single"/>
        </w:rPr>
        <w:t>，污水处理能力达到4.0万m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sz w:val="24"/>
          <w:u w:val="single"/>
        </w:rPr>
        <w:t>/d，其中分配2.0万m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sz w:val="24"/>
          <w:u w:val="single"/>
        </w:rPr>
        <w:t>/d处理能力给开发区江源片区，同时煤化工产业区污水需经现状吉林省鼎运新能源股份有限公司污水处理站处理并回用。同时，在长白山特色食药科技产业园区南侧地势较低的区域规划一处污水处理厂</w:t>
      </w:r>
      <w:r>
        <w:rPr>
          <w:rFonts w:hint="eastAsia" w:ascii="Times New Roman" w:hAnsi="Times New Roman" w:cs="Times New Roman"/>
          <w:i w:val="0"/>
          <w:iCs w:val="0"/>
          <w:color w:val="auto"/>
          <w:sz w:val="24"/>
          <w:u w:val="single"/>
          <w:lang w:eastAsia="zh-CN"/>
        </w:rPr>
        <w:t>，</w:t>
      </w:r>
      <w:r>
        <w:rPr>
          <w:rFonts w:hint="eastAsia" w:ascii="Times New Roman" w:hAnsi="Times New Roman" w:cs="Times New Roman"/>
          <w:i w:val="0"/>
          <w:iCs w:val="0"/>
          <w:color w:val="auto"/>
          <w:sz w:val="24"/>
          <w:u w:val="single"/>
          <w:lang w:val="en-US" w:eastAsia="zh-CN"/>
        </w:rPr>
        <w:t>预计2025年8月建成，2025年12月前投产</w:t>
      </w:r>
      <w:r>
        <w:rPr>
          <w:rFonts w:hint="default" w:ascii="Times New Roman" w:hAnsi="Times New Roman" w:cs="Times New Roman"/>
          <w:i w:val="0"/>
          <w:iCs w:val="0"/>
          <w:color w:val="auto"/>
          <w:sz w:val="24"/>
          <w:u w:val="single"/>
        </w:rPr>
        <w:t>，占地面积为2.36hm</w:t>
      </w:r>
      <w:r>
        <w:rPr>
          <w:rFonts w:hint="default" w:ascii="Times New Roman" w:hAnsi="Times New Roman" w:cs="Times New Roman"/>
          <w:i w:val="0"/>
          <w:iCs w:val="0"/>
          <w:color w:val="auto"/>
          <w:sz w:val="24"/>
          <w:u w:val="single"/>
          <w:vertAlign w:val="superscript"/>
        </w:rPr>
        <w:t>2</w:t>
      </w:r>
      <w:r>
        <w:rPr>
          <w:rFonts w:hint="default" w:ascii="Times New Roman" w:hAnsi="Times New Roman" w:cs="Times New Roman"/>
          <w:i w:val="0"/>
          <w:iCs w:val="0"/>
          <w:color w:val="auto"/>
          <w:sz w:val="24"/>
          <w:u w:val="single"/>
        </w:rPr>
        <w:t>，分两期建设：一期规模为5000m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sz w:val="24"/>
          <w:u w:val="single"/>
        </w:rPr>
        <w:t>/d（按企业入驻率分近远期各2500m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sz w:val="24"/>
          <w:u w:val="single"/>
        </w:rPr>
        <w:t>/d实施，且每期2500m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sz w:val="24"/>
          <w:u w:val="single"/>
        </w:rPr>
        <w:t>/d水处理系统再分为两个系列），二期再在此基础上增加5000m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sz w:val="24"/>
          <w:u w:val="single"/>
        </w:rPr>
        <w:t>/d的处理规模，总规模达到1.0万m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sz w:val="24"/>
          <w:u w:val="single"/>
        </w:rPr>
        <w:t>/d，规划远期新建煤化工产业区污水处理厂，污水处理规模达到0.65万m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sz w:val="24"/>
          <w:u w:val="single"/>
        </w:rPr>
        <w:t>/d，主要对煤化工产业区的污水进行处理，出水水质达到《城镇污水处理厂污染物排放标准》（GB18918-2002）一级A标准后由市政专管引至白山市江源区污水处理厂排水口排放，管线长度3.32km，满足本园区污水排放要求。</w:t>
      </w:r>
    </w:p>
    <w:p>
      <w:pPr>
        <w:spacing w:line="360" w:lineRule="auto"/>
        <w:ind w:firstLine="480" w:firstLineChars="200"/>
        <w:rPr>
          <w:rFonts w:hint="default" w:ascii="Times New Roman" w:hAnsi="Times New Roman" w:cs="Times New Roman"/>
          <w:i w:val="0"/>
          <w:iCs w:val="0"/>
          <w:color w:val="auto"/>
          <w:sz w:val="24"/>
          <w:u w:val="single"/>
        </w:rPr>
      </w:pPr>
      <w:r>
        <w:rPr>
          <w:rFonts w:hint="eastAsia" w:ascii="Times New Roman" w:hAnsi="Times New Roman" w:cs="Times New Roman"/>
          <w:i w:val="0"/>
          <w:iCs w:val="0"/>
          <w:color w:val="auto"/>
          <w:sz w:val="24"/>
          <w:u w:val="single"/>
          <w:lang w:val="en-US" w:eastAsia="zh-CN"/>
        </w:rPr>
        <w:t>b</w:t>
      </w:r>
      <w:r>
        <w:rPr>
          <w:rFonts w:hint="default" w:ascii="Times New Roman" w:hAnsi="Times New Roman" w:cs="Times New Roman"/>
          <w:i w:val="0"/>
          <w:iCs w:val="0"/>
          <w:color w:val="auto"/>
          <w:sz w:val="24"/>
          <w:u w:val="single"/>
        </w:rPr>
        <w:t>石人镇片区</w:t>
      </w:r>
    </w:p>
    <w:p>
      <w:pPr>
        <w:spacing w:line="360" w:lineRule="auto"/>
        <w:ind w:firstLine="480" w:firstLineChars="200"/>
        <w:rPr>
          <w:rFonts w:hint="default" w:ascii="Times New Roman" w:hAnsi="Times New Roman" w:eastAsia="宋体" w:cs="Times New Roman"/>
          <w:i w:val="0"/>
          <w:iCs w:val="0"/>
          <w:color w:val="auto"/>
          <w:sz w:val="24"/>
          <w:u w:val="single"/>
        </w:rPr>
      </w:pPr>
      <w:r>
        <w:rPr>
          <w:rFonts w:hint="default" w:ascii="Times New Roman" w:hAnsi="Times New Roman" w:eastAsia="宋体" w:cs="Times New Roman"/>
          <w:i w:val="0"/>
          <w:iCs w:val="0"/>
          <w:color w:val="auto"/>
          <w:sz w:val="24"/>
          <w:u w:val="single"/>
        </w:rPr>
        <w:t>远期对石人镇污水处理厂进行扩建，扩建后污水处理能力达到1.5万m</w:t>
      </w:r>
      <w:r>
        <w:rPr>
          <w:rFonts w:hint="default" w:ascii="Times New Roman" w:hAnsi="Times New Roman" w:eastAsia="宋体" w:cs="Times New Roman"/>
          <w:i w:val="0"/>
          <w:iCs w:val="0"/>
          <w:color w:val="auto"/>
          <w:sz w:val="24"/>
          <w:u w:val="single"/>
          <w:vertAlign w:val="superscript"/>
        </w:rPr>
        <w:t>3</w:t>
      </w:r>
      <w:r>
        <w:rPr>
          <w:rFonts w:hint="default" w:ascii="Times New Roman" w:hAnsi="Times New Roman" w:eastAsia="宋体" w:cs="Times New Roman"/>
          <w:i w:val="0"/>
          <w:iCs w:val="0"/>
          <w:color w:val="auto"/>
          <w:sz w:val="24"/>
          <w:u w:val="single"/>
        </w:rPr>
        <w:t>/d。上述四处污水处理厂可以满足开发区污水排放的处理需求。</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fldChar w:fldCharType="begin"/>
      </w:r>
      <w:r>
        <w:rPr>
          <w:rFonts w:hint="default" w:ascii="Times New Roman" w:hAnsi="Times New Roman" w:cs="Times New Roman"/>
          <w:i w:val="0"/>
          <w:iCs w:val="0"/>
          <w:color w:val="auto"/>
          <w:sz w:val="24"/>
          <w:u w:val="single"/>
        </w:rPr>
        <w:instrText xml:space="preserve"> = 5 \* ROMAN \* MERGEFORMAT </w:instrText>
      </w:r>
      <w:r>
        <w:rPr>
          <w:rFonts w:hint="default" w:ascii="Times New Roman" w:hAnsi="Times New Roman" w:cs="Times New Roman"/>
          <w:i w:val="0"/>
          <w:iCs w:val="0"/>
          <w:color w:val="auto"/>
          <w:sz w:val="24"/>
          <w:u w:val="single"/>
        </w:rPr>
        <w:fldChar w:fldCharType="separate"/>
      </w:r>
      <w:r>
        <w:rPr>
          <w:i w:val="0"/>
          <w:iCs w:val="0"/>
          <w:u w:val="single"/>
        </w:rPr>
        <w:t>V</w:t>
      </w:r>
      <w:r>
        <w:rPr>
          <w:rFonts w:hint="default" w:ascii="Times New Roman" w:hAnsi="Times New Roman" w:cs="Times New Roman"/>
          <w:i w:val="0"/>
          <w:iCs w:val="0"/>
          <w:color w:val="auto"/>
          <w:sz w:val="24"/>
          <w:u w:val="single"/>
        </w:rPr>
        <w:fldChar w:fldCharType="end"/>
      </w:r>
      <w:r>
        <w:rPr>
          <w:rFonts w:hint="eastAsia" w:ascii="Times New Roman" w:hAnsi="Times New Roman" w:cs="Times New Roman"/>
          <w:i w:val="0"/>
          <w:iCs w:val="0"/>
          <w:color w:val="auto"/>
          <w:sz w:val="24"/>
          <w:u w:val="single"/>
          <w:lang w:eastAsia="zh-CN"/>
        </w:rPr>
        <w:t>、</w:t>
      </w:r>
      <w:r>
        <w:rPr>
          <w:rFonts w:hint="default" w:ascii="Times New Roman" w:hAnsi="Times New Roman" w:cs="Times New Roman"/>
          <w:i w:val="0"/>
          <w:iCs w:val="0"/>
          <w:color w:val="auto"/>
          <w:sz w:val="24"/>
          <w:u w:val="single"/>
        </w:rPr>
        <w:t>污水管网布置</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污水管网布置根据开发区内地形地势，结合规划道路采用重力流敷设，如有局部埋深过大处考虑设置污水提升泵站，并要充分考虑上、下游管道衔接问题。</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开发区污水工程规划见下表，污水工程规划图见</w:t>
      </w:r>
      <w:r>
        <w:rPr>
          <w:rFonts w:hint="eastAsia" w:ascii="Times New Roman" w:hAnsi="Times New Roman" w:cs="Times New Roman"/>
          <w:i w:val="0"/>
          <w:iCs w:val="0"/>
          <w:color w:val="auto"/>
          <w:sz w:val="24"/>
          <w:u w:val="single"/>
          <w:lang w:val="en-US" w:eastAsia="zh-CN"/>
        </w:rPr>
        <w:t>附</w:t>
      </w:r>
      <w:r>
        <w:rPr>
          <w:rFonts w:hint="default" w:ascii="Times New Roman" w:hAnsi="Times New Roman" w:cs="Times New Roman"/>
          <w:i w:val="0"/>
          <w:iCs w:val="0"/>
          <w:color w:val="auto"/>
          <w:sz w:val="24"/>
          <w:u w:val="single"/>
        </w:rPr>
        <w:t>图</w:t>
      </w:r>
      <w:r>
        <w:rPr>
          <w:rFonts w:hint="eastAsia" w:ascii="Times New Roman" w:hAnsi="Times New Roman" w:cs="Times New Roman"/>
          <w:i w:val="0"/>
          <w:iCs w:val="0"/>
          <w:color w:val="auto"/>
          <w:sz w:val="24"/>
          <w:u w:val="single"/>
          <w:lang w:val="en-US" w:eastAsia="zh-CN"/>
        </w:rPr>
        <w:t>1-3</w:t>
      </w:r>
      <w:r>
        <w:rPr>
          <w:rFonts w:hint="default" w:ascii="Times New Roman" w:hAnsi="Times New Roman" w:cs="Times New Roman"/>
          <w:i w:val="0"/>
          <w:iCs w:val="0"/>
          <w:color w:val="auto"/>
          <w:sz w:val="24"/>
          <w:u w:val="single"/>
        </w:rPr>
        <w:t>。</w:t>
      </w:r>
    </w:p>
    <w:p>
      <w:pPr>
        <w:ind w:firstLine="482" w:firstLineChars="200"/>
        <w:jc w:val="center"/>
        <w:rPr>
          <w:rFonts w:hint="default" w:cs="Times New Roman"/>
          <w:b/>
          <w:bCs/>
          <w:i w:val="0"/>
          <w:iCs w:val="0"/>
          <w:color w:val="auto"/>
          <w:szCs w:val="21"/>
          <w:u w:val="single"/>
          <w:lang w:val="en-US" w:eastAsia="zh-CN"/>
        </w:rPr>
      </w:pPr>
      <w:r>
        <w:rPr>
          <w:rFonts w:hint="default" w:cs="Times New Roman"/>
          <w:b/>
          <w:bCs/>
          <w:i w:val="0"/>
          <w:iCs w:val="0"/>
          <w:color w:val="auto"/>
          <w:szCs w:val="21"/>
          <w:u w:val="single"/>
          <w:lang w:val="en-US" w:eastAsia="zh-CN"/>
        </w:rPr>
        <w:t>表</w:t>
      </w:r>
      <w:r>
        <w:rPr>
          <w:rFonts w:hint="eastAsia" w:cs="Times New Roman"/>
          <w:b/>
          <w:bCs/>
          <w:i w:val="0"/>
          <w:iCs w:val="0"/>
          <w:color w:val="auto"/>
          <w:szCs w:val="21"/>
          <w:u w:val="single"/>
          <w:lang w:val="en-US" w:eastAsia="zh-CN"/>
        </w:rPr>
        <w:t>1-5</w:t>
      </w:r>
      <w:r>
        <w:rPr>
          <w:rFonts w:hint="default" w:cs="Times New Roman"/>
          <w:b/>
          <w:bCs/>
          <w:i w:val="0"/>
          <w:iCs w:val="0"/>
          <w:color w:val="auto"/>
          <w:szCs w:val="21"/>
          <w:u w:val="single"/>
          <w:lang w:val="en-US" w:eastAsia="zh-CN"/>
        </w:rPr>
        <w:t xml:space="preserve">  开发区污水工程规划   单位：万m</w:t>
      </w:r>
      <w:r>
        <w:rPr>
          <w:rFonts w:hint="default" w:cs="Times New Roman"/>
          <w:b/>
          <w:bCs/>
          <w:i w:val="0"/>
          <w:iCs w:val="0"/>
          <w:color w:val="auto"/>
          <w:szCs w:val="21"/>
          <w:u w:val="single"/>
          <w:vertAlign w:val="superscript"/>
          <w:lang w:val="en-US" w:eastAsia="zh-CN"/>
        </w:rPr>
        <w:t>3</w:t>
      </w:r>
      <w:r>
        <w:rPr>
          <w:rFonts w:hint="default" w:cs="Times New Roman"/>
          <w:b/>
          <w:bCs/>
          <w:i w:val="0"/>
          <w:iCs w:val="0"/>
          <w:color w:val="auto"/>
          <w:szCs w:val="21"/>
          <w:u w:val="single"/>
          <w:lang w:val="en-US" w:eastAsia="zh-CN"/>
        </w:rPr>
        <w:t>/d</w:t>
      </w:r>
    </w:p>
    <w:tbl>
      <w:tblPr>
        <w:tblStyle w:val="5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1390"/>
        <w:gridCol w:w="909"/>
        <w:gridCol w:w="909"/>
        <w:gridCol w:w="926"/>
        <w:gridCol w:w="690"/>
        <w:gridCol w:w="1585"/>
        <w:gridCol w:w="18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片区</w:t>
            </w:r>
          </w:p>
        </w:tc>
        <w:tc>
          <w:tcPr>
            <w:tcW w:w="772"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污水厂名称</w:t>
            </w:r>
          </w:p>
        </w:tc>
        <w:tc>
          <w:tcPr>
            <w:tcW w:w="505"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2019年处理规模</w:t>
            </w:r>
          </w:p>
        </w:tc>
        <w:tc>
          <w:tcPr>
            <w:tcW w:w="505"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2025年处理规模</w:t>
            </w:r>
          </w:p>
        </w:tc>
        <w:tc>
          <w:tcPr>
            <w:tcW w:w="514"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2035年处理规模</w:t>
            </w:r>
          </w:p>
        </w:tc>
        <w:tc>
          <w:tcPr>
            <w:tcW w:w="383"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排放去向</w:t>
            </w:r>
          </w:p>
        </w:tc>
        <w:tc>
          <w:tcPr>
            <w:tcW w:w="880"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排污口手续</w:t>
            </w:r>
          </w:p>
        </w:tc>
        <w:tc>
          <w:tcPr>
            <w:tcW w:w="1005"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restar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江源片区</w:t>
            </w:r>
          </w:p>
        </w:tc>
        <w:tc>
          <w:tcPr>
            <w:tcW w:w="772"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江源区污水厂</w:t>
            </w:r>
          </w:p>
        </w:tc>
        <w:tc>
          <w:tcPr>
            <w:tcW w:w="505"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2.0</w:t>
            </w:r>
          </w:p>
        </w:tc>
        <w:tc>
          <w:tcPr>
            <w:tcW w:w="505"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4.0</w:t>
            </w:r>
          </w:p>
        </w:tc>
        <w:tc>
          <w:tcPr>
            <w:tcW w:w="514"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4.0</w:t>
            </w:r>
          </w:p>
        </w:tc>
        <w:tc>
          <w:tcPr>
            <w:tcW w:w="383"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浑江</w:t>
            </w:r>
          </w:p>
        </w:tc>
        <w:tc>
          <w:tcPr>
            <w:tcW w:w="880" w:type="pct"/>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single"/>
              </w:rPr>
            </w:pPr>
            <w:r>
              <w:rPr>
                <w:rFonts w:hint="default" w:ascii="Times New Roman" w:hAnsi="Times New Roman" w:eastAsia="宋体" w:cs="Times New Roman"/>
                <w:i w:val="0"/>
                <w:iCs w:val="0"/>
                <w:color w:val="auto"/>
                <w:sz w:val="21"/>
                <w:szCs w:val="21"/>
                <w:u w:val="single"/>
              </w:rPr>
              <w:t>江源水审批发[2018]16号</w:t>
            </w:r>
          </w:p>
        </w:tc>
        <w:tc>
          <w:tcPr>
            <w:tcW w:w="1005"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jc w:val="both"/>
              <w:textAlignment w:val="auto"/>
              <w:rPr>
                <w:rFonts w:hint="default" w:ascii="Times New Roman" w:hAnsi="Times New Roman" w:eastAsia="宋体" w:cs="Times New Roman"/>
                <w:i w:val="0"/>
                <w:iCs w:val="0"/>
                <w:color w:val="auto"/>
                <w:sz w:val="21"/>
                <w:szCs w:val="21"/>
                <w:u w:val="single"/>
              </w:rPr>
            </w:pPr>
            <w:r>
              <w:rPr>
                <w:rFonts w:hint="default" w:ascii="Times New Roman" w:hAnsi="Times New Roman" w:eastAsia="宋体" w:cs="Times New Roman"/>
                <w:i w:val="0"/>
                <w:iCs w:val="0"/>
                <w:color w:val="auto"/>
                <w:sz w:val="21"/>
                <w:szCs w:val="21"/>
                <w:u w:val="single"/>
              </w:rPr>
              <w:t>常规污染物执行GB18918-2002一级A，煤化工产业区污水厂特征污染物执行GB16171-2012表2</w:t>
            </w:r>
            <w:r>
              <w:rPr>
                <w:rFonts w:hint="default" w:ascii="Times New Roman" w:hAnsi="Times New Roman" w:eastAsia="宋体" w:cs="Times New Roman"/>
                <w:i w:val="0"/>
                <w:iCs w:val="0"/>
                <w:color w:val="auto"/>
                <w:sz w:val="21"/>
                <w:szCs w:val="21"/>
                <w:u w:val="single"/>
                <w:lang w:eastAsia="zh-CN"/>
              </w:rPr>
              <w:t>及</w:t>
            </w:r>
            <w:r>
              <w:rPr>
                <w:rFonts w:hint="default" w:ascii="Times New Roman" w:hAnsi="Times New Roman" w:eastAsia="宋体" w:cs="Times New Roman"/>
                <w:i w:val="0"/>
                <w:iCs w:val="0"/>
                <w:color w:val="auto"/>
                <w:sz w:val="21"/>
                <w:szCs w:val="21"/>
                <w:u w:val="single"/>
                <w:lang w:val="en-US" w:eastAsia="zh-CN"/>
              </w:rPr>
              <w:t>GB31571-2015表1</w:t>
            </w:r>
            <w:r>
              <w:rPr>
                <w:rFonts w:hint="default" w:ascii="Times New Roman" w:hAnsi="Times New Roman" w:eastAsia="宋体" w:cs="Times New Roman"/>
                <w:i w:val="0"/>
                <w:iCs w:val="0"/>
                <w:color w:val="auto"/>
                <w:sz w:val="21"/>
                <w:szCs w:val="21"/>
                <w:u w:val="single"/>
              </w:rPr>
              <w:t>直接排放标准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p>
        </w:tc>
        <w:tc>
          <w:tcPr>
            <w:tcW w:w="772"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长白山特色食药科技产业园污水厂</w:t>
            </w:r>
          </w:p>
        </w:tc>
        <w:tc>
          <w:tcPr>
            <w:tcW w:w="505"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kern w:val="0"/>
                <w:sz w:val="21"/>
                <w:szCs w:val="21"/>
                <w:u w:val="single"/>
              </w:rPr>
              <w:t>--</w:t>
            </w:r>
          </w:p>
        </w:tc>
        <w:tc>
          <w:tcPr>
            <w:tcW w:w="505"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0.5</w:t>
            </w:r>
          </w:p>
        </w:tc>
        <w:tc>
          <w:tcPr>
            <w:tcW w:w="514"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1.0</w:t>
            </w:r>
          </w:p>
        </w:tc>
        <w:tc>
          <w:tcPr>
            <w:tcW w:w="383"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浑江</w:t>
            </w:r>
          </w:p>
        </w:tc>
        <w:tc>
          <w:tcPr>
            <w:tcW w:w="880" w:type="pct"/>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single"/>
              </w:rPr>
            </w:pPr>
            <w:r>
              <w:rPr>
                <w:rFonts w:hint="default" w:ascii="Times New Roman" w:hAnsi="Times New Roman" w:eastAsia="宋体" w:cs="Times New Roman"/>
                <w:i w:val="0"/>
                <w:iCs w:val="0"/>
                <w:color w:val="auto"/>
                <w:sz w:val="21"/>
                <w:szCs w:val="21"/>
                <w:u w:val="single"/>
              </w:rPr>
              <w:t>办理前期手续阶段</w:t>
            </w:r>
          </w:p>
        </w:tc>
        <w:tc>
          <w:tcPr>
            <w:tcW w:w="1005"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p>
        </w:tc>
        <w:tc>
          <w:tcPr>
            <w:tcW w:w="772"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煤化工产业区污水厂</w:t>
            </w:r>
          </w:p>
        </w:tc>
        <w:tc>
          <w:tcPr>
            <w:tcW w:w="505"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0.24</w:t>
            </w:r>
          </w:p>
        </w:tc>
        <w:tc>
          <w:tcPr>
            <w:tcW w:w="505"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0.24</w:t>
            </w:r>
          </w:p>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（回用）</w:t>
            </w:r>
          </w:p>
        </w:tc>
        <w:tc>
          <w:tcPr>
            <w:tcW w:w="514"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0.65</w:t>
            </w:r>
          </w:p>
        </w:tc>
        <w:tc>
          <w:tcPr>
            <w:tcW w:w="383"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浑江</w:t>
            </w:r>
          </w:p>
        </w:tc>
        <w:tc>
          <w:tcPr>
            <w:tcW w:w="880" w:type="pct"/>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single"/>
              </w:rPr>
            </w:pPr>
            <w:r>
              <w:rPr>
                <w:rFonts w:hint="default" w:ascii="Times New Roman" w:hAnsi="Times New Roman" w:eastAsia="宋体" w:cs="Times New Roman"/>
                <w:i w:val="0"/>
                <w:iCs w:val="0"/>
                <w:color w:val="auto"/>
                <w:sz w:val="21"/>
                <w:szCs w:val="21"/>
                <w:u w:val="single"/>
              </w:rPr>
              <w:t>江源水审批发[2018]16号</w:t>
            </w:r>
          </w:p>
        </w:tc>
        <w:tc>
          <w:tcPr>
            <w:tcW w:w="1005"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石人镇片区</w:t>
            </w:r>
          </w:p>
        </w:tc>
        <w:tc>
          <w:tcPr>
            <w:tcW w:w="772"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石人镇污水厂</w:t>
            </w:r>
          </w:p>
        </w:tc>
        <w:tc>
          <w:tcPr>
            <w:tcW w:w="505"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1.0</w:t>
            </w:r>
          </w:p>
        </w:tc>
        <w:tc>
          <w:tcPr>
            <w:tcW w:w="505"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1.0</w:t>
            </w:r>
          </w:p>
        </w:tc>
        <w:tc>
          <w:tcPr>
            <w:tcW w:w="514"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1.5</w:t>
            </w:r>
          </w:p>
        </w:tc>
        <w:tc>
          <w:tcPr>
            <w:tcW w:w="383" w:type="pct"/>
            <w:tcBorders>
              <w:tl2br w:val="nil"/>
              <w:tr2bl w:val="nil"/>
            </w:tcBorders>
            <w:noWrap w:val="0"/>
            <w:vAlign w:val="center"/>
          </w:tcPr>
          <w:p>
            <w:pPr>
              <w:pStyle w:val="9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石人河</w:t>
            </w:r>
          </w:p>
        </w:tc>
        <w:tc>
          <w:tcPr>
            <w:tcW w:w="880" w:type="pct"/>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single"/>
              </w:rPr>
            </w:pPr>
            <w:r>
              <w:rPr>
                <w:rFonts w:hint="default" w:ascii="Times New Roman" w:hAnsi="Times New Roman" w:eastAsia="宋体" w:cs="Times New Roman"/>
                <w:i w:val="0"/>
                <w:iCs w:val="0"/>
                <w:color w:val="auto"/>
                <w:sz w:val="21"/>
                <w:szCs w:val="21"/>
                <w:u w:val="single"/>
              </w:rPr>
              <w:t>白山环水批[2020]01号</w:t>
            </w:r>
          </w:p>
        </w:tc>
        <w:tc>
          <w:tcPr>
            <w:tcW w:w="1005"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single"/>
              </w:rPr>
            </w:pPr>
          </w:p>
        </w:tc>
      </w:tr>
    </w:tbl>
    <w:p>
      <w:pPr>
        <w:ind w:firstLine="480" w:firstLineChars="200"/>
        <w:rPr>
          <w:rFonts w:hint="default" w:ascii="Times New Roman" w:hAnsi="Times New Roman" w:cs="Times New Roman"/>
          <w:i w:val="0"/>
          <w:iCs w:val="0"/>
          <w:color w:val="auto"/>
          <w:szCs w:val="21"/>
          <w:u w:val="single"/>
        </w:rPr>
      </w:pPr>
      <w:r>
        <w:rPr>
          <w:rFonts w:hint="default" w:ascii="Times New Roman" w:hAnsi="Times New Roman" w:cs="Times New Roman"/>
          <w:i w:val="0"/>
          <w:iCs w:val="0"/>
          <w:color w:val="auto"/>
          <w:szCs w:val="21"/>
          <w:u w:val="single"/>
        </w:rPr>
        <w:t>注：江源区污水厂于2019年完成一级A提标改造任务，故出水执行GB18918-2002一级A标准。</w:t>
      </w:r>
    </w:p>
    <w:p>
      <w:pPr>
        <w:spacing w:line="360" w:lineRule="auto"/>
        <w:ind w:firstLine="480" w:firstLineChars="200"/>
        <w:rPr>
          <w:rFonts w:hint="default" w:ascii="Times New Roman" w:hAnsi="Times New Roman" w:eastAsia="宋体" w:cs="Times New Roman"/>
          <w:i w:val="0"/>
          <w:iCs w:val="0"/>
          <w:color w:val="auto"/>
          <w:sz w:val="24"/>
          <w:u w:val="single"/>
        </w:rPr>
      </w:pPr>
      <w:r>
        <w:rPr>
          <w:rFonts w:hint="default" w:ascii="Times New Roman" w:hAnsi="Times New Roman" w:eastAsia="宋体" w:cs="Times New Roman"/>
          <w:i w:val="0"/>
          <w:iCs w:val="0"/>
          <w:color w:val="auto"/>
          <w:sz w:val="24"/>
          <w:u w:val="single"/>
        </w:rPr>
        <w:fldChar w:fldCharType="begin"/>
      </w:r>
      <w:r>
        <w:rPr>
          <w:rFonts w:hint="default" w:ascii="Times New Roman" w:hAnsi="Times New Roman" w:eastAsia="宋体" w:cs="Times New Roman"/>
          <w:i w:val="0"/>
          <w:iCs w:val="0"/>
          <w:color w:val="auto"/>
          <w:sz w:val="24"/>
          <w:u w:val="single"/>
        </w:rPr>
        <w:instrText xml:space="preserve"> = 3 \* GB3 \* MERGEFORMAT </w:instrText>
      </w:r>
      <w:r>
        <w:rPr>
          <w:rFonts w:hint="default" w:ascii="Times New Roman" w:hAnsi="Times New Roman" w:eastAsia="宋体" w:cs="Times New Roman"/>
          <w:i w:val="0"/>
          <w:iCs w:val="0"/>
          <w:color w:val="auto"/>
          <w:sz w:val="24"/>
          <w:u w:val="single"/>
        </w:rPr>
        <w:fldChar w:fldCharType="separate"/>
      </w:r>
      <w:r>
        <w:rPr>
          <w:rFonts w:hint="default" w:ascii="Times New Roman" w:hAnsi="Times New Roman" w:eastAsia="宋体" w:cs="Times New Roman"/>
          <w:i w:val="0"/>
          <w:iCs w:val="0"/>
          <w:color w:val="auto"/>
          <w:sz w:val="24"/>
          <w:u w:val="single"/>
        </w:rPr>
        <w:t>③</w:t>
      </w:r>
      <w:r>
        <w:rPr>
          <w:rFonts w:hint="default" w:ascii="Times New Roman" w:hAnsi="Times New Roman" w:eastAsia="宋体" w:cs="Times New Roman"/>
          <w:i w:val="0"/>
          <w:iCs w:val="0"/>
          <w:color w:val="auto"/>
          <w:sz w:val="24"/>
          <w:u w:val="single"/>
        </w:rPr>
        <w:fldChar w:fldCharType="end"/>
      </w:r>
      <w:r>
        <w:rPr>
          <w:rFonts w:hint="default" w:ascii="Times New Roman" w:hAnsi="Times New Roman" w:eastAsia="宋体" w:cs="Times New Roman"/>
          <w:i w:val="0"/>
          <w:iCs w:val="0"/>
          <w:color w:val="auto"/>
          <w:sz w:val="24"/>
          <w:u w:val="single"/>
        </w:rPr>
        <w:t>雨水工程规划</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fldChar w:fldCharType="begin"/>
      </w:r>
      <w:r>
        <w:rPr>
          <w:rFonts w:hint="default" w:ascii="Times New Roman" w:hAnsi="Times New Roman" w:cs="Times New Roman"/>
          <w:i w:val="0"/>
          <w:iCs w:val="0"/>
          <w:color w:val="auto"/>
          <w:sz w:val="24"/>
          <w:u w:val="single"/>
        </w:rPr>
        <w:instrText xml:space="preserve"> = 1 \* ROMAN \* MERGEFORMAT </w:instrText>
      </w:r>
      <w:r>
        <w:rPr>
          <w:rFonts w:hint="default" w:ascii="Times New Roman" w:hAnsi="Times New Roman" w:cs="Times New Roman"/>
          <w:i w:val="0"/>
          <w:iCs w:val="0"/>
          <w:color w:val="auto"/>
          <w:sz w:val="24"/>
          <w:u w:val="single"/>
        </w:rPr>
        <w:fldChar w:fldCharType="separate"/>
      </w:r>
      <w:r>
        <w:rPr>
          <w:i w:val="0"/>
          <w:iCs w:val="0"/>
          <w:u w:val="single"/>
        </w:rPr>
        <w:t>I</w:t>
      </w:r>
      <w:r>
        <w:rPr>
          <w:rFonts w:hint="default" w:ascii="Times New Roman" w:hAnsi="Times New Roman" w:cs="Times New Roman"/>
          <w:i w:val="0"/>
          <w:iCs w:val="0"/>
          <w:color w:val="auto"/>
          <w:sz w:val="24"/>
          <w:u w:val="single"/>
        </w:rPr>
        <w:fldChar w:fldCharType="end"/>
      </w:r>
      <w:r>
        <w:rPr>
          <w:rFonts w:hint="eastAsia" w:ascii="Times New Roman" w:hAnsi="Times New Roman" w:cs="Times New Roman"/>
          <w:i w:val="0"/>
          <w:iCs w:val="0"/>
          <w:color w:val="auto"/>
          <w:sz w:val="24"/>
          <w:u w:val="single"/>
          <w:lang w:eastAsia="zh-CN"/>
        </w:rPr>
        <w:t>、</w:t>
      </w:r>
      <w:r>
        <w:rPr>
          <w:rFonts w:hint="default" w:ascii="Times New Roman" w:hAnsi="Times New Roman" w:cs="Times New Roman"/>
          <w:i w:val="0"/>
          <w:iCs w:val="0"/>
          <w:color w:val="auto"/>
          <w:sz w:val="24"/>
          <w:u w:val="single"/>
        </w:rPr>
        <w:t>雨水管网布置</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雨水管网布置充分利用地形地势、河沟进行合理分区，并结合道路布置，如有局部埋深过大处考虑设置雨水提升泵站。根据分散和直接的原则，保证雨水管以最短路线、较小管径就近排入附近水体。江源片区共分六个排水分区，设置六个雨水排出口；石人镇片区共分七个排水分区，设置八个雨水排出口。</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fldChar w:fldCharType="begin"/>
      </w:r>
      <w:r>
        <w:rPr>
          <w:rFonts w:hint="default" w:ascii="Times New Roman" w:hAnsi="Times New Roman" w:cs="Times New Roman"/>
          <w:i w:val="0"/>
          <w:iCs w:val="0"/>
          <w:color w:val="auto"/>
          <w:sz w:val="24"/>
          <w:u w:val="single"/>
        </w:rPr>
        <w:instrText xml:space="preserve"> = 2 \* ROMAN \* MERGEFORMAT </w:instrText>
      </w:r>
      <w:r>
        <w:rPr>
          <w:rFonts w:hint="default" w:ascii="Times New Roman" w:hAnsi="Times New Roman" w:cs="Times New Roman"/>
          <w:i w:val="0"/>
          <w:iCs w:val="0"/>
          <w:color w:val="auto"/>
          <w:sz w:val="24"/>
          <w:u w:val="single"/>
        </w:rPr>
        <w:fldChar w:fldCharType="separate"/>
      </w:r>
      <w:r>
        <w:rPr>
          <w:i w:val="0"/>
          <w:iCs w:val="0"/>
          <w:u w:val="single"/>
        </w:rPr>
        <w:t>II</w:t>
      </w:r>
      <w:r>
        <w:rPr>
          <w:rFonts w:hint="default" w:ascii="Times New Roman" w:hAnsi="Times New Roman" w:cs="Times New Roman"/>
          <w:i w:val="0"/>
          <w:iCs w:val="0"/>
          <w:color w:val="auto"/>
          <w:sz w:val="24"/>
          <w:u w:val="single"/>
        </w:rPr>
        <w:fldChar w:fldCharType="end"/>
      </w:r>
      <w:r>
        <w:rPr>
          <w:rFonts w:hint="eastAsia" w:ascii="Times New Roman" w:hAnsi="Times New Roman" w:cs="Times New Roman"/>
          <w:i w:val="0"/>
          <w:iCs w:val="0"/>
          <w:color w:val="auto"/>
          <w:sz w:val="24"/>
          <w:u w:val="single"/>
          <w:lang w:eastAsia="zh-CN"/>
        </w:rPr>
        <w:t>、</w:t>
      </w:r>
      <w:r>
        <w:rPr>
          <w:rFonts w:hint="default" w:ascii="Times New Roman" w:hAnsi="Times New Roman" w:cs="Times New Roman"/>
          <w:i w:val="0"/>
          <w:iCs w:val="0"/>
          <w:color w:val="auto"/>
          <w:sz w:val="24"/>
          <w:u w:val="single"/>
        </w:rPr>
        <w:t>低影响开发规划</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规划设置雨水调蓄池；人行道、停车场和广场等宜采用渗透性铺面；绿地标高宜低于周边路面标高，形成下凹式绿地。</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积极引进和开发道路、楼顶和庭院的雨水收集、传输与利用技术，建立完善的雨水利用系统，实现雨水资源的可持续利用。</w:t>
      </w:r>
    </w:p>
    <w:p>
      <w:pPr>
        <w:spacing w:line="360" w:lineRule="auto"/>
        <w:ind w:firstLine="480" w:firstLineChars="200"/>
        <w:rPr>
          <w:rFonts w:hint="default" w:ascii="Times New Roman" w:hAnsi="Times New Roman" w:eastAsia="宋体" w:cs="Times New Roman"/>
          <w:i w:val="0"/>
          <w:iCs w:val="0"/>
          <w:color w:val="auto"/>
          <w:sz w:val="24"/>
          <w:u w:val="single"/>
        </w:rPr>
      </w:pPr>
      <w:r>
        <w:rPr>
          <w:rFonts w:hint="default" w:ascii="Times New Roman" w:hAnsi="Times New Roman" w:eastAsia="宋体" w:cs="Times New Roman"/>
          <w:i w:val="0"/>
          <w:iCs w:val="0"/>
          <w:color w:val="auto"/>
          <w:sz w:val="24"/>
          <w:u w:val="single"/>
        </w:rPr>
        <w:fldChar w:fldCharType="begin"/>
      </w:r>
      <w:r>
        <w:rPr>
          <w:rFonts w:hint="default" w:ascii="Times New Roman" w:hAnsi="Times New Roman" w:eastAsia="宋体" w:cs="Times New Roman"/>
          <w:i w:val="0"/>
          <w:iCs w:val="0"/>
          <w:color w:val="auto"/>
          <w:sz w:val="24"/>
          <w:u w:val="single"/>
        </w:rPr>
        <w:instrText xml:space="preserve"> = 4 \* GB3 \* MERGEFORMAT </w:instrText>
      </w:r>
      <w:r>
        <w:rPr>
          <w:rFonts w:hint="default" w:ascii="Times New Roman" w:hAnsi="Times New Roman" w:eastAsia="宋体" w:cs="Times New Roman"/>
          <w:i w:val="0"/>
          <w:iCs w:val="0"/>
          <w:color w:val="auto"/>
          <w:sz w:val="24"/>
          <w:u w:val="single"/>
        </w:rPr>
        <w:fldChar w:fldCharType="separate"/>
      </w:r>
      <w:r>
        <w:rPr>
          <w:rFonts w:hint="default" w:ascii="Times New Roman" w:hAnsi="Times New Roman" w:eastAsia="宋体" w:cs="Times New Roman"/>
          <w:i w:val="0"/>
          <w:iCs w:val="0"/>
          <w:color w:val="auto"/>
          <w:sz w:val="24"/>
          <w:u w:val="single"/>
        </w:rPr>
        <w:t>④</w:t>
      </w:r>
      <w:r>
        <w:rPr>
          <w:rFonts w:hint="default" w:ascii="Times New Roman" w:hAnsi="Times New Roman" w:eastAsia="宋体" w:cs="Times New Roman"/>
          <w:i w:val="0"/>
          <w:iCs w:val="0"/>
          <w:color w:val="auto"/>
          <w:sz w:val="24"/>
          <w:u w:val="single"/>
        </w:rPr>
        <w:fldChar w:fldCharType="end"/>
      </w:r>
      <w:r>
        <w:rPr>
          <w:rFonts w:hint="default" w:ascii="Times New Roman" w:hAnsi="Times New Roman" w:eastAsia="宋体" w:cs="Times New Roman"/>
          <w:i w:val="0"/>
          <w:iCs w:val="0"/>
          <w:color w:val="auto"/>
          <w:sz w:val="24"/>
          <w:u w:val="single"/>
        </w:rPr>
        <w:t>供热工程规划</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fldChar w:fldCharType="begin"/>
      </w:r>
      <w:r>
        <w:rPr>
          <w:rFonts w:hint="default" w:ascii="Times New Roman" w:hAnsi="Times New Roman" w:cs="Times New Roman"/>
          <w:i w:val="0"/>
          <w:iCs w:val="0"/>
          <w:color w:val="auto"/>
          <w:sz w:val="24"/>
          <w:u w:val="single"/>
        </w:rPr>
        <w:instrText xml:space="preserve"> = 1 \* ROMAN \* MERGEFORMAT </w:instrText>
      </w:r>
      <w:r>
        <w:rPr>
          <w:rFonts w:hint="default" w:ascii="Times New Roman" w:hAnsi="Times New Roman" w:cs="Times New Roman"/>
          <w:i w:val="0"/>
          <w:iCs w:val="0"/>
          <w:color w:val="auto"/>
          <w:sz w:val="24"/>
          <w:u w:val="single"/>
        </w:rPr>
        <w:fldChar w:fldCharType="separate"/>
      </w:r>
      <w:r>
        <w:rPr>
          <w:i w:val="0"/>
          <w:iCs w:val="0"/>
          <w:u w:val="single"/>
        </w:rPr>
        <w:t>I</w:t>
      </w:r>
      <w:r>
        <w:rPr>
          <w:rFonts w:hint="default" w:ascii="Times New Roman" w:hAnsi="Times New Roman" w:cs="Times New Roman"/>
          <w:i w:val="0"/>
          <w:iCs w:val="0"/>
          <w:color w:val="auto"/>
          <w:sz w:val="24"/>
          <w:u w:val="single"/>
        </w:rPr>
        <w:fldChar w:fldCharType="end"/>
      </w:r>
      <w:r>
        <w:rPr>
          <w:rFonts w:hint="eastAsia" w:ascii="Times New Roman" w:hAnsi="Times New Roman" w:cs="Times New Roman"/>
          <w:i w:val="0"/>
          <w:iCs w:val="0"/>
          <w:color w:val="auto"/>
          <w:sz w:val="24"/>
          <w:u w:val="single"/>
          <w:lang w:eastAsia="zh-CN"/>
        </w:rPr>
        <w:t>、</w:t>
      </w:r>
      <w:r>
        <w:rPr>
          <w:rFonts w:hint="default" w:ascii="Times New Roman" w:hAnsi="Times New Roman" w:cs="Times New Roman"/>
          <w:i w:val="0"/>
          <w:iCs w:val="0"/>
          <w:color w:val="auto"/>
          <w:sz w:val="24"/>
          <w:u w:val="single"/>
        </w:rPr>
        <w:t>规划目标</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远期开发区综合热化率91%，其中集中热化率达到76%，清洁能源和可再生能源热化率达到15%，逐步淘汰分散小锅炉房，集中供热燃煤锅炉单台容量不低于35蒸吨，达到热源充足、设施配套、技术先进、市场规范的新型供热管理目标。</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fldChar w:fldCharType="begin"/>
      </w:r>
      <w:r>
        <w:rPr>
          <w:rFonts w:hint="default" w:ascii="Times New Roman" w:hAnsi="Times New Roman" w:cs="Times New Roman"/>
          <w:i w:val="0"/>
          <w:iCs w:val="0"/>
          <w:color w:val="auto"/>
          <w:sz w:val="24"/>
          <w:u w:val="single"/>
        </w:rPr>
        <w:instrText xml:space="preserve"> = 2 \* ROMAN \* MERGEFORMAT </w:instrText>
      </w:r>
      <w:r>
        <w:rPr>
          <w:rFonts w:hint="default" w:ascii="Times New Roman" w:hAnsi="Times New Roman" w:cs="Times New Roman"/>
          <w:i w:val="0"/>
          <w:iCs w:val="0"/>
          <w:color w:val="auto"/>
          <w:sz w:val="24"/>
          <w:u w:val="single"/>
        </w:rPr>
        <w:fldChar w:fldCharType="separate"/>
      </w:r>
      <w:r>
        <w:rPr>
          <w:i w:val="0"/>
          <w:iCs w:val="0"/>
          <w:u w:val="single"/>
        </w:rPr>
        <w:t>II</w:t>
      </w:r>
      <w:r>
        <w:rPr>
          <w:rFonts w:hint="default" w:ascii="Times New Roman" w:hAnsi="Times New Roman" w:cs="Times New Roman"/>
          <w:i w:val="0"/>
          <w:iCs w:val="0"/>
          <w:color w:val="auto"/>
          <w:sz w:val="24"/>
          <w:u w:val="single"/>
        </w:rPr>
        <w:fldChar w:fldCharType="end"/>
      </w:r>
      <w:r>
        <w:rPr>
          <w:rFonts w:hint="eastAsia" w:ascii="Times New Roman" w:hAnsi="Times New Roman" w:cs="Times New Roman"/>
          <w:i w:val="0"/>
          <w:iCs w:val="0"/>
          <w:color w:val="auto"/>
          <w:sz w:val="24"/>
          <w:u w:val="single"/>
          <w:lang w:eastAsia="zh-CN"/>
        </w:rPr>
        <w:t>、</w:t>
      </w:r>
      <w:r>
        <w:rPr>
          <w:rFonts w:hint="default" w:ascii="Times New Roman" w:hAnsi="Times New Roman" w:cs="Times New Roman"/>
          <w:i w:val="0"/>
          <w:iCs w:val="0"/>
          <w:color w:val="auto"/>
          <w:sz w:val="24"/>
          <w:u w:val="single"/>
        </w:rPr>
        <w:t>热负荷预测</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预测2025年，江源片区采暖负荷为135.8MW；石人镇片区采暖负荷为43.4MW。</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预测2035年，江源片区采暖负荷为185.1MW；石人镇片区采暖负荷为102.8MW。</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同时，针对长白山特色食药科技产业园区内食品加工产业发展需求，预测产业所需近期蒸汽供热量20MW，远期蒸汽供热量39.77MW。</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fldChar w:fldCharType="begin"/>
      </w:r>
      <w:r>
        <w:rPr>
          <w:rFonts w:hint="default" w:ascii="Times New Roman" w:hAnsi="Times New Roman" w:cs="Times New Roman"/>
          <w:i w:val="0"/>
          <w:iCs w:val="0"/>
          <w:color w:val="auto"/>
          <w:sz w:val="24"/>
          <w:u w:val="single"/>
        </w:rPr>
        <w:instrText xml:space="preserve"> = 3 \* ROMAN \* MERGEFORMAT </w:instrText>
      </w:r>
      <w:r>
        <w:rPr>
          <w:rFonts w:hint="default" w:ascii="Times New Roman" w:hAnsi="Times New Roman" w:cs="Times New Roman"/>
          <w:i w:val="0"/>
          <w:iCs w:val="0"/>
          <w:color w:val="auto"/>
          <w:sz w:val="24"/>
          <w:u w:val="single"/>
        </w:rPr>
        <w:fldChar w:fldCharType="separate"/>
      </w:r>
      <w:r>
        <w:rPr>
          <w:i w:val="0"/>
          <w:iCs w:val="0"/>
          <w:u w:val="single"/>
        </w:rPr>
        <w:t>III</w:t>
      </w:r>
      <w:r>
        <w:rPr>
          <w:rFonts w:hint="default" w:ascii="Times New Roman" w:hAnsi="Times New Roman" w:cs="Times New Roman"/>
          <w:i w:val="0"/>
          <w:iCs w:val="0"/>
          <w:color w:val="auto"/>
          <w:sz w:val="24"/>
          <w:u w:val="single"/>
        </w:rPr>
        <w:fldChar w:fldCharType="end"/>
      </w:r>
      <w:r>
        <w:rPr>
          <w:rFonts w:hint="eastAsia" w:ascii="Times New Roman" w:hAnsi="Times New Roman" w:cs="Times New Roman"/>
          <w:i w:val="0"/>
          <w:iCs w:val="0"/>
          <w:color w:val="auto"/>
          <w:sz w:val="24"/>
          <w:u w:val="single"/>
          <w:lang w:eastAsia="zh-CN"/>
        </w:rPr>
        <w:t>、</w:t>
      </w:r>
      <w:r>
        <w:rPr>
          <w:rFonts w:hint="default" w:ascii="Times New Roman" w:hAnsi="Times New Roman" w:cs="Times New Roman"/>
          <w:i w:val="0"/>
          <w:iCs w:val="0"/>
          <w:color w:val="auto"/>
          <w:sz w:val="24"/>
          <w:u w:val="single"/>
        </w:rPr>
        <w:t>供热模式</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开发区主体供热方式以热电厂供热为主，清洁能源和可再生能源为补充，逐步增加清洁能源和可再生能源比例，改善能源利用结构，实现节能减排。</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在长白山特色食药科技产业园区内以蒸汽供热，供热方式为二次网供热，由蒸汽站出一次供热管，沿纬五路进入中央大道综合管廊。</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fldChar w:fldCharType="begin"/>
      </w:r>
      <w:r>
        <w:rPr>
          <w:rFonts w:hint="default" w:ascii="Times New Roman" w:hAnsi="Times New Roman" w:cs="Times New Roman"/>
          <w:i w:val="0"/>
          <w:iCs w:val="0"/>
          <w:color w:val="auto"/>
          <w:sz w:val="24"/>
          <w:u w:val="single"/>
        </w:rPr>
        <w:instrText xml:space="preserve"> = 4 \* ROMAN \* MERGEFORMAT </w:instrText>
      </w:r>
      <w:r>
        <w:rPr>
          <w:rFonts w:hint="default" w:ascii="Times New Roman" w:hAnsi="Times New Roman" w:cs="Times New Roman"/>
          <w:i w:val="0"/>
          <w:iCs w:val="0"/>
          <w:color w:val="auto"/>
          <w:sz w:val="24"/>
          <w:u w:val="single"/>
        </w:rPr>
        <w:fldChar w:fldCharType="separate"/>
      </w:r>
      <w:r>
        <w:rPr>
          <w:i w:val="0"/>
          <w:iCs w:val="0"/>
          <w:u w:val="single"/>
        </w:rPr>
        <w:t>IV</w:t>
      </w:r>
      <w:r>
        <w:rPr>
          <w:rFonts w:hint="default" w:ascii="Times New Roman" w:hAnsi="Times New Roman" w:cs="Times New Roman"/>
          <w:i w:val="0"/>
          <w:iCs w:val="0"/>
          <w:color w:val="auto"/>
          <w:sz w:val="24"/>
          <w:u w:val="single"/>
        </w:rPr>
        <w:fldChar w:fldCharType="end"/>
      </w:r>
      <w:r>
        <w:rPr>
          <w:rFonts w:hint="eastAsia" w:ascii="Times New Roman" w:hAnsi="Times New Roman" w:cs="Times New Roman"/>
          <w:i w:val="0"/>
          <w:iCs w:val="0"/>
          <w:color w:val="auto"/>
          <w:sz w:val="24"/>
          <w:u w:val="single"/>
          <w:lang w:eastAsia="zh-CN"/>
        </w:rPr>
        <w:t>、</w:t>
      </w:r>
      <w:r>
        <w:rPr>
          <w:rFonts w:hint="default" w:ascii="Times New Roman" w:hAnsi="Times New Roman" w:cs="Times New Roman"/>
          <w:i w:val="0"/>
          <w:iCs w:val="0"/>
          <w:color w:val="auto"/>
          <w:sz w:val="24"/>
          <w:u w:val="single"/>
        </w:rPr>
        <w:t>热源规划</w:t>
      </w:r>
    </w:p>
    <w:p>
      <w:pPr>
        <w:spacing w:line="360" w:lineRule="auto"/>
        <w:ind w:firstLine="480" w:firstLineChars="200"/>
        <w:rPr>
          <w:rFonts w:hint="default" w:ascii="Times New Roman" w:hAnsi="Times New Roman" w:cs="Times New Roman"/>
          <w:i w:val="0"/>
          <w:iCs w:val="0"/>
          <w:color w:val="auto"/>
          <w:sz w:val="24"/>
          <w:u w:val="single"/>
        </w:rPr>
      </w:pPr>
      <w:r>
        <w:rPr>
          <w:rFonts w:hint="eastAsia" w:ascii="Times New Roman" w:hAnsi="Times New Roman" w:cs="Times New Roman"/>
          <w:i w:val="0"/>
          <w:iCs w:val="0"/>
          <w:color w:val="auto"/>
          <w:sz w:val="24"/>
          <w:u w:val="single"/>
          <w:lang w:val="en-US" w:eastAsia="zh-CN"/>
        </w:rPr>
        <w:t>a</w:t>
      </w:r>
      <w:r>
        <w:rPr>
          <w:rFonts w:hint="default" w:ascii="Times New Roman" w:hAnsi="Times New Roman" w:cs="Times New Roman"/>
          <w:i w:val="0"/>
          <w:iCs w:val="0"/>
          <w:color w:val="auto"/>
          <w:sz w:val="24"/>
          <w:u w:val="single"/>
        </w:rPr>
        <w:t>江源片区</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根据白山市城市总体规划相关内容及华能白山煤矸石热电厂的发展实际情况，江源区近期热源共3个，其中：白山市江源区欣城供热有限公司（原华能白山煤矸石热电厂二期工程用地）现状燃煤锅炉房供热能力为182MW、国家电投白山热电有限责任公司给江源区的供热能力为210MW以及新建大台子蒸汽站供热能力为40MW。总供热能力为432MW，满足江源区总体供热需求，其中分配给江源片区145MW。</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远期保留白山市江源区欣城供热有限公司（原华能白山煤矸石热电厂二期工程用地）现状燃煤锅炉房供热能力，扩建大台子蒸汽站供热能力达到60MW，增加国家电投白山热电有限责任公司给江源区的供热能力达到305MW，使远期江源区采暖负荷达547MW，满足江源区总体供热需求。其中分配给江源片区190MW。此外，鼓励工业企业通过工业生产余热进行供暖，实现供热自给自足。</w:t>
      </w:r>
    </w:p>
    <w:p>
      <w:pPr>
        <w:spacing w:line="360" w:lineRule="auto"/>
        <w:ind w:firstLine="480" w:firstLineChars="200"/>
        <w:rPr>
          <w:rFonts w:hint="default" w:ascii="Times New Roman" w:hAnsi="Times New Roman" w:cs="Times New Roman"/>
          <w:i w:val="0"/>
          <w:iCs w:val="0"/>
          <w:color w:val="auto"/>
          <w:sz w:val="24"/>
          <w:u w:val="single"/>
        </w:rPr>
      </w:pPr>
      <w:r>
        <w:rPr>
          <w:rFonts w:hint="eastAsia" w:ascii="Times New Roman" w:hAnsi="Times New Roman" w:cs="Times New Roman"/>
          <w:i w:val="0"/>
          <w:iCs w:val="0"/>
          <w:color w:val="auto"/>
          <w:sz w:val="24"/>
          <w:u w:val="single"/>
          <w:lang w:val="en-US" w:eastAsia="zh-CN"/>
        </w:rPr>
        <w:t>b</w:t>
      </w:r>
      <w:r>
        <w:rPr>
          <w:rFonts w:hint="default" w:ascii="Times New Roman" w:hAnsi="Times New Roman" w:cs="Times New Roman"/>
          <w:i w:val="0"/>
          <w:iCs w:val="0"/>
          <w:color w:val="auto"/>
          <w:sz w:val="24"/>
          <w:u w:val="single"/>
        </w:rPr>
        <w:t>石人镇片区</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石人镇片区扩建石人镇锅炉房（现状欣城供热公司锅炉房），规划近期供热能力达到100MW，远期供热能力达到150MW。</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fldChar w:fldCharType="begin"/>
      </w:r>
      <w:r>
        <w:rPr>
          <w:rFonts w:hint="default" w:ascii="Times New Roman" w:hAnsi="Times New Roman" w:cs="Times New Roman"/>
          <w:i w:val="0"/>
          <w:iCs w:val="0"/>
          <w:color w:val="auto"/>
          <w:sz w:val="24"/>
          <w:u w:val="single"/>
        </w:rPr>
        <w:instrText xml:space="preserve"> = 5 \* ROMAN \* MERGEFORMAT </w:instrText>
      </w:r>
      <w:r>
        <w:rPr>
          <w:rFonts w:hint="default" w:ascii="Times New Roman" w:hAnsi="Times New Roman" w:cs="Times New Roman"/>
          <w:i w:val="0"/>
          <w:iCs w:val="0"/>
          <w:color w:val="auto"/>
          <w:sz w:val="24"/>
          <w:u w:val="single"/>
        </w:rPr>
        <w:fldChar w:fldCharType="separate"/>
      </w:r>
      <w:r>
        <w:rPr>
          <w:i w:val="0"/>
          <w:iCs w:val="0"/>
          <w:u w:val="single"/>
        </w:rPr>
        <w:t>V</w:t>
      </w:r>
      <w:r>
        <w:rPr>
          <w:rFonts w:hint="default" w:ascii="Times New Roman" w:hAnsi="Times New Roman" w:cs="Times New Roman"/>
          <w:i w:val="0"/>
          <w:iCs w:val="0"/>
          <w:color w:val="auto"/>
          <w:sz w:val="24"/>
          <w:u w:val="single"/>
        </w:rPr>
        <w:fldChar w:fldCharType="end"/>
      </w:r>
      <w:r>
        <w:rPr>
          <w:rFonts w:hint="eastAsia" w:ascii="Times New Roman" w:hAnsi="Times New Roman" w:cs="Times New Roman"/>
          <w:i w:val="0"/>
          <w:iCs w:val="0"/>
          <w:color w:val="auto"/>
          <w:sz w:val="24"/>
          <w:u w:val="single"/>
          <w:lang w:eastAsia="zh-CN"/>
        </w:rPr>
        <w:t>、</w:t>
      </w:r>
      <w:r>
        <w:rPr>
          <w:rFonts w:hint="default" w:ascii="Times New Roman" w:hAnsi="Times New Roman" w:cs="Times New Roman"/>
          <w:i w:val="0"/>
          <w:iCs w:val="0"/>
          <w:color w:val="auto"/>
          <w:sz w:val="24"/>
          <w:u w:val="single"/>
        </w:rPr>
        <w:t>供热管网</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规划采用环状管网与树枝状管网结合的布局形式，管网输送能力按最大负荷规划，供热管径根据计算热负荷和热水管网允许流速确定，在DN500-DN700、DN1000-DN1400之间。主次管网均采用波纹管补偿器，架空管道采用离心玻璃棉保温，玻璃钢复合铝泊保护，直埋管道采用聚胺脂保温、沥青玻璃布保护。</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蒸汽供热管网一次供热管网管径为DN250-DN400。热网参数的选定考虑投资及运行的经济性，一次网按130℃/70℃制，二次网按80℃/55℃制设计运行。</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开发区供热工程规划见表</w:t>
      </w:r>
      <w:r>
        <w:rPr>
          <w:rFonts w:hint="eastAsia" w:cs="Times New Roman"/>
          <w:i w:val="0"/>
          <w:iCs w:val="0"/>
          <w:color w:val="auto"/>
          <w:sz w:val="24"/>
          <w:u w:val="single"/>
          <w:lang w:val="en-US" w:eastAsia="zh-CN"/>
        </w:rPr>
        <w:t>1-6</w:t>
      </w:r>
      <w:r>
        <w:rPr>
          <w:rFonts w:hint="default" w:ascii="Times New Roman" w:hAnsi="Times New Roman" w:cs="Times New Roman"/>
          <w:i w:val="0"/>
          <w:iCs w:val="0"/>
          <w:color w:val="auto"/>
          <w:sz w:val="24"/>
          <w:u w:val="single"/>
        </w:rPr>
        <w:t>，供热工程规划图见</w:t>
      </w:r>
      <w:r>
        <w:rPr>
          <w:rFonts w:hint="eastAsia" w:cs="Times New Roman"/>
          <w:i w:val="0"/>
          <w:iCs w:val="0"/>
          <w:color w:val="auto"/>
          <w:sz w:val="24"/>
          <w:u w:val="single"/>
          <w:lang w:val="en-US" w:eastAsia="zh-CN"/>
        </w:rPr>
        <w:t>附</w:t>
      </w:r>
      <w:r>
        <w:rPr>
          <w:rFonts w:hint="default" w:ascii="Times New Roman" w:hAnsi="Times New Roman" w:cs="Times New Roman"/>
          <w:i w:val="0"/>
          <w:iCs w:val="0"/>
          <w:color w:val="auto"/>
          <w:sz w:val="24"/>
          <w:u w:val="single"/>
        </w:rPr>
        <w:t>图</w:t>
      </w:r>
      <w:r>
        <w:rPr>
          <w:rFonts w:hint="eastAsia" w:cs="Times New Roman"/>
          <w:i w:val="0"/>
          <w:iCs w:val="0"/>
          <w:color w:val="auto"/>
          <w:sz w:val="24"/>
          <w:u w:val="single"/>
          <w:lang w:val="en-US" w:eastAsia="zh-CN"/>
        </w:rPr>
        <w:t>1-4</w:t>
      </w:r>
      <w:r>
        <w:rPr>
          <w:rFonts w:hint="default" w:ascii="Times New Roman" w:hAnsi="Times New Roman" w:cs="Times New Roman"/>
          <w:i w:val="0"/>
          <w:iCs w:val="0"/>
          <w:color w:val="auto"/>
          <w:sz w:val="24"/>
          <w:u w:val="single"/>
        </w:rPr>
        <w:t>。</w:t>
      </w: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rFonts w:hint="default" w:ascii="Times New Roman" w:hAnsi="Times New Roman" w:cs="Times New Roman"/>
          <w:b/>
          <w:bCs/>
          <w:i w:val="0"/>
          <w:iCs w:val="0"/>
          <w:color w:val="auto"/>
          <w:sz w:val="24"/>
          <w:u w:val="single"/>
        </w:rPr>
      </w:pPr>
      <w:r>
        <w:rPr>
          <w:rFonts w:hint="default" w:ascii="Times New Roman" w:hAnsi="Times New Roman" w:cs="Times New Roman"/>
          <w:b/>
          <w:bCs/>
          <w:i w:val="0"/>
          <w:iCs w:val="0"/>
          <w:color w:val="auto"/>
          <w:sz w:val="24"/>
          <w:u w:val="single"/>
        </w:rPr>
        <w:t>表</w:t>
      </w:r>
      <w:r>
        <w:rPr>
          <w:rFonts w:hint="eastAsia" w:cs="Times New Roman"/>
          <w:b/>
          <w:bCs/>
          <w:i w:val="0"/>
          <w:iCs w:val="0"/>
          <w:color w:val="auto"/>
          <w:sz w:val="24"/>
          <w:u w:val="single"/>
          <w:lang w:val="en-US" w:eastAsia="zh-CN"/>
        </w:rPr>
        <w:t>1-6</w:t>
      </w:r>
      <w:r>
        <w:rPr>
          <w:rFonts w:hint="default" w:ascii="Times New Roman" w:hAnsi="Times New Roman" w:cs="Times New Roman"/>
          <w:b/>
          <w:bCs/>
          <w:i w:val="0"/>
          <w:iCs w:val="0"/>
          <w:color w:val="auto"/>
          <w:sz w:val="24"/>
          <w:u w:val="single"/>
        </w:rPr>
        <w:t xml:space="preserve">  开发区供热工程规划   单位：MW</w:t>
      </w:r>
    </w:p>
    <w:tbl>
      <w:tblPr>
        <w:tblStyle w:val="5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796"/>
        <w:gridCol w:w="906"/>
        <w:gridCol w:w="772"/>
        <w:gridCol w:w="861"/>
        <w:gridCol w:w="906"/>
        <w:gridCol w:w="713"/>
        <w:gridCol w:w="814"/>
        <w:gridCol w:w="8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9" w:type="pct"/>
            <w:vMerge w:val="restar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片区</w:t>
            </w:r>
          </w:p>
        </w:tc>
        <w:tc>
          <w:tcPr>
            <w:tcW w:w="998" w:type="pct"/>
            <w:vMerge w:val="restar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供热工程</w:t>
            </w:r>
          </w:p>
        </w:tc>
        <w:tc>
          <w:tcPr>
            <w:tcW w:w="503" w:type="pct"/>
            <w:vMerge w:val="restar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2019年总容量</w:t>
            </w:r>
          </w:p>
        </w:tc>
        <w:tc>
          <w:tcPr>
            <w:tcW w:w="907" w:type="pct"/>
            <w:gridSpan w:val="2"/>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规划分配给江源区总容量</w:t>
            </w:r>
          </w:p>
        </w:tc>
        <w:tc>
          <w:tcPr>
            <w:tcW w:w="899" w:type="pct"/>
            <w:gridSpan w:val="2"/>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规划分配给开发区容量</w:t>
            </w:r>
          </w:p>
        </w:tc>
        <w:tc>
          <w:tcPr>
            <w:tcW w:w="922" w:type="pct"/>
            <w:gridSpan w:val="2"/>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建设性质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9" w:type="pct"/>
            <w:vMerge w:val="continue"/>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p>
        </w:tc>
        <w:tc>
          <w:tcPr>
            <w:tcW w:w="998" w:type="pct"/>
            <w:vMerge w:val="continue"/>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p>
        </w:tc>
        <w:tc>
          <w:tcPr>
            <w:tcW w:w="503" w:type="pct"/>
            <w:vMerge w:val="continue"/>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p>
        </w:tc>
        <w:tc>
          <w:tcPr>
            <w:tcW w:w="429"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2025</w:t>
            </w:r>
          </w:p>
        </w:tc>
        <w:tc>
          <w:tcPr>
            <w:tcW w:w="478"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2035</w:t>
            </w:r>
          </w:p>
        </w:tc>
        <w:tc>
          <w:tcPr>
            <w:tcW w:w="857" w:type="dxa"/>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2025</w:t>
            </w:r>
          </w:p>
        </w:tc>
        <w:tc>
          <w:tcPr>
            <w:tcW w:w="675" w:type="dxa"/>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2035</w:t>
            </w:r>
          </w:p>
        </w:tc>
        <w:tc>
          <w:tcPr>
            <w:tcW w:w="452"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近期</w:t>
            </w:r>
          </w:p>
        </w:tc>
        <w:tc>
          <w:tcPr>
            <w:tcW w:w="470"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远期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9" w:type="pct"/>
            <w:vMerge w:val="restar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江源片区</w:t>
            </w:r>
          </w:p>
        </w:tc>
        <w:tc>
          <w:tcPr>
            <w:tcW w:w="998"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江源区欣城供热锅炉房</w:t>
            </w:r>
          </w:p>
        </w:tc>
        <w:tc>
          <w:tcPr>
            <w:tcW w:w="503" w:type="pct"/>
            <w:tcBorders>
              <w:tl2br w:val="nil"/>
              <w:tr2bl w:val="nil"/>
            </w:tcBorders>
            <w:noWrap w:val="0"/>
            <w:vAlign w:val="center"/>
          </w:tcPr>
          <w:p>
            <w:pPr>
              <w:pStyle w:val="419"/>
              <w:spacing w:line="240" w:lineRule="auto"/>
              <w:ind w:firstLine="0" w:firstLineChars="0"/>
              <w:jc w:val="center"/>
              <w:rPr>
                <w:rFonts w:hint="default" w:ascii="Times New Roman" w:hAnsi="Times New Roman" w:eastAsia="宋体" w:cs="Times New Roman"/>
                <w:i w:val="0"/>
                <w:iCs w:val="0"/>
                <w:color w:val="auto"/>
                <w:sz w:val="21"/>
                <w:szCs w:val="21"/>
                <w:u w:val="single"/>
              </w:rPr>
            </w:pPr>
            <w:r>
              <w:rPr>
                <w:rFonts w:hint="default" w:ascii="Times New Roman" w:hAnsi="Times New Roman" w:eastAsia="宋体" w:cs="Times New Roman"/>
                <w:i w:val="0"/>
                <w:iCs w:val="0"/>
                <w:color w:val="auto"/>
                <w:sz w:val="21"/>
                <w:szCs w:val="21"/>
                <w:u w:val="single"/>
              </w:rPr>
              <w:t>182</w:t>
            </w:r>
          </w:p>
        </w:tc>
        <w:tc>
          <w:tcPr>
            <w:tcW w:w="429" w:type="pct"/>
            <w:tcBorders>
              <w:tl2br w:val="nil"/>
              <w:tr2bl w:val="nil"/>
            </w:tcBorders>
            <w:noWrap w:val="0"/>
            <w:vAlign w:val="center"/>
          </w:tcPr>
          <w:p>
            <w:pPr>
              <w:pStyle w:val="419"/>
              <w:spacing w:line="240" w:lineRule="auto"/>
              <w:ind w:firstLine="0" w:firstLineChars="0"/>
              <w:jc w:val="center"/>
              <w:rPr>
                <w:rFonts w:hint="default" w:ascii="Times New Roman" w:hAnsi="Times New Roman" w:eastAsia="宋体" w:cs="Times New Roman"/>
                <w:i w:val="0"/>
                <w:iCs w:val="0"/>
                <w:color w:val="auto"/>
                <w:sz w:val="21"/>
                <w:szCs w:val="21"/>
                <w:u w:val="single"/>
              </w:rPr>
            </w:pPr>
            <w:r>
              <w:rPr>
                <w:rFonts w:hint="default" w:ascii="Times New Roman" w:hAnsi="Times New Roman" w:eastAsia="宋体" w:cs="Times New Roman"/>
                <w:i w:val="0"/>
                <w:iCs w:val="0"/>
                <w:color w:val="auto"/>
                <w:sz w:val="21"/>
                <w:szCs w:val="21"/>
                <w:u w:val="single"/>
              </w:rPr>
              <w:t>182</w:t>
            </w:r>
          </w:p>
        </w:tc>
        <w:tc>
          <w:tcPr>
            <w:tcW w:w="478" w:type="pct"/>
            <w:tcBorders>
              <w:tl2br w:val="nil"/>
              <w:tr2bl w:val="nil"/>
            </w:tcBorders>
            <w:noWrap w:val="0"/>
            <w:vAlign w:val="center"/>
          </w:tcPr>
          <w:p>
            <w:pPr>
              <w:pStyle w:val="419"/>
              <w:spacing w:line="240" w:lineRule="auto"/>
              <w:ind w:firstLine="0" w:firstLineChars="0"/>
              <w:jc w:val="center"/>
              <w:rPr>
                <w:rFonts w:hint="default" w:ascii="Times New Roman" w:hAnsi="Times New Roman" w:eastAsia="宋体" w:cs="Times New Roman"/>
                <w:i w:val="0"/>
                <w:iCs w:val="0"/>
                <w:color w:val="auto"/>
                <w:sz w:val="21"/>
                <w:szCs w:val="21"/>
                <w:u w:val="single"/>
              </w:rPr>
            </w:pPr>
            <w:r>
              <w:rPr>
                <w:rFonts w:hint="default" w:ascii="Times New Roman" w:hAnsi="Times New Roman" w:eastAsia="宋体" w:cs="Times New Roman"/>
                <w:i w:val="0"/>
                <w:iCs w:val="0"/>
                <w:color w:val="auto"/>
                <w:sz w:val="21"/>
                <w:szCs w:val="21"/>
                <w:u w:val="single"/>
              </w:rPr>
              <w:t>182</w:t>
            </w:r>
          </w:p>
        </w:tc>
        <w:tc>
          <w:tcPr>
            <w:tcW w:w="503" w:type="pct"/>
            <w:vMerge w:val="restart"/>
            <w:tcBorders>
              <w:tl2br w:val="nil"/>
              <w:tr2bl w:val="nil"/>
            </w:tcBorders>
            <w:noWrap w:val="0"/>
            <w:vAlign w:val="center"/>
          </w:tcPr>
          <w:p>
            <w:pPr>
              <w:jc w:val="center"/>
              <w:rPr>
                <w:rFonts w:hint="default" w:ascii="Times New Roman" w:hAnsi="Times New Roman" w:cs="Times New Roman"/>
                <w:i w:val="0"/>
                <w:iCs w:val="0"/>
                <w:color w:val="auto"/>
                <w:kern w:val="0"/>
                <w:szCs w:val="21"/>
                <w:u w:val="single"/>
              </w:rPr>
            </w:pPr>
            <w:r>
              <w:rPr>
                <w:rFonts w:hint="default" w:ascii="Times New Roman" w:hAnsi="Times New Roman" w:cs="Times New Roman"/>
                <w:i w:val="0"/>
                <w:iCs w:val="0"/>
                <w:color w:val="auto"/>
                <w:szCs w:val="21"/>
                <w:u w:val="single"/>
              </w:rPr>
              <w:t>105</w:t>
            </w:r>
          </w:p>
        </w:tc>
        <w:tc>
          <w:tcPr>
            <w:tcW w:w="396" w:type="pct"/>
            <w:vMerge w:val="restart"/>
            <w:tcBorders>
              <w:tl2br w:val="nil"/>
              <w:tr2bl w:val="nil"/>
            </w:tcBorders>
            <w:noWrap w:val="0"/>
            <w:vAlign w:val="center"/>
          </w:tcPr>
          <w:p>
            <w:pPr>
              <w:jc w:val="center"/>
              <w:rPr>
                <w:rFonts w:hint="default" w:ascii="Times New Roman" w:hAnsi="Times New Roman" w:cs="Times New Roman"/>
                <w:i w:val="0"/>
                <w:iCs w:val="0"/>
                <w:color w:val="auto"/>
                <w:kern w:val="0"/>
                <w:szCs w:val="21"/>
                <w:u w:val="single"/>
              </w:rPr>
            </w:pPr>
            <w:r>
              <w:rPr>
                <w:rFonts w:hint="default" w:ascii="Times New Roman" w:hAnsi="Times New Roman" w:cs="Times New Roman"/>
                <w:i w:val="0"/>
                <w:iCs w:val="0"/>
                <w:color w:val="auto"/>
                <w:kern w:val="0"/>
                <w:szCs w:val="21"/>
                <w:u w:val="single"/>
              </w:rPr>
              <w:t>130</w:t>
            </w:r>
          </w:p>
        </w:tc>
        <w:tc>
          <w:tcPr>
            <w:tcW w:w="452"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保留</w:t>
            </w:r>
          </w:p>
        </w:tc>
        <w:tc>
          <w:tcPr>
            <w:tcW w:w="470"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保留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9" w:type="pct"/>
            <w:vMerge w:val="continue"/>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p>
        </w:tc>
        <w:tc>
          <w:tcPr>
            <w:tcW w:w="998"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国家电投白山热电有限责任公司</w:t>
            </w:r>
          </w:p>
        </w:tc>
        <w:tc>
          <w:tcPr>
            <w:tcW w:w="503" w:type="pct"/>
            <w:tcBorders>
              <w:tl2br w:val="nil"/>
              <w:tr2bl w:val="nil"/>
            </w:tcBorders>
            <w:noWrap w:val="0"/>
            <w:vAlign w:val="center"/>
          </w:tcPr>
          <w:p>
            <w:pPr>
              <w:pStyle w:val="419"/>
              <w:spacing w:line="240" w:lineRule="auto"/>
              <w:ind w:firstLine="0" w:firstLineChars="0"/>
              <w:jc w:val="center"/>
              <w:rPr>
                <w:rFonts w:hint="default" w:ascii="Times New Roman" w:hAnsi="Times New Roman" w:eastAsia="宋体" w:cs="Times New Roman"/>
                <w:i w:val="0"/>
                <w:iCs w:val="0"/>
                <w:color w:val="auto"/>
                <w:sz w:val="21"/>
                <w:szCs w:val="21"/>
                <w:u w:val="single"/>
              </w:rPr>
            </w:pPr>
            <w:r>
              <w:rPr>
                <w:rFonts w:hint="default" w:ascii="Times New Roman" w:hAnsi="Times New Roman" w:eastAsia="宋体" w:cs="Times New Roman"/>
                <w:i w:val="0"/>
                <w:iCs w:val="0"/>
                <w:color w:val="auto"/>
                <w:sz w:val="21"/>
                <w:szCs w:val="21"/>
                <w:u w:val="single"/>
              </w:rPr>
              <w:t>660</w:t>
            </w:r>
          </w:p>
        </w:tc>
        <w:tc>
          <w:tcPr>
            <w:tcW w:w="429" w:type="pct"/>
            <w:tcBorders>
              <w:tl2br w:val="nil"/>
              <w:tr2bl w:val="nil"/>
            </w:tcBorders>
            <w:noWrap w:val="0"/>
            <w:vAlign w:val="center"/>
          </w:tcPr>
          <w:p>
            <w:pPr>
              <w:pStyle w:val="419"/>
              <w:spacing w:line="240" w:lineRule="auto"/>
              <w:ind w:firstLine="0" w:firstLineChars="0"/>
              <w:jc w:val="center"/>
              <w:rPr>
                <w:rFonts w:hint="default" w:ascii="Times New Roman" w:hAnsi="Times New Roman" w:eastAsia="宋体" w:cs="Times New Roman"/>
                <w:i w:val="0"/>
                <w:iCs w:val="0"/>
                <w:color w:val="auto"/>
                <w:sz w:val="21"/>
                <w:szCs w:val="21"/>
                <w:u w:val="single"/>
              </w:rPr>
            </w:pPr>
            <w:r>
              <w:rPr>
                <w:rFonts w:hint="default" w:ascii="Times New Roman" w:hAnsi="Times New Roman" w:eastAsia="宋体" w:cs="Times New Roman"/>
                <w:i w:val="0"/>
                <w:iCs w:val="0"/>
                <w:color w:val="auto"/>
                <w:sz w:val="21"/>
                <w:szCs w:val="21"/>
                <w:u w:val="single"/>
              </w:rPr>
              <w:t>210</w:t>
            </w:r>
          </w:p>
        </w:tc>
        <w:tc>
          <w:tcPr>
            <w:tcW w:w="478" w:type="pct"/>
            <w:tcBorders>
              <w:tl2br w:val="nil"/>
              <w:tr2bl w:val="nil"/>
            </w:tcBorders>
            <w:noWrap w:val="0"/>
            <w:vAlign w:val="center"/>
          </w:tcPr>
          <w:p>
            <w:pPr>
              <w:pStyle w:val="419"/>
              <w:spacing w:line="240" w:lineRule="auto"/>
              <w:ind w:firstLine="0" w:firstLineChars="0"/>
              <w:jc w:val="center"/>
              <w:rPr>
                <w:rFonts w:hint="default" w:ascii="Times New Roman" w:hAnsi="Times New Roman" w:eastAsia="宋体" w:cs="Times New Roman"/>
                <w:i w:val="0"/>
                <w:iCs w:val="0"/>
                <w:color w:val="auto"/>
                <w:sz w:val="21"/>
                <w:szCs w:val="21"/>
                <w:u w:val="single"/>
              </w:rPr>
            </w:pPr>
            <w:r>
              <w:rPr>
                <w:rFonts w:hint="default" w:ascii="Times New Roman" w:hAnsi="Times New Roman" w:eastAsia="宋体" w:cs="Times New Roman"/>
                <w:i w:val="0"/>
                <w:iCs w:val="0"/>
                <w:color w:val="auto"/>
                <w:sz w:val="21"/>
                <w:szCs w:val="21"/>
                <w:u w:val="single"/>
              </w:rPr>
              <w:t>305</w:t>
            </w:r>
          </w:p>
        </w:tc>
        <w:tc>
          <w:tcPr>
            <w:tcW w:w="503" w:type="pct"/>
            <w:vMerge w:val="continue"/>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p>
        </w:tc>
        <w:tc>
          <w:tcPr>
            <w:tcW w:w="396" w:type="pct"/>
            <w:vMerge w:val="continue"/>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p>
        </w:tc>
        <w:tc>
          <w:tcPr>
            <w:tcW w:w="452"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保留</w:t>
            </w:r>
          </w:p>
        </w:tc>
        <w:tc>
          <w:tcPr>
            <w:tcW w:w="470"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保留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9" w:type="pct"/>
            <w:vMerge w:val="continue"/>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p>
        </w:tc>
        <w:tc>
          <w:tcPr>
            <w:tcW w:w="998"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大台子蒸汽站</w:t>
            </w:r>
          </w:p>
        </w:tc>
        <w:tc>
          <w:tcPr>
            <w:tcW w:w="503"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eastAsia="宋体" w:cs="Times New Roman"/>
                <w:i w:val="0"/>
                <w:iCs w:val="0"/>
                <w:color w:val="auto"/>
                <w:sz w:val="21"/>
                <w:szCs w:val="21"/>
                <w:u w:val="single"/>
              </w:rPr>
              <w:t>--</w:t>
            </w:r>
          </w:p>
        </w:tc>
        <w:tc>
          <w:tcPr>
            <w:tcW w:w="429"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40</w:t>
            </w:r>
          </w:p>
        </w:tc>
        <w:tc>
          <w:tcPr>
            <w:tcW w:w="478"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60</w:t>
            </w:r>
          </w:p>
        </w:tc>
        <w:tc>
          <w:tcPr>
            <w:tcW w:w="503"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40</w:t>
            </w:r>
          </w:p>
        </w:tc>
        <w:tc>
          <w:tcPr>
            <w:tcW w:w="396"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60</w:t>
            </w:r>
          </w:p>
        </w:tc>
        <w:tc>
          <w:tcPr>
            <w:tcW w:w="452"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新建</w:t>
            </w:r>
          </w:p>
        </w:tc>
        <w:tc>
          <w:tcPr>
            <w:tcW w:w="470"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扩建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67" w:type="pct"/>
            <w:gridSpan w:val="2"/>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小计</w:t>
            </w:r>
          </w:p>
        </w:tc>
        <w:tc>
          <w:tcPr>
            <w:tcW w:w="503" w:type="pct"/>
            <w:tcBorders>
              <w:tl2br w:val="nil"/>
              <w:tr2bl w:val="nil"/>
            </w:tcBorders>
            <w:noWrap w:val="0"/>
            <w:vAlign w:val="center"/>
          </w:tcPr>
          <w:p>
            <w:pPr>
              <w:pStyle w:val="419"/>
              <w:spacing w:line="240" w:lineRule="auto"/>
              <w:ind w:firstLine="0" w:firstLineChars="0"/>
              <w:jc w:val="center"/>
              <w:rPr>
                <w:rFonts w:hint="default" w:ascii="Times New Roman" w:hAnsi="Times New Roman" w:eastAsia="宋体" w:cs="Times New Roman"/>
                <w:i w:val="0"/>
                <w:iCs w:val="0"/>
                <w:color w:val="auto"/>
                <w:sz w:val="21"/>
                <w:szCs w:val="21"/>
                <w:u w:val="single"/>
              </w:rPr>
            </w:pPr>
            <w:r>
              <w:rPr>
                <w:rFonts w:hint="default" w:ascii="Times New Roman" w:hAnsi="Times New Roman" w:eastAsia="宋体" w:cs="Times New Roman"/>
                <w:i w:val="0"/>
                <w:iCs w:val="0"/>
                <w:color w:val="auto"/>
                <w:sz w:val="21"/>
                <w:szCs w:val="21"/>
                <w:u w:val="single"/>
              </w:rPr>
              <w:t>392</w:t>
            </w:r>
          </w:p>
        </w:tc>
        <w:tc>
          <w:tcPr>
            <w:tcW w:w="429"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432</w:t>
            </w:r>
          </w:p>
        </w:tc>
        <w:tc>
          <w:tcPr>
            <w:tcW w:w="478"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547</w:t>
            </w:r>
          </w:p>
        </w:tc>
        <w:tc>
          <w:tcPr>
            <w:tcW w:w="503"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145</w:t>
            </w:r>
          </w:p>
        </w:tc>
        <w:tc>
          <w:tcPr>
            <w:tcW w:w="396"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190</w:t>
            </w:r>
          </w:p>
        </w:tc>
        <w:tc>
          <w:tcPr>
            <w:tcW w:w="452" w:type="pct"/>
            <w:tcBorders>
              <w:tl2br w:val="nil"/>
              <w:tr2bl w:val="nil"/>
            </w:tcBorders>
            <w:noWrap w:val="0"/>
            <w:vAlign w:val="center"/>
          </w:tcPr>
          <w:p>
            <w:pPr>
              <w:jc w:val="center"/>
              <w:rPr>
                <w:rFonts w:hint="default" w:ascii="Times New Roman" w:hAnsi="Times New Roman" w:cs="Times New Roman"/>
                <w:i w:val="0"/>
                <w:iCs w:val="0"/>
                <w:color w:val="auto"/>
                <w:szCs w:val="21"/>
                <w:u w:val="single"/>
              </w:rPr>
            </w:pPr>
            <w:r>
              <w:rPr>
                <w:rFonts w:hint="default" w:ascii="Times New Roman" w:hAnsi="Times New Roman" w:eastAsia="宋体" w:cs="Times New Roman"/>
                <w:i w:val="0"/>
                <w:iCs w:val="0"/>
                <w:color w:val="auto"/>
                <w:kern w:val="0"/>
                <w:szCs w:val="21"/>
                <w:u w:val="single"/>
              </w:rPr>
              <w:t>--</w:t>
            </w:r>
          </w:p>
        </w:tc>
        <w:tc>
          <w:tcPr>
            <w:tcW w:w="470" w:type="pct"/>
            <w:tcBorders>
              <w:tl2br w:val="nil"/>
              <w:tr2bl w:val="nil"/>
            </w:tcBorders>
            <w:noWrap w:val="0"/>
            <w:vAlign w:val="center"/>
          </w:tcPr>
          <w:p>
            <w:pPr>
              <w:jc w:val="center"/>
              <w:rPr>
                <w:rFonts w:hint="default" w:ascii="Times New Roman" w:hAnsi="Times New Roman" w:cs="Times New Roman"/>
                <w:i w:val="0"/>
                <w:iCs w:val="0"/>
                <w:color w:val="auto"/>
                <w:szCs w:val="21"/>
                <w:u w:val="single"/>
              </w:rPr>
            </w:pPr>
            <w:r>
              <w:rPr>
                <w:rFonts w:hint="default" w:ascii="Times New Roman" w:hAnsi="Times New Roman" w:eastAsia="宋体" w:cs="Times New Roman"/>
                <w:i w:val="0"/>
                <w:iCs w:val="0"/>
                <w:color w:val="auto"/>
                <w:kern w:val="0"/>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9"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石人镇片区</w:t>
            </w:r>
          </w:p>
        </w:tc>
        <w:tc>
          <w:tcPr>
            <w:tcW w:w="998"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石人镇锅炉房</w:t>
            </w:r>
          </w:p>
        </w:tc>
        <w:tc>
          <w:tcPr>
            <w:tcW w:w="503"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21</w:t>
            </w:r>
          </w:p>
        </w:tc>
        <w:tc>
          <w:tcPr>
            <w:tcW w:w="429"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100</w:t>
            </w:r>
          </w:p>
        </w:tc>
        <w:tc>
          <w:tcPr>
            <w:tcW w:w="478"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150</w:t>
            </w:r>
          </w:p>
        </w:tc>
        <w:tc>
          <w:tcPr>
            <w:tcW w:w="503"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100</w:t>
            </w:r>
          </w:p>
        </w:tc>
        <w:tc>
          <w:tcPr>
            <w:tcW w:w="396"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150</w:t>
            </w:r>
          </w:p>
        </w:tc>
        <w:tc>
          <w:tcPr>
            <w:tcW w:w="452"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扩建</w:t>
            </w:r>
          </w:p>
        </w:tc>
        <w:tc>
          <w:tcPr>
            <w:tcW w:w="470"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扩建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67" w:type="pct"/>
            <w:gridSpan w:val="2"/>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合计</w:t>
            </w:r>
          </w:p>
        </w:tc>
        <w:tc>
          <w:tcPr>
            <w:tcW w:w="503"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413</w:t>
            </w:r>
          </w:p>
        </w:tc>
        <w:tc>
          <w:tcPr>
            <w:tcW w:w="429"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532</w:t>
            </w:r>
          </w:p>
        </w:tc>
        <w:tc>
          <w:tcPr>
            <w:tcW w:w="478"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697</w:t>
            </w:r>
          </w:p>
        </w:tc>
        <w:tc>
          <w:tcPr>
            <w:tcW w:w="503"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245</w:t>
            </w:r>
          </w:p>
        </w:tc>
        <w:tc>
          <w:tcPr>
            <w:tcW w:w="396" w:type="pct"/>
            <w:tcBorders>
              <w:tl2br w:val="nil"/>
              <w:tr2bl w:val="nil"/>
            </w:tcBorders>
            <w:noWrap w:val="0"/>
            <w:vAlign w:val="center"/>
          </w:tcPr>
          <w:p>
            <w:pPr>
              <w:pStyle w:val="419"/>
              <w:spacing w:line="240" w:lineRule="auto"/>
              <w:ind w:firstLine="0" w:firstLineChars="0"/>
              <w:jc w:val="center"/>
              <w:rPr>
                <w:rFonts w:hint="default" w:ascii="Times New Roman" w:hAnsi="Times New Roman" w:cs="Times New Roman"/>
                <w:i w:val="0"/>
                <w:iCs w:val="0"/>
                <w:color w:val="auto"/>
                <w:sz w:val="21"/>
                <w:szCs w:val="21"/>
                <w:u w:val="single"/>
              </w:rPr>
            </w:pPr>
            <w:r>
              <w:rPr>
                <w:rFonts w:hint="default" w:ascii="Times New Roman" w:hAnsi="Times New Roman" w:cs="Times New Roman"/>
                <w:i w:val="0"/>
                <w:iCs w:val="0"/>
                <w:color w:val="auto"/>
                <w:sz w:val="21"/>
                <w:szCs w:val="21"/>
                <w:u w:val="single"/>
              </w:rPr>
              <w:t>340</w:t>
            </w:r>
          </w:p>
        </w:tc>
        <w:tc>
          <w:tcPr>
            <w:tcW w:w="452" w:type="pct"/>
            <w:tcBorders>
              <w:tl2br w:val="nil"/>
              <w:tr2bl w:val="nil"/>
            </w:tcBorders>
            <w:noWrap w:val="0"/>
            <w:vAlign w:val="center"/>
          </w:tcPr>
          <w:p>
            <w:pPr>
              <w:jc w:val="center"/>
              <w:rPr>
                <w:rFonts w:hint="default" w:ascii="Times New Roman" w:hAnsi="Times New Roman" w:cs="Times New Roman"/>
                <w:i w:val="0"/>
                <w:iCs w:val="0"/>
                <w:color w:val="auto"/>
                <w:szCs w:val="21"/>
                <w:u w:val="single"/>
              </w:rPr>
            </w:pPr>
            <w:r>
              <w:rPr>
                <w:rFonts w:hint="default" w:ascii="Times New Roman" w:hAnsi="Times New Roman" w:eastAsia="宋体" w:cs="Times New Roman"/>
                <w:i w:val="0"/>
                <w:iCs w:val="0"/>
                <w:color w:val="auto"/>
                <w:kern w:val="0"/>
                <w:szCs w:val="21"/>
                <w:u w:val="single"/>
              </w:rPr>
              <w:t>--</w:t>
            </w:r>
          </w:p>
        </w:tc>
        <w:tc>
          <w:tcPr>
            <w:tcW w:w="470" w:type="pct"/>
            <w:tcBorders>
              <w:tl2br w:val="nil"/>
              <w:tr2bl w:val="nil"/>
            </w:tcBorders>
            <w:noWrap w:val="0"/>
            <w:vAlign w:val="center"/>
          </w:tcPr>
          <w:p>
            <w:pPr>
              <w:jc w:val="center"/>
              <w:rPr>
                <w:rFonts w:hint="default" w:ascii="Times New Roman" w:hAnsi="Times New Roman" w:cs="Times New Roman"/>
                <w:i w:val="0"/>
                <w:iCs w:val="0"/>
                <w:color w:val="auto"/>
                <w:szCs w:val="21"/>
                <w:u w:val="single"/>
              </w:rPr>
            </w:pPr>
            <w:r>
              <w:rPr>
                <w:rFonts w:hint="default" w:ascii="Times New Roman" w:hAnsi="Times New Roman" w:eastAsia="宋体" w:cs="Times New Roman"/>
                <w:i w:val="0"/>
                <w:iCs w:val="0"/>
                <w:color w:val="auto"/>
                <w:kern w:val="0"/>
                <w:szCs w:val="21"/>
                <w:u w:val="single"/>
              </w:rPr>
              <w:t>--</w:t>
            </w:r>
          </w:p>
        </w:tc>
      </w:tr>
    </w:tbl>
    <w:p>
      <w:pPr>
        <w:spacing w:line="360" w:lineRule="auto"/>
        <w:ind w:firstLine="480" w:firstLineChars="200"/>
        <w:rPr>
          <w:rFonts w:hint="default" w:ascii="Times New Roman" w:hAnsi="Times New Roman" w:eastAsia="宋体" w:cs="Times New Roman"/>
          <w:i w:val="0"/>
          <w:iCs w:val="0"/>
          <w:color w:val="auto"/>
          <w:sz w:val="24"/>
          <w:u w:val="single"/>
        </w:rPr>
      </w:pPr>
      <w:r>
        <w:rPr>
          <w:rFonts w:hint="default" w:ascii="Times New Roman" w:hAnsi="Times New Roman" w:eastAsia="宋体" w:cs="Times New Roman"/>
          <w:i w:val="0"/>
          <w:iCs w:val="0"/>
          <w:color w:val="auto"/>
          <w:sz w:val="24"/>
          <w:u w:val="single"/>
        </w:rPr>
        <w:fldChar w:fldCharType="begin"/>
      </w:r>
      <w:r>
        <w:rPr>
          <w:rFonts w:hint="default" w:ascii="Times New Roman" w:hAnsi="Times New Roman" w:eastAsia="宋体" w:cs="Times New Roman"/>
          <w:i w:val="0"/>
          <w:iCs w:val="0"/>
          <w:color w:val="auto"/>
          <w:sz w:val="24"/>
          <w:u w:val="single"/>
        </w:rPr>
        <w:instrText xml:space="preserve"> = 5 \* GB3 \* MERGEFORMAT </w:instrText>
      </w:r>
      <w:r>
        <w:rPr>
          <w:rFonts w:hint="default" w:ascii="Times New Roman" w:hAnsi="Times New Roman" w:eastAsia="宋体" w:cs="Times New Roman"/>
          <w:i w:val="0"/>
          <w:iCs w:val="0"/>
          <w:color w:val="auto"/>
          <w:sz w:val="24"/>
          <w:u w:val="single"/>
        </w:rPr>
        <w:fldChar w:fldCharType="separate"/>
      </w:r>
      <w:r>
        <w:rPr>
          <w:rFonts w:hint="default" w:ascii="Times New Roman" w:hAnsi="Times New Roman" w:eastAsia="宋体" w:cs="Times New Roman"/>
          <w:i w:val="0"/>
          <w:iCs w:val="0"/>
          <w:color w:val="auto"/>
          <w:sz w:val="24"/>
          <w:u w:val="single"/>
        </w:rPr>
        <w:t>⑤</w:t>
      </w:r>
      <w:r>
        <w:rPr>
          <w:rFonts w:hint="default" w:ascii="Times New Roman" w:hAnsi="Times New Roman" w:eastAsia="宋体" w:cs="Times New Roman"/>
          <w:i w:val="0"/>
          <w:iCs w:val="0"/>
          <w:color w:val="auto"/>
          <w:sz w:val="24"/>
          <w:u w:val="single"/>
        </w:rPr>
        <w:fldChar w:fldCharType="end"/>
      </w:r>
      <w:r>
        <w:rPr>
          <w:rFonts w:hint="default" w:ascii="Times New Roman" w:hAnsi="Times New Roman" w:eastAsia="宋体" w:cs="Times New Roman"/>
          <w:i w:val="0"/>
          <w:iCs w:val="0"/>
          <w:color w:val="auto"/>
          <w:sz w:val="24"/>
          <w:u w:val="single"/>
        </w:rPr>
        <w:t>供电工程规划</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fldChar w:fldCharType="begin"/>
      </w:r>
      <w:r>
        <w:rPr>
          <w:rFonts w:hint="default" w:ascii="Times New Roman" w:hAnsi="Times New Roman" w:cs="Times New Roman"/>
          <w:i w:val="0"/>
          <w:iCs w:val="0"/>
          <w:color w:val="auto"/>
          <w:sz w:val="24"/>
          <w:u w:val="single"/>
        </w:rPr>
        <w:instrText xml:space="preserve"> = 1 \* ROMAN \* MERGEFORMAT </w:instrText>
      </w:r>
      <w:r>
        <w:rPr>
          <w:rFonts w:hint="default" w:ascii="Times New Roman" w:hAnsi="Times New Roman" w:cs="Times New Roman"/>
          <w:i w:val="0"/>
          <w:iCs w:val="0"/>
          <w:color w:val="auto"/>
          <w:sz w:val="24"/>
          <w:u w:val="single"/>
        </w:rPr>
        <w:fldChar w:fldCharType="separate"/>
      </w:r>
      <w:r>
        <w:rPr>
          <w:i w:val="0"/>
          <w:iCs w:val="0"/>
          <w:u w:val="single"/>
        </w:rPr>
        <w:t>I</w:t>
      </w:r>
      <w:r>
        <w:rPr>
          <w:rFonts w:hint="default" w:ascii="Times New Roman" w:hAnsi="Times New Roman" w:cs="Times New Roman"/>
          <w:i w:val="0"/>
          <w:iCs w:val="0"/>
          <w:color w:val="auto"/>
          <w:sz w:val="24"/>
          <w:u w:val="single"/>
        </w:rPr>
        <w:fldChar w:fldCharType="end"/>
      </w:r>
      <w:r>
        <w:rPr>
          <w:rFonts w:hint="eastAsia" w:ascii="Times New Roman" w:hAnsi="Times New Roman" w:cs="Times New Roman"/>
          <w:i w:val="0"/>
          <w:iCs w:val="0"/>
          <w:color w:val="auto"/>
          <w:sz w:val="24"/>
          <w:u w:val="single"/>
          <w:lang w:eastAsia="zh-CN"/>
        </w:rPr>
        <w:t>、</w:t>
      </w:r>
      <w:r>
        <w:rPr>
          <w:rFonts w:hint="default" w:ascii="Times New Roman" w:hAnsi="Times New Roman" w:cs="Times New Roman"/>
          <w:i w:val="0"/>
          <w:iCs w:val="0"/>
          <w:color w:val="auto"/>
          <w:sz w:val="24"/>
          <w:u w:val="single"/>
        </w:rPr>
        <w:t>用电负荷预测</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预测至2025年，江源片区最大计算负荷为170.7MW；石人镇片区最大计算负荷为27.5MW。</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预测至2035年，江源片区最大计算负荷为202.82MW；石人镇片区最大计算负荷为77.2MW。</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fldChar w:fldCharType="begin"/>
      </w:r>
      <w:r>
        <w:rPr>
          <w:rFonts w:hint="default" w:ascii="Times New Roman" w:hAnsi="Times New Roman" w:cs="Times New Roman"/>
          <w:i w:val="0"/>
          <w:iCs w:val="0"/>
          <w:color w:val="auto"/>
          <w:sz w:val="24"/>
          <w:u w:val="single"/>
        </w:rPr>
        <w:instrText xml:space="preserve"> = 2 \* ROMAN \* MERGEFORMAT </w:instrText>
      </w:r>
      <w:r>
        <w:rPr>
          <w:rFonts w:hint="default" w:ascii="Times New Roman" w:hAnsi="Times New Roman" w:cs="Times New Roman"/>
          <w:i w:val="0"/>
          <w:iCs w:val="0"/>
          <w:color w:val="auto"/>
          <w:sz w:val="24"/>
          <w:u w:val="single"/>
        </w:rPr>
        <w:fldChar w:fldCharType="separate"/>
      </w:r>
      <w:r>
        <w:rPr>
          <w:i w:val="0"/>
          <w:iCs w:val="0"/>
          <w:u w:val="single"/>
        </w:rPr>
        <w:t>II</w:t>
      </w:r>
      <w:r>
        <w:rPr>
          <w:rFonts w:hint="default" w:ascii="Times New Roman" w:hAnsi="Times New Roman" w:cs="Times New Roman"/>
          <w:i w:val="0"/>
          <w:iCs w:val="0"/>
          <w:color w:val="auto"/>
          <w:sz w:val="24"/>
          <w:u w:val="single"/>
        </w:rPr>
        <w:fldChar w:fldCharType="end"/>
      </w:r>
      <w:r>
        <w:rPr>
          <w:rFonts w:hint="eastAsia" w:ascii="Times New Roman" w:hAnsi="Times New Roman" w:cs="Times New Roman"/>
          <w:i w:val="0"/>
          <w:iCs w:val="0"/>
          <w:color w:val="auto"/>
          <w:sz w:val="24"/>
          <w:u w:val="single"/>
          <w:lang w:eastAsia="zh-CN"/>
        </w:rPr>
        <w:t>、</w:t>
      </w:r>
      <w:r>
        <w:rPr>
          <w:rFonts w:hint="default" w:ascii="Times New Roman" w:hAnsi="Times New Roman" w:cs="Times New Roman"/>
          <w:i w:val="0"/>
          <w:iCs w:val="0"/>
          <w:color w:val="auto"/>
          <w:sz w:val="24"/>
          <w:u w:val="single"/>
        </w:rPr>
        <w:t>电源规划</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江源片区远期扩容三岔子220kV变电所，主变压器总容量为1500MVA，容载比为1.9；分别扩容东风66kV变电所、林区66kV变电所和江源66kV变电所，新建大台子66KV变电所，66kV变电所主变压器总容量为1309MVA，容载比为1.95。</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石人镇片区扩容现状66KV变电所，并在片区北部新建66KV变电所一处，共同满足本片区的用电需求。</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fldChar w:fldCharType="begin"/>
      </w:r>
      <w:r>
        <w:rPr>
          <w:rFonts w:hint="default" w:ascii="Times New Roman" w:hAnsi="Times New Roman" w:cs="Times New Roman"/>
          <w:i w:val="0"/>
          <w:iCs w:val="0"/>
          <w:color w:val="auto"/>
          <w:sz w:val="24"/>
          <w:u w:val="single"/>
        </w:rPr>
        <w:instrText xml:space="preserve"> = 3 \* ROMAN \* MERGEFORMAT </w:instrText>
      </w:r>
      <w:r>
        <w:rPr>
          <w:rFonts w:hint="default" w:ascii="Times New Roman" w:hAnsi="Times New Roman" w:cs="Times New Roman"/>
          <w:i w:val="0"/>
          <w:iCs w:val="0"/>
          <w:color w:val="auto"/>
          <w:sz w:val="24"/>
          <w:u w:val="single"/>
        </w:rPr>
        <w:fldChar w:fldCharType="separate"/>
      </w:r>
      <w:r>
        <w:rPr>
          <w:i w:val="0"/>
          <w:iCs w:val="0"/>
          <w:u w:val="single"/>
        </w:rPr>
        <w:t>III</w:t>
      </w:r>
      <w:r>
        <w:rPr>
          <w:rFonts w:hint="default" w:ascii="Times New Roman" w:hAnsi="Times New Roman" w:cs="Times New Roman"/>
          <w:i w:val="0"/>
          <w:iCs w:val="0"/>
          <w:color w:val="auto"/>
          <w:sz w:val="24"/>
          <w:u w:val="single"/>
        </w:rPr>
        <w:fldChar w:fldCharType="end"/>
      </w:r>
      <w:r>
        <w:rPr>
          <w:rFonts w:hint="eastAsia" w:ascii="Times New Roman" w:hAnsi="Times New Roman" w:cs="Times New Roman"/>
          <w:i w:val="0"/>
          <w:iCs w:val="0"/>
          <w:color w:val="auto"/>
          <w:sz w:val="24"/>
          <w:u w:val="single"/>
          <w:lang w:eastAsia="zh-CN"/>
        </w:rPr>
        <w:t>、</w:t>
      </w:r>
      <w:r>
        <w:rPr>
          <w:rFonts w:hint="default" w:ascii="Times New Roman" w:hAnsi="Times New Roman" w:cs="Times New Roman"/>
          <w:i w:val="0"/>
          <w:iCs w:val="0"/>
          <w:color w:val="auto"/>
          <w:sz w:val="24"/>
          <w:u w:val="single"/>
        </w:rPr>
        <w:t>电网规划</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规划确定主供电源为66KV，以变电站为中心，逐步形成10KV环网供电方式，以提高供电可靠性，环网平时开环运行，10KV线路供电半径不大于2000米。</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10KV线路可以选择综合管廊或者直埋的电缆敷设方式，到规划期末现有的大部分10KV线路要入地下。</w:t>
      </w:r>
    </w:p>
    <w:p>
      <w:pPr>
        <w:spacing w:line="360" w:lineRule="auto"/>
        <w:ind w:firstLine="480" w:firstLineChars="200"/>
        <w:rPr>
          <w:rFonts w:hint="default" w:ascii="Times New Roman" w:hAnsi="Times New Roman" w:eastAsia="宋体" w:cs="Times New Roman"/>
          <w:i w:val="0"/>
          <w:iCs w:val="0"/>
          <w:color w:val="auto"/>
          <w:sz w:val="24"/>
          <w:u w:val="single"/>
        </w:rPr>
      </w:pPr>
      <w:r>
        <w:rPr>
          <w:rFonts w:hint="default" w:ascii="Times New Roman" w:hAnsi="Times New Roman" w:eastAsia="宋体" w:cs="Times New Roman"/>
          <w:i w:val="0"/>
          <w:iCs w:val="0"/>
          <w:color w:val="auto"/>
          <w:sz w:val="24"/>
          <w:u w:val="single"/>
        </w:rPr>
        <w:fldChar w:fldCharType="begin"/>
      </w:r>
      <w:r>
        <w:rPr>
          <w:rFonts w:hint="default" w:ascii="Times New Roman" w:hAnsi="Times New Roman" w:eastAsia="宋体" w:cs="Times New Roman"/>
          <w:i w:val="0"/>
          <w:iCs w:val="0"/>
          <w:color w:val="auto"/>
          <w:sz w:val="24"/>
          <w:u w:val="single"/>
        </w:rPr>
        <w:instrText xml:space="preserve"> = 6 \* GB3 \* MERGEFORMAT </w:instrText>
      </w:r>
      <w:r>
        <w:rPr>
          <w:rFonts w:hint="default" w:ascii="Times New Roman" w:hAnsi="Times New Roman" w:eastAsia="宋体" w:cs="Times New Roman"/>
          <w:i w:val="0"/>
          <w:iCs w:val="0"/>
          <w:color w:val="auto"/>
          <w:sz w:val="24"/>
          <w:u w:val="single"/>
        </w:rPr>
        <w:fldChar w:fldCharType="separate"/>
      </w:r>
      <w:r>
        <w:rPr>
          <w:rFonts w:hint="default" w:ascii="Times New Roman" w:hAnsi="Times New Roman" w:eastAsia="宋体" w:cs="Times New Roman"/>
          <w:i w:val="0"/>
          <w:iCs w:val="0"/>
          <w:color w:val="auto"/>
          <w:sz w:val="24"/>
          <w:u w:val="single"/>
        </w:rPr>
        <w:t>⑥</w:t>
      </w:r>
      <w:r>
        <w:rPr>
          <w:rFonts w:hint="default" w:ascii="Times New Roman" w:hAnsi="Times New Roman" w:eastAsia="宋体" w:cs="Times New Roman"/>
          <w:i w:val="0"/>
          <w:iCs w:val="0"/>
          <w:color w:val="auto"/>
          <w:sz w:val="24"/>
          <w:u w:val="single"/>
        </w:rPr>
        <w:fldChar w:fldCharType="end"/>
      </w:r>
      <w:r>
        <w:rPr>
          <w:rFonts w:hint="default" w:ascii="Times New Roman" w:hAnsi="Times New Roman" w:eastAsia="宋体" w:cs="Times New Roman"/>
          <w:i w:val="0"/>
          <w:iCs w:val="0"/>
          <w:color w:val="auto"/>
          <w:sz w:val="24"/>
          <w:u w:val="single"/>
        </w:rPr>
        <w:t>燃气工程规划</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fldChar w:fldCharType="begin"/>
      </w:r>
      <w:r>
        <w:rPr>
          <w:rFonts w:hint="default" w:ascii="Times New Roman" w:hAnsi="Times New Roman" w:cs="Times New Roman"/>
          <w:i w:val="0"/>
          <w:iCs w:val="0"/>
          <w:color w:val="auto"/>
          <w:sz w:val="24"/>
          <w:u w:val="single"/>
        </w:rPr>
        <w:instrText xml:space="preserve"> = 1 \* ROMAN \* MERGEFORMAT </w:instrText>
      </w:r>
      <w:r>
        <w:rPr>
          <w:rFonts w:hint="default" w:ascii="Times New Roman" w:hAnsi="Times New Roman" w:cs="Times New Roman"/>
          <w:i w:val="0"/>
          <w:iCs w:val="0"/>
          <w:color w:val="auto"/>
          <w:sz w:val="24"/>
          <w:u w:val="single"/>
        </w:rPr>
        <w:fldChar w:fldCharType="separate"/>
      </w:r>
      <w:r>
        <w:rPr>
          <w:i w:val="0"/>
          <w:iCs w:val="0"/>
          <w:u w:val="single"/>
        </w:rPr>
        <w:t>I</w:t>
      </w:r>
      <w:r>
        <w:rPr>
          <w:rFonts w:hint="default" w:ascii="Times New Roman" w:hAnsi="Times New Roman" w:cs="Times New Roman"/>
          <w:i w:val="0"/>
          <w:iCs w:val="0"/>
          <w:color w:val="auto"/>
          <w:sz w:val="24"/>
          <w:u w:val="single"/>
        </w:rPr>
        <w:fldChar w:fldCharType="end"/>
      </w:r>
      <w:r>
        <w:rPr>
          <w:rFonts w:hint="eastAsia" w:ascii="Times New Roman" w:hAnsi="Times New Roman" w:cs="Times New Roman"/>
          <w:i w:val="0"/>
          <w:iCs w:val="0"/>
          <w:color w:val="auto"/>
          <w:sz w:val="24"/>
          <w:u w:val="single"/>
          <w:lang w:eastAsia="zh-CN"/>
        </w:rPr>
        <w:t>、</w:t>
      </w:r>
      <w:r>
        <w:rPr>
          <w:rFonts w:hint="default" w:ascii="Times New Roman" w:hAnsi="Times New Roman" w:cs="Times New Roman"/>
          <w:i w:val="0"/>
          <w:iCs w:val="0"/>
          <w:color w:val="auto"/>
          <w:sz w:val="24"/>
          <w:u w:val="single"/>
        </w:rPr>
        <w:t>用气量预测</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至2025年，江源片区年均日用气量为2.72万m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sz w:val="24"/>
          <w:u w:val="single"/>
        </w:rPr>
        <w:t>；石人镇片区年均日用气量为1.25万m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sz w:val="24"/>
          <w:u w:val="single"/>
        </w:rPr>
        <w:t>。</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至2035年，江源片区年均日用气量为3.88万m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sz w:val="24"/>
          <w:u w:val="single"/>
        </w:rPr>
        <w:t>；石人镇片区年均日用气量为1.78万m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sz w:val="24"/>
          <w:u w:val="single"/>
        </w:rPr>
        <w:t>。</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fldChar w:fldCharType="begin"/>
      </w:r>
      <w:r>
        <w:rPr>
          <w:rFonts w:hint="default" w:ascii="Times New Roman" w:hAnsi="Times New Roman" w:cs="Times New Roman"/>
          <w:i w:val="0"/>
          <w:iCs w:val="0"/>
          <w:color w:val="auto"/>
          <w:sz w:val="24"/>
          <w:u w:val="single"/>
        </w:rPr>
        <w:instrText xml:space="preserve"> = 2 \* ROMAN \* MERGEFORMAT </w:instrText>
      </w:r>
      <w:r>
        <w:rPr>
          <w:rFonts w:hint="default" w:ascii="Times New Roman" w:hAnsi="Times New Roman" w:cs="Times New Roman"/>
          <w:i w:val="0"/>
          <w:iCs w:val="0"/>
          <w:color w:val="auto"/>
          <w:sz w:val="24"/>
          <w:u w:val="single"/>
        </w:rPr>
        <w:fldChar w:fldCharType="separate"/>
      </w:r>
      <w:r>
        <w:rPr>
          <w:i w:val="0"/>
          <w:iCs w:val="0"/>
          <w:u w:val="single"/>
        </w:rPr>
        <w:t>II</w:t>
      </w:r>
      <w:r>
        <w:rPr>
          <w:rFonts w:hint="default" w:ascii="Times New Roman" w:hAnsi="Times New Roman" w:cs="Times New Roman"/>
          <w:i w:val="0"/>
          <w:iCs w:val="0"/>
          <w:color w:val="auto"/>
          <w:sz w:val="24"/>
          <w:u w:val="single"/>
        </w:rPr>
        <w:fldChar w:fldCharType="end"/>
      </w:r>
      <w:r>
        <w:rPr>
          <w:rFonts w:hint="eastAsia" w:ascii="Times New Roman" w:hAnsi="Times New Roman" w:cs="Times New Roman"/>
          <w:i w:val="0"/>
          <w:iCs w:val="0"/>
          <w:color w:val="auto"/>
          <w:sz w:val="24"/>
          <w:u w:val="single"/>
          <w:lang w:eastAsia="zh-CN"/>
        </w:rPr>
        <w:t>、</w:t>
      </w:r>
      <w:r>
        <w:rPr>
          <w:rFonts w:hint="default" w:ascii="Times New Roman" w:hAnsi="Times New Roman" w:cs="Times New Roman"/>
          <w:i w:val="0"/>
          <w:iCs w:val="0"/>
          <w:color w:val="auto"/>
          <w:sz w:val="24"/>
          <w:u w:val="single"/>
        </w:rPr>
        <w:t>气源规划</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江源片区以天然气管道供气作为城市燃气的主要形式，以液化石油气瓶装气为补充，同时适度发展生物质能源满足管道供应外的居民用气需求。</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石人镇片区近期以液化石油气罐装气为主要气源，远期接引白山市中心城区天然气管道，作为燃气供气的主要气源。</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fldChar w:fldCharType="begin"/>
      </w:r>
      <w:r>
        <w:rPr>
          <w:rFonts w:hint="default" w:ascii="Times New Roman" w:hAnsi="Times New Roman" w:cs="Times New Roman"/>
          <w:i w:val="0"/>
          <w:iCs w:val="0"/>
          <w:color w:val="auto"/>
          <w:sz w:val="24"/>
          <w:u w:val="single"/>
        </w:rPr>
        <w:instrText xml:space="preserve"> = 3 \* ROMAN \* MERGEFORMAT </w:instrText>
      </w:r>
      <w:r>
        <w:rPr>
          <w:rFonts w:hint="default" w:ascii="Times New Roman" w:hAnsi="Times New Roman" w:cs="Times New Roman"/>
          <w:i w:val="0"/>
          <w:iCs w:val="0"/>
          <w:color w:val="auto"/>
          <w:sz w:val="24"/>
          <w:u w:val="single"/>
        </w:rPr>
        <w:fldChar w:fldCharType="separate"/>
      </w:r>
      <w:r>
        <w:rPr>
          <w:i w:val="0"/>
          <w:iCs w:val="0"/>
          <w:u w:val="single"/>
        </w:rPr>
        <w:t>III</w:t>
      </w:r>
      <w:r>
        <w:rPr>
          <w:rFonts w:hint="default" w:ascii="Times New Roman" w:hAnsi="Times New Roman" w:cs="Times New Roman"/>
          <w:i w:val="0"/>
          <w:iCs w:val="0"/>
          <w:color w:val="auto"/>
          <w:sz w:val="24"/>
          <w:u w:val="single"/>
        </w:rPr>
        <w:fldChar w:fldCharType="end"/>
      </w:r>
      <w:r>
        <w:rPr>
          <w:rFonts w:hint="eastAsia" w:ascii="Times New Roman" w:hAnsi="Times New Roman" w:cs="Times New Roman"/>
          <w:i w:val="0"/>
          <w:iCs w:val="0"/>
          <w:color w:val="auto"/>
          <w:sz w:val="24"/>
          <w:u w:val="single"/>
          <w:lang w:eastAsia="zh-CN"/>
        </w:rPr>
        <w:t>、</w:t>
      </w:r>
      <w:r>
        <w:rPr>
          <w:rFonts w:hint="default" w:ascii="Times New Roman" w:hAnsi="Times New Roman" w:cs="Times New Roman"/>
          <w:i w:val="0"/>
          <w:iCs w:val="0"/>
          <w:color w:val="auto"/>
          <w:sz w:val="24"/>
          <w:u w:val="single"/>
        </w:rPr>
        <w:t>燃气场站规划</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规划新建1座高压调压站，位于江源区大华66kV变电所南侧400m处，占地面积约为2.2hm</w:t>
      </w:r>
      <w:r>
        <w:rPr>
          <w:rFonts w:hint="default" w:ascii="Times New Roman" w:hAnsi="Times New Roman" w:cs="Times New Roman"/>
          <w:i w:val="0"/>
          <w:iCs w:val="0"/>
          <w:color w:val="auto"/>
          <w:sz w:val="24"/>
          <w:u w:val="single"/>
          <w:vertAlign w:val="superscript"/>
        </w:rPr>
        <w:t>2</w:t>
      </w:r>
      <w:r>
        <w:rPr>
          <w:rFonts w:hint="default" w:ascii="Times New Roman" w:hAnsi="Times New Roman" w:cs="Times New Roman"/>
          <w:i w:val="0"/>
          <w:iCs w:val="0"/>
          <w:color w:val="auto"/>
          <w:sz w:val="24"/>
          <w:u w:val="single"/>
        </w:rPr>
        <w:t>，设计日供气规模约为6万Nm</w:t>
      </w:r>
      <w:r>
        <w:rPr>
          <w:rFonts w:hint="default" w:ascii="Times New Roman" w:hAnsi="Times New Roman" w:cs="Times New Roman"/>
          <w:i w:val="0"/>
          <w:iCs w:val="0"/>
          <w:color w:val="auto"/>
          <w:sz w:val="24"/>
          <w:u w:val="single"/>
          <w:vertAlign w:val="superscript"/>
        </w:rPr>
        <w:t>3</w:t>
      </w:r>
      <w:r>
        <w:rPr>
          <w:rFonts w:hint="default" w:ascii="Times New Roman" w:hAnsi="Times New Roman" w:cs="Times New Roman"/>
          <w:i w:val="0"/>
          <w:iCs w:val="0"/>
          <w:color w:val="auto"/>
          <w:sz w:val="24"/>
          <w:u w:val="single"/>
        </w:rPr>
        <w:t>。同时保留现状江源区CNG减压站，作为白山市过渡、调峰和应急气源。</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fldChar w:fldCharType="begin"/>
      </w:r>
      <w:r>
        <w:rPr>
          <w:rFonts w:hint="default" w:ascii="Times New Roman" w:hAnsi="Times New Roman" w:cs="Times New Roman"/>
          <w:i w:val="0"/>
          <w:iCs w:val="0"/>
          <w:color w:val="auto"/>
          <w:sz w:val="24"/>
          <w:u w:val="single"/>
        </w:rPr>
        <w:instrText xml:space="preserve"> = 4 \* ROMAN \* MERGEFORMAT </w:instrText>
      </w:r>
      <w:r>
        <w:rPr>
          <w:rFonts w:hint="default" w:ascii="Times New Roman" w:hAnsi="Times New Roman" w:cs="Times New Roman"/>
          <w:i w:val="0"/>
          <w:iCs w:val="0"/>
          <w:color w:val="auto"/>
          <w:sz w:val="24"/>
          <w:u w:val="single"/>
        </w:rPr>
        <w:fldChar w:fldCharType="separate"/>
      </w:r>
      <w:r>
        <w:rPr>
          <w:i w:val="0"/>
          <w:iCs w:val="0"/>
          <w:u w:val="single"/>
        </w:rPr>
        <w:t>IV</w:t>
      </w:r>
      <w:r>
        <w:rPr>
          <w:rFonts w:hint="default" w:ascii="Times New Roman" w:hAnsi="Times New Roman" w:cs="Times New Roman"/>
          <w:i w:val="0"/>
          <w:iCs w:val="0"/>
          <w:color w:val="auto"/>
          <w:sz w:val="24"/>
          <w:u w:val="single"/>
        </w:rPr>
        <w:fldChar w:fldCharType="end"/>
      </w:r>
      <w:r>
        <w:rPr>
          <w:rFonts w:hint="eastAsia" w:ascii="Times New Roman" w:hAnsi="Times New Roman" w:cs="Times New Roman"/>
          <w:i w:val="0"/>
          <w:iCs w:val="0"/>
          <w:color w:val="auto"/>
          <w:sz w:val="24"/>
          <w:u w:val="single"/>
          <w:lang w:eastAsia="zh-CN"/>
        </w:rPr>
        <w:t>、</w:t>
      </w:r>
      <w:r>
        <w:rPr>
          <w:rFonts w:hint="default" w:ascii="Times New Roman" w:hAnsi="Times New Roman" w:cs="Times New Roman"/>
          <w:i w:val="0"/>
          <w:iCs w:val="0"/>
          <w:color w:val="auto"/>
          <w:sz w:val="24"/>
          <w:u w:val="single"/>
        </w:rPr>
        <w:t>管道敷设</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除穿越工程外，燃气管道均埋地敷设。管道埋深按《城镇燃气设计规范》有关要求执行。</w:t>
      </w:r>
    </w:p>
    <w:p>
      <w:pPr>
        <w:spacing w:line="360" w:lineRule="auto"/>
        <w:ind w:firstLine="480" w:firstLineChars="200"/>
        <w:rPr>
          <w:rFonts w:hint="default" w:ascii="Times New Roman" w:hAnsi="Times New Roman" w:cs="Times New Roman"/>
          <w:i w:val="0"/>
          <w:iCs w:val="0"/>
          <w:color w:val="auto"/>
          <w:sz w:val="24"/>
          <w:u w:val="single"/>
        </w:rPr>
      </w:pPr>
      <w:r>
        <w:rPr>
          <w:rFonts w:hint="default" w:ascii="Times New Roman" w:hAnsi="Times New Roman" w:cs="Times New Roman"/>
          <w:i w:val="0"/>
          <w:iCs w:val="0"/>
          <w:color w:val="auto"/>
          <w:sz w:val="24"/>
          <w:u w:val="single"/>
        </w:rPr>
        <w:t>穿越重要道路和劣质土壤地段，采用防护措施特殊处理。过河可根据实际情况，采用随桥敷设或穿越方式。</w:t>
      </w:r>
    </w:p>
    <w:p>
      <w:pPr>
        <w:pStyle w:val="24"/>
        <w:tabs>
          <w:tab w:val="left" w:pos="0"/>
          <w:tab w:val="left" w:pos="1260"/>
        </w:tabs>
        <w:spacing w:line="360" w:lineRule="auto"/>
        <w:ind w:firstLine="480"/>
        <w:jc w:val="left"/>
        <w:rPr>
          <w:i w:val="0"/>
          <w:iCs w:val="0"/>
        </w:rPr>
      </w:pPr>
      <w:r>
        <w:rPr>
          <w:rFonts w:hint="eastAsia"/>
          <w:i w:val="0"/>
          <w:iCs w:val="0"/>
        </w:rPr>
        <w:t>（4）</w:t>
      </w:r>
      <w:r>
        <w:rPr>
          <w:i w:val="0"/>
          <w:iCs w:val="0"/>
        </w:rPr>
        <w:t>开发区环境管控要求和生态环境准入清单</w:t>
      </w:r>
    </w:p>
    <w:p>
      <w:pPr>
        <w:pStyle w:val="24"/>
        <w:tabs>
          <w:tab w:val="left" w:pos="0"/>
          <w:tab w:val="left" w:pos="1260"/>
        </w:tabs>
        <w:spacing w:line="360" w:lineRule="auto"/>
        <w:ind w:firstLine="480"/>
        <w:jc w:val="left"/>
        <w:rPr>
          <w:i w:val="0"/>
          <w:iCs w:val="0"/>
        </w:rPr>
        <w:sectPr>
          <w:footerReference r:id="rId7" w:type="default"/>
          <w:pgSz w:w="11906" w:h="16838"/>
          <w:pgMar w:top="1418" w:right="1418" w:bottom="1418" w:left="1701"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i w:val="0"/>
          <w:iCs w:val="0"/>
        </w:rPr>
        <w:t>根据《吉林江源经济开发区总体规划（2020-2035年）环境影响报告书》，吉林江源经济开发区</w:t>
      </w:r>
      <w:r>
        <w:rPr>
          <w:rFonts w:hint="eastAsia"/>
          <w:i w:val="0"/>
          <w:iCs w:val="0"/>
        </w:rPr>
        <w:t>以大健康产业为主导产业，</w:t>
      </w:r>
      <w:r>
        <w:rPr>
          <w:i w:val="0"/>
          <w:iCs w:val="0"/>
        </w:rPr>
        <w:t>结合空间布局约束、污染物排放管控、环境功能区划等相关要求，环境管控要求和生态环境准入清单包含的内容见下表。根据《</w:t>
      </w:r>
      <w:r>
        <w:rPr>
          <w:rFonts w:hint="eastAsia"/>
          <w:i w:val="0"/>
          <w:iCs w:val="0"/>
        </w:rPr>
        <w:t>吉林江源经济开发区总体规划（2020-2035年）环境影响报告书</w:t>
      </w:r>
      <w:r>
        <w:rPr>
          <w:i w:val="0"/>
          <w:iCs w:val="0"/>
        </w:rPr>
        <w:t>》，该报告提出的</w:t>
      </w:r>
      <w:r>
        <w:rPr>
          <w:rFonts w:hint="eastAsia"/>
          <w:i w:val="0"/>
          <w:iCs w:val="0"/>
        </w:rPr>
        <w:t>生态</w:t>
      </w:r>
      <w:r>
        <w:rPr>
          <w:i w:val="0"/>
          <w:iCs w:val="0"/>
        </w:rPr>
        <w:t>环境准入清单，详见下表。</w:t>
      </w:r>
    </w:p>
    <w:p>
      <w:pPr>
        <w:pStyle w:val="92"/>
        <w:spacing w:before="0" w:after="0" w:line="240" w:lineRule="auto"/>
        <w:ind w:firstLine="482" w:firstLineChars="200"/>
        <w:jc w:val="center"/>
        <w:rPr>
          <w:rFonts w:hint="eastAsia" w:ascii="Times New Roman" w:eastAsia="宋体"/>
          <w:b/>
          <w:bCs/>
          <w:i w:val="0"/>
          <w:iCs w:val="0"/>
          <w:szCs w:val="24"/>
        </w:rPr>
      </w:pPr>
      <w:r>
        <w:rPr>
          <w:rFonts w:hint="eastAsia" w:ascii="Times New Roman" w:eastAsia="宋体"/>
          <w:b/>
          <w:bCs/>
          <w:i w:val="0"/>
          <w:iCs w:val="0"/>
          <w:szCs w:val="24"/>
        </w:rPr>
        <w:t>表1-</w:t>
      </w:r>
      <w:r>
        <w:rPr>
          <w:rFonts w:hint="eastAsia" w:ascii="Times New Roman" w:eastAsia="宋体"/>
          <w:b/>
          <w:bCs/>
          <w:i w:val="0"/>
          <w:iCs w:val="0"/>
          <w:szCs w:val="24"/>
          <w:lang w:val="en-US" w:eastAsia="zh-CN"/>
        </w:rPr>
        <w:t>7</w:t>
      </w:r>
      <w:r>
        <w:rPr>
          <w:rFonts w:hint="eastAsia" w:ascii="Times New Roman" w:eastAsia="宋体"/>
          <w:b/>
          <w:bCs/>
          <w:i w:val="0"/>
          <w:iCs w:val="0"/>
          <w:szCs w:val="24"/>
        </w:rPr>
        <w:t xml:space="preserve"> 吉林江源经济开发区产业准入负面清单</w:t>
      </w:r>
    </w:p>
    <w:tbl>
      <w:tblPr>
        <w:tblStyle w:val="58"/>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2038"/>
        <w:gridCol w:w="7905"/>
        <w:gridCol w:w="30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435" w:type="pct"/>
            <w:noWrap w:val="0"/>
            <w:vAlign w:val="center"/>
          </w:tcPr>
          <w:p>
            <w:pPr>
              <w:pStyle w:val="390"/>
              <w:rPr>
                <w:rFonts w:hint="eastAsia"/>
                <w:b/>
                <w:bCs/>
                <w:i w:val="0"/>
                <w:iCs w:val="0"/>
                <w:color w:val="000000"/>
              </w:rPr>
            </w:pPr>
            <w:r>
              <w:rPr>
                <w:rFonts w:hint="eastAsia"/>
                <w:b/>
                <w:bCs/>
                <w:i w:val="0"/>
                <w:iCs w:val="0"/>
                <w:color w:val="000000"/>
              </w:rPr>
              <w:t>管控要求</w:t>
            </w:r>
          </w:p>
        </w:tc>
        <w:tc>
          <w:tcPr>
            <w:tcW w:w="717" w:type="pct"/>
            <w:noWrap w:val="0"/>
            <w:vAlign w:val="center"/>
          </w:tcPr>
          <w:p>
            <w:pPr>
              <w:pStyle w:val="390"/>
              <w:rPr>
                <w:rFonts w:hint="eastAsia"/>
                <w:b/>
                <w:bCs/>
                <w:i w:val="0"/>
                <w:iCs w:val="0"/>
                <w:color w:val="000000"/>
              </w:rPr>
            </w:pPr>
            <w:r>
              <w:rPr>
                <w:rFonts w:hint="eastAsia"/>
                <w:b/>
                <w:bCs/>
                <w:i w:val="0"/>
                <w:iCs w:val="0"/>
                <w:color w:val="000000"/>
              </w:rPr>
              <w:t>行业类别</w:t>
            </w:r>
          </w:p>
        </w:tc>
        <w:tc>
          <w:tcPr>
            <w:tcW w:w="2781" w:type="pct"/>
            <w:noWrap w:val="0"/>
            <w:vAlign w:val="center"/>
          </w:tcPr>
          <w:p>
            <w:pPr>
              <w:pStyle w:val="390"/>
              <w:rPr>
                <w:rFonts w:hint="eastAsia"/>
                <w:b/>
                <w:bCs/>
                <w:i w:val="0"/>
                <w:iCs w:val="0"/>
                <w:color w:val="000000"/>
              </w:rPr>
            </w:pPr>
            <w:r>
              <w:rPr>
                <w:rFonts w:hint="eastAsia"/>
                <w:b/>
                <w:bCs/>
                <w:i w:val="0"/>
                <w:iCs w:val="0"/>
                <w:color w:val="000000"/>
              </w:rPr>
              <w:t>生态环境准入清单</w:t>
            </w:r>
          </w:p>
        </w:tc>
        <w:tc>
          <w:tcPr>
            <w:tcW w:w="1065" w:type="pct"/>
            <w:noWrap w:val="0"/>
            <w:vAlign w:val="center"/>
          </w:tcPr>
          <w:p>
            <w:pPr>
              <w:pStyle w:val="390"/>
              <w:rPr>
                <w:b/>
                <w:bCs/>
                <w:i w:val="0"/>
                <w:iCs w:val="0"/>
                <w:color w:val="000000"/>
              </w:rPr>
            </w:pPr>
            <w:r>
              <w:rPr>
                <w:rFonts w:hint="eastAsia"/>
                <w:b/>
                <w:bCs/>
                <w:i w:val="0"/>
                <w:iCs w:val="0"/>
                <w:color w:val="000000"/>
              </w:rPr>
              <w:t>本项目符合性分析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5" w:type="pct"/>
            <w:vMerge w:val="restart"/>
            <w:noWrap w:val="0"/>
            <w:vAlign w:val="center"/>
          </w:tcPr>
          <w:p>
            <w:pPr>
              <w:pStyle w:val="390"/>
              <w:rPr>
                <w:rFonts w:hint="eastAsia"/>
                <w:i w:val="0"/>
                <w:iCs w:val="0"/>
                <w:color w:val="000000"/>
              </w:rPr>
            </w:pPr>
            <w:r>
              <w:rPr>
                <w:rFonts w:hint="eastAsia"/>
                <w:i w:val="0"/>
                <w:iCs w:val="0"/>
                <w:color w:val="000000"/>
              </w:rPr>
              <w:t>限制类入区项目类别</w:t>
            </w:r>
          </w:p>
        </w:tc>
        <w:tc>
          <w:tcPr>
            <w:tcW w:w="717" w:type="pct"/>
            <w:noWrap w:val="0"/>
            <w:vAlign w:val="center"/>
          </w:tcPr>
          <w:p>
            <w:pPr>
              <w:pStyle w:val="390"/>
              <w:rPr>
                <w:rFonts w:hint="eastAsia"/>
                <w:i w:val="0"/>
                <w:iCs w:val="0"/>
                <w:color w:val="000000"/>
              </w:rPr>
            </w:pPr>
            <w:r>
              <w:rPr>
                <w:rFonts w:hint="eastAsia"/>
                <w:i w:val="0"/>
                <w:iCs w:val="0"/>
                <w:color w:val="000000"/>
              </w:rPr>
              <w:t>医药制造</w:t>
            </w:r>
          </w:p>
        </w:tc>
        <w:tc>
          <w:tcPr>
            <w:tcW w:w="2781" w:type="pct"/>
            <w:noWrap w:val="0"/>
            <w:vAlign w:val="center"/>
          </w:tcPr>
          <w:p>
            <w:pPr>
              <w:pStyle w:val="390"/>
              <w:jc w:val="both"/>
              <w:rPr>
                <w:rFonts w:hint="eastAsia"/>
                <w:i w:val="0"/>
                <w:iCs w:val="0"/>
                <w:color w:val="000000"/>
              </w:rPr>
            </w:pPr>
            <w:r>
              <w:rPr>
                <w:rFonts w:hint="eastAsia"/>
                <w:i w:val="0"/>
                <w:iCs w:val="0"/>
                <w:color w:val="000000"/>
              </w:rPr>
              <w:t>1、新建紫杉醇（配套红豆杉种植除外）、植物提取法黄连素（配套黄连种植除外）生产装置；</w:t>
            </w:r>
          </w:p>
          <w:p>
            <w:pPr>
              <w:pStyle w:val="390"/>
              <w:jc w:val="both"/>
              <w:rPr>
                <w:rFonts w:hint="eastAsia"/>
                <w:i w:val="0"/>
                <w:iCs w:val="0"/>
                <w:color w:val="000000"/>
              </w:rPr>
            </w:pPr>
            <w:r>
              <w:rPr>
                <w:rFonts w:hint="eastAsia"/>
                <w:i w:val="0"/>
                <w:iCs w:val="0"/>
                <w:color w:val="000000"/>
              </w:rPr>
              <w:t>2、新建、改扩建药用丁基橡胶塞、二步法生产输液用塑料瓶生产装置</w:t>
            </w:r>
          </w:p>
          <w:p>
            <w:pPr>
              <w:pStyle w:val="390"/>
              <w:jc w:val="both"/>
              <w:rPr>
                <w:rFonts w:hint="eastAsia"/>
                <w:i w:val="0"/>
                <w:iCs w:val="0"/>
                <w:color w:val="000000"/>
              </w:rPr>
            </w:pPr>
            <w:r>
              <w:rPr>
                <w:rFonts w:hint="eastAsia"/>
                <w:i w:val="0"/>
                <w:iCs w:val="0"/>
                <w:color w:val="000000"/>
              </w:rPr>
              <w:t>3、新建及改扩建原料含有尚未规模化种植或养殖的濒危动植物药材的产品生产装置</w:t>
            </w:r>
          </w:p>
          <w:p>
            <w:pPr>
              <w:pStyle w:val="390"/>
              <w:jc w:val="both"/>
              <w:rPr>
                <w:rFonts w:hint="eastAsia"/>
                <w:i w:val="0"/>
                <w:iCs w:val="0"/>
                <w:color w:val="000000"/>
              </w:rPr>
            </w:pPr>
            <w:r>
              <w:rPr>
                <w:rFonts w:hint="eastAsia"/>
                <w:i w:val="0"/>
                <w:iCs w:val="0"/>
                <w:color w:val="000000"/>
              </w:rPr>
              <w:t>4、新建、改扩建充汞式玻璃体温计、血压计生产装置、银汞齐齿科材料，新建2亿支/年以下一次性注射器、输血器、输液器生产装置</w:t>
            </w:r>
          </w:p>
        </w:tc>
        <w:tc>
          <w:tcPr>
            <w:tcW w:w="1065" w:type="pct"/>
            <w:noWrap w:val="0"/>
            <w:vAlign w:val="center"/>
          </w:tcPr>
          <w:p>
            <w:pPr>
              <w:pStyle w:val="390"/>
              <w:rPr>
                <w:i w:val="0"/>
                <w:iCs w:val="0"/>
                <w:color w:val="000000"/>
              </w:rPr>
            </w:pPr>
            <w:r>
              <w:rPr>
                <w:rFonts w:hint="eastAsia"/>
                <w:i w:val="0"/>
                <w:iCs w:val="0"/>
                <w:color w:val="000000"/>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5" w:type="pct"/>
            <w:vMerge w:val="continue"/>
            <w:noWrap w:val="0"/>
            <w:vAlign w:val="center"/>
          </w:tcPr>
          <w:p>
            <w:pPr>
              <w:pStyle w:val="390"/>
              <w:rPr>
                <w:rFonts w:hint="eastAsia"/>
                <w:i w:val="0"/>
                <w:iCs w:val="0"/>
                <w:color w:val="000000"/>
              </w:rPr>
            </w:pPr>
          </w:p>
        </w:tc>
        <w:tc>
          <w:tcPr>
            <w:tcW w:w="717" w:type="pct"/>
            <w:noWrap w:val="0"/>
            <w:vAlign w:val="center"/>
          </w:tcPr>
          <w:p>
            <w:pPr>
              <w:pStyle w:val="390"/>
              <w:rPr>
                <w:rFonts w:hint="eastAsia"/>
                <w:i w:val="0"/>
                <w:iCs w:val="0"/>
                <w:color w:val="000000"/>
              </w:rPr>
            </w:pPr>
            <w:r>
              <w:rPr>
                <w:rFonts w:hint="eastAsia"/>
                <w:i w:val="0"/>
                <w:iCs w:val="0"/>
                <w:color w:val="000000"/>
              </w:rPr>
              <w:t>建材加工</w:t>
            </w:r>
          </w:p>
        </w:tc>
        <w:tc>
          <w:tcPr>
            <w:tcW w:w="2781" w:type="pct"/>
            <w:noWrap w:val="0"/>
            <w:vAlign w:val="center"/>
          </w:tcPr>
          <w:p>
            <w:pPr>
              <w:pStyle w:val="390"/>
              <w:jc w:val="both"/>
              <w:rPr>
                <w:rFonts w:hint="eastAsia"/>
                <w:i w:val="0"/>
                <w:iCs w:val="0"/>
                <w:color w:val="000000"/>
              </w:rPr>
            </w:pPr>
            <w:r>
              <w:rPr>
                <w:rFonts w:hint="eastAsia"/>
                <w:i w:val="0"/>
                <w:iCs w:val="0"/>
                <w:color w:val="000000"/>
              </w:rPr>
              <w:t>1、2000吨/日（不含）以下新型干法水泥熟料生产线（特种水泥生产线除外），60万吨/年（不含）以下水泥粉磨站；</w:t>
            </w:r>
          </w:p>
          <w:p>
            <w:pPr>
              <w:pStyle w:val="390"/>
              <w:jc w:val="both"/>
              <w:rPr>
                <w:rFonts w:hint="eastAsia"/>
                <w:i w:val="0"/>
                <w:iCs w:val="0"/>
                <w:color w:val="000000"/>
              </w:rPr>
            </w:pPr>
            <w:r>
              <w:rPr>
                <w:rFonts w:hint="eastAsia"/>
                <w:i w:val="0"/>
                <w:iCs w:val="0"/>
                <w:color w:val="000000"/>
              </w:rPr>
              <w:t>2、150万平方米/年及以下的建筑陶瓷（不包括建筑琉璃制品）生产线；</w:t>
            </w:r>
          </w:p>
          <w:p>
            <w:pPr>
              <w:pStyle w:val="390"/>
              <w:jc w:val="both"/>
              <w:rPr>
                <w:rFonts w:hint="eastAsia"/>
                <w:i w:val="0"/>
                <w:iCs w:val="0"/>
                <w:color w:val="000000"/>
              </w:rPr>
            </w:pPr>
            <w:r>
              <w:rPr>
                <w:rFonts w:hint="eastAsia"/>
                <w:i w:val="0"/>
                <w:iCs w:val="0"/>
                <w:color w:val="000000"/>
              </w:rPr>
              <w:t>3、60万件/年（不含）以下的隧道窑卫生陶瓷生产线；</w:t>
            </w:r>
          </w:p>
          <w:p>
            <w:pPr>
              <w:pStyle w:val="390"/>
              <w:jc w:val="both"/>
              <w:rPr>
                <w:rFonts w:hint="eastAsia"/>
                <w:i w:val="0"/>
                <w:iCs w:val="0"/>
                <w:color w:val="000000"/>
              </w:rPr>
            </w:pPr>
            <w:r>
              <w:rPr>
                <w:rFonts w:hint="eastAsia"/>
                <w:i w:val="0"/>
                <w:iCs w:val="0"/>
                <w:color w:val="000000"/>
              </w:rPr>
              <w:t>4、3000万平方米/年（不含）以下的纸面石膏板生产线；</w:t>
            </w:r>
          </w:p>
          <w:p>
            <w:pPr>
              <w:pStyle w:val="390"/>
              <w:jc w:val="both"/>
              <w:rPr>
                <w:rFonts w:hint="eastAsia"/>
                <w:i w:val="0"/>
                <w:iCs w:val="0"/>
                <w:color w:val="000000"/>
              </w:rPr>
            </w:pPr>
            <w:r>
              <w:rPr>
                <w:rFonts w:hint="eastAsia"/>
                <w:i w:val="0"/>
                <w:iCs w:val="0"/>
                <w:color w:val="000000"/>
              </w:rPr>
              <w:t>5、粘土空心砖生产线；</w:t>
            </w:r>
          </w:p>
          <w:p>
            <w:pPr>
              <w:pStyle w:val="390"/>
              <w:jc w:val="both"/>
              <w:rPr>
                <w:rFonts w:hint="eastAsia"/>
                <w:i w:val="0"/>
                <w:iCs w:val="0"/>
                <w:color w:val="000000"/>
              </w:rPr>
            </w:pPr>
            <w:r>
              <w:rPr>
                <w:rFonts w:hint="eastAsia"/>
                <w:i w:val="0"/>
                <w:iCs w:val="0"/>
                <w:color w:val="000000"/>
              </w:rPr>
              <w:t>6、15万平方米/年（不含）以下的石膏（空心）砌块生产线、单班5万立方米/年（不含）以下的混凝土小型空心砌块以及单班15万平方米/年（不含）以下的混凝土铺地砖固定式生产线、5万立方米/年（不含）以下的人造轻集料（陶粒）生产线；</w:t>
            </w:r>
          </w:p>
          <w:p>
            <w:pPr>
              <w:pStyle w:val="390"/>
              <w:jc w:val="both"/>
              <w:rPr>
                <w:rFonts w:hint="eastAsia"/>
                <w:i w:val="0"/>
                <w:iCs w:val="0"/>
                <w:color w:val="000000"/>
              </w:rPr>
            </w:pPr>
            <w:r>
              <w:rPr>
                <w:rFonts w:hint="eastAsia"/>
                <w:i w:val="0"/>
                <w:iCs w:val="0"/>
                <w:color w:val="000000"/>
              </w:rPr>
              <w:t>7、15万立方米/年（不含）以下的加气混凝土生产线；</w:t>
            </w:r>
          </w:p>
          <w:p>
            <w:pPr>
              <w:pStyle w:val="390"/>
              <w:jc w:val="both"/>
              <w:rPr>
                <w:rFonts w:hint="eastAsia"/>
                <w:i w:val="0"/>
                <w:iCs w:val="0"/>
                <w:color w:val="000000"/>
              </w:rPr>
            </w:pPr>
            <w:r>
              <w:rPr>
                <w:rFonts w:hint="eastAsia"/>
                <w:i w:val="0"/>
                <w:iCs w:val="0"/>
                <w:color w:val="000000"/>
              </w:rPr>
              <w:t>8、6000万标砖/年（不含）以下的烧结砖及烧结空心砌块生产线；</w:t>
            </w:r>
          </w:p>
          <w:p>
            <w:pPr>
              <w:pStyle w:val="390"/>
              <w:jc w:val="both"/>
              <w:rPr>
                <w:rFonts w:hint="eastAsia"/>
                <w:i w:val="0"/>
                <w:iCs w:val="0"/>
                <w:color w:val="000000"/>
              </w:rPr>
            </w:pPr>
            <w:r>
              <w:rPr>
                <w:rFonts w:hint="eastAsia"/>
                <w:i w:val="0"/>
                <w:iCs w:val="0"/>
                <w:color w:val="000000"/>
              </w:rPr>
              <w:t>9、30000吨/年以下岩（矿）棉制品生产线和8000吨/年以下玻璃棉制品生产线；</w:t>
            </w:r>
          </w:p>
          <w:p>
            <w:pPr>
              <w:pStyle w:val="390"/>
              <w:jc w:val="both"/>
              <w:rPr>
                <w:rFonts w:hint="eastAsia"/>
                <w:i w:val="0"/>
                <w:iCs w:val="0"/>
                <w:color w:val="000000"/>
              </w:rPr>
            </w:pPr>
            <w:r>
              <w:rPr>
                <w:rFonts w:hint="eastAsia"/>
                <w:i w:val="0"/>
                <w:iCs w:val="0"/>
                <w:color w:val="000000"/>
              </w:rPr>
              <w:t>10、100万米/年及以下预应力高强混凝土离心桩生产线；</w:t>
            </w:r>
          </w:p>
          <w:p>
            <w:pPr>
              <w:pStyle w:val="390"/>
              <w:jc w:val="both"/>
              <w:rPr>
                <w:rFonts w:hint="eastAsia"/>
                <w:i w:val="0"/>
                <w:iCs w:val="0"/>
                <w:color w:val="000000"/>
              </w:rPr>
            </w:pPr>
            <w:r>
              <w:rPr>
                <w:rFonts w:hint="eastAsia"/>
                <w:i w:val="0"/>
                <w:iCs w:val="0"/>
                <w:color w:val="000000"/>
              </w:rPr>
              <w:t>11、预应力钢筒混凝土管（简称PCCP管）生产线：PCCP-L型：年设计生产能力≤50千米，PCCP-E型：年设计生产能力≤30千米。</w:t>
            </w:r>
          </w:p>
        </w:tc>
        <w:tc>
          <w:tcPr>
            <w:tcW w:w="1065" w:type="pct"/>
            <w:noWrap w:val="0"/>
            <w:vAlign w:val="center"/>
          </w:tcPr>
          <w:p>
            <w:pPr>
              <w:pStyle w:val="390"/>
              <w:rPr>
                <w:i w:val="0"/>
                <w:iCs w:val="0"/>
                <w:color w:val="000000"/>
              </w:rPr>
            </w:pPr>
            <w:r>
              <w:rPr>
                <w:rFonts w:hint="eastAsia"/>
                <w:i w:val="0"/>
                <w:iCs w:val="0"/>
                <w:color w:val="000000"/>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5" w:type="pct"/>
            <w:vMerge w:val="continue"/>
            <w:noWrap w:val="0"/>
            <w:vAlign w:val="center"/>
          </w:tcPr>
          <w:p>
            <w:pPr>
              <w:pStyle w:val="390"/>
              <w:rPr>
                <w:rFonts w:hint="eastAsia"/>
                <w:i w:val="0"/>
                <w:iCs w:val="0"/>
                <w:color w:val="000000"/>
              </w:rPr>
            </w:pPr>
          </w:p>
        </w:tc>
        <w:tc>
          <w:tcPr>
            <w:tcW w:w="717" w:type="pct"/>
            <w:noWrap w:val="0"/>
            <w:vAlign w:val="center"/>
          </w:tcPr>
          <w:p>
            <w:pPr>
              <w:pStyle w:val="390"/>
              <w:rPr>
                <w:rFonts w:hint="eastAsia"/>
                <w:i w:val="0"/>
                <w:iCs w:val="0"/>
                <w:color w:val="000000"/>
              </w:rPr>
            </w:pPr>
            <w:r>
              <w:rPr>
                <w:rFonts w:hint="eastAsia"/>
                <w:i w:val="0"/>
                <w:iCs w:val="0"/>
                <w:color w:val="000000"/>
              </w:rPr>
              <w:t>煤炭精深加工</w:t>
            </w:r>
          </w:p>
        </w:tc>
        <w:tc>
          <w:tcPr>
            <w:tcW w:w="2781" w:type="pct"/>
            <w:noWrap w:val="0"/>
            <w:vAlign w:val="center"/>
          </w:tcPr>
          <w:p>
            <w:pPr>
              <w:pStyle w:val="390"/>
              <w:jc w:val="both"/>
              <w:rPr>
                <w:rFonts w:hint="eastAsia"/>
                <w:i w:val="0"/>
                <w:iCs w:val="0"/>
                <w:color w:val="000000"/>
              </w:rPr>
            </w:pPr>
            <w:r>
              <w:rPr>
                <w:rFonts w:hint="eastAsia"/>
                <w:i w:val="0"/>
                <w:iCs w:val="0"/>
                <w:color w:val="000000"/>
              </w:rPr>
              <w:t>1、新建天然气制甲醇（CO</w:t>
            </w:r>
            <w:r>
              <w:rPr>
                <w:rFonts w:hint="eastAsia"/>
                <w:i w:val="0"/>
                <w:iCs w:val="0"/>
                <w:color w:val="000000"/>
                <w:vertAlign w:val="subscript"/>
              </w:rPr>
              <w:t>2</w:t>
            </w:r>
            <w:r>
              <w:rPr>
                <w:rFonts w:hint="eastAsia"/>
                <w:i w:val="0"/>
                <w:iCs w:val="0"/>
                <w:color w:val="000000"/>
              </w:rPr>
              <w:t>含量20%以上的天然气除外），100万吨/年以下煤制甲醇生产装置；</w:t>
            </w:r>
          </w:p>
          <w:p>
            <w:pPr>
              <w:pStyle w:val="390"/>
              <w:jc w:val="both"/>
              <w:rPr>
                <w:rFonts w:hint="eastAsia"/>
                <w:i w:val="0"/>
                <w:iCs w:val="0"/>
                <w:color w:val="000000"/>
              </w:rPr>
            </w:pPr>
            <w:r>
              <w:rPr>
                <w:rFonts w:hint="eastAsia"/>
                <w:i w:val="0"/>
                <w:iCs w:val="0"/>
                <w:color w:val="000000"/>
              </w:rPr>
              <w:t>2、新建30万吨/年以下硫磺制</w:t>
            </w:r>
          </w:p>
          <w:p>
            <w:pPr>
              <w:pStyle w:val="390"/>
              <w:jc w:val="both"/>
              <w:rPr>
                <w:rFonts w:hint="eastAsia"/>
                <w:i w:val="0"/>
                <w:iCs w:val="0"/>
                <w:color w:val="000000"/>
              </w:rPr>
            </w:pPr>
            <w:r>
              <w:rPr>
                <w:rFonts w:hint="eastAsia"/>
                <w:i w:val="0"/>
                <w:iCs w:val="0"/>
                <w:color w:val="000000"/>
              </w:rPr>
              <w:t>酸（单项金属离子≤100ppb的电子级硫酸除外）生产装置；</w:t>
            </w:r>
          </w:p>
        </w:tc>
        <w:tc>
          <w:tcPr>
            <w:tcW w:w="1065" w:type="pct"/>
            <w:noWrap w:val="0"/>
            <w:vAlign w:val="center"/>
          </w:tcPr>
          <w:p>
            <w:pPr>
              <w:pStyle w:val="390"/>
              <w:rPr>
                <w:i w:val="0"/>
                <w:iCs w:val="0"/>
                <w:color w:val="000000"/>
              </w:rPr>
            </w:pPr>
            <w:r>
              <w:rPr>
                <w:rFonts w:hint="eastAsia"/>
                <w:i w:val="0"/>
                <w:iCs w:val="0"/>
                <w:color w:val="000000"/>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5" w:type="pct"/>
            <w:vMerge w:val="continue"/>
            <w:noWrap w:val="0"/>
            <w:vAlign w:val="center"/>
          </w:tcPr>
          <w:p>
            <w:pPr>
              <w:pStyle w:val="390"/>
              <w:rPr>
                <w:rFonts w:hint="eastAsia"/>
                <w:i w:val="0"/>
                <w:iCs w:val="0"/>
                <w:color w:val="000000"/>
              </w:rPr>
            </w:pPr>
          </w:p>
        </w:tc>
        <w:tc>
          <w:tcPr>
            <w:tcW w:w="717" w:type="pct"/>
            <w:noWrap w:val="0"/>
            <w:vAlign w:val="center"/>
          </w:tcPr>
          <w:p>
            <w:pPr>
              <w:pStyle w:val="390"/>
              <w:rPr>
                <w:rFonts w:hint="eastAsia"/>
                <w:i w:val="0"/>
                <w:iCs w:val="0"/>
                <w:color w:val="000000"/>
              </w:rPr>
            </w:pPr>
            <w:r>
              <w:rPr>
                <w:rFonts w:hint="eastAsia"/>
                <w:i w:val="0"/>
                <w:iCs w:val="0"/>
                <w:color w:val="000000"/>
              </w:rPr>
              <w:t>木材加工</w:t>
            </w:r>
          </w:p>
        </w:tc>
        <w:tc>
          <w:tcPr>
            <w:tcW w:w="2781" w:type="pct"/>
            <w:noWrap w:val="0"/>
            <w:vAlign w:val="center"/>
          </w:tcPr>
          <w:p>
            <w:pPr>
              <w:pStyle w:val="390"/>
              <w:jc w:val="both"/>
              <w:rPr>
                <w:rFonts w:hint="eastAsia"/>
                <w:i w:val="0"/>
                <w:iCs w:val="0"/>
                <w:color w:val="000000"/>
              </w:rPr>
            </w:pPr>
            <w:r>
              <w:rPr>
                <w:rFonts w:hint="eastAsia"/>
                <w:i w:val="0"/>
                <w:iCs w:val="0"/>
                <w:color w:val="000000"/>
              </w:rPr>
              <w:t>1、禁止新建1万立方米/年以下的胶合板和细木工板生产项目，新建项目清洁生产水平不得低于清洁生产国内先进水平；</w:t>
            </w:r>
          </w:p>
          <w:p>
            <w:pPr>
              <w:pStyle w:val="390"/>
              <w:jc w:val="both"/>
              <w:rPr>
                <w:rFonts w:hint="eastAsia"/>
                <w:i w:val="0"/>
                <w:iCs w:val="0"/>
                <w:color w:val="000000"/>
              </w:rPr>
            </w:pPr>
            <w:r>
              <w:rPr>
                <w:rFonts w:hint="eastAsia"/>
                <w:i w:val="0"/>
                <w:iCs w:val="0"/>
                <w:color w:val="000000"/>
              </w:rPr>
              <w:t>2、禁止新建单线5万立方米/年以下的高中密度纤维板生产项目，新建项目清洁生产水平不得低于清洁生产国内先进水平；</w:t>
            </w:r>
          </w:p>
          <w:p>
            <w:pPr>
              <w:pStyle w:val="390"/>
              <w:jc w:val="both"/>
              <w:rPr>
                <w:rFonts w:hint="eastAsia"/>
                <w:i w:val="0"/>
                <w:iCs w:val="0"/>
                <w:color w:val="000000"/>
              </w:rPr>
            </w:pPr>
            <w:r>
              <w:rPr>
                <w:rFonts w:hint="eastAsia"/>
                <w:i w:val="0"/>
                <w:iCs w:val="0"/>
                <w:color w:val="000000"/>
              </w:rPr>
              <w:t>3、禁止新建单线5万立方米/年以下的普通刨花板和单线3万立方米/年以下的木质刨花板生产项目，新建项目清洁生产水平不得低于清洁生产国内先进水平。</w:t>
            </w:r>
          </w:p>
        </w:tc>
        <w:tc>
          <w:tcPr>
            <w:tcW w:w="1065" w:type="pct"/>
            <w:noWrap w:val="0"/>
            <w:vAlign w:val="center"/>
          </w:tcPr>
          <w:p>
            <w:pPr>
              <w:pStyle w:val="390"/>
              <w:rPr>
                <w:i w:val="0"/>
                <w:iCs w:val="0"/>
                <w:color w:val="000000"/>
              </w:rPr>
            </w:pPr>
            <w:r>
              <w:rPr>
                <w:rFonts w:hint="eastAsia"/>
                <w:i w:val="0"/>
                <w:iCs w:val="0"/>
                <w:color w:val="000000"/>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5" w:type="pct"/>
            <w:vMerge w:val="continue"/>
            <w:noWrap w:val="0"/>
            <w:vAlign w:val="center"/>
          </w:tcPr>
          <w:p>
            <w:pPr>
              <w:pStyle w:val="390"/>
              <w:rPr>
                <w:rFonts w:hint="eastAsia"/>
                <w:i w:val="0"/>
                <w:iCs w:val="0"/>
                <w:color w:val="000000"/>
              </w:rPr>
            </w:pPr>
          </w:p>
        </w:tc>
        <w:tc>
          <w:tcPr>
            <w:tcW w:w="717" w:type="pct"/>
            <w:noWrap w:val="0"/>
            <w:vAlign w:val="center"/>
          </w:tcPr>
          <w:p>
            <w:pPr>
              <w:pStyle w:val="390"/>
              <w:rPr>
                <w:rFonts w:hint="eastAsia"/>
                <w:i w:val="0"/>
                <w:iCs w:val="0"/>
                <w:color w:val="000000"/>
              </w:rPr>
            </w:pPr>
            <w:r>
              <w:rPr>
                <w:rFonts w:hint="eastAsia"/>
                <w:i w:val="0"/>
                <w:iCs w:val="0"/>
                <w:color w:val="000000"/>
              </w:rPr>
              <w:t>现代物流</w:t>
            </w:r>
          </w:p>
        </w:tc>
        <w:tc>
          <w:tcPr>
            <w:tcW w:w="2781" w:type="pct"/>
            <w:noWrap w:val="0"/>
            <w:vAlign w:val="center"/>
          </w:tcPr>
          <w:p>
            <w:pPr>
              <w:pStyle w:val="390"/>
              <w:jc w:val="both"/>
              <w:rPr>
                <w:rFonts w:hint="eastAsia"/>
                <w:i w:val="0"/>
                <w:iCs w:val="0"/>
                <w:color w:val="000000"/>
              </w:rPr>
            </w:pPr>
            <w:r>
              <w:rPr>
                <w:rFonts w:hint="eastAsia"/>
                <w:i w:val="0"/>
                <w:iCs w:val="0"/>
                <w:color w:val="000000"/>
              </w:rPr>
              <w:t>1有毒有害物质、境外洋垃圾；</w:t>
            </w:r>
          </w:p>
          <w:p>
            <w:pPr>
              <w:pStyle w:val="390"/>
              <w:jc w:val="both"/>
              <w:rPr>
                <w:rFonts w:hint="eastAsia"/>
                <w:i w:val="0"/>
                <w:iCs w:val="0"/>
                <w:color w:val="000000"/>
              </w:rPr>
            </w:pPr>
            <w:r>
              <w:rPr>
                <w:rFonts w:hint="eastAsia"/>
                <w:i w:val="0"/>
                <w:iCs w:val="0"/>
                <w:color w:val="000000"/>
              </w:rPr>
              <w:t>2含重金属物质仓储物流；</w:t>
            </w:r>
          </w:p>
          <w:p>
            <w:pPr>
              <w:pStyle w:val="390"/>
              <w:jc w:val="both"/>
              <w:rPr>
                <w:rFonts w:hint="eastAsia"/>
                <w:i w:val="0"/>
                <w:iCs w:val="0"/>
                <w:color w:val="000000"/>
              </w:rPr>
            </w:pPr>
            <w:r>
              <w:rPr>
                <w:rFonts w:hint="eastAsia"/>
                <w:i w:val="0"/>
                <w:iCs w:val="0"/>
                <w:color w:val="000000"/>
              </w:rPr>
              <w:t>3危险废物、危险化学品仓储物流等具有重大环境风险、且无法采取有效防治、应急措施的项目</w:t>
            </w:r>
          </w:p>
        </w:tc>
        <w:tc>
          <w:tcPr>
            <w:tcW w:w="1065" w:type="pct"/>
            <w:noWrap w:val="0"/>
            <w:vAlign w:val="center"/>
          </w:tcPr>
          <w:p>
            <w:pPr>
              <w:pStyle w:val="390"/>
              <w:rPr>
                <w:i w:val="0"/>
                <w:iCs w:val="0"/>
                <w:color w:val="000000"/>
              </w:rPr>
            </w:pPr>
            <w:r>
              <w:rPr>
                <w:rFonts w:hint="eastAsia"/>
                <w:i w:val="0"/>
                <w:iCs w:val="0"/>
                <w:color w:val="000000"/>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5" w:type="pct"/>
            <w:vMerge w:val="continue"/>
            <w:noWrap w:val="0"/>
            <w:vAlign w:val="center"/>
          </w:tcPr>
          <w:p>
            <w:pPr>
              <w:pStyle w:val="390"/>
              <w:rPr>
                <w:rFonts w:hint="eastAsia"/>
                <w:i w:val="0"/>
                <w:iCs w:val="0"/>
                <w:color w:val="000000"/>
              </w:rPr>
            </w:pPr>
          </w:p>
        </w:tc>
        <w:tc>
          <w:tcPr>
            <w:tcW w:w="3498" w:type="pct"/>
            <w:gridSpan w:val="2"/>
            <w:noWrap w:val="0"/>
            <w:vAlign w:val="center"/>
          </w:tcPr>
          <w:p>
            <w:pPr>
              <w:pStyle w:val="390"/>
              <w:jc w:val="both"/>
              <w:rPr>
                <w:rFonts w:hint="eastAsia"/>
                <w:i w:val="0"/>
                <w:iCs w:val="0"/>
                <w:color w:val="000000"/>
              </w:rPr>
            </w:pPr>
            <w:r>
              <w:rPr>
                <w:rFonts w:hint="eastAsia"/>
                <w:i w:val="0"/>
                <w:iCs w:val="0"/>
                <w:color w:val="000000"/>
              </w:rPr>
              <w:t>严格限制长白山特色食药科技产业园引入瓶（罐）装饮用水制造的项目入区</w:t>
            </w:r>
          </w:p>
        </w:tc>
        <w:tc>
          <w:tcPr>
            <w:tcW w:w="1065" w:type="pct"/>
            <w:noWrap w:val="0"/>
            <w:vAlign w:val="center"/>
          </w:tcPr>
          <w:p>
            <w:pPr>
              <w:pStyle w:val="390"/>
              <w:rPr>
                <w:i w:val="0"/>
                <w:iCs w:val="0"/>
                <w:color w:val="000000"/>
              </w:rPr>
            </w:pPr>
            <w:r>
              <w:rPr>
                <w:rFonts w:hint="eastAsia"/>
                <w:i w:val="0"/>
                <w:iCs w:val="0"/>
                <w:color w:val="000000"/>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5" w:type="pct"/>
            <w:vMerge w:val="continue"/>
            <w:noWrap w:val="0"/>
            <w:vAlign w:val="center"/>
          </w:tcPr>
          <w:p>
            <w:pPr>
              <w:pStyle w:val="390"/>
              <w:rPr>
                <w:rFonts w:hint="eastAsia"/>
                <w:i w:val="0"/>
                <w:iCs w:val="0"/>
                <w:color w:val="000000"/>
              </w:rPr>
            </w:pPr>
          </w:p>
        </w:tc>
        <w:tc>
          <w:tcPr>
            <w:tcW w:w="3498" w:type="pct"/>
            <w:gridSpan w:val="2"/>
            <w:noWrap w:val="0"/>
            <w:vAlign w:val="center"/>
          </w:tcPr>
          <w:p>
            <w:pPr>
              <w:pStyle w:val="390"/>
              <w:jc w:val="both"/>
              <w:rPr>
                <w:rFonts w:hint="eastAsia"/>
                <w:i w:val="0"/>
                <w:iCs w:val="0"/>
                <w:color w:val="000000"/>
              </w:rPr>
            </w:pPr>
            <w:r>
              <w:rPr>
                <w:rFonts w:hint="eastAsia"/>
                <w:i w:val="0"/>
                <w:iCs w:val="0"/>
                <w:color w:val="000000"/>
              </w:rPr>
              <w:t>严格控制高耗水、高污染行业发展。</w:t>
            </w:r>
          </w:p>
        </w:tc>
        <w:tc>
          <w:tcPr>
            <w:tcW w:w="1065" w:type="pct"/>
            <w:noWrap w:val="0"/>
            <w:vAlign w:val="center"/>
          </w:tcPr>
          <w:p>
            <w:pPr>
              <w:pStyle w:val="390"/>
              <w:rPr>
                <w:i w:val="0"/>
                <w:iCs w:val="0"/>
                <w:color w:val="000000"/>
              </w:rPr>
            </w:pPr>
            <w:r>
              <w:rPr>
                <w:rFonts w:hint="eastAsia"/>
                <w:i w:val="0"/>
                <w:iCs w:val="0"/>
                <w:color w:val="000000"/>
              </w:rPr>
              <w:t>本项目不属于高耗水、高污染行业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5" w:type="pct"/>
            <w:vMerge w:val="continue"/>
            <w:noWrap w:val="0"/>
            <w:vAlign w:val="center"/>
          </w:tcPr>
          <w:p>
            <w:pPr>
              <w:pStyle w:val="390"/>
              <w:rPr>
                <w:rFonts w:hint="eastAsia"/>
                <w:i w:val="0"/>
                <w:iCs w:val="0"/>
                <w:color w:val="000000"/>
              </w:rPr>
            </w:pPr>
          </w:p>
        </w:tc>
        <w:tc>
          <w:tcPr>
            <w:tcW w:w="3498" w:type="pct"/>
            <w:gridSpan w:val="2"/>
            <w:noWrap w:val="0"/>
            <w:vAlign w:val="center"/>
          </w:tcPr>
          <w:p>
            <w:pPr>
              <w:pStyle w:val="390"/>
              <w:jc w:val="both"/>
              <w:rPr>
                <w:rFonts w:hint="eastAsia"/>
                <w:i w:val="0"/>
                <w:iCs w:val="0"/>
                <w:color w:val="000000"/>
              </w:rPr>
            </w:pPr>
            <w:r>
              <w:rPr>
                <w:rFonts w:hint="eastAsia"/>
                <w:i w:val="0"/>
                <w:iCs w:val="0"/>
                <w:color w:val="000000"/>
              </w:rPr>
              <w:t>严格控制钢铁、焦化、电解铝、铸造、水泥和平板玻璃等行业新增产能，列入去产能的钢铁企业退出时须一并退出配套的烧结、焦炉、高炉等设备。</w:t>
            </w:r>
          </w:p>
        </w:tc>
        <w:tc>
          <w:tcPr>
            <w:tcW w:w="1065" w:type="pct"/>
            <w:noWrap w:val="0"/>
            <w:vAlign w:val="center"/>
          </w:tcPr>
          <w:p>
            <w:pPr>
              <w:pStyle w:val="390"/>
              <w:rPr>
                <w:i w:val="0"/>
                <w:iCs w:val="0"/>
                <w:color w:val="000000"/>
              </w:rPr>
            </w:pPr>
            <w:r>
              <w:rPr>
                <w:rFonts w:hint="eastAsia"/>
                <w:i w:val="0"/>
                <w:iCs w:val="0"/>
                <w:color w:val="000000"/>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5" w:type="pct"/>
            <w:vMerge w:val="continue"/>
            <w:noWrap w:val="0"/>
            <w:vAlign w:val="center"/>
          </w:tcPr>
          <w:p>
            <w:pPr>
              <w:pStyle w:val="390"/>
              <w:rPr>
                <w:rFonts w:hint="eastAsia"/>
                <w:i w:val="0"/>
                <w:iCs w:val="0"/>
                <w:color w:val="000000"/>
              </w:rPr>
            </w:pPr>
          </w:p>
        </w:tc>
        <w:tc>
          <w:tcPr>
            <w:tcW w:w="3498" w:type="pct"/>
            <w:gridSpan w:val="2"/>
            <w:noWrap w:val="0"/>
            <w:vAlign w:val="center"/>
          </w:tcPr>
          <w:p>
            <w:pPr>
              <w:pStyle w:val="390"/>
              <w:jc w:val="both"/>
              <w:rPr>
                <w:rFonts w:hint="eastAsia"/>
                <w:i w:val="0"/>
                <w:iCs w:val="0"/>
                <w:color w:val="000000"/>
              </w:rPr>
            </w:pPr>
            <w:r>
              <w:rPr>
                <w:rFonts w:hint="eastAsia"/>
                <w:i w:val="0"/>
                <w:iCs w:val="0"/>
                <w:color w:val="000000"/>
              </w:rPr>
              <w:t>《产业结构调整指导目录（2019年本）》中的“限制类”项目</w:t>
            </w:r>
          </w:p>
        </w:tc>
        <w:tc>
          <w:tcPr>
            <w:tcW w:w="1065" w:type="pct"/>
            <w:noWrap w:val="0"/>
            <w:vAlign w:val="center"/>
          </w:tcPr>
          <w:p>
            <w:pPr>
              <w:pStyle w:val="390"/>
              <w:rPr>
                <w:i w:val="0"/>
                <w:iCs w:val="0"/>
                <w:color w:val="000000"/>
              </w:rPr>
            </w:pPr>
            <w:r>
              <w:rPr>
                <w:rFonts w:hint="eastAsia"/>
                <w:i w:val="0"/>
                <w:iCs w:val="0"/>
                <w:color w:val="000000"/>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5" w:type="pct"/>
            <w:vMerge w:val="continue"/>
            <w:noWrap w:val="0"/>
            <w:vAlign w:val="center"/>
          </w:tcPr>
          <w:p>
            <w:pPr>
              <w:pStyle w:val="390"/>
              <w:rPr>
                <w:rFonts w:hint="eastAsia"/>
                <w:i w:val="0"/>
                <w:iCs w:val="0"/>
                <w:color w:val="000000"/>
              </w:rPr>
            </w:pPr>
          </w:p>
        </w:tc>
        <w:tc>
          <w:tcPr>
            <w:tcW w:w="3498" w:type="pct"/>
            <w:gridSpan w:val="2"/>
            <w:noWrap w:val="0"/>
            <w:vAlign w:val="center"/>
          </w:tcPr>
          <w:p>
            <w:pPr>
              <w:pStyle w:val="390"/>
              <w:jc w:val="both"/>
              <w:rPr>
                <w:rFonts w:hint="eastAsia"/>
                <w:i w:val="0"/>
                <w:iCs w:val="0"/>
                <w:color w:val="000000"/>
              </w:rPr>
            </w:pPr>
            <w:r>
              <w:rPr>
                <w:rFonts w:hint="eastAsia"/>
                <w:i w:val="0"/>
                <w:iCs w:val="0"/>
                <w:color w:val="000000"/>
              </w:rPr>
              <w:t>《外商投资产业指导目录》中限制外商投资的项目</w:t>
            </w:r>
          </w:p>
        </w:tc>
        <w:tc>
          <w:tcPr>
            <w:tcW w:w="1065" w:type="pct"/>
            <w:noWrap w:val="0"/>
            <w:vAlign w:val="center"/>
          </w:tcPr>
          <w:p>
            <w:pPr>
              <w:pStyle w:val="390"/>
              <w:rPr>
                <w:i w:val="0"/>
                <w:iCs w:val="0"/>
                <w:color w:val="000000"/>
              </w:rPr>
            </w:pPr>
            <w:r>
              <w:rPr>
                <w:rFonts w:hint="eastAsia"/>
                <w:i w:val="0"/>
                <w:iCs w:val="0"/>
                <w:color w:val="000000"/>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5" w:type="pct"/>
            <w:vMerge w:val="restart"/>
            <w:noWrap w:val="0"/>
            <w:vAlign w:val="center"/>
          </w:tcPr>
          <w:p>
            <w:pPr>
              <w:pStyle w:val="390"/>
              <w:rPr>
                <w:rFonts w:hint="eastAsia"/>
                <w:i w:val="0"/>
                <w:iCs w:val="0"/>
                <w:color w:val="000000"/>
              </w:rPr>
            </w:pPr>
            <w:r>
              <w:rPr>
                <w:rFonts w:hint="eastAsia"/>
                <w:i w:val="0"/>
                <w:iCs w:val="0"/>
                <w:color w:val="000000"/>
              </w:rPr>
              <w:t>禁入类入区项目类别</w:t>
            </w:r>
          </w:p>
        </w:tc>
        <w:tc>
          <w:tcPr>
            <w:tcW w:w="717" w:type="pct"/>
            <w:noWrap w:val="0"/>
            <w:vAlign w:val="center"/>
          </w:tcPr>
          <w:p>
            <w:pPr>
              <w:pStyle w:val="390"/>
              <w:rPr>
                <w:rFonts w:hint="eastAsia"/>
                <w:i w:val="0"/>
                <w:iCs w:val="0"/>
                <w:color w:val="000000"/>
              </w:rPr>
            </w:pPr>
            <w:r>
              <w:rPr>
                <w:rFonts w:hint="eastAsia"/>
                <w:i w:val="0"/>
                <w:iCs w:val="0"/>
                <w:color w:val="000000"/>
              </w:rPr>
              <w:t>建材加工</w:t>
            </w:r>
          </w:p>
        </w:tc>
        <w:tc>
          <w:tcPr>
            <w:tcW w:w="2781" w:type="pct"/>
            <w:noWrap w:val="0"/>
            <w:vAlign w:val="center"/>
          </w:tcPr>
          <w:p>
            <w:pPr>
              <w:pStyle w:val="390"/>
              <w:jc w:val="both"/>
              <w:rPr>
                <w:rFonts w:hint="eastAsia"/>
                <w:i w:val="0"/>
                <w:iCs w:val="0"/>
                <w:color w:val="000000"/>
              </w:rPr>
            </w:pPr>
            <w:r>
              <w:rPr>
                <w:rFonts w:hint="eastAsia"/>
                <w:i w:val="0"/>
                <w:iCs w:val="0"/>
                <w:color w:val="000000"/>
              </w:rPr>
              <w:t>1、干法中空窑（生产铝酸盐水泥等特种水泥除外），水泥机立窑，立波尔窑、湿法窑；</w:t>
            </w:r>
          </w:p>
          <w:p>
            <w:pPr>
              <w:pStyle w:val="390"/>
              <w:jc w:val="both"/>
              <w:rPr>
                <w:rFonts w:hint="eastAsia"/>
                <w:i w:val="0"/>
                <w:iCs w:val="0"/>
                <w:color w:val="000000"/>
              </w:rPr>
            </w:pPr>
            <w:r>
              <w:rPr>
                <w:rFonts w:hint="eastAsia"/>
                <w:i w:val="0"/>
                <w:iCs w:val="0"/>
                <w:color w:val="000000"/>
              </w:rPr>
              <w:t>2、直径3米（不含）以下水泥粉磨设备（生产特种水泥除外）；</w:t>
            </w:r>
          </w:p>
          <w:p>
            <w:pPr>
              <w:pStyle w:val="390"/>
              <w:jc w:val="both"/>
              <w:rPr>
                <w:rFonts w:hint="eastAsia"/>
                <w:i w:val="0"/>
                <w:iCs w:val="0"/>
                <w:color w:val="000000"/>
              </w:rPr>
            </w:pPr>
            <w:r>
              <w:rPr>
                <w:rFonts w:hint="eastAsia"/>
                <w:i w:val="0"/>
                <w:iCs w:val="0"/>
                <w:color w:val="000000"/>
              </w:rPr>
              <w:t>3、无覆膜塑编水泥包装袋生产线；</w:t>
            </w:r>
          </w:p>
          <w:p>
            <w:pPr>
              <w:pStyle w:val="390"/>
              <w:jc w:val="both"/>
              <w:rPr>
                <w:rFonts w:hint="eastAsia"/>
                <w:i w:val="0"/>
                <w:iCs w:val="0"/>
                <w:color w:val="000000"/>
              </w:rPr>
            </w:pPr>
            <w:r>
              <w:rPr>
                <w:rFonts w:hint="eastAsia"/>
                <w:i w:val="0"/>
                <w:iCs w:val="0"/>
                <w:color w:val="000000"/>
              </w:rPr>
              <w:t>4、100万平方米/年（不含）以下的建筑陶瓷砖、20万件/年（不含）以下卫生陶瓷生产线；</w:t>
            </w:r>
          </w:p>
          <w:p>
            <w:pPr>
              <w:pStyle w:val="390"/>
              <w:jc w:val="both"/>
              <w:rPr>
                <w:rFonts w:hint="eastAsia"/>
                <w:i w:val="0"/>
                <w:iCs w:val="0"/>
                <w:color w:val="000000"/>
              </w:rPr>
            </w:pPr>
            <w:r>
              <w:rPr>
                <w:rFonts w:hint="eastAsia"/>
                <w:i w:val="0"/>
                <w:iCs w:val="0"/>
                <w:color w:val="000000"/>
              </w:rPr>
              <w:t>建筑卫生陶瓷（不包括建筑琉璃制品）土窑、倒焰窑、多孔窑、煤烧明焰隧道窑、隔焰隧道窑、匣钵装卫生陶瓷隧道窑；</w:t>
            </w:r>
          </w:p>
          <w:p>
            <w:pPr>
              <w:pStyle w:val="390"/>
              <w:jc w:val="both"/>
              <w:rPr>
                <w:rFonts w:hint="eastAsia"/>
                <w:i w:val="0"/>
                <w:iCs w:val="0"/>
                <w:color w:val="000000"/>
              </w:rPr>
            </w:pPr>
            <w:r>
              <w:rPr>
                <w:rFonts w:hint="eastAsia"/>
                <w:i w:val="0"/>
                <w:iCs w:val="0"/>
                <w:color w:val="000000"/>
              </w:rPr>
              <w:t>建筑陶瓷砖成型用的摩擦压砖机；</w:t>
            </w:r>
          </w:p>
          <w:p>
            <w:pPr>
              <w:pStyle w:val="390"/>
              <w:jc w:val="both"/>
              <w:rPr>
                <w:rFonts w:hint="eastAsia"/>
                <w:i w:val="0"/>
                <w:iCs w:val="0"/>
                <w:color w:val="000000"/>
              </w:rPr>
            </w:pPr>
            <w:r>
              <w:rPr>
                <w:rFonts w:hint="eastAsia"/>
                <w:i w:val="0"/>
                <w:iCs w:val="0"/>
                <w:color w:val="000000"/>
              </w:rPr>
              <w:t>1000万平方米/年（不含）以下的纸面石膏板生产线；</w:t>
            </w:r>
          </w:p>
          <w:p>
            <w:pPr>
              <w:pStyle w:val="390"/>
              <w:jc w:val="both"/>
              <w:rPr>
                <w:rFonts w:hint="eastAsia"/>
                <w:i w:val="0"/>
                <w:iCs w:val="0"/>
                <w:color w:val="000000"/>
              </w:rPr>
            </w:pPr>
            <w:r>
              <w:rPr>
                <w:rFonts w:hint="eastAsia"/>
                <w:i w:val="0"/>
                <w:iCs w:val="0"/>
                <w:color w:val="000000"/>
              </w:rPr>
              <w:t>砖瓦轮窑（2020年12月31日）以及立窑、无顶轮窑、马蹄窑等土窑；</w:t>
            </w:r>
          </w:p>
          <w:p>
            <w:pPr>
              <w:pStyle w:val="390"/>
              <w:jc w:val="both"/>
              <w:rPr>
                <w:rFonts w:hint="eastAsia"/>
                <w:i w:val="0"/>
                <w:iCs w:val="0"/>
                <w:color w:val="000000"/>
              </w:rPr>
            </w:pPr>
            <w:r>
              <w:rPr>
                <w:rFonts w:hint="eastAsia"/>
                <w:i w:val="0"/>
                <w:iCs w:val="0"/>
                <w:color w:val="000000"/>
              </w:rPr>
              <w:t>普通挤砖机；</w:t>
            </w:r>
          </w:p>
          <w:p>
            <w:pPr>
              <w:pStyle w:val="390"/>
              <w:jc w:val="both"/>
              <w:rPr>
                <w:rFonts w:hint="eastAsia"/>
                <w:i w:val="0"/>
                <w:iCs w:val="0"/>
                <w:color w:val="000000"/>
              </w:rPr>
            </w:pPr>
            <w:r>
              <w:rPr>
                <w:rFonts w:hint="eastAsia"/>
                <w:i w:val="0"/>
                <w:iCs w:val="0"/>
                <w:color w:val="000000"/>
              </w:rPr>
              <w:t>10、100吨以下盘转式压砖机；</w:t>
            </w:r>
          </w:p>
          <w:p>
            <w:pPr>
              <w:pStyle w:val="390"/>
              <w:jc w:val="both"/>
              <w:rPr>
                <w:rFonts w:hint="eastAsia"/>
                <w:i w:val="0"/>
                <w:iCs w:val="0"/>
                <w:color w:val="000000"/>
              </w:rPr>
            </w:pPr>
            <w:r>
              <w:rPr>
                <w:rFonts w:hint="eastAsia"/>
                <w:i w:val="0"/>
                <w:iCs w:val="0"/>
                <w:color w:val="000000"/>
              </w:rPr>
              <w:t>11、非烧结、非蒸压粉煤灰砖生产线。</w:t>
            </w:r>
          </w:p>
        </w:tc>
        <w:tc>
          <w:tcPr>
            <w:tcW w:w="1065" w:type="pct"/>
            <w:noWrap w:val="0"/>
            <w:vAlign w:val="center"/>
          </w:tcPr>
          <w:p>
            <w:pPr>
              <w:pStyle w:val="390"/>
              <w:rPr>
                <w:rFonts w:hint="eastAsia"/>
                <w:i w:val="0"/>
                <w:iCs w:val="0"/>
                <w:color w:val="000000"/>
              </w:rPr>
            </w:pPr>
            <w:r>
              <w:rPr>
                <w:rFonts w:hint="eastAsia"/>
                <w:i w:val="0"/>
                <w:iCs w:val="0"/>
                <w:color w:val="000000"/>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5" w:type="pct"/>
            <w:vMerge w:val="continue"/>
            <w:noWrap w:val="0"/>
            <w:vAlign w:val="center"/>
          </w:tcPr>
          <w:p>
            <w:pPr>
              <w:pStyle w:val="390"/>
              <w:rPr>
                <w:rFonts w:hint="eastAsia"/>
                <w:i w:val="0"/>
                <w:iCs w:val="0"/>
                <w:color w:val="000000"/>
              </w:rPr>
            </w:pPr>
          </w:p>
        </w:tc>
        <w:tc>
          <w:tcPr>
            <w:tcW w:w="717" w:type="pct"/>
            <w:noWrap w:val="0"/>
            <w:vAlign w:val="center"/>
          </w:tcPr>
          <w:p>
            <w:pPr>
              <w:pStyle w:val="390"/>
              <w:rPr>
                <w:rFonts w:hint="eastAsia"/>
                <w:i w:val="0"/>
                <w:iCs w:val="0"/>
                <w:color w:val="000000"/>
              </w:rPr>
            </w:pPr>
            <w:r>
              <w:rPr>
                <w:rFonts w:hint="eastAsia"/>
                <w:i w:val="0"/>
                <w:iCs w:val="0"/>
                <w:color w:val="000000"/>
              </w:rPr>
              <w:t>煤炭精深加工</w:t>
            </w:r>
          </w:p>
        </w:tc>
        <w:tc>
          <w:tcPr>
            <w:tcW w:w="2781" w:type="pct"/>
            <w:noWrap w:val="0"/>
            <w:vAlign w:val="center"/>
          </w:tcPr>
          <w:p>
            <w:pPr>
              <w:pStyle w:val="390"/>
              <w:jc w:val="both"/>
              <w:rPr>
                <w:rFonts w:hint="eastAsia"/>
                <w:i w:val="0"/>
                <w:iCs w:val="0"/>
                <w:color w:val="000000"/>
              </w:rPr>
            </w:pPr>
            <w:r>
              <w:rPr>
                <w:rFonts w:hint="eastAsia"/>
                <w:i w:val="0"/>
                <w:iCs w:val="0"/>
                <w:color w:val="000000"/>
              </w:rPr>
              <w:t>1、不能实现洗煤废水闭路循环的选煤工艺、不能实现粉尘达标排放的干法选煤设备；</w:t>
            </w:r>
          </w:p>
          <w:p>
            <w:pPr>
              <w:pStyle w:val="390"/>
              <w:jc w:val="both"/>
              <w:rPr>
                <w:rFonts w:hint="eastAsia"/>
                <w:i w:val="0"/>
                <w:iCs w:val="0"/>
                <w:color w:val="000000"/>
              </w:rPr>
            </w:pPr>
            <w:r>
              <w:rPr>
                <w:rFonts w:hint="eastAsia"/>
                <w:i w:val="0"/>
                <w:iCs w:val="0"/>
                <w:color w:val="000000"/>
              </w:rPr>
              <w:t>2、200万吨/年及以下常减压装置（青海格尔木、新疆泽普装置除外），采用明火高温加热方式生产油品的釜式蒸馏装置，废旧橡胶和塑料土法炼油工艺，焦油间歇法生产沥青，2.5万吨/年及以下的单套粗（轻）苯精制装置，5万吨/年及以下的单套煤焦油加工装置；</w:t>
            </w:r>
          </w:p>
          <w:p>
            <w:pPr>
              <w:pStyle w:val="390"/>
              <w:jc w:val="both"/>
              <w:rPr>
                <w:rFonts w:hint="eastAsia"/>
                <w:i w:val="0"/>
                <w:iCs w:val="0"/>
                <w:color w:val="000000"/>
              </w:rPr>
            </w:pPr>
            <w:r>
              <w:rPr>
                <w:rFonts w:hint="eastAsia"/>
                <w:i w:val="0"/>
                <w:iCs w:val="0"/>
                <w:color w:val="000000"/>
              </w:rPr>
              <w:t>3、10万吨/年以下的硫铁矿制酸和硫磺制酸（边远地区除外），间歇焦炭法二硫化碳工艺。</w:t>
            </w:r>
          </w:p>
          <w:p>
            <w:pPr>
              <w:pStyle w:val="390"/>
              <w:jc w:val="both"/>
              <w:rPr>
                <w:rFonts w:hint="eastAsia"/>
                <w:i w:val="0"/>
                <w:iCs w:val="0"/>
                <w:color w:val="000000"/>
              </w:rPr>
            </w:pPr>
            <w:r>
              <w:rPr>
                <w:rFonts w:hint="eastAsia"/>
                <w:i w:val="0"/>
                <w:iCs w:val="0"/>
                <w:color w:val="000000"/>
              </w:rPr>
              <w:t>4、禁止新建、改扩建煤炭开采和洗选项目。</w:t>
            </w:r>
          </w:p>
        </w:tc>
        <w:tc>
          <w:tcPr>
            <w:tcW w:w="1065" w:type="pct"/>
            <w:noWrap w:val="0"/>
            <w:vAlign w:val="center"/>
          </w:tcPr>
          <w:p>
            <w:pPr>
              <w:pStyle w:val="390"/>
              <w:rPr>
                <w:rFonts w:hint="eastAsia"/>
                <w:i w:val="0"/>
                <w:iCs w:val="0"/>
                <w:color w:val="000000"/>
              </w:rPr>
            </w:pPr>
            <w:r>
              <w:rPr>
                <w:rFonts w:hint="eastAsia"/>
                <w:i w:val="0"/>
                <w:iCs w:val="0"/>
                <w:color w:val="000000"/>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5" w:type="pct"/>
            <w:vMerge w:val="continue"/>
            <w:noWrap w:val="0"/>
            <w:vAlign w:val="center"/>
          </w:tcPr>
          <w:p>
            <w:pPr>
              <w:pStyle w:val="390"/>
              <w:rPr>
                <w:rFonts w:hint="eastAsia"/>
                <w:i w:val="0"/>
                <w:iCs w:val="0"/>
                <w:color w:val="000000"/>
              </w:rPr>
            </w:pPr>
          </w:p>
        </w:tc>
        <w:tc>
          <w:tcPr>
            <w:tcW w:w="717" w:type="pct"/>
            <w:noWrap w:val="0"/>
            <w:vAlign w:val="center"/>
          </w:tcPr>
          <w:p>
            <w:pPr>
              <w:pStyle w:val="390"/>
              <w:rPr>
                <w:rFonts w:hint="eastAsia"/>
                <w:i w:val="0"/>
                <w:iCs w:val="0"/>
                <w:color w:val="000000"/>
              </w:rPr>
            </w:pPr>
            <w:r>
              <w:rPr>
                <w:rFonts w:hint="eastAsia"/>
                <w:i w:val="0"/>
                <w:iCs w:val="0"/>
                <w:color w:val="000000"/>
              </w:rPr>
              <w:t>医药制造</w:t>
            </w:r>
          </w:p>
        </w:tc>
        <w:tc>
          <w:tcPr>
            <w:tcW w:w="2781" w:type="pct"/>
            <w:noWrap w:val="0"/>
            <w:vAlign w:val="center"/>
          </w:tcPr>
          <w:p>
            <w:pPr>
              <w:pStyle w:val="390"/>
              <w:jc w:val="both"/>
              <w:rPr>
                <w:rFonts w:hint="eastAsia"/>
                <w:i w:val="0"/>
                <w:iCs w:val="0"/>
                <w:color w:val="000000"/>
              </w:rPr>
            </w:pPr>
            <w:r>
              <w:rPr>
                <w:rFonts w:hint="eastAsia"/>
                <w:i w:val="0"/>
                <w:iCs w:val="0"/>
                <w:color w:val="000000"/>
              </w:rPr>
              <w:t>1、手工胶囊填充工艺；</w:t>
            </w:r>
          </w:p>
          <w:p>
            <w:pPr>
              <w:pStyle w:val="390"/>
              <w:jc w:val="both"/>
              <w:rPr>
                <w:rFonts w:hint="eastAsia"/>
                <w:i w:val="0"/>
                <w:iCs w:val="0"/>
                <w:color w:val="000000"/>
              </w:rPr>
            </w:pPr>
            <w:r>
              <w:rPr>
                <w:rFonts w:hint="eastAsia"/>
                <w:i w:val="0"/>
                <w:iCs w:val="0"/>
                <w:color w:val="000000"/>
              </w:rPr>
              <w:t>2、软木塞烫腊包装药品工艺；</w:t>
            </w:r>
          </w:p>
          <w:p>
            <w:pPr>
              <w:pStyle w:val="390"/>
              <w:jc w:val="both"/>
              <w:rPr>
                <w:rFonts w:hint="eastAsia"/>
                <w:i w:val="0"/>
                <w:iCs w:val="0"/>
                <w:color w:val="000000"/>
              </w:rPr>
            </w:pPr>
            <w:r>
              <w:rPr>
                <w:rFonts w:hint="eastAsia"/>
                <w:i w:val="0"/>
                <w:iCs w:val="0"/>
                <w:color w:val="000000"/>
              </w:rPr>
              <w:t>3、不符合GMP要求的安瓿拉丝灌封机；</w:t>
            </w:r>
          </w:p>
          <w:p>
            <w:pPr>
              <w:pStyle w:val="390"/>
              <w:jc w:val="both"/>
              <w:rPr>
                <w:rFonts w:hint="eastAsia"/>
                <w:i w:val="0"/>
                <w:iCs w:val="0"/>
                <w:color w:val="000000"/>
              </w:rPr>
            </w:pPr>
            <w:r>
              <w:rPr>
                <w:rFonts w:hint="eastAsia"/>
                <w:i w:val="0"/>
                <w:iCs w:val="0"/>
                <w:color w:val="000000"/>
              </w:rPr>
              <w:t>4、塔式重蒸馏水器；</w:t>
            </w:r>
          </w:p>
          <w:p>
            <w:pPr>
              <w:pStyle w:val="390"/>
              <w:jc w:val="both"/>
              <w:rPr>
                <w:rFonts w:hint="eastAsia"/>
                <w:i w:val="0"/>
                <w:iCs w:val="0"/>
                <w:color w:val="000000"/>
              </w:rPr>
            </w:pPr>
            <w:r>
              <w:rPr>
                <w:rFonts w:hint="eastAsia"/>
                <w:i w:val="0"/>
                <w:iCs w:val="0"/>
                <w:color w:val="000000"/>
              </w:rPr>
              <w:t>5、无净化设施的热风干燥箱；</w:t>
            </w:r>
          </w:p>
          <w:p>
            <w:pPr>
              <w:pStyle w:val="390"/>
              <w:jc w:val="both"/>
              <w:rPr>
                <w:rFonts w:hint="eastAsia"/>
                <w:i w:val="0"/>
                <w:iCs w:val="0"/>
                <w:color w:val="000000"/>
              </w:rPr>
            </w:pPr>
            <w:r>
              <w:rPr>
                <w:rFonts w:hint="eastAsia"/>
                <w:i w:val="0"/>
                <w:iCs w:val="0"/>
                <w:color w:val="000000"/>
              </w:rPr>
              <w:t>6、环境、职业健康和安全不能达到国家标准的原料药生产装置；</w:t>
            </w:r>
          </w:p>
          <w:p>
            <w:pPr>
              <w:pStyle w:val="390"/>
              <w:jc w:val="both"/>
              <w:rPr>
                <w:rFonts w:hint="eastAsia"/>
                <w:i w:val="0"/>
                <w:iCs w:val="0"/>
                <w:color w:val="000000"/>
              </w:rPr>
            </w:pPr>
            <w:r>
              <w:rPr>
                <w:rFonts w:hint="eastAsia"/>
                <w:i w:val="0"/>
                <w:iCs w:val="0"/>
                <w:color w:val="000000"/>
              </w:rPr>
              <w:t>7、铁粉还原法对乙酰氨基酚（扑热息痛）、咖啡因装置；</w:t>
            </w:r>
          </w:p>
          <w:p>
            <w:pPr>
              <w:pStyle w:val="390"/>
              <w:jc w:val="both"/>
              <w:rPr>
                <w:rFonts w:hint="eastAsia"/>
                <w:i w:val="0"/>
                <w:iCs w:val="0"/>
                <w:color w:val="000000"/>
              </w:rPr>
            </w:pPr>
            <w:r>
              <w:rPr>
                <w:rFonts w:hint="eastAsia"/>
                <w:i w:val="0"/>
                <w:iCs w:val="0"/>
                <w:color w:val="000000"/>
              </w:rPr>
              <w:t>8、使用氯氟烃（CFCs）作为气雾剂、推进剂、抛射剂或分散剂的医药用品生产工艺（根据国家履行国际公约总体计划要求进行淘汰）。</w:t>
            </w:r>
          </w:p>
        </w:tc>
        <w:tc>
          <w:tcPr>
            <w:tcW w:w="1065" w:type="pct"/>
            <w:noWrap w:val="0"/>
            <w:vAlign w:val="center"/>
          </w:tcPr>
          <w:p>
            <w:pPr>
              <w:pStyle w:val="390"/>
              <w:rPr>
                <w:rFonts w:hint="eastAsia"/>
                <w:i w:val="0"/>
                <w:iCs w:val="0"/>
                <w:color w:val="000000"/>
              </w:rPr>
            </w:pPr>
            <w:r>
              <w:rPr>
                <w:rFonts w:hint="eastAsia"/>
                <w:i w:val="0"/>
                <w:iCs w:val="0"/>
                <w:color w:val="000000"/>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5" w:type="pct"/>
            <w:vMerge w:val="continue"/>
            <w:noWrap w:val="0"/>
            <w:vAlign w:val="center"/>
          </w:tcPr>
          <w:p>
            <w:pPr>
              <w:pStyle w:val="390"/>
              <w:rPr>
                <w:rFonts w:hint="eastAsia"/>
                <w:i w:val="0"/>
                <w:iCs w:val="0"/>
                <w:color w:val="000000"/>
              </w:rPr>
            </w:pPr>
          </w:p>
        </w:tc>
        <w:tc>
          <w:tcPr>
            <w:tcW w:w="3498" w:type="pct"/>
            <w:gridSpan w:val="2"/>
            <w:noWrap w:val="0"/>
            <w:vAlign w:val="center"/>
          </w:tcPr>
          <w:p>
            <w:pPr>
              <w:pStyle w:val="390"/>
              <w:jc w:val="both"/>
              <w:rPr>
                <w:rFonts w:hint="eastAsia"/>
                <w:i w:val="0"/>
                <w:iCs w:val="0"/>
                <w:color w:val="000000"/>
              </w:rPr>
            </w:pPr>
            <w:r>
              <w:rPr>
                <w:rFonts w:hint="eastAsia"/>
                <w:i w:val="0"/>
                <w:iCs w:val="0"/>
                <w:color w:val="000000"/>
              </w:rPr>
              <w:t>《产业结构调整指导目录（2019年本）》中的“淘汰类”项目</w:t>
            </w:r>
          </w:p>
        </w:tc>
        <w:tc>
          <w:tcPr>
            <w:tcW w:w="1065" w:type="pct"/>
            <w:noWrap w:val="0"/>
            <w:vAlign w:val="center"/>
          </w:tcPr>
          <w:p>
            <w:pPr>
              <w:pStyle w:val="390"/>
              <w:rPr>
                <w:rFonts w:hint="eastAsia"/>
                <w:i w:val="0"/>
                <w:iCs w:val="0"/>
                <w:color w:val="000000"/>
              </w:rPr>
            </w:pPr>
            <w:r>
              <w:rPr>
                <w:rFonts w:hint="eastAsia"/>
                <w:i w:val="0"/>
                <w:iCs w:val="0"/>
                <w:color w:val="000000"/>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5" w:type="pct"/>
            <w:vMerge w:val="continue"/>
            <w:noWrap w:val="0"/>
            <w:vAlign w:val="center"/>
          </w:tcPr>
          <w:p>
            <w:pPr>
              <w:pStyle w:val="390"/>
              <w:rPr>
                <w:rFonts w:hint="eastAsia"/>
                <w:i w:val="0"/>
                <w:iCs w:val="0"/>
                <w:color w:val="000000"/>
              </w:rPr>
            </w:pPr>
          </w:p>
        </w:tc>
        <w:tc>
          <w:tcPr>
            <w:tcW w:w="3498" w:type="pct"/>
            <w:gridSpan w:val="2"/>
            <w:noWrap w:val="0"/>
            <w:vAlign w:val="center"/>
          </w:tcPr>
          <w:p>
            <w:pPr>
              <w:pStyle w:val="390"/>
              <w:jc w:val="both"/>
              <w:rPr>
                <w:rFonts w:hint="eastAsia"/>
                <w:i w:val="0"/>
                <w:iCs w:val="0"/>
                <w:color w:val="000000"/>
              </w:rPr>
            </w:pPr>
            <w:r>
              <w:rPr>
                <w:rFonts w:hint="eastAsia"/>
                <w:i w:val="0"/>
                <w:iCs w:val="0"/>
                <w:color w:val="000000"/>
              </w:rPr>
              <w:t>《外商投资产业指导目录》中禁止外商投资的项目</w:t>
            </w:r>
          </w:p>
        </w:tc>
        <w:tc>
          <w:tcPr>
            <w:tcW w:w="1065" w:type="pct"/>
            <w:noWrap w:val="0"/>
            <w:vAlign w:val="center"/>
          </w:tcPr>
          <w:p>
            <w:pPr>
              <w:pStyle w:val="390"/>
              <w:rPr>
                <w:rFonts w:hint="eastAsia"/>
                <w:i w:val="0"/>
                <w:iCs w:val="0"/>
                <w:color w:val="000000"/>
              </w:rPr>
            </w:pPr>
            <w:r>
              <w:rPr>
                <w:rFonts w:hint="eastAsia"/>
                <w:i w:val="0"/>
                <w:iCs w:val="0"/>
                <w:color w:val="000000"/>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5" w:type="pct"/>
            <w:vMerge w:val="continue"/>
            <w:noWrap w:val="0"/>
            <w:vAlign w:val="center"/>
          </w:tcPr>
          <w:p>
            <w:pPr>
              <w:pStyle w:val="390"/>
              <w:rPr>
                <w:rFonts w:hint="eastAsia"/>
                <w:i w:val="0"/>
                <w:iCs w:val="0"/>
                <w:color w:val="000000"/>
              </w:rPr>
            </w:pPr>
          </w:p>
        </w:tc>
        <w:tc>
          <w:tcPr>
            <w:tcW w:w="3498" w:type="pct"/>
            <w:gridSpan w:val="2"/>
            <w:noWrap w:val="0"/>
            <w:vAlign w:val="center"/>
          </w:tcPr>
          <w:p>
            <w:pPr>
              <w:pStyle w:val="390"/>
              <w:jc w:val="both"/>
              <w:rPr>
                <w:rFonts w:hint="eastAsia"/>
                <w:i w:val="0"/>
                <w:iCs w:val="0"/>
                <w:color w:val="000000"/>
              </w:rPr>
            </w:pPr>
            <w:r>
              <w:rPr>
                <w:rFonts w:hint="eastAsia"/>
                <w:i w:val="0"/>
                <w:iCs w:val="0"/>
                <w:color w:val="000000"/>
              </w:rPr>
              <w:t>禁止不符合国家产业政策项目入区</w:t>
            </w:r>
          </w:p>
        </w:tc>
        <w:tc>
          <w:tcPr>
            <w:tcW w:w="1065" w:type="pct"/>
            <w:noWrap w:val="0"/>
            <w:vAlign w:val="center"/>
          </w:tcPr>
          <w:p>
            <w:pPr>
              <w:pStyle w:val="390"/>
              <w:jc w:val="both"/>
              <w:rPr>
                <w:rFonts w:hint="eastAsia"/>
                <w:i w:val="0"/>
                <w:iCs w:val="0"/>
                <w:color w:val="000000"/>
              </w:rPr>
            </w:pPr>
            <w:r>
              <w:rPr>
                <w:rFonts w:hint="eastAsia"/>
                <w:i w:val="0"/>
                <w:iCs w:val="0"/>
                <w:color w:val="000000"/>
              </w:rPr>
              <w:t>本项目属于“第一类 鼓励类—第一条 农林牧渔业—13、绿色农业：全生物降解地膜、高强度易回收地膜农田示范与应用，受污染耕地风险管控与修复，符合绿色低碳循环要求的饲料、饲料添加剂、肥料、农药、兽药等优质安全环保农业投入品及绿色食品生产允许使用的食品添加剂开发，农产品及其产地环境监测技术开发和应用，有机废弃物无害化、价值化处理及有机肥料产业化技术开发与应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435" w:type="pct"/>
            <w:noWrap w:val="0"/>
            <w:vAlign w:val="center"/>
          </w:tcPr>
          <w:p>
            <w:pPr>
              <w:pStyle w:val="390"/>
              <w:rPr>
                <w:i w:val="0"/>
                <w:iCs w:val="0"/>
                <w:color w:val="000000"/>
              </w:rPr>
            </w:pPr>
            <w:r>
              <w:rPr>
                <w:rFonts w:hint="eastAsia"/>
                <w:i w:val="0"/>
                <w:iCs w:val="0"/>
                <w:color w:val="000000"/>
              </w:rPr>
              <w:t>备注</w:t>
            </w:r>
          </w:p>
        </w:tc>
        <w:tc>
          <w:tcPr>
            <w:tcW w:w="3498" w:type="pct"/>
            <w:gridSpan w:val="2"/>
            <w:noWrap w:val="0"/>
            <w:vAlign w:val="center"/>
          </w:tcPr>
          <w:p>
            <w:pPr>
              <w:pStyle w:val="390"/>
              <w:jc w:val="both"/>
              <w:rPr>
                <w:rFonts w:hint="eastAsia"/>
                <w:i w:val="0"/>
                <w:iCs w:val="0"/>
                <w:color w:val="000000"/>
              </w:rPr>
            </w:pPr>
            <w:r>
              <w:rPr>
                <w:rFonts w:hint="eastAsia"/>
                <w:i w:val="0"/>
                <w:iCs w:val="0"/>
                <w:color w:val="000000"/>
              </w:rPr>
              <w:t>未在以上规定范围内有条件准入的行业应根据禁入与准入条件分析论证后，确定是否入区</w:t>
            </w:r>
          </w:p>
        </w:tc>
        <w:tc>
          <w:tcPr>
            <w:tcW w:w="1065" w:type="pct"/>
            <w:noWrap w:val="0"/>
            <w:vAlign w:val="center"/>
          </w:tcPr>
          <w:p>
            <w:pPr>
              <w:pStyle w:val="390"/>
              <w:rPr>
                <w:i w:val="0"/>
                <w:iCs w:val="0"/>
                <w:color w:val="000000"/>
              </w:rPr>
            </w:pPr>
            <w:r>
              <w:rPr>
                <w:rFonts w:hint="eastAsia"/>
                <w:i w:val="0"/>
                <w:iCs w:val="0"/>
                <w:color w:val="000000"/>
              </w:rPr>
              <w:t>与禁入与准入条件进行了分析，项目不在禁止和限制入区清单中</w:t>
            </w:r>
          </w:p>
        </w:tc>
      </w:tr>
    </w:tbl>
    <w:p>
      <w:pPr>
        <w:pStyle w:val="24"/>
        <w:tabs>
          <w:tab w:val="left" w:pos="0"/>
          <w:tab w:val="left" w:pos="1260"/>
        </w:tabs>
        <w:spacing w:line="360" w:lineRule="auto"/>
        <w:ind w:firstLine="480"/>
        <w:jc w:val="left"/>
        <w:rPr>
          <w:i w:val="0"/>
          <w:iCs w:val="0"/>
        </w:rPr>
      </w:pPr>
      <w:r>
        <w:rPr>
          <w:rFonts w:hint="eastAsia"/>
          <w:i w:val="0"/>
          <w:iCs w:val="0"/>
        </w:rPr>
        <w:t>（4）与《吉林江源经济开发区总体规划（2020-2035年）环境影响报告书》审查意见符合性分析</w:t>
      </w:r>
    </w:p>
    <w:p>
      <w:pPr>
        <w:pStyle w:val="92"/>
        <w:spacing w:before="0" w:after="0" w:line="240" w:lineRule="auto"/>
        <w:ind w:firstLine="482" w:firstLineChars="200"/>
        <w:jc w:val="center"/>
        <w:rPr>
          <w:rFonts w:ascii="Times New Roman" w:eastAsia="宋体"/>
          <w:b/>
          <w:bCs/>
          <w:i w:val="0"/>
          <w:iCs w:val="0"/>
          <w:szCs w:val="24"/>
        </w:rPr>
      </w:pPr>
      <w:r>
        <w:rPr>
          <w:rFonts w:hint="eastAsia" w:ascii="Times New Roman" w:eastAsia="宋体"/>
          <w:b/>
          <w:bCs/>
          <w:i w:val="0"/>
          <w:iCs w:val="0"/>
          <w:szCs w:val="24"/>
        </w:rPr>
        <w:t>表1-</w:t>
      </w:r>
      <w:r>
        <w:rPr>
          <w:rFonts w:hint="eastAsia" w:ascii="Times New Roman" w:eastAsia="宋体"/>
          <w:b/>
          <w:bCs/>
          <w:i w:val="0"/>
          <w:iCs w:val="0"/>
          <w:szCs w:val="24"/>
          <w:lang w:val="en-US" w:eastAsia="zh-CN"/>
        </w:rPr>
        <w:t>8</w:t>
      </w:r>
      <w:r>
        <w:rPr>
          <w:rFonts w:hint="eastAsia" w:ascii="Times New Roman" w:eastAsia="宋体"/>
          <w:b/>
          <w:bCs/>
          <w:i w:val="0"/>
          <w:iCs w:val="0"/>
          <w:szCs w:val="24"/>
        </w:rPr>
        <w:t xml:space="preserve"> 《吉林江源经济开发区总体规划（2020-2035年）环境影响报告书》审查意见符合性分析</w:t>
      </w:r>
    </w:p>
    <w:tbl>
      <w:tblPr>
        <w:tblStyle w:val="5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9964"/>
        <w:gridCol w:w="30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26" w:type="pct"/>
            <w:noWrap w:val="0"/>
            <w:vAlign w:val="center"/>
          </w:tcPr>
          <w:p>
            <w:pPr>
              <w:pStyle w:val="390"/>
              <w:rPr>
                <w:b/>
                <w:bCs/>
                <w:i w:val="0"/>
                <w:iCs w:val="0"/>
                <w:color w:val="000000"/>
              </w:rPr>
            </w:pPr>
            <w:r>
              <w:rPr>
                <w:rFonts w:hint="eastAsia"/>
                <w:b/>
                <w:bCs/>
                <w:i w:val="0"/>
                <w:iCs w:val="0"/>
                <w:color w:val="000000"/>
              </w:rPr>
              <w:t>序号</w:t>
            </w:r>
          </w:p>
        </w:tc>
        <w:tc>
          <w:tcPr>
            <w:tcW w:w="3506" w:type="pct"/>
            <w:noWrap w:val="0"/>
            <w:vAlign w:val="center"/>
          </w:tcPr>
          <w:p>
            <w:pPr>
              <w:pStyle w:val="390"/>
              <w:rPr>
                <w:b/>
                <w:bCs/>
                <w:i w:val="0"/>
                <w:iCs w:val="0"/>
                <w:color w:val="000000"/>
              </w:rPr>
            </w:pPr>
            <w:r>
              <w:rPr>
                <w:rFonts w:hint="eastAsia"/>
                <w:b/>
                <w:bCs/>
                <w:i w:val="0"/>
                <w:iCs w:val="0"/>
                <w:color w:val="000000"/>
              </w:rPr>
              <w:t>审查意见</w:t>
            </w:r>
          </w:p>
        </w:tc>
        <w:tc>
          <w:tcPr>
            <w:tcW w:w="1067" w:type="pct"/>
            <w:noWrap w:val="0"/>
            <w:vAlign w:val="center"/>
          </w:tcPr>
          <w:p>
            <w:pPr>
              <w:pStyle w:val="390"/>
              <w:rPr>
                <w:b/>
                <w:bCs/>
                <w:i w:val="0"/>
                <w:iCs w:val="0"/>
                <w:color w:val="000000"/>
              </w:rPr>
            </w:pPr>
            <w:r>
              <w:rPr>
                <w:rFonts w:hint="eastAsia"/>
                <w:b/>
                <w:bCs/>
                <w:i w:val="0"/>
                <w:iCs w:val="0"/>
                <w:color w:val="000000"/>
              </w:rPr>
              <w:t>本项目符合性分析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6" w:type="pct"/>
            <w:noWrap w:val="0"/>
            <w:vAlign w:val="center"/>
          </w:tcPr>
          <w:p>
            <w:pPr>
              <w:pStyle w:val="390"/>
              <w:rPr>
                <w:rFonts w:hint="eastAsia"/>
                <w:i w:val="0"/>
                <w:iCs w:val="0"/>
                <w:color w:val="000000"/>
              </w:rPr>
            </w:pPr>
            <w:r>
              <w:rPr>
                <w:rFonts w:hint="eastAsia"/>
                <w:i w:val="0"/>
                <w:iCs w:val="0"/>
                <w:color w:val="000000"/>
              </w:rPr>
              <w:t>（一）</w:t>
            </w:r>
          </w:p>
        </w:tc>
        <w:tc>
          <w:tcPr>
            <w:tcW w:w="3506" w:type="pct"/>
            <w:noWrap w:val="0"/>
            <w:vAlign w:val="center"/>
          </w:tcPr>
          <w:p>
            <w:pPr>
              <w:pStyle w:val="390"/>
              <w:rPr>
                <w:rFonts w:hint="eastAsia"/>
                <w:i w:val="0"/>
                <w:iCs w:val="0"/>
                <w:color w:val="000000"/>
              </w:rPr>
            </w:pPr>
            <w:r>
              <w:rPr>
                <w:rFonts w:hint="eastAsia"/>
                <w:i w:val="0"/>
                <w:iCs w:val="0"/>
                <w:color w:val="000000"/>
              </w:rPr>
              <w:t>开发区管委会应及时与白山市人民政府沟通，进一步优化规划范围及规划主导产业定位，确保本规划与国土空间规划协调一致，衔接吉林省及白山市“三线一单”成果，落实生态环境分区管控要求，严格执行生态环境准入清单。</w:t>
            </w:r>
          </w:p>
        </w:tc>
        <w:tc>
          <w:tcPr>
            <w:tcW w:w="1067" w:type="pct"/>
            <w:noWrap w:val="0"/>
            <w:vAlign w:val="center"/>
          </w:tcPr>
          <w:p>
            <w:pPr>
              <w:pStyle w:val="390"/>
              <w:rPr>
                <w:i w:val="0"/>
                <w:iCs w:val="0"/>
                <w:color w:val="000000"/>
              </w:rPr>
            </w:pPr>
            <w:r>
              <w:rPr>
                <w:rFonts w:hint="eastAsia"/>
                <w:i w:val="0"/>
                <w:iCs w:val="0"/>
                <w:color w:val="000000"/>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6" w:type="pct"/>
            <w:noWrap w:val="0"/>
            <w:vAlign w:val="center"/>
          </w:tcPr>
          <w:p>
            <w:pPr>
              <w:pStyle w:val="390"/>
              <w:rPr>
                <w:rFonts w:hint="eastAsia"/>
                <w:i w:val="0"/>
                <w:iCs w:val="0"/>
                <w:color w:val="000000"/>
              </w:rPr>
            </w:pPr>
            <w:r>
              <w:rPr>
                <w:rFonts w:hint="eastAsia"/>
                <w:i w:val="0"/>
                <w:iCs w:val="0"/>
                <w:color w:val="000000"/>
              </w:rPr>
              <w:t>（二）</w:t>
            </w:r>
          </w:p>
        </w:tc>
        <w:tc>
          <w:tcPr>
            <w:tcW w:w="3506" w:type="pct"/>
            <w:noWrap w:val="0"/>
            <w:vAlign w:val="center"/>
          </w:tcPr>
          <w:p>
            <w:pPr>
              <w:pStyle w:val="390"/>
              <w:rPr>
                <w:rFonts w:hint="eastAsia"/>
                <w:i w:val="0"/>
                <w:iCs w:val="0"/>
                <w:color w:val="000000"/>
              </w:rPr>
            </w:pPr>
            <w:r>
              <w:rPr>
                <w:rFonts w:hint="eastAsia"/>
                <w:i w:val="0"/>
                <w:iCs w:val="0"/>
                <w:color w:val="000000"/>
              </w:rPr>
              <w:t>开发区管委会应按照《吉林省化工园区认定管理办法》要求，及时向省化工园区高质量发展专项工作领导小组办公室提出化工园区认定申请，通过认定后的化工园区，方可引入符合园区规划产业定位的化工类项目。</w:t>
            </w:r>
          </w:p>
        </w:tc>
        <w:tc>
          <w:tcPr>
            <w:tcW w:w="1067" w:type="pct"/>
            <w:noWrap w:val="0"/>
            <w:vAlign w:val="center"/>
          </w:tcPr>
          <w:p>
            <w:pPr>
              <w:pStyle w:val="390"/>
              <w:rPr>
                <w:i w:val="0"/>
                <w:iCs w:val="0"/>
                <w:color w:val="000000"/>
              </w:rPr>
            </w:pPr>
            <w:r>
              <w:rPr>
                <w:rFonts w:hint="eastAsia"/>
                <w:i w:val="0"/>
                <w:iCs w:val="0"/>
                <w:color w:val="000000"/>
              </w:rPr>
              <w:t>本项目不属于化工类项目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6" w:type="pct"/>
            <w:noWrap w:val="0"/>
            <w:vAlign w:val="center"/>
          </w:tcPr>
          <w:p>
            <w:pPr>
              <w:pStyle w:val="390"/>
              <w:rPr>
                <w:rFonts w:hint="eastAsia"/>
                <w:i w:val="0"/>
                <w:iCs w:val="0"/>
                <w:color w:val="000000"/>
              </w:rPr>
            </w:pPr>
            <w:r>
              <w:rPr>
                <w:rFonts w:hint="eastAsia"/>
                <w:i w:val="0"/>
                <w:iCs w:val="0"/>
                <w:color w:val="000000"/>
              </w:rPr>
              <w:t>（三）</w:t>
            </w:r>
          </w:p>
        </w:tc>
        <w:tc>
          <w:tcPr>
            <w:tcW w:w="3506" w:type="pct"/>
            <w:noWrap w:val="0"/>
            <w:vAlign w:val="center"/>
          </w:tcPr>
          <w:p>
            <w:pPr>
              <w:pStyle w:val="390"/>
              <w:rPr>
                <w:rFonts w:hint="eastAsia"/>
                <w:i w:val="0"/>
                <w:iCs w:val="0"/>
                <w:color w:val="000000"/>
              </w:rPr>
            </w:pPr>
            <w:r>
              <w:rPr>
                <w:rFonts w:hint="eastAsia"/>
                <w:i w:val="0"/>
                <w:iCs w:val="0"/>
                <w:color w:val="000000"/>
              </w:rPr>
              <w:t>开发区位于国家重点生态功能区（水源涵养型），建设项目入区应符合吉林省发改委印发的《白山市江源区国家重点生态功能区产业准入负面清单》（试行版），严格开发区生态环境准入，严格控制高污染、高能耗、高水耗项目的入区。</w:t>
            </w:r>
          </w:p>
        </w:tc>
        <w:tc>
          <w:tcPr>
            <w:tcW w:w="1067" w:type="pct"/>
            <w:noWrap w:val="0"/>
            <w:vAlign w:val="center"/>
          </w:tcPr>
          <w:p>
            <w:pPr>
              <w:pStyle w:val="390"/>
              <w:rPr>
                <w:i w:val="0"/>
                <w:iCs w:val="0"/>
                <w:color w:val="000000"/>
              </w:rPr>
            </w:pPr>
            <w:r>
              <w:rPr>
                <w:rFonts w:hint="eastAsia"/>
                <w:i w:val="0"/>
                <w:iCs w:val="0"/>
                <w:color w:val="000000"/>
              </w:rPr>
              <w:t>本项目不属于</w:t>
            </w:r>
            <w:r>
              <w:rPr>
                <w:rFonts w:hint="eastAsia"/>
                <w:i w:val="0"/>
                <w:iCs w:val="0"/>
                <w:color w:val="000000"/>
                <w:lang w:eastAsia="zh-CN"/>
              </w:rPr>
              <w:t>高</w:t>
            </w:r>
            <w:r>
              <w:rPr>
                <w:rFonts w:hint="eastAsia"/>
                <w:i w:val="0"/>
                <w:iCs w:val="0"/>
                <w:color w:val="000000"/>
              </w:rPr>
              <w:t>污染、高能耗、高水耗项目，不属于《白山市江源区国家重点生态功能区产业准入负面清单》（试行版）禁止和类限制类产业，项目建设不损害生态系统功能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6" w:type="pct"/>
            <w:noWrap w:val="0"/>
            <w:vAlign w:val="center"/>
          </w:tcPr>
          <w:p>
            <w:pPr>
              <w:pStyle w:val="390"/>
              <w:rPr>
                <w:rFonts w:hint="eastAsia"/>
                <w:i w:val="0"/>
                <w:iCs w:val="0"/>
                <w:color w:val="000000"/>
              </w:rPr>
            </w:pPr>
            <w:r>
              <w:rPr>
                <w:rFonts w:hint="eastAsia"/>
                <w:i w:val="0"/>
                <w:iCs w:val="0"/>
                <w:color w:val="000000"/>
              </w:rPr>
              <w:t>（四）</w:t>
            </w:r>
          </w:p>
        </w:tc>
        <w:tc>
          <w:tcPr>
            <w:tcW w:w="3506" w:type="pct"/>
            <w:noWrap w:val="0"/>
            <w:vAlign w:val="center"/>
          </w:tcPr>
          <w:p>
            <w:pPr>
              <w:pStyle w:val="390"/>
              <w:rPr>
                <w:rFonts w:hint="eastAsia"/>
                <w:i w:val="0"/>
                <w:iCs w:val="0"/>
                <w:color w:val="000000"/>
              </w:rPr>
            </w:pPr>
            <w:r>
              <w:rPr>
                <w:rFonts w:hint="eastAsia"/>
                <w:i w:val="0"/>
                <w:iCs w:val="0"/>
                <w:color w:val="000000"/>
              </w:rPr>
              <w:t>禁止区内现有煤化工项目和其他与所在功能区产业定位和用地性质不一致的企业扩建，鼓励其升级改造或在条件允许时逐步搬迁淘汰，企业搬迁完成另为他用前，应按照相关要求开展场地环境调查，并对污染场地进行治理修复，满足相关用地要求。</w:t>
            </w:r>
          </w:p>
        </w:tc>
        <w:tc>
          <w:tcPr>
            <w:tcW w:w="1067" w:type="pct"/>
            <w:noWrap w:val="0"/>
            <w:vAlign w:val="center"/>
          </w:tcPr>
          <w:p>
            <w:pPr>
              <w:pStyle w:val="390"/>
              <w:rPr>
                <w:i w:val="0"/>
                <w:iCs w:val="0"/>
                <w:color w:val="000000"/>
              </w:rPr>
            </w:pPr>
            <w:r>
              <w:rPr>
                <w:rFonts w:hint="eastAsia"/>
                <w:i w:val="0"/>
                <w:iCs w:val="0"/>
                <w:color w:val="000000"/>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6" w:type="pct"/>
            <w:noWrap w:val="0"/>
            <w:vAlign w:val="center"/>
          </w:tcPr>
          <w:p>
            <w:pPr>
              <w:pStyle w:val="390"/>
              <w:rPr>
                <w:rFonts w:hint="eastAsia"/>
                <w:i w:val="0"/>
                <w:iCs w:val="0"/>
                <w:color w:val="000000"/>
              </w:rPr>
            </w:pPr>
            <w:r>
              <w:rPr>
                <w:rFonts w:hint="eastAsia"/>
                <w:i w:val="0"/>
                <w:iCs w:val="0"/>
                <w:color w:val="000000"/>
              </w:rPr>
              <w:t>（五）</w:t>
            </w:r>
          </w:p>
        </w:tc>
        <w:tc>
          <w:tcPr>
            <w:tcW w:w="3506" w:type="pct"/>
            <w:noWrap w:val="0"/>
            <w:vAlign w:val="center"/>
          </w:tcPr>
          <w:p>
            <w:pPr>
              <w:pStyle w:val="390"/>
              <w:rPr>
                <w:rFonts w:hint="eastAsia"/>
                <w:i w:val="0"/>
                <w:iCs w:val="0"/>
                <w:color w:val="000000"/>
              </w:rPr>
            </w:pPr>
            <w:r>
              <w:rPr>
                <w:rFonts w:hint="eastAsia"/>
                <w:i w:val="0"/>
                <w:iCs w:val="0"/>
                <w:color w:val="000000"/>
              </w:rPr>
              <w:t>完善区内排水体系建设，加快推进污水管网建设进度，提高开发区内企业废（污）水的纳管率，区内企业应做到“清污分流、雨污分流”，实现废水分类收集、分质处理，加强对企业废水预处理设施运行的环境监管，按照要求设置在线监控装置及自动阀门。</w:t>
            </w:r>
          </w:p>
        </w:tc>
        <w:tc>
          <w:tcPr>
            <w:tcW w:w="1067" w:type="pct"/>
            <w:noWrap w:val="0"/>
            <w:vAlign w:val="center"/>
          </w:tcPr>
          <w:p>
            <w:pPr>
              <w:pStyle w:val="390"/>
              <w:rPr>
                <w:i w:val="0"/>
                <w:iCs w:val="0"/>
                <w:color w:val="000000"/>
              </w:rPr>
            </w:pPr>
            <w:r>
              <w:rPr>
                <w:rFonts w:hint="eastAsia"/>
                <w:i w:val="0"/>
                <w:iCs w:val="0"/>
                <w:color w:val="000000"/>
              </w:rPr>
              <w:t>项目采用“清污分流、雨污分流”生活污水、生产废水分别收集。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6" w:type="pct"/>
            <w:noWrap w:val="0"/>
            <w:vAlign w:val="center"/>
          </w:tcPr>
          <w:p>
            <w:pPr>
              <w:pStyle w:val="390"/>
              <w:rPr>
                <w:rFonts w:hint="eastAsia"/>
                <w:i w:val="0"/>
                <w:iCs w:val="0"/>
                <w:color w:val="000000"/>
              </w:rPr>
            </w:pPr>
            <w:r>
              <w:rPr>
                <w:rFonts w:hint="eastAsia"/>
                <w:i w:val="0"/>
                <w:iCs w:val="0"/>
                <w:color w:val="000000"/>
              </w:rPr>
              <w:t>（六）</w:t>
            </w:r>
          </w:p>
        </w:tc>
        <w:tc>
          <w:tcPr>
            <w:tcW w:w="3506" w:type="pct"/>
            <w:noWrap w:val="0"/>
            <w:vAlign w:val="center"/>
          </w:tcPr>
          <w:p>
            <w:pPr>
              <w:pStyle w:val="390"/>
              <w:rPr>
                <w:rFonts w:hint="eastAsia"/>
                <w:i w:val="0"/>
                <w:iCs w:val="0"/>
                <w:color w:val="000000"/>
              </w:rPr>
            </w:pPr>
            <w:r>
              <w:rPr>
                <w:rFonts w:hint="eastAsia"/>
                <w:i w:val="0"/>
                <w:iCs w:val="0"/>
                <w:color w:val="000000"/>
              </w:rPr>
              <w:t>严控地下水开采，以水定产，避免区内地下水过度开采。加快区内集中供水设施和配套管网建设，尽快实现集中供水。</w:t>
            </w:r>
          </w:p>
        </w:tc>
        <w:tc>
          <w:tcPr>
            <w:tcW w:w="1067" w:type="pct"/>
            <w:noWrap w:val="0"/>
            <w:vAlign w:val="center"/>
          </w:tcPr>
          <w:p>
            <w:pPr>
              <w:pStyle w:val="390"/>
              <w:rPr>
                <w:i w:val="0"/>
                <w:iCs w:val="0"/>
                <w:color w:val="000000"/>
              </w:rPr>
            </w:pPr>
            <w:r>
              <w:rPr>
                <w:rFonts w:hint="eastAsia"/>
                <w:i w:val="0"/>
                <w:iCs w:val="0"/>
                <w:color w:val="000000"/>
              </w:rPr>
              <w:t>本项目用水取用市政供水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6" w:type="pct"/>
            <w:noWrap w:val="0"/>
            <w:vAlign w:val="center"/>
          </w:tcPr>
          <w:p>
            <w:pPr>
              <w:pStyle w:val="390"/>
              <w:rPr>
                <w:rFonts w:hint="eastAsia"/>
                <w:i w:val="0"/>
                <w:iCs w:val="0"/>
                <w:color w:val="000000"/>
              </w:rPr>
            </w:pPr>
            <w:r>
              <w:rPr>
                <w:rFonts w:hint="eastAsia"/>
                <w:i w:val="0"/>
                <w:iCs w:val="0"/>
                <w:color w:val="000000"/>
              </w:rPr>
              <w:t>（七）</w:t>
            </w:r>
          </w:p>
        </w:tc>
        <w:tc>
          <w:tcPr>
            <w:tcW w:w="3506" w:type="pct"/>
            <w:noWrap w:val="0"/>
            <w:vAlign w:val="center"/>
          </w:tcPr>
          <w:p>
            <w:pPr>
              <w:pStyle w:val="390"/>
              <w:rPr>
                <w:rFonts w:hint="eastAsia"/>
                <w:i w:val="0"/>
                <w:iCs w:val="0"/>
                <w:color w:val="000000"/>
              </w:rPr>
            </w:pPr>
            <w:r>
              <w:rPr>
                <w:rFonts w:hint="eastAsia"/>
                <w:i w:val="0"/>
                <w:iCs w:val="0"/>
                <w:color w:val="000000"/>
              </w:rPr>
              <w:t>开发区与白山市江源区城市建成区部分重叠，大气环境较敏感，应进一步优化产业布局，做好生产和生活之间的隔离，将大气污染物排放量大的企业布设在远离城区一侧，紧邻城区的区域应设置绿化隔离带，避免企业产生的大气污染物对城区产生不利环境影响。</w:t>
            </w:r>
          </w:p>
        </w:tc>
        <w:tc>
          <w:tcPr>
            <w:tcW w:w="1067" w:type="pct"/>
            <w:noWrap w:val="0"/>
            <w:vAlign w:val="center"/>
          </w:tcPr>
          <w:p>
            <w:pPr>
              <w:pStyle w:val="390"/>
              <w:rPr>
                <w:i w:val="0"/>
                <w:iCs w:val="0"/>
                <w:color w:val="000000"/>
              </w:rPr>
            </w:pPr>
            <w:r>
              <w:rPr>
                <w:rFonts w:hint="eastAsia"/>
                <w:i w:val="0"/>
                <w:iCs w:val="0"/>
                <w:color w:val="000000"/>
              </w:rPr>
              <w:t>本项目不属于大气污染物排放量大的企业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6" w:type="pct"/>
            <w:noWrap w:val="0"/>
            <w:vAlign w:val="center"/>
          </w:tcPr>
          <w:p>
            <w:pPr>
              <w:pStyle w:val="390"/>
              <w:rPr>
                <w:rFonts w:hint="eastAsia"/>
                <w:i w:val="0"/>
                <w:iCs w:val="0"/>
                <w:color w:val="000000"/>
              </w:rPr>
            </w:pPr>
            <w:r>
              <w:rPr>
                <w:rFonts w:hint="eastAsia"/>
                <w:i w:val="0"/>
                <w:iCs w:val="0"/>
                <w:color w:val="000000"/>
              </w:rPr>
              <w:t>（八）</w:t>
            </w:r>
          </w:p>
        </w:tc>
        <w:tc>
          <w:tcPr>
            <w:tcW w:w="3506" w:type="pct"/>
            <w:noWrap w:val="0"/>
            <w:vAlign w:val="center"/>
          </w:tcPr>
          <w:p>
            <w:pPr>
              <w:pStyle w:val="390"/>
              <w:rPr>
                <w:rFonts w:hint="eastAsia"/>
                <w:i w:val="0"/>
                <w:iCs w:val="0"/>
                <w:color w:val="000000"/>
              </w:rPr>
            </w:pPr>
            <w:r>
              <w:rPr>
                <w:rFonts w:hint="eastAsia"/>
                <w:i w:val="0"/>
                <w:iCs w:val="0"/>
                <w:color w:val="000000"/>
              </w:rPr>
              <w:t>开发区规划范围存在部分永久基本农田，开发过程中应严守基本农田空间保护底线，合理优化产业布局，在基本农田周边设置缓冲区，避免区内企业产生的大气污染物对基本农田产生不利环境影响，确保区内基本农田的面积及数量不减少，保障基本农田质量不降低。</w:t>
            </w:r>
          </w:p>
        </w:tc>
        <w:tc>
          <w:tcPr>
            <w:tcW w:w="1067" w:type="pct"/>
            <w:noWrap w:val="0"/>
            <w:vAlign w:val="center"/>
          </w:tcPr>
          <w:p>
            <w:pPr>
              <w:pStyle w:val="390"/>
              <w:rPr>
                <w:i w:val="0"/>
                <w:iCs w:val="0"/>
                <w:color w:val="000000"/>
              </w:rPr>
            </w:pPr>
            <w:r>
              <w:rPr>
                <w:rFonts w:hint="eastAsia"/>
                <w:i w:val="0"/>
                <w:iCs w:val="0"/>
                <w:color w:val="000000"/>
              </w:rPr>
              <w:t>本项目在江源工业经济开发区长白山特色食药科技产业园区规划的工业用地上进行建设，不涉及基本农田。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6" w:type="pct"/>
            <w:noWrap w:val="0"/>
            <w:vAlign w:val="center"/>
          </w:tcPr>
          <w:p>
            <w:pPr>
              <w:pStyle w:val="390"/>
              <w:rPr>
                <w:rFonts w:hint="eastAsia"/>
                <w:i w:val="0"/>
                <w:iCs w:val="0"/>
                <w:color w:val="000000"/>
              </w:rPr>
            </w:pPr>
            <w:r>
              <w:rPr>
                <w:rFonts w:hint="eastAsia"/>
                <w:i w:val="0"/>
                <w:iCs w:val="0"/>
                <w:color w:val="000000"/>
              </w:rPr>
              <w:t>（九）</w:t>
            </w:r>
          </w:p>
        </w:tc>
        <w:tc>
          <w:tcPr>
            <w:tcW w:w="3506" w:type="pct"/>
            <w:noWrap w:val="0"/>
            <w:vAlign w:val="center"/>
          </w:tcPr>
          <w:p>
            <w:pPr>
              <w:pStyle w:val="390"/>
              <w:rPr>
                <w:rFonts w:hint="eastAsia"/>
                <w:i w:val="0"/>
                <w:iCs w:val="0"/>
                <w:color w:val="000000"/>
              </w:rPr>
            </w:pPr>
            <w:r>
              <w:rPr>
                <w:rFonts w:hint="eastAsia"/>
                <w:i w:val="0"/>
                <w:iCs w:val="0"/>
                <w:color w:val="000000"/>
              </w:rPr>
              <w:t>本次规划范围与吉林江源煤业有限责任公司煤矿采空区重叠，该区域的开发建设活动应补充地表沉陷稳定性评价报告，并依据自然资源部门审查意见进行。企业入驻上述区域时应进行地质灾害危险性评估，加强对地面塌陷的观测，设置地面常规监测点，防止对开发区内地表生态环境产生不利影响。</w:t>
            </w:r>
          </w:p>
        </w:tc>
        <w:tc>
          <w:tcPr>
            <w:tcW w:w="1067" w:type="pct"/>
            <w:noWrap w:val="0"/>
            <w:vAlign w:val="center"/>
          </w:tcPr>
          <w:p>
            <w:pPr>
              <w:pStyle w:val="390"/>
              <w:rPr>
                <w:i w:val="0"/>
                <w:iCs w:val="0"/>
                <w:color w:val="000000"/>
              </w:rPr>
            </w:pPr>
            <w:r>
              <w:rPr>
                <w:rFonts w:hint="eastAsia"/>
                <w:i w:val="0"/>
                <w:iCs w:val="0"/>
                <w:color w:val="000000"/>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6" w:type="pct"/>
            <w:noWrap w:val="0"/>
            <w:vAlign w:val="center"/>
          </w:tcPr>
          <w:p>
            <w:pPr>
              <w:pStyle w:val="390"/>
              <w:rPr>
                <w:rFonts w:hint="eastAsia"/>
                <w:i w:val="0"/>
                <w:iCs w:val="0"/>
                <w:color w:val="000000"/>
              </w:rPr>
            </w:pPr>
            <w:r>
              <w:rPr>
                <w:rFonts w:hint="eastAsia"/>
                <w:i w:val="0"/>
                <w:iCs w:val="0"/>
                <w:color w:val="000000"/>
              </w:rPr>
              <w:t>（十）</w:t>
            </w:r>
          </w:p>
        </w:tc>
        <w:tc>
          <w:tcPr>
            <w:tcW w:w="3506" w:type="pct"/>
            <w:noWrap w:val="0"/>
            <w:vAlign w:val="center"/>
          </w:tcPr>
          <w:p>
            <w:pPr>
              <w:pStyle w:val="390"/>
              <w:rPr>
                <w:rFonts w:hint="eastAsia"/>
                <w:i w:val="0"/>
                <w:iCs w:val="0"/>
                <w:color w:val="000000"/>
              </w:rPr>
            </w:pPr>
            <w:r>
              <w:rPr>
                <w:rFonts w:hint="eastAsia"/>
                <w:i w:val="0"/>
                <w:iCs w:val="0"/>
                <w:color w:val="000000"/>
              </w:rPr>
              <w:t>煤化工产业区建设应符合《化工园区综合评价导则》《化工园区开发建设导则》《智慧化工园区建设指南》等相关要求，合理确定煤化工产业区与江源区大阳岔河饮用水水源保护区、江南新区小区、头道桥子村等敏感保护目标之间的防护距离。建立化工园区环境风险三级防控体系，包括各企业设置围堰、防火堤、事故应急池、雨污切换阀及污水处理厂（站）建设事故缓冲池，在化工园区雨水总排口和受纳水体之间应建立可关闭的应急闸门，确保事故状态下排放的事故废水与外环境有效隔离。</w:t>
            </w:r>
          </w:p>
        </w:tc>
        <w:tc>
          <w:tcPr>
            <w:tcW w:w="1067" w:type="pct"/>
            <w:noWrap w:val="0"/>
            <w:vAlign w:val="center"/>
          </w:tcPr>
          <w:p>
            <w:pPr>
              <w:pStyle w:val="390"/>
              <w:rPr>
                <w:i w:val="0"/>
                <w:iCs w:val="0"/>
                <w:color w:val="000000"/>
              </w:rPr>
            </w:pPr>
            <w:r>
              <w:rPr>
                <w:rFonts w:hint="eastAsia"/>
                <w:i w:val="0"/>
                <w:iCs w:val="0"/>
                <w:color w:val="000000"/>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6" w:type="pct"/>
            <w:noWrap w:val="0"/>
            <w:vAlign w:val="center"/>
          </w:tcPr>
          <w:p>
            <w:pPr>
              <w:pStyle w:val="390"/>
              <w:rPr>
                <w:rFonts w:hint="eastAsia"/>
                <w:i w:val="0"/>
                <w:iCs w:val="0"/>
                <w:color w:val="000000"/>
              </w:rPr>
            </w:pPr>
            <w:r>
              <w:rPr>
                <w:rFonts w:hint="eastAsia"/>
                <w:i w:val="0"/>
                <w:iCs w:val="0"/>
                <w:color w:val="000000"/>
              </w:rPr>
              <w:t>（十一）</w:t>
            </w:r>
          </w:p>
        </w:tc>
        <w:tc>
          <w:tcPr>
            <w:tcW w:w="3506" w:type="pct"/>
            <w:noWrap w:val="0"/>
            <w:vAlign w:val="center"/>
          </w:tcPr>
          <w:p>
            <w:pPr>
              <w:pStyle w:val="390"/>
              <w:rPr>
                <w:rFonts w:hint="eastAsia"/>
                <w:i w:val="0"/>
                <w:iCs w:val="0"/>
                <w:color w:val="000000"/>
              </w:rPr>
            </w:pPr>
            <w:r>
              <w:rPr>
                <w:rFonts w:hint="eastAsia"/>
                <w:i w:val="0"/>
                <w:iCs w:val="0"/>
                <w:color w:val="000000"/>
              </w:rPr>
              <w:t>落实《重点行业挥发性有机物综合治理方案》（环大气〔2019]53号），核查区域VOCs排放重点企业清单，加强区内VOCs重点管控，提高涉VOCs排放主要工序密闭化水平，加强无组织排放收集，加大含VOCs物料储存和装卸治理力度；加快工艺改进和产品升级;提升工艺装备水平等，将VOCs纳入主要污染物总量控制要求。</w:t>
            </w:r>
          </w:p>
        </w:tc>
        <w:tc>
          <w:tcPr>
            <w:tcW w:w="1067" w:type="pct"/>
            <w:noWrap w:val="0"/>
            <w:vAlign w:val="center"/>
          </w:tcPr>
          <w:p>
            <w:pPr>
              <w:pStyle w:val="390"/>
              <w:rPr>
                <w:rFonts w:hint="eastAsia"/>
                <w:i w:val="0"/>
                <w:iCs w:val="0"/>
                <w:color w:val="000000"/>
              </w:rPr>
            </w:pPr>
            <w:r>
              <w:rPr>
                <w:rFonts w:hint="eastAsia"/>
                <w:i w:val="0"/>
                <w:iCs w:val="0"/>
                <w:color w:val="000000"/>
              </w:rPr>
              <w:t>项目发酵废气经喷淋塔处理后经</w:t>
            </w:r>
            <w:r>
              <w:rPr>
                <w:rFonts w:hint="eastAsia"/>
                <w:i w:val="0"/>
                <w:iCs w:val="0"/>
                <w:color w:val="000000"/>
                <w:lang w:eastAsia="zh-CN"/>
              </w:rPr>
              <w:t>24</w:t>
            </w:r>
            <w:r>
              <w:rPr>
                <w:rFonts w:hint="eastAsia"/>
                <w:i w:val="0"/>
                <w:iCs w:val="0"/>
                <w:color w:val="000000"/>
              </w:rPr>
              <w:t>m高排气筒（DA002）排放。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6" w:type="pct"/>
            <w:noWrap w:val="0"/>
            <w:vAlign w:val="center"/>
          </w:tcPr>
          <w:p>
            <w:pPr>
              <w:pStyle w:val="390"/>
              <w:rPr>
                <w:rFonts w:hint="eastAsia"/>
                <w:i w:val="0"/>
                <w:iCs w:val="0"/>
                <w:color w:val="000000"/>
              </w:rPr>
            </w:pPr>
            <w:r>
              <w:rPr>
                <w:rFonts w:hint="eastAsia"/>
                <w:i w:val="0"/>
                <w:iCs w:val="0"/>
                <w:color w:val="000000"/>
              </w:rPr>
              <w:t>（十二）</w:t>
            </w:r>
          </w:p>
        </w:tc>
        <w:tc>
          <w:tcPr>
            <w:tcW w:w="3506" w:type="pct"/>
            <w:noWrap w:val="0"/>
            <w:vAlign w:val="center"/>
          </w:tcPr>
          <w:p>
            <w:pPr>
              <w:pStyle w:val="390"/>
              <w:rPr>
                <w:rFonts w:hint="eastAsia"/>
                <w:i w:val="0"/>
                <w:iCs w:val="0"/>
                <w:color w:val="000000"/>
              </w:rPr>
            </w:pPr>
            <w:r>
              <w:rPr>
                <w:rFonts w:hint="eastAsia"/>
                <w:i w:val="0"/>
                <w:iCs w:val="0"/>
                <w:color w:val="000000"/>
              </w:rPr>
              <w:t>按照《关于规划环境影响评价加强空间管制、总量管控和环境准入的指导意见（试行）》（环办环评〔2016] 14号）中严格总量管控的相关要求，确定主要控制污染物因子总量管控限值。开发区主要污染物排放总量应纳入白山市主要污染物排放总量管理体系内并严格控制，做到科学调剂，合理使用。</w:t>
            </w:r>
          </w:p>
        </w:tc>
        <w:tc>
          <w:tcPr>
            <w:tcW w:w="1067" w:type="pct"/>
            <w:noWrap w:val="0"/>
            <w:vAlign w:val="center"/>
          </w:tcPr>
          <w:p>
            <w:pPr>
              <w:pStyle w:val="390"/>
              <w:rPr>
                <w:i w:val="0"/>
                <w:iCs w:val="0"/>
                <w:color w:val="000000"/>
              </w:rPr>
            </w:pPr>
            <w:r>
              <w:rPr>
                <w:rFonts w:hint="eastAsia"/>
                <w:i w:val="0"/>
                <w:iCs w:val="0"/>
                <w:color w:val="000000"/>
              </w:rPr>
              <w:t>本项目无需申请总量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6" w:type="pct"/>
            <w:noWrap w:val="0"/>
            <w:vAlign w:val="center"/>
          </w:tcPr>
          <w:p>
            <w:pPr>
              <w:pStyle w:val="390"/>
              <w:rPr>
                <w:rFonts w:hint="eastAsia"/>
                <w:i w:val="0"/>
                <w:iCs w:val="0"/>
                <w:color w:val="000000"/>
              </w:rPr>
            </w:pPr>
            <w:r>
              <w:rPr>
                <w:rFonts w:hint="eastAsia"/>
                <w:i w:val="0"/>
                <w:iCs w:val="0"/>
                <w:color w:val="000000"/>
              </w:rPr>
              <w:t>（十三）</w:t>
            </w:r>
          </w:p>
        </w:tc>
        <w:tc>
          <w:tcPr>
            <w:tcW w:w="3506" w:type="pct"/>
            <w:noWrap w:val="0"/>
            <w:vAlign w:val="center"/>
          </w:tcPr>
          <w:p>
            <w:pPr>
              <w:pStyle w:val="390"/>
              <w:rPr>
                <w:rFonts w:hint="eastAsia"/>
                <w:i w:val="0"/>
                <w:iCs w:val="0"/>
                <w:color w:val="000000"/>
              </w:rPr>
            </w:pPr>
            <w:r>
              <w:rPr>
                <w:rFonts w:hint="eastAsia"/>
                <w:i w:val="0"/>
                <w:iCs w:val="0"/>
                <w:color w:val="000000"/>
              </w:rPr>
              <w:t>建立健全环境监测体系，根据开发区功能分区、产业布局、重点企业分布、特征污染物的排放种类和状况、环境敏感目标分布等情况，建立包括环境空气、地表（下）水、土壤等环境要素的监控体系。</w:t>
            </w:r>
          </w:p>
        </w:tc>
        <w:tc>
          <w:tcPr>
            <w:tcW w:w="1067" w:type="pct"/>
            <w:noWrap w:val="0"/>
            <w:vAlign w:val="center"/>
          </w:tcPr>
          <w:p>
            <w:pPr>
              <w:pStyle w:val="390"/>
              <w:rPr>
                <w:i w:val="0"/>
                <w:iCs w:val="0"/>
                <w:color w:val="000000"/>
              </w:rPr>
            </w:pPr>
            <w:r>
              <w:rPr>
                <w:rFonts w:hint="eastAsia"/>
                <w:i w:val="0"/>
                <w:iCs w:val="0"/>
                <w:color w:val="000000"/>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6" w:type="pct"/>
            <w:noWrap w:val="0"/>
            <w:vAlign w:val="center"/>
          </w:tcPr>
          <w:p>
            <w:pPr>
              <w:pStyle w:val="390"/>
              <w:rPr>
                <w:rFonts w:hint="eastAsia"/>
                <w:i w:val="0"/>
                <w:iCs w:val="0"/>
                <w:color w:val="000000"/>
              </w:rPr>
            </w:pPr>
            <w:r>
              <w:rPr>
                <w:rFonts w:hint="eastAsia"/>
                <w:i w:val="0"/>
                <w:iCs w:val="0"/>
                <w:color w:val="000000"/>
              </w:rPr>
              <w:t>（十四）</w:t>
            </w:r>
          </w:p>
        </w:tc>
        <w:tc>
          <w:tcPr>
            <w:tcW w:w="3506" w:type="pct"/>
            <w:noWrap w:val="0"/>
            <w:vAlign w:val="center"/>
          </w:tcPr>
          <w:p>
            <w:pPr>
              <w:pStyle w:val="390"/>
              <w:rPr>
                <w:rFonts w:hint="eastAsia"/>
                <w:i w:val="0"/>
                <w:iCs w:val="0"/>
                <w:color w:val="000000"/>
              </w:rPr>
            </w:pPr>
            <w:r>
              <w:rPr>
                <w:rFonts w:hint="eastAsia"/>
                <w:i w:val="0"/>
                <w:iCs w:val="0"/>
                <w:color w:val="000000"/>
              </w:rPr>
              <w:t>依据相关规定，每5年开展一次环境影响跟踪评价，并报相应生态环境部门备案;规划修编时应重新编制环境影响报告书。</w:t>
            </w:r>
          </w:p>
        </w:tc>
        <w:tc>
          <w:tcPr>
            <w:tcW w:w="1067" w:type="pct"/>
            <w:noWrap w:val="0"/>
            <w:vAlign w:val="center"/>
          </w:tcPr>
          <w:p>
            <w:pPr>
              <w:pStyle w:val="390"/>
              <w:rPr>
                <w:i w:val="0"/>
                <w:iCs w:val="0"/>
                <w:color w:val="000000"/>
              </w:rPr>
            </w:pPr>
            <w:r>
              <w:rPr>
                <w:rFonts w:hint="eastAsia"/>
                <w:i w:val="0"/>
                <w:iCs w:val="0"/>
                <w:color w:val="000000"/>
              </w:rPr>
              <w:t>不涉及</w:t>
            </w:r>
          </w:p>
        </w:tc>
      </w:tr>
    </w:tbl>
    <w:p>
      <w:pPr>
        <w:snapToGrid w:val="0"/>
        <w:spacing w:line="360" w:lineRule="auto"/>
        <w:ind w:firstLine="480" w:firstLineChars="200"/>
        <w:rPr>
          <w:rFonts w:hint="eastAsia"/>
          <w:i w:val="0"/>
          <w:iCs w:val="0"/>
        </w:rPr>
        <w:sectPr>
          <w:footerReference r:id="rId8" w:type="default"/>
          <w:pgSz w:w="16838" w:h="11906" w:orient="landscape"/>
          <w:pgMar w:top="1701" w:right="1418" w:bottom="1418"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napToGrid w:val="0"/>
        <w:spacing w:line="360" w:lineRule="auto"/>
        <w:ind w:firstLine="480" w:firstLineChars="200"/>
        <w:rPr>
          <w:rFonts w:hint="eastAsia"/>
          <w:i w:val="0"/>
          <w:iCs w:val="0"/>
          <w:color w:val="000000"/>
        </w:rPr>
      </w:pPr>
      <w:r>
        <w:rPr>
          <w:rFonts w:hint="eastAsia"/>
          <w:i w:val="0"/>
          <w:iCs w:val="0"/>
        </w:rPr>
        <w:t>本项目</w:t>
      </w:r>
      <w:r>
        <w:rPr>
          <w:rFonts w:hint="eastAsia"/>
          <w:i w:val="0"/>
          <w:iCs w:val="0"/>
          <w:color w:val="000000"/>
        </w:rPr>
        <w:t>选址位于</w:t>
      </w:r>
      <w:r>
        <w:rPr>
          <w:rFonts w:hint="eastAsia"/>
          <w:i w:val="0"/>
          <w:iCs w:val="0"/>
        </w:rPr>
        <w:t>白山市江源区</w:t>
      </w:r>
      <w:r>
        <w:rPr>
          <w:rFonts w:hint="eastAsia" w:ascii="宋体" w:hAnsi="宋体" w:cs="宋体"/>
          <w:i w:val="0"/>
          <w:iCs w:val="0"/>
          <w:kern w:val="0"/>
          <w:szCs w:val="21"/>
        </w:rPr>
        <w:t>长白山特色食药科技产业园</w:t>
      </w:r>
      <w:r>
        <w:rPr>
          <w:rFonts w:hint="eastAsia"/>
          <w:i w:val="0"/>
          <w:iCs w:val="0"/>
          <w:color w:val="000000"/>
        </w:rPr>
        <w:t>，不属于高耗能、高耗水行业，不属于开发区限制准入清单和禁止准入清单所规定的项目类别，项目用地属于规划的工业用地，符合《吉林江源经济开发区总体规划（2020-2035年）环境影响报告书》及其审查意见要求。综上分析，本项目建设满足《吉林江源经济开发区总体规划（2020-2035年）》及规划环评要求。</w:t>
      </w:r>
    </w:p>
    <w:p>
      <w:pPr>
        <w:snapToGrid w:val="0"/>
        <w:spacing w:line="360" w:lineRule="auto"/>
        <w:ind w:firstLine="480" w:firstLineChars="200"/>
        <w:rPr>
          <w:rFonts w:hint="eastAsia"/>
          <w:i w:val="0"/>
          <w:iCs w:val="0"/>
        </w:rPr>
      </w:pPr>
      <w:r>
        <w:rPr>
          <w:rFonts w:hint="eastAsia"/>
          <w:i w:val="0"/>
          <w:iCs w:val="0"/>
        </w:rPr>
        <w:t>3、</w:t>
      </w:r>
      <w:r>
        <w:rPr>
          <w:i w:val="0"/>
          <w:iCs w:val="0"/>
          <w:spacing w:val="4"/>
        </w:rPr>
        <w:t>与</w:t>
      </w:r>
      <w:r>
        <w:rPr>
          <w:rFonts w:hint="eastAsia"/>
          <w:i w:val="0"/>
          <w:iCs w:val="0"/>
        </w:rPr>
        <w:t>“三线一单”符合性</w:t>
      </w:r>
    </w:p>
    <w:p>
      <w:pPr>
        <w:snapToGrid w:val="0"/>
        <w:spacing w:line="360" w:lineRule="auto"/>
        <w:ind w:firstLine="480" w:firstLineChars="200"/>
        <w:rPr>
          <w:i w:val="0"/>
          <w:iCs w:val="0"/>
        </w:rPr>
        <w:sectPr>
          <w:pgSz w:w="11906" w:h="16838"/>
          <w:pgMar w:top="1418" w:right="1418" w:bottom="1418" w:left="1701"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i w:val="0"/>
          <w:iCs w:val="0"/>
        </w:rPr>
        <w:t>根据中共吉林省委办公厅、吉林省人民政府办公厅印发的《关于加强生态环境分区管控的若干措施》，深入贯彻落实《中共中央办公厅、国务院办公厅关于加强生态环境分区管控的意见》(中办发(2024)22号)精神，进一步加强生态环境分区管控，严守生态保护红线、环境质量底线、资源利用上线，筑牢生态安全屏障。</w:t>
      </w:r>
      <w:r>
        <w:rPr>
          <w:i w:val="0"/>
          <w:iCs w:val="0"/>
        </w:rPr>
        <w:t>根据该文件的有关要求，对照本轮规划的相关内容，</w:t>
      </w:r>
      <w:r>
        <w:rPr>
          <w:rFonts w:hint="eastAsia"/>
          <w:i w:val="0"/>
          <w:iCs w:val="0"/>
        </w:rPr>
        <w:t>本项目</w:t>
      </w:r>
      <w:r>
        <w:rPr>
          <w:i w:val="0"/>
          <w:iCs w:val="0"/>
        </w:rPr>
        <w:t>所属环境管控单元属于重点管控单元，</w:t>
      </w:r>
      <w:r>
        <w:rPr>
          <w:rFonts w:hint="eastAsia"/>
          <w:i w:val="0"/>
          <w:iCs w:val="0"/>
        </w:rPr>
        <w:t>与</w:t>
      </w:r>
      <w:r>
        <w:rPr>
          <w:i w:val="0"/>
          <w:iCs w:val="0"/>
        </w:rPr>
        <w:t>吉林省生态环境准入清单符合性分析内容下见表</w:t>
      </w:r>
      <w:r>
        <w:rPr>
          <w:rFonts w:hint="eastAsia"/>
          <w:i w:val="0"/>
          <w:iCs w:val="0"/>
        </w:rPr>
        <w:t>1-</w:t>
      </w:r>
      <w:r>
        <w:rPr>
          <w:rFonts w:hint="eastAsia"/>
          <w:i w:val="0"/>
          <w:iCs w:val="0"/>
          <w:lang w:val="en-US" w:eastAsia="zh-CN"/>
        </w:rPr>
        <w:t>9</w:t>
      </w:r>
      <w:r>
        <w:rPr>
          <w:rFonts w:hint="eastAsia"/>
          <w:i w:val="0"/>
          <w:iCs w:val="0"/>
        </w:rPr>
        <w:t>，与</w:t>
      </w:r>
      <w:r>
        <w:rPr>
          <w:i w:val="0"/>
          <w:iCs w:val="0"/>
        </w:rPr>
        <w:t>白山市生态环境准入清单符合性分析内容见表</w:t>
      </w:r>
      <w:r>
        <w:rPr>
          <w:rFonts w:hint="eastAsia"/>
          <w:i w:val="0"/>
          <w:iCs w:val="0"/>
        </w:rPr>
        <w:t>1-</w:t>
      </w:r>
      <w:r>
        <w:rPr>
          <w:rFonts w:hint="eastAsia"/>
          <w:i w:val="0"/>
          <w:iCs w:val="0"/>
          <w:lang w:val="en-US" w:eastAsia="zh-CN"/>
        </w:rPr>
        <w:t>10</w:t>
      </w:r>
      <w:r>
        <w:rPr>
          <w:rFonts w:hint="eastAsia"/>
          <w:i w:val="0"/>
          <w:iCs w:val="0"/>
        </w:rPr>
        <w:t>；与</w:t>
      </w:r>
      <w:r>
        <w:rPr>
          <w:i w:val="0"/>
          <w:iCs w:val="0"/>
        </w:rPr>
        <w:t>吉林江源经济开发区生态环境准入清单符合性分析见表</w:t>
      </w:r>
      <w:r>
        <w:rPr>
          <w:rFonts w:hint="eastAsia"/>
          <w:i w:val="0"/>
          <w:iCs w:val="0"/>
        </w:rPr>
        <w:t>1-</w:t>
      </w:r>
      <w:r>
        <w:rPr>
          <w:rFonts w:hint="eastAsia"/>
          <w:i w:val="0"/>
          <w:iCs w:val="0"/>
          <w:lang w:val="en-US" w:eastAsia="zh-CN"/>
        </w:rPr>
        <w:t>11</w:t>
      </w:r>
      <w:r>
        <w:rPr>
          <w:i w:val="0"/>
          <w:iCs w:val="0"/>
        </w:rPr>
        <w:t>，</w:t>
      </w:r>
      <w:r>
        <w:rPr>
          <w:rFonts w:hint="eastAsia"/>
          <w:i w:val="0"/>
          <w:iCs w:val="0"/>
        </w:rPr>
        <w:t>本项目</w:t>
      </w:r>
      <w:r>
        <w:rPr>
          <w:i w:val="0"/>
          <w:iCs w:val="0"/>
        </w:rPr>
        <w:t>与吉林江源经济开发区位置关系图见</w:t>
      </w:r>
      <w:r>
        <w:rPr>
          <w:rFonts w:hint="eastAsia"/>
          <w:i w:val="0"/>
          <w:iCs w:val="0"/>
        </w:rPr>
        <w:t>附图1-</w:t>
      </w:r>
      <w:r>
        <w:rPr>
          <w:rFonts w:hint="eastAsia"/>
          <w:i w:val="0"/>
          <w:iCs w:val="0"/>
          <w:lang w:val="en-US" w:eastAsia="zh-CN"/>
        </w:rPr>
        <w:t>5</w:t>
      </w:r>
      <w:r>
        <w:rPr>
          <w:i w:val="0"/>
          <w:iCs w:val="0"/>
        </w:rPr>
        <w:t>。</w:t>
      </w:r>
    </w:p>
    <w:p>
      <w:pPr>
        <w:pStyle w:val="92"/>
        <w:spacing w:before="0" w:after="0" w:line="240" w:lineRule="auto"/>
        <w:ind w:firstLine="482" w:firstLineChars="200"/>
        <w:jc w:val="center"/>
        <w:rPr>
          <w:rFonts w:ascii="Times New Roman" w:eastAsia="宋体"/>
          <w:b/>
          <w:bCs/>
          <w:i w:val="0"/>
          <w:iCs w:val="0"/>
          <w:szCs w:val="24"/>
        </w:rPr>
      </w:pPr>
      <w:r>
        <w:rPr>
          <w:rFonts w:hint="eastAsia" w:ascii="Times New Roman" w:eastAsia="宋体"/>
          <w:b/>
          <w:bCs/>
          <w:i w:val="0"/>
          <w:iCs w:val="0"/>
          <w:szCs w:val="24"/>
        </w:rPr>
        <w:t>表1-</w:t>
      </w:r>
      <w:r>
        <w:rPr>
          <w:rFonts w:hint="eastAsia" w:ascii="Times New Roman" w:eastAsia="宋体"/>
          <w:b/>
          <w:bCs/>
          <w:i w:val="0"/>
          <w:iCs w:val="0"/>
          <w:szCs w:val="24"/>
          <w:lang w:val="en-US" w:eastAsia="zh-CN"/>
        </w:rPr>
        <w:t>9</w:t>
      </w:r>
      <w:r>
        <w:rPr>
          <w:rFonts w:hint="eastAsia" w:ascii="Times New Roman" w:eastAsia="宋体"/>
          <w:b/>
          <w:bCs/>
          <w:i w:val="0"/>
          <w:iCs w:val="0"/>
          <w:szCs w:val="24"/>
        </w:rPr>
        <w:t>吉林省生态环境准入清单（总体准入要求）摘录</w:t>
      </w:r>
    </w:p>
    <w:tbl>
      <w:tblPr>
        <w:tblStyle w:val="5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0065"/>
        <w:gridCol w:w="28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noWrap w:val="0"/>
            <w:vAlign w:val="top"/>
          </w:tcPr>
          <w:p>
            <w:pPr>
              <w:pStyle w:val="386"/>
              <w:spacing w:before="0" w:beforeLines="0" w:after="0" w:afterLines="0" w:line="240" w:lineRule="auto"/>
              <w:ind w:firstLine="0" w:firstLineChars="0"/>
              <w:jc w:val="center"/>
              <w:rPr>
                <w:bCs/>
                <w:i w:val="0"/>
                <w:iCs w:val="0"/>
                <w:sz w:val="21"/>
                <w:szCs w:val="21"/>
              </w:rPr>
            </w:pPr>
            <w:r>
              <w:rPr>
                <w:bCs/>
                <w:i w:val="0"/>
                <w:iCs w:val="0"/>
                <w:sz w:val="21"/>
                <w:szCs w:val="21"/>
              </w:rPr>
              <w:t>管控领域</w:t>
            </w:r>
          </w:p>
        </w:tc>
        <w:tc>
          <w:tcPr>
            <w:tcW w:w="10065" w:type="dxa"/>
            <w:noWrap w:val="0"/>
            <w:vAlign w:val="top"/>
          </w:tcPr>
          <w:p>
            <w:pPr>
              <w:pStyle w:val="386"/>
              <w:spacing w:before="0" w:beforeLines="0" w:after="0" w:afterLines="0" w:line="240" w:lineRule="auto"/>
              <w:ind w:firstLine="0" w:firstLineChars="0"/>
              <w:jc w:val="center"/>
              <w:rPr>
                <w:bCs/>
                <w:i w:val="0"/>
                <w:iCs w:val="0"/>
                <w:sz w:val="21"/>
                <w:szCs w:val="21"/>
              </w:rPr>
            </w:pPr>
            <w:r>
              <w:rPr>
                <w:bCs/>
                <w:i w:val="0"/>
                <w:iCs w:val="0"/>
                <w:sz w:val="21"/>
                <w:szCs w:val="21"/>
              </w:rPr>
              <w:t>环境准入及管控要求</w:t>
            </w:r>
          </w:p>
        </w:tc>
        <w:tc>
          <w:tcPr>
            <w:tcW w:w="2867" w:type="dxa"/>
            <w:noWrap w:val="0"/>
            <w:vAlign w:val="top"/>
          </w:tcPr>
          <w:p>
            <w:pPr>
              <w:pStyle w:val="386"/>
              <w:spacing w:before="0" w:beforeLines="0" w:after="0" w:afterLines="0" w:line="240" w:lineRule="auto"/>
              <w:ind w:firstLine="0" w:firstLineChars="0"/>
              <w:jc w:val="center"/>
              <w:rPr>
                <w:bCs/>
                <w:i w:val="0"/>
                <w:iCs w:val="0"/>
                <w:sz w:val="21"/>
                <w:szCs w:val="21"/>
              </w:rPr>
            </w:pPr>
            <w:r>
              <w:rPr>
                <w:bCs/>
                <w:i w:val="0"/>
                <w:iCs w:val="0"/>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74" w:type="dxa"/>
            <w:gridSpan w:val="3"/>
            <w:noWrap w:val="0"/>
            <w:vAlign w:val="top"/>
          </w:tcPr>
          <w:p>
            <w:pPr>
              <w:pStyle w:val="386"/>
              <w:spacing w:before="0" w:beforeLines="0" w:after="0" w:afterLines="0" w:line="240" w:lineRule="auto"/>
              <w:ind w:firstLine="0" w:firstLineChars="0"/>
              <w:jc w:val="center"/>
              <w:rPr>
                <w:bCs/>
                <w:i w:val="0"/>
                <w:iCs w:val="0"/>
                <w:sz w:val="21"/>
                <w:szCs w:val="21"/>
              </w:rPr>
            </w:pPr>
            <w:r>
              <w:rPr>
                <w:bCs/>
                <w:i w:val="0"/>
                <w:iCs w:val="0"/>
                <w:kern w:val="0"/>
                <w:sz w:val="21"/>
                <w:szCs w:val="21"/>
              </w:rPr>
              <w:t>全省总体准入要求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restart"/>
            <w:noWrap w:val="0"/>
            <w:vAlign w:val="center"/>
          </w:tcPr>
          <w:p>
            <w:pPr>
              <w:pStyle w:val="386"/>
              <w:spacing w:before="0" w:beforeLines="0" w:after="0" w:afterLines="0" w:line="240" w:lineRule="auto"/>
              <w:ind w:firstLine="0" w:firstLineChars="0"/>
              <w:jc w:val="center"/>
              <w:rPr>
                <w:bCs/>
                <w:i w:val="0"/>
                <w:iCs w:val="0"/>
                <w:sz w:val="21"/>
                <w:szCs w:val="21"/>
              </w:rPr>
            </w:pPr>
            <w:r>
              <w:rPr>
                <w:bCs/>
                <w:i w:val="0"/>
                <w:iCs w:val="0"/>
                <w:sz w:val="21"/>
                <w:szCs w:val="21"/>
              </w:rPr>
              <w:t>空间布局约束</w:t>
            </w:r>
          </w:p>
        </w:tc>
        <w:tc>
          <w:tcPr>
            <w:tcW w:w="10065" w:type="dxa"/>
            <w:noWrap w:val="0"/>
            <w:vAlign w:val="center"/>
          </w:tcPr>
          <w:p>
            <w:pPr>
              <w:autoSpaceDE w:val="0"/>
              <w:autoSpaceDN w:val="0"/>
              <w:adjustRightInd w:val="0"/>
              <w:rPr>
                <w:bCs/>
                <w:i w:val="0"/>
                <w:iCs w:val="0"/>
                <w:kern w:val="0"/>
                <w:sz w:val="21"/>
                <w:szCs w:val="21"/>
              </w:rPr>
            </w:pPr>
            <w:r>
              <w:rPr>
                <w:bCs/>
                <w:i w:val="0"/>
                <w:iCs w:val="0"/>
                <w:kern w:val="0"/>
                <w:sz w:val="21"/>
                <w:szCs w:val="21"/>
              </w:rPr>
              <w:t>禁止新建、扩建《产业结构调整指导目录》（现行）明确的淘汰类项目和引入《市场准入负面清单》（现行）禁止准入类事项，引入项目应符合园区规划、规划环境影响评价和区域产业准入负面清单要求。</w:t>
            </w:r>
          </w:p>
          <w:p>
            <w:pPr>
              <w:autoSpaceDE w:val="0"/>
              <w:autoSpaceDN w:val="0"/>
              <w:adjustRightInd w:val="0"/>
              <w:rPr>
                <w:bCs/>
                <w:i w:val="0"/>
                <w:iCs w:val="0"/>
                <w:sz w:val="21"/>
                <w:szCs w:val="21"/>
              </w:rPr>
            </w:pPr>
            <w:r>
              <w:rPr>
                <w:bCs/>
                <w:i w:val="0"/>
                <w:iCs w:val="0"/>
                <w:kern w:val="0"/>
                <w:sz w:val="21"/>
                <w:szCs w:val="21"/>
              </w:rPr>
              <w:t>列入《产业结构调整指导目录》淘汰类的现状企业，应制定调整计划。生态环境治理措施不符合现行生态环境保护要求、资源能源消耗高、涉及大量排放区域超标污染物或持续发生生态环境投诉的现有企业，应制定整治计划。在调整、整治过渡期内，应严格控制相关企业生产规模，禁止新增产生环境污染的产能和产品。</w:t>
            </w:r>
          </w:p>
        </w:tc>
        <w:tc>
          <w:tcPr>
            <w:tcW w:w="2867" w:type="dxa"/>
            <w:noWrap w:val="0"/>
            <w:vAlign w:val="center"/>
          </w:tcPr>
          <w:p>
            <w:pPr>
              <w:pStyle w:val="386"/>
              <w:spacing w:before="0" w:beforeLines="0" w:after="0" w:afterLines="0" w:line="240" w:lineRule="auto"/>
              <w:ind w:firstLine="0" w:firstLineChars="0"/>
              <w:rPr>
                <w:bCs/>
                <w:i w:val="0"/>
                <w:iCs w:val="0"/>
                <w:sz w:val="21"/>
                <w:szCs w:val="21"/>
              </w:rPr>
            </w:pPr>
            <w:r>
              <w:rPr>
                <w:bCs/>
                <w:i w:val="0"/>
                <w:iCs w:val="0"/>
                <w:sz w:val="21"/>
                <w:szCs w:val="21"/>
              </w:rPr>
              <w:t>符合：</w:t>
            </w:r>
            <w:r>
              <w:rPr>
                <w:rFonts w:hint="eastAsia"/>
                <w:bCs/>
                <w:i w:val="0"/>
                <w:iCs w:val="0"/>
                <w:sz w:val="21"/>
                <w:szCs w:val="21"/>
              </w:rPr>
              <w:t>本</w:t>
            </w:r>
            <w:r>
              <w:rPr>
                <w:bCs/>
                <w:i w:val="0"/>
                <w:iCs w:val="0"/>
                <w:sz w:val="21"/>
                <w:szCs w:val="21"/>
              </w:rPr>
              <w:t>项目符合园区规划、规划环评及区域产业准入负面清单要求。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center"/>
          </w:tcPr>
          <w:p>
            <w:pPr>
              <w:pStyle w:val="386"/>
              <w:spacing w:before="0" w:beforeLines="0" w:after="0" w:afterLines="0" w:line="240" w:lineRule="auto"/>
              <w:ind w:firstLine="0" w:firstLineChars="0"/>
              <w:jc w:val="center"/>
              <w:rPr>
                <w:bCs/>
                <w:i w:val="0"/>
                <w:iCs w:val="0"/>
                <w:sz w:val="21"/>
                <w:szCs w:val="21"/>
              </w:rPr>
            </w:pPr>
          </w:p>
        </w:tc>
        <w:tc>
          <w:tcPr>
            <w:tcW w:w="10065" w:type="dxa"/>
            <w:noWrap w:val="0"/>
            <w:vAlign w:val="center"/>
          </w:tcPr>
          <w:p>
            <w:pPr>
              <w:autoSpaceDE w:val="0"/>
              <w:autoSpaceDN w:val="0"/>
              <w:adjustRightInd w:val="0"/>
              <w:rPr>
                <w:bCs/>
                <w:i w:val="0"/>
                <w:iCs w:val="0"/>
                <w:kern w:val="0"/>
                <w:sz w:val="21"/>
                <w:szCs w:val="21"/>
              </w:rPr>
            </w:pPr>
            <w:r>
              <w:rPr>
                <w:bCs/>
                <w:i w:val="0"/>
                <w:iCs w:val="0"/>
                <w:kern w:val="0"/>
                <w:sz w:val="21"/>
                <w:szCs w:val="21"/>
              </w:rPr>
              <w:t>强化产业政策在产业转移过程中的引导和约束作用，严格控制在生态脆弱或环境敏感地区建设“两高”行业项目。严格高能耗、高物耗、高水耗和产能过剩、低水平重复建设项目，以及涉及危险化学品、重金属和其他具有重大环境风险建设项目的审批和备案。老工业城市和资源型城市在防止污染转移的基础上，应积极承接有利于延伸产业链、提高技术水平、促进资源综合利用、充分吸纳就业的产业，因地制宜发展优势特色产业。</w:t>
            </w:r>
          </w:p>
          <w:p>
            <w:pPr>
              <w:autoSpaceDE w:val="0"/>
              <w:autoSpaceDN w:val="0"/>
              <w:adjustRightInd w:val="0"/>
              <w:rPr>
                <w:bCs/>
                <w:i w:val="0"/>
                <w:iCs w:val="0"/>
                <w:sz w:val="21"/>
                <w:szCs w:val="21"/>
              </w:rPr>
            </w:pPr>
            <w:r>
              <w:rPr>
                <w:bCs/>
                <w:i w:val="0"/>
                <w:iCs w:val="0"/>
                <w:kern w:val="0"/>
                <w:sz w:val="21"/>
                <w:szCs w:val="21"/>
              </w:rPr>
              <w:t>严格控制钢铁、焦化、电解铝、水泥和平板玻璃等行业新增产能，列入去产能的钢铁企业退出时须一并退出配套的烧结、球团、焦炉、高炉等设备。严格控制尿素、磷铵、电石、烧碱、聚氯乙烯、纯碱、黄磷等过剩行业新增产能，符合政策要求的先进工艺改造提升项目应实行等量或减量置换。</w:t>
            </w:r>
          </w:p>
        </w:tc>
        <w:tc>
          <w:tcPr>
            <w:tcW w:w="2867" w:type="dxa"/>
            <w:noWrap w:val="0"/>
            <w:vAlign w:val="center"/>
          </w:tcPr>
          <w:p>
            <w:pPr>
              <w:pStyle w:val="386"/>
              <w:spacing w:before="0" w:beforeLines="0" w:after="0" w:afterLines="0" w:line="240" w:lineRule="auto"/>
              <w:ind w:firstLine="0" w:firstLineChars="0"/>
              <w:rPr>
                <w:bCs/>
                <w:i w:val="0"/>
                <w:iCs w:val="0"/>
                <w:sz w:val="21"/>
                <w:szCs w:val="21"/>
              </w:rPr>
            </w:pPr>
            <w:r>
              <w:rPr>
                <w:bCs/>
                <w:i w:val="0"/>
                <w:iCs w:val="0"/>
                <w:sz w:val="21"/>
                <w:szCs w:val="21"/>
              </w:rPr>
              <w:t>符合：</w:t>
            </w:r>
            <w:r>
              <w:rPr>
                <w:rFonts w:hint="eastAsia"/>
                <w:bCs/>
                <w:i w:val="0"/>
                <w:iCs w:val="0"/>
                <w:sz w:val="21"/>
                <w:szCs w:val="21"/>
              </w:rPr>
              <w:t>本项目不属于两高行业，也不属于产能过剩行业。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center"/>
          </w:tcPr>
          <w:p>
            <w:pPr>
              <w:pStyle w:val="386"/>
              <w:spacing w:before="0" w:beforeLines="0" w:after="0" w:afterLines="0" w:line="240" w:lineRule="auto"/>
              <w:ind w:firstLine="0" w:firstLineChars="0"/>
              <w:jc w:val="center"/>
              <w:rPr>
                <w:bCs/>
                <w:i w:val="0"/>
                <w:iCs w:val="0"/>
                <w:sz w:val="21"/>
                <w:szCs w:val="21"/>
              </w:rPr>
            </w:pPr>
          </w:p>
        </w:tc>
        <w:tc>
          <w:tcPr>
            <w:tcW w:w="10065" w:type="dxa"/>
            <w:noWrap w:val="0"/>
            <w:vAlign w:val="center"/>
          </w:tcPr>
          <w:p>
            <w:pPr>
              <w:autoSpaceDE w:val="0"/>
              <w:autoSpaceDN w:val="0"/>
              <w:adjustRightInd w:val="0"/>
              <w:rPr>
                <w:bCs/>
                <w:i w:val="0"/>
                <w:iCs w:val="0"/>
                <w:kern w:val="0"/>
                <w:sz w:val="21"/>
                <w:szCs w:val="21"/>
              </w:rPr>
            </w:pPr>
            <w:r>
              <w:rPr>
                <w:bCs/>
                <w:i w:val="0"/>
                <w:iCs w:val="0"/>
                <w:kern w:val="0"/>
                <w:sz w:val="21"/>
                <w:szCs w:val="21"/>
              </w:rPr>
              <w:t>重大项目原则上应布局在优化开发区和重点开发区，并符合城乡规划和土地利用总体规划。</w:t>
            </w:r>
          </w:p>
          <w:p>
            <w:pPr>
              <w:autoSpaceDE w:val="0"/>
              <w:autoSpaceDN w:val="0"/>
              <w:adjustRightInd w:val="0"/>
              <w:rPr>
                <w:bCs/>
                <w:i w:val="0"/>
                <w:iCs w:val="0"/>
                <w:sz w:val="21"/>
                <w:szCs w:val="21"/>
              </w:rPr>
            </w:pPr>
            <w:r>
              <w:rPr>
                <w:bCs/>
                <w:i w:val="0"/>
                <w:iCs w:val="0"/>
                <w:kern w:val="0"/>
                <w:sz w:val="21"/>
                <w:szCs w:val="21"/>
              </w:rPr>
              <w:t>化工石化、有色冶炼、制浆造纸等可能引发环境风险的项目，以及涉及石化、化工、工业涂装等重点行业高VOCs排放的建设项目，在符合国家产业政策和清洁生产水平要求、满足污染物排放标准以及污染物排放总量控制指标前提下，应当在依法设立、基础设施齐全并具备有效规划、规划环境影响评价的产业园区内布设。</w:t>
            </w:r>
          </w:p>
        </w:tc>
        <w:tc>
          <w:tcPr>
            <w:tcW w:w="2867" w:type="dxa"/>
            <w:noWrap w:val="0"/>
            <w:vAlign w:val="center"/>
          </w:tcPr>
          <w:p>
            <w:pPr>
              <w:pStyle w:val="386"/>
              <w:spacing w:before="0" w:beforeLines="0" w:after="0" w:afterLines="0" w:line="240" w:lineRule="auto"/>
              <w:ind w:firstLine="0" w:firstLineChars="0"/>
              <w:rPr>
                <w:bCs/>
                <w:i w:val="0"/>
                <w:iCs w:val="0"/>
                <w:sz w:val="21"/>
                <w:szCs w:val="21"/>
              </w:rPr>
            </w:pPr>
            <w:r>
              <w:rPr>
                <w:bCs/>
                <w:i w:val="0"/>
                <w:iCs w:val="0"/>
                <w:sz w:val="21"/>
                <w:szCs w:val="21"/>
              </w:rPr>
              <w:t>符合：</w:t>
            </w:r>
            <w:r>
              <w:rPr>
                <w:rFonts w:hint="eastAsia"/>
                <w:bCs/>
                <w:i w:val="0"/>
                <w:iCs w:val="0"/>
                <w:sz w:val="21"/>
                <w:szCs w:val="21"/>
              </w:rPr>
              <w:t>本项目</w:t>
            </w:r>
            <w:r>
              <w:rPr>
                <w:bCs/>
                <w:i w:val="0"/>
                <w:iCs w:val="0"/>
                <w:sz w:val="21"/>
                <w:szCs w:val="21"/>
              </w:rPr>
              <w:t>位于重点开发区域，其规划基本符合</w:t>
            </w:r>
            <w:r>
              <w:rPr>
                <w:bCs/>
                <w:i w:val="0"/>
                <w:iCs w:val="0"/>
                <w:kern w:val="0"/>
                <w:sz w:val="21"/>
                <w:szCs w:val="21"/>
              </w:rPr>
              <w:t>城乡规划和土地利用总体规划。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center"/>
          </w:tcPr>
          <w:p>
            <w:pPr>
              <w:pStyle w:val="386"/>
              <w:spacing w:before="0" w:beforeLines="0" w:after="0" w:afterLines="0" w:line="240" w:lineRule="auto"/>
              <w:ind w:firstLine="0" w:firstLineChars="0"/>
              <w:jc w:val="center"/>
              <w:rPr>
                <w:bCs/>
                <w:i w:val="0"/>
                <w:iCs w:val="0"/>
                <w:sz w:val="21"/>
                <w:szCs w:val="21"/>
              </w:rPr>
            </w:pPr>
          </w:p>
        </w:tc>
        <w:tc>
          <w:tcPr>
            <w:tcW w:w="10065" w:type="dxa"/>
            <w:noWrap w:val="0"/>
            <w:vAlign w:val="center"/>
          </w:tcPr>
          <w:p>
            <w:pPr>
              <w:autoSpaceDE w:val="0"/>
              <w:autoSpaceDN w:val="0"/>
              <w:adjustRightInd w:val="0"/>
              <w:rPr>
                <w:bCs/>
                <w:i w:val="0"/>
                <w:iCs w:val="0"/>
                <w:sz w:val="21"/>
                <w:szCs w:val="21"/>
              </w:rPr>
            </w:pPr>
            <w:r>
              <w:rPr>
                <w:bCs/>
                <w:i w:val="0"/>
                <w:iCs w:val="0"/>
                <w:kern w:val="0"/>
                <w:sz w:val="21"/>
                <w:szCs w:val="21"/>
              </w:rPr>
              <w:t>进一步优化全省化工产业布局，提高化工行业本质安全和绿色发展水平，引领化工园区从规范化发展到高质量发展，促进化工产业转型升级。</w:t>
            </w:r>
          </w:p>
        </w:tc>
        <w:tc>
          <w:tcPr>
            <w:tcW w:w="2867" w:type="dxa"/>
            <w:noWrap w:val="0"/>
            <w:vAlign w:val="center"/>
          </w:tcPr>
          <w:p>
            <w:pPr>
              <w:pStyle w:val="386"/>
              <w:spacing w:before="0" w:beforeLines="0" w:after="0" w:afterLines="0" w:line="240" w:lineRule="auto"/>
              <w:ind w:firstLine="0" w:firstLineChars="0"/>
              <w:jc w:val="center"/>
              <w:rPr>
                <w:bCs/>
                <w:i w:val="0"/>
                <w:iCs w:val="0"/>
                <w:sz w:val="21"/>
                <w:szCs w:val="21"/>
              </w:rPr>
            </w:pPr>
            <w:r>
              <w:rPr>
                <w:bCs/>
                <w:i w:val="0"/>
                <w:iCs w:val="0"/>
                <w:kern w:val="0"/>
                <w:sz w:val="21"/>
                <w:szCs w:val="21"/>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restart"/>
            <w:noWrap w:val="0"/>
            <w:vAlign w:val="center"/>
          </w:tcPr>
          <w:p>
            <w:pPr>
              <w:pStyle w:val="386"/>
              <w:spacing w:before="0" w:beforeLines="0" w:after="0" w:afterLines="0" w:line="240" w:lineRule="auto"/>
              <w:ind w:firstLine="0" w:firstLineChars="0"/>
              <w:jc w:val="center"/>
              <w:rPr>
                <w:bCs/>
                <w:i w:val="0"/>
                <w:iCs w:val="0"/>
                <w:sz w:val="21"/>
                <w:szCs w:val="21"/>
              </w:rPr>
            </w:pPr>
            <w:r>
              <w:rPr>
                <w:bCs/>
                <w:i w:val="0"/>
                <w:iCs w:val="0"/>
                <w:sz w:val="21"/>
                <w:szCs w:val="21"/>
              </w:rPr>
              <w:t>污染物排放管控</w:t>
            </w:r>
          </w:p>
        </w:tc>
        <w:tc>
          <w:tcPr>
            <w:tcW w:w="10065" w:type="dxa"/>
            <w:noWrap w:val="0"/>
            <w:vAlign w:val="center"/>
          </w:tcPr>
          <w:p>
            <w:pPr>
              <w:autoSpaceDE w:val="0"/>
              <w:autoSpaceDN w:val="0"/>
              <w:adjustRightInd w:val="0"/>
              <w:rPr>
                <w:bCs/>
                <w:i w:val="0"/>
                <w:iCs w:val="0"/>
                <w:sz w:val="21"/>
                <w:szCs w:val="21"/>
              </w:rPr>
            </w:pPr>
            <w:r>
              <w:rPr>
                <w:bCs/>
                <w:i w:val="0"/>
                <w:iCs w:val="0"/>
                <w:kern w:val="0"/>
                <w:sz w:val="21"/>
                <w:szCs w:val="21"/>
              </w:rPr>
              <w:t>落实主要污染物总量控制和排污许可制度。新建、改建、扩建重点行业建设项目实行主要污染物排放减量置换。严格涉VOCs建设项目环境影响评价，逐步推进区域内VOCs排放等量或倍量削减替代。</w:t>
            </w:r>
          </w:p>
        </w:tc>
        <w:tc>
          <w:tcPr>
            <w:tcW w:w="2867" w:type="dxa"/>
            <w:noWrap w:val="0"/>
            <w:vAlign w:val="center"/>
          </w:tcPr>
          <w:p>
            <w:pPr>
              <w:pStyle w:val="386"/>
              <w:spacing w:before="0" w:beforeLines="0" w:after="0" w:afterLines="0" w:line="240" w:lineRule="auto"/>
              <w:ind w:firstLine="0" w:firstLineChars="0"/>
              <w:jc w:val="center"/>
              <w:rPr>
                <w:bCs/>
                <w:i w:val="0"/>
                <w:iCs w:val="0"/>
                <w:sz w:val="21"/>
                <w:szCs w:val="21"/>
              </w:rPr>
            </w:pPr>
            <w:r>
              <w:rPr>
                <w:bCs/>
                <w:i w:val="0"/>
                <w:iCs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center"/>
          </w:tcPr>
          <w:p>
            <w:pPr>
              <w:pStyle w:val="386"/>
              <w:spacing w:before="0" w:beforeLines="0" w:after="0" w:afterLines="0" w:line="240" w:lineRule="auto"/>
              <w:ind w:firstLine="0" w:firstLineChars="0"/>
              <w:jc w:val="center"/>
              <w:rPr>
                <w:bCs/>
                <w:i w:val="0"/>
                <w:iCs w:val="0"/>
                <w:sz w:val="21"/>
                <w:szCs w:val="21"/>
              </w:rPr>
            </w:pPr>
          </w:p>
        </w:tc>
        <w:tc>
          <w:tcPr>
            <w:tcW w:w="10065" w:type="dxa"/>
            <w:noWrap w:val="0"/>
            <w:vAlign w:val="center"/>
          </w:tcPr>
          <w:p>
            <w:pPr>
              <w:autoSpaceDE w:val="0"/>
              <w:autoSpaceDN w:val="0"/>
              <w:adjustRightInd w:val="0"/>
              <w:rPr>
                <w:bCs/>
                <w:i w:val="0"/>
                <w:iCs w:val="0"/>
                <w:sz w:val="21"/>
                <w:szCs w:val="21"/>
              </w:rPr>
            </w:pPr>
            <w:r>
              <w:rPr>
                <w:bCs/>
                <w:i w:val="0"/>
                <w:iCs w:val="0"/>
                <w:kern w:val="0"/>
                <w:sz w:val="21"/>
                <w:szCs w:val="21"/>
              </w:rPr>
              <w:t>空气质量未达标地区新建项目涉及的二氧化硫、氮氧化物、颗粒物、挥发性有机物（VOCs）排放全面执行大气污染物特别排放限值。</w:t>
            </w:r>
          </w:p>
        </w:tc>
        <w:tc>
          <w:tcPr>
            <w:tcW w:w="2867" w:type="dxa"/>
            <w:noWrap w:val="0"/>
            <w:vAlign w:val="center"/>
          </w:tcPr>
          <w:p>
            <w:pPr>
              <w:pStyle w:val="386"/>
              <w:spacing w:before="0" w:beforeLines="0" w:after="0" w:afterLines="0" w:line="240" w:lineRule="auto"/>
              <w:ind w:firstLine="0" w:firstLineChars="0"/>
              <w:jc w:val="center"/>
              <w:rPr>
                <w:bCs/>
                <w:i w:val="0"/>
                <w:iCs w:val="0"/>
                <w:sz w:val="21"/>
                <w:szCs w:val="21"/>
              </w:rPr>
            </w:pPr>
            <w:r>
              <w:rPr>
                <w:bCs/>
                <w:i w:val="0"/>
                <w:iCs w:val="0"/>
                <w:kern w:val="0"/>
                <w:sz w:val="21"/>
                <w:szCs w:val="21"/>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center"/>
          </w:tcPr>
          <w:p>
            <w:pPr>
              <w:pStyle w:val="386"/>
              <w:spacing w:before="0" w:beforeLines="0" w:after="0" w:afterLines="0" w:line="240" w:lineRule="auto"/>
              <w:ind w:firstLine="0" w:firstLineChars="0"/>
              <w:jc w:val="center"/>
              <w:rPr>
                <w:bCs/>
                <w:i w:val="0"/>
                <w:iCs w:val="0"/>
                <w:sz w:val="21"/>
                <w:szCs w:val="21"/>
              </w:rPr>
            </w:pPr>
          </w:p>
        </w:tc>
        <w:tc>
          <w:tcPr>
            <w:tcW w:w="10065" w:type="dxa"/>
            <w:noWrap w:val="0"/>
            <w:vAlign w:val="center"/>
          </w:tcPr>
          <w:p>
            <w:pPr>
              <w:autoSpaceDE w:val="0"/>
              <w:autoSpaceDN w:val="0"/>
              <w:adjustRightInd w:val="0"/>
              <w:rPr>
                <w:bCs/>
                <w:i w:val="0"/>
                <w:iCs w:val="0"/>
                <w:sz w:val="21"/>
                <w:szCs w:val="21"/>
              </w:rPr>
            </w:pPr>
            <w:r>
              <w:rPr>
                <w:bCs/>
                <w:i w:val="0"/>
                <w:iCs w:val="0"/>
                <w:kern w:val="0"/>
                <w:sz w:val="21"/>
                <w:szCs w:val="21"/>
              </w:rPr>
              <w:t>推行秸秆全量化处置，持续推进秸秆肥料化、饲料化、能源化、基料化和原料化，逐步形成秸秆综合利用的长效机制。</w:t>
            </w:r>
          </w:p>
        </w:tc>
        <w:tc>
          <w:tcPr>
            <w:tcW w:w="2867" w:type="dxa"/>
            <w:noWrap w:val="0"/>
            <w:vAlign w:val="center"/>
          </w:tcPr>
          <w:p>
            <w:pPr>
              <w:adjustRightInd w:val="0"/>
              <w:jc w:val="center"/>
              <w:rPr>
                <w:bCs/>
                <w:i w:val="0"/>
                <w:iCs w:val="0"/>
                <w:sz w:val="21"/>
                <w:szCs w:val="21"/>
              </w:rPr>
            </w:pPr>
            <w:r>
              <w:rPr>
                <w:bCs/>
                <w:i w:val="0"/>
                <w:iCs w:val="0"/>
                <w:kern w:val="0"/>
                <w:sz w:val="21"/>
                <w:szCs w:val="21"/>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center"/>
          </w:tcPr>
          <w:p>
            <w:pPr>
              <w:pStyle w:val="386"/>
              <w:spacing w:before="0" w:beforeLines="0" w:after="0" w:afterLines="0" w:line="240" w:lineRule="auto"/>
              <w:ind w:firstLine="0" w:firstLineChars="0"/>
              <w:jc w:val="center"/>
              <w:rPr>
                <w:bCs/>
                <w:i w:val="0"/>
                <w:iCs w:val="0"/>
                <w:sz w:val="21"/>
                <w:szCs w:val="21"/>
              </w:rPr>
            </w:pPr>
          </w:p>
        </w:tc>
        <w:tc>
          <w:tcPr>
            <w:tcW w:w="10065" w:type="dxa"/>
            <w:noWrap w:val="0"/>
            <w:vAlign w:val="center"/>
          </w:tcPr>
          <w:p>
            <w:pPr>
              <w:autoSpaceDE w:val="0"/>
              <w:autoSpaceDN w:val="0"/>
              <w:adjustRightInd w:val="0"/>
              <w:rPr>
                <w:bCs/>
                <w:i w:val="0"/>
                <w:iCs w:val="0"/>
                <w:kern w:val="0"/>
                <w:sz w:val="21"/>
                <w:szCs w:val="21"/>
              </w:rPr>
            </w:pPr>
            <w:r>
              <w:rPr>
                <w:bCs/>
                <w:i w:val="0"/>
                <w:iCs w:val="0"/>
                <w:kern w:val="0"/>
                <w:sz w:val="21"/>
                <w:szCs w:val="21"/>
              </w:rPr>
              <w:t>推动城镇污水处理厂扩容工程和提标改造。超负荷、满负荷运行的污水处理厂要及时实施扩容，出水排入超标水域的污水处理厂要因地制宜提高出水标准。</w:t>
            </w:r>
          </w:p>
        </w:tc>
        <w:tc>
          <w:tcPr>
            <w:tcW w:w="2867" w:type="dxa"/>
            <w:noWrap w:val="0"/>
            <w:vAlign w:val="center"/>
          </w:tcPr>
          <w:p>
            <w:pPr>
              <w:adjustRightInd w:val="0"/>
              <w:jc w:val="center"/>
              <w:rPr>
                <w:bCs/>
                <w:i w:val="0"/>
                <w:iCs w:val="0"/>
                <w:sz w:val="21"/>
                <w:szCs w:val="21"/>
              </w:rPr>
            </w:pPr>
            <w:r>
              <w:rPr>
                <w:bCs/>
                <w:i w:val="0"/>
                <w:iCs w:val="0"/>
                <w:kern w:val="0"/>
                <w:sz w:val="21"/>
                <w:szCs w:val="21"/>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center"/>
          </w:tcPr>
          <w:p>
            <w:pPr>
              <w:pStyle w:val="386"/>
              <w:spacing w:before="0" w:beforeLines="0" w:after="0" w:afterLines="0" w:line="240" w:lineRule="auto"/>
              <w:ind w:firstLine="0" w:firstLineChars="0"/>
              <w:jc w:val="center"/>
              <w:rPr>
                <w:bCs/>
                <w:i w:val="0"/>
                <w:iCs w:val="0"/>
                <w:sz w:val="21"/>
                <w:szCs w:val="21"/>
              </w:rPr>
            </w:pPr>
          </w:p>
        </w:tc>
        <w:tc>
          <w:tcPr>
            <w:tcW w:w="10065" w:type="dxa"/>
            <w:noWrap w:val="0"/>
            <w:vAlign w:val="center"/>
          </w:tcPr>
          <w:p>
            <w:pPr>
              <w:autoSpaceDE w:val="0"/>
              <w:autoSpaceDN w:val="0"/>
              <w:adjustRightInd w:val="0"/>
              <w:rPr>
                <w:bCs/>
                <w:i w:val="0"/>
                <w:iCs w:val="0"/>
                <w:kern w:val="0"/>
                <w:sz w:val="21"/>
                <w:szCs w:val="21"/>
              </w:rPr>
            </w:pPr>
            <w:r>
              <w:rPr>
                <w:bCs/>
                <w:i w:val="0"/>
                <w:iCs w:val="0"/>
                <w:kern w:val="0"/>
                <w:sz w:val="21"/>
                <w:szCs w:val="21"/>
              </w:rPr>
              <w:t>新建、改建、扩建规模化畜禽养殖场（小区）要实施雨污分流和粪便污水资源化利用。</w:t>
            </w:r>
          </w:p>
        </w:tc>
        <w:tc>
          <w:tcPr>
            <w:tcW w:w="2867" w:type="dxa"/>
            <w:noWrap w:val="0"/>
            <w:vAlign w:val="center"/>
          </w:tcPr>
          <w:p>
            <w:pPr>
              <w:adjustRightInd w:val="0"/>
              <w:jc w:val="center"/>
              <w:rPr>
                <w:bCs/>
                <w:i w:val="0"/>
                <w:iCs w:val="0"/>
                <w:sz w:val="21"/>
                <w:szCs w:val="21"/>
              </w:rPr>
            </w:pPr>
            <w:r>
              <w:rPr>
                <w:bCs/>
                <w:i w:val="0"/>
                <w:iCs w:val="0"/>
                <w:kern w:val="0"/>
                <w:sz w:val="21"/>
                <w:szCs w:val="21"/>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restart"/>
            <w:noWrap w:val="0"/>
            <w:vAlign w:val="center"/>
          </w:tcPr>
          <w:p>
            <w:pPr>
              <w:autoSpaceDE w:val="0"/>
              <w:autoSpaceDN w:val="0"/>
              <w:adjustRightInd w:val="0"/>
              <w:jc w:val="center"/>
              <w:rPr>
                <w:bCs/>
                <w:i w:val="0"/>
                <w:iCs w:val="0"/>
                <w:kern w:val="0"/>
                <w:sz w:val="21"/>
                <w:szCs w:val="21"/>
              </w:rPr>
            </w:pPr>
            <w:r>
              <w:rPr>
                <w:bCs/>
                <w:i w:val="0"/>
                <w:iCs w:val="0"/>
                <w:kern w:val="0"/>
                <w:sz w:val="21"/>
                <w:szCs w:val="21"/>
              </w:rPr>
              <w:t>环境风险</w:t>
            </w:r>
          </w:p>
          <w:p>
            <w:pPr>
              <w:pStyle w:val="386"/>
              <w:spacing w:before="0" w:beforeLines="0" w:after="0" w:afterLines="0" w:line="240" w:lineRule="auto"/>
              <w:ind w:firstLine="0" w:firstLineChars="0"/>
              <w:jc w:val="center"/>
              <w:rPr>
                <w:bCs/>
                <w:i w:val="0"/>
                <w:iCs w:val="0"/>
                <w:sz w:val="21"/>
                <w:szCs w:val="21"/>
              </w:rPr>
            </w:pPr>
            <w:r>
              <w:rPr>
                <w:bCs/>
                <w:i w:val="0"/>
                <w:iCs w:val="0"/>
                <w:kern w:val="0"/>
                <w:sz w:val="21"/>
                <w:szCs w:val="21"/>
              </w:rPr>
              <w:t>防控</w:t>
            </w:r>
          </w:p>
        </w:tc>
        <w:tc>
          <w:tcPr>
            <w:tcW w:w="10065" w:type="dxa"/>
            <w:noWrap w:val="0"/>
            <w:vAlign w:val="center"/>
          </w:tcPr>
          <w:p>
            <w:pPr>
              <w:autoSpaceDE w:val="0"/>
              <w:autoSpaceDN w:val="0"/>
              <w:adjustRightInd w:val="0"/>
              <w:rPr>
                <w:bCs/>
                <w:i w:val="0"/>
                <w:iCs w:val="0"/>
                <w:kern w:val="0"/>
                <w:sz w:val="21"/>
                <w:szCs w:val="21"/>
              </w:rPr>
            </w:pPr>
            <w:r>
              <w:rPr>
                <w:bCs/>
                <w:i w:val="0"/>
                <w:iCs w:val="0"/>
                <w:kern w:val="0"/>
                <w:sz w:val="21"/>
                <w:szCs w:val="21"/>
              </w:rPr>
              <w:t>到2025年，城镇人口密集区现有不符合防护距离要求的危险化学品生产企业应就地改造达标、搬迁进入规范化工园区或关闭退出，企业安全和环境风险大幅降低。</w:t>
            </w:r>
          </w:p>
        </w:tc>
        <w:tc>
          <w:tcPr>
            <w:tcW w:w="2867" w:type="dxa"/>
            <w:noWrap w:val="0"/>
            <w:vAlign w:val="center"/>
          </w:tcPr>
          <w:p>
            <w:pPr>
              <w:adjustRightInd w:val="0"/>
              <w:jc w:val="center"/>
              <w:rPr>
                <w:bCs/>
                <w:i w:val="0"/>
                <w:iCs w:val="0"/>
                <w:sz w:val="21"/>
                <w:szCs w:val="21"/>
              </w:rPr>
            </w:pPr>
            <w:r>
              <w:rPr>
                <w:bCs/>
                <w:i w:val="0"/>
                <w:iCs w:val="0"/>
                <w:kern w:val="0"/>
                <w:sz w:val="21"/>
                <w:szCs w:val="21"/>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center"/>
          </w:tcPr>
          <w:p>
            <w:pPr>
              <w:pStyle w:val="386"/>
              <w:spacing w:before="0" w:beforeLines="0" w:after="0" w:afterLines="0" w:line="240" w:lineRule="auto"/>
              <w:ind w:firstLine="0" w:firstLineChars="0"/>
              <w:jc w:val="center"/>
              <w:rPr>
                <w:bCs/>
                <w:i w:val="0"/>
                <w:iCs w:val="0"/>
                <w:sz w:val="21"/>
                <w:szCs w:val="21"/>
              </w:rPr>
            </w:pPr>
          </w:p>
        </w:tc>
        <w:tc>
          <w:tcPr>
            <w:tcW w:w="10065" w:type="dxa"/>
            <w:noWrap w:val="0"/>
            <w:vAlign w:val="center"/>
          </w:tcPr>
          <w:p>
            <w:pPr>
              <w:autoSpaceDE w:val="0"/>
              <w:autoSpaceDN w:val="0"/>
              <w:adjustRightInd w:val="0"/>
              <w:rPr>
                <w:bCs/>
                <w:i w:val="0"/>
                <w:iCs w:val="0"/>
                <w:kern w:val="0"/>
                <w:sz w:val="21"/>
                <w:szCs w:val="21"/>
              </w:rPr>
            </w:pPr>
            <w:r>
              <w:rPr>
                <w:bCs/>
                <w:i w:val="0"/>
                <w:iCs w:val="0"/>
                <w:kern w:val="0"/>
                <w:sz w:val="21"/>
                <w:szCs w:val="21"/>
              </w:rPr>
              <w:t>加快完成饮用水水源保护区划界立标、隔离防护等规范化建设，拆除、关闭保护区内排污口和违法建设项目，完善风险防控与应急能力建设和相关管理措施，保证饮用水水源水质达标和水源安全。</w:t>
            </w:r>
          </w:p>
        </w:tc>
        <w:tc>
          <w:tcPr>
            <w:tcW w:w="2867" w:type="dxa"/>
            <w:noWrap w:val="0"/>
            <w:vAlign w:val="center"/>
          </w:tcPr>
          <w:p>
            <w:pPr>
              <w:adjustRightInd w:val="0"/>
              <w:jc w:val="center"/>
              <w:rPr>
                <w:bCs/>
                <w:i w:val="0"/>
                <w:iCs w:val="0"/>
                <w:sz w:val="21"/>
                <w:szCs w:val="21"/>
              </w:rPr>
            </w:pPr>
            <w:r>
              <w:rPr>
                <w:bCs/>
                <w:i w:val="0"/>
                <w:iCs w:val="0"/>
                <w:kern w:val="0"/>
                <w:sz w:val="21"/>
                <w:szCs w:val="21"/>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restart"/>
            <w:noWrap w:val="0"/>
            <w:vAlign w:val="center"/>
          </w:tcPr>
          <w:p>
            <w:pPr>
              <w:pStyle w:val="386"/>
              <w:spacing w:before="0" w:beforeLines="0" w:after="0" w:afterLines="0" w:line="240" w:lineRule="auto"/>
              <w:ind w:firstLine="0" w:firstLineChars="0"/>
              <w:jc w:val="center"/>
              <w:rPr>
                <w:bCs/>
                <w:i w:val="0"/>
                <w:iCs w:val="0"/>
                <w:sz w:val="21"/>
                <w:szCs w:val="21"/>
              </w:rPr>
            </w:pPr>
            <w:r>
              <w:rPr>
                <w:bCs/>
                <w:i w:val="0"/>
                <w:iCs w:val="0"/>
                <w:sz w:val="21"/>
                <w:szCs w:val="21"/>
              </w:rPr>
              <w:t>资源利用要求</w:t>
            </w:r>
          </w:p>
        </w:tc>
        <w:tc>
          <w:tcPr>
            <w:tcW w:w="10065" w:type="dxa"/>
            <w:noWrap w:val="0"/>
            <w:vAlign w:val="center"/>
          </w:tcPr>
          <w:p>
            <w:pPr>
              <w:autoSpaceDE w:val="0"/>
              <w:autoSpaceDN w:val="0"/>
              <w:adjustRightInd w:val="0"/>
              <w:rPr>
                <w:bCs/>
                <w:i w:val="0"/>
                <w:iCs w:val="0"/>
                <w:kern w:val="0"/>
                <w:sz w:val="21"/>
                <w:szCs w:val="21"/>
              </w:rPr>
            </w:pPr>
            <w:r>
              <w:rPr>
                <w:bCs/>
                <w:i w:val="0"/>
                <w:iCs w:val="0"/>
                <w:kern w:val="0"/>
                <w:sz w:val="21"/>
                <w:szCs w:val="21"/>
              </w:rPr>
              <w:t>推动园区串联用水，分质用水、一水多用和循环利用，提高水资源利用率，建设节水型园区。火电、钢铁、造纸、化工、粮食深加工等重点行业应推广实施节水改造和污水深度处理。鼓励钢铁、火电、纺织印染、造纸、石油石化、化工、制革等高耗水企业废水深度处理回用。</w:t>
            </w:r>
          </w:p>
        </w:tc>
        <w:tc>
          <w:tcPr>
            <w:tcW w:w="2867" w:type="dxa"/>
            <w:noWrap w:val="0"/>
            <w:vAlign w:val="center"/>
          </w:tcPr>
          <w:p>
            <w:pPr>
              <w:pStyle w:val="386"/>
              <w:spacing w:before="0" w:beforeLines="0" w:after="0" w:afterLines="0" w:line="240" w:lineRule="auto"/>
              <w:ind w:firstLine="0" w:firstLineChars="0"/>
              <w:rPr>
                <w:bCs/>
                <w:i w:val="0"/>
                <w:iCs w:val="0"/>
                <w:sz w:val="21"/>
                <w:szCs w:val="21"/>
              </w:rPr>
            </w:pPr>
            <w:r>
              <w:rPr>
                <w:bCs/>
                <w:i w:val="0"/>
                <w:iCs w:val="0"/>
                <w:sz w:val="21"/>
                <w:szCs w:val="21"/>
              </w:rPr>
              <w:t>符合：</w:t>
            </w:r>
            <w:r>
              <w:rPr>
                <w:rFonts w:hint="eastAsia"/>
                <w:bCs/>
                <w:i w:val="0"/>
                <w:iCs w:val="0"/>
                <w:sz w:val="21"/>
                <w:szCs w:val="21"/>
              </w:rPr>
              <w:t>本项目生产废水、生活污水由厂区自建废水处理站处理达到《污水综合排放标准》GB8978-1996表2</w:t>
            </w:r>
            <w:r>
              <w:rPr>
                <w:rFonts w:hint="eastAsia"/>
                <w:bCs/>
                <w:i w:val="0"/>
                <w:iCs w:val="0"/>
                <w:sz w:val="21"/>
                <w:szCs w:val="21"/>
                <w:lang w:eastAsia="zh-CN"/>
              </w:rPr>
              <w:t>三级标准</w:t>
            </w:r>
            <w:r>
              <w:rPr>
                <w:rFonts w:hint="eastAsia"/>
                <w:bCs/>
                <w:i w:val="0"/>
                <w:iCs w:val="0"/>
                <w:sz w:val="21"/>
                <w:szCs w:val="21"/>
              </w:rPr>
              <w:t>排放限值及园区污水处理厂进水指标后排入污水管网内，进入园区污水处理厂处理后排放</w:t>
            </w:r>
            <w:r>
              <w:rPr>
                <w:bCs/>
                <w:i w:val="0"/>
                <w:iCs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pPr>
              <w:pStyle w:val="386"/>
              <w:spacing w:before="0" w:beforeLines="0" w:after="0" w:afterLines="0" w:line="240" w:lineRule="auto"/>
              <w:ind w:firstLine="0" w:firstLineChars="0"/>
              <w:rPr>
                <w:bCs/>
                <w:i w:val="0"/>
                <w:iCs w:val="0"/>
                <w:sz w:val="21"/>
                <w:szCs w:val="21"/>
              </w:rPr>
            </w:pPr>
          </w:p>
        </w:tc>
        <w:tc>
          <w:tcPr>
            <w:tcW w:w="10065" w:type="dxa"/>
            <w:noWrap w:val="0"/>
            <w:vAlign w:val="center"/>
          </w:tcPr>
          <w:p>
            <w:pPr>
              <w:autoSpaceDE w:val="0"/>
              <w:autoSpaceDN w:val="0"/>
              <w:adjustRightInd w:val="0"/>
              <w:rPr>
                <w:bCs/>
                <w:i w:val="0"/>
                <w:iCs w:val="0"/>
                <w:kern w:val="0"/>
                <w:sz w:val="21"/>
                <w:szCs w:val="21"/>
              </w:rPr>
            </w:pPr>
            <w:r>
              <w:rPr>
                <w:bCs/>
                <w:i w:val="0"/>
                <w:iCs w:val="0"/>
                <w:kern w:val="0"/>
                <w:sz w:val="21"/>
                <w:szCs w:val="21"/>
              </w:rPr>
              <w:t>按照《吉林省黑土地保护条例》实施黑土地保护， 加大黑土区水土流失治理力度，发展保护性耕作，促进黑土地可持续发展。</w:t>
            </w:r>
          </w:p>
        </w:tc>
        <w:tc>
          <w:tcPr>
            <w:tcW w:w="2867" w:type="dxa"/>
            <w:noWrap w:val="0"/>
            <w:vAlign w:val="center"/>
          </w:tcPr>
          <w:p>
            <w:pPr>
              <w:pStyle w:val="386"/>
              <w:spacing w:before="0" w:beforeLines="0" w:after="0" w:afterLines="0" w:line="240" w:lineRule="auto"/>
              <w:ind w:firstLine="0" w:firstLineChars="0"/>
              <w:jc w:val="center"/>
              <w:rPr>
                <w:bCs/>
                <w:i w:val="0"/>
                <w:iCs w:val="0"/>
                <w:sz w:val="21"/>
                <w:szCs w:val="21"/>
              </w:rPr>
            </w:pPr>
            <w:r>
              <w:rPr>
                <w:bCs/>
                <w:i w:val="0"/>
                <w:iCs w:val="0"/>
                <w:sz w:val="21"/>
                <w:szCs w:val="21"/>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pPr>
              <w:pStyle w:val="386"/>
              <w:spacing w:before="0" w:beforeLines="0" w:after="0" w:afterLines="0" w:line="240" w:lineRule="auto"/>
              <w:ind w:firstLine="0" w:firstLineChars="0"/>
              <w:rPr>
                <w:bCs/>
                <w:i w:val="0"/>
                <w:iCs w:val="0"/>
                <w:sz w:val="21"/>
                <w:szCs w:val="21"/>
              </w:rPr>
            </w:pPr>
          </w:p>
        </w:tc>
        <w:tc>
          <w:tcPr>
            <w:tcW w:w="10065" w:type="dxa"/>
            <w:noWrap w:val="0"/>
            <w:vAlign w:val="center"/>
          </w:tcPr>
          <w:p>
            <w:pPr>
              <w:autoSpaceDE w:val="0"/>
              <w:autoSpaceDN w:val="0"/>
              <w:adjustRightInd w:val="0"/>
              <w:rPr>
                <w:bCs/>
                <w:i w:val="0"/>
                <w:iCs w:val="0"/>
                <w:kern w:val="0"/>
                <w:sz w:val="21"/>
                <w:szCs w:val="21"/>
              </w:rPr>
            </w:pPr>
            <w:r>
              <w:rPr>
                <w:bCs/>
                <w:i w:val="0"/>
                <w:iCs w:val="0"/>
                <w:kern w:val="0"/>
                <w:sz w:val="21"/>
                <w:szCs w:val="21"/>
              </w:rPr>
              <w:t>严格控制新增耗煤项目的审批、核准、备案，对未实施煤炭消费等量或减量替代的耗煤项目一律不予审批、核准、备案。新上燃煤发电项目并网前应当完成全部煤炭替代量。</w:t>
            </w:r>
          </w:p>
        </w:tc>
        <w:tc>
          <w:tcPr>
            <w:tcW w:w="2867" w:type="dxa"/>
            <w:noWrap w:val="0"/>
            <w:vAlign w:val="center"/>
          </w:tcPr>
          <w:p>
            <w:pPr>
              <w:pStyle w:val="386"/>
              <w:spacing w:before="0" w:beforeLines="0" w:after="0" w:afterLines="0" w:line="240" w:lineRule="auto"/>
              <w:ind w:firstLine="0" w:firstLineChars="0"/>
              <w:jc w:val="center"/>
              <w:rPr>
                <w:bCs/>
                <w:i w:val="0"/>
                <w:iCs w:val="0"/>
                <w:sz w:val="21"/>
                <w:szCs w:val="21"/>
              </w:rPr>
            </w:pPr>
            <w:r>
              <w:rPr>
                <w:bCs/>
                <w:i w:val="0"/>
                <w:iCs w:val="0"/>
                <w:sz w:val="21"/>
                <w:szCs w:val="21"/>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pPr>
              <w:pStyle w:val="386"/>
              <w:spacing w:before="0" w:beforeLines="0" w:after="0" w:afterLines="0" w:line="240" w:lineRule="auto"/>
              <w:ind w:firstLine="0" w:firstLineChars="0"/>
              <w:rPr>
                <w:bCs/>
                <w:i w:val="0"/>
                <w:iCs w:val="0"/>
                <w:sz w:val="21"/>
                <w:szCs w:val="21"/>
              </w:rPr>
            </w:pPr>
          </w:p>
        </w:tc>
        <w:tc>
          <w:tcPr>
            <w:tcW w:w="10065" w:type="dxa"/>
            <w:noWrap w:val="0"/>
            <w:vAlign w:val="top"/>
          </w:tcPr>
          <w:p>
            <w:pPr>
              <w:autoSpaceDE w:val="0"/>
              <w:autoSpaceDN w:val="0"/>
              <w:adjustRightInd w:val="0"/>
              <w:jc w:val="left"/>
              <w:rPr>
                <w:bCs/>
                <w:i w:val="0"/>
                <w:iCs w:val="0"/>
                <w:kern w:val="0"/>
                <w:sz w:val="21"/>
                <w:szCs w:val="21"/>
              </w:rPr>
            </w:pPr>
            <w:r>
              <w:rPr>
                <w:bCs/>
                <w:i w:val="0"/>
                <w:iCs w:val="0"/>
                <w:kern w:val="0"/>
                <w:sz w:val="21"/>
                <w:szCs w:val="21"/>
              </w:rPr>
              <w:t>各地划定的高污染燃料禁燃区内，禁止燃用、销售高污染燃料，禁止新建、改建、扩建任何燃用高污染燃料的设施</w:t>
            </w:r>
          </w:p>
        </w:tc>
        <w:tc>
          <w:tcPr>
            <w:tcW w:w="2867" w:type="dxa"/>
            <w:noWrap w:val="0"/>
            <w:vAlign w:val="center"/>
          </w:tcPr>
          <w:p>
            <w:pPr>
              <w:pStyle w:val="386"/>
              <w:spacing w:before="0" w:beforeLines="0" w:after="0" w:afterLines="0" w:line="240" w:lineRule="auto"/>
              <w:ind w:firstLine="0" w:firstLineChars="0"/>
              <w:jc w:val="center"/>
              <w:rPr>
                <w:bCs/>
                <w:i w:val="0"/>
                <w:iCs w:val="0"/>
                <w:sz w:val="21"/>
                <w:szCs w:val="21"/>
              </w:rPr>
            </w:pPr>
            <w:r>
              <w:rPr>
                <w:bCs/>
                <w:i w:val="0"/>
                <w:iCs w:val="0"/>
                <w:sz w:val="21"/>
                <w:szCs w:val="21"/>
              </w:rPr>
              <w:t>不涉及</w:t>
            </w:r>
          </w:p>
        </w:tc>
      </w:tr>
    </w:tbl>
    <w:p>
      <w:pPr>
        <w:pStyle w:val="92"/>
        <w:spacing w:before="0" w:after="0" w:line="240" w:lineRule="auto"/>
        <w:ind w:firstLine="482" w:firstLineChars="200"/>
        <w:jc w:val="center"/>
        <w:rPr>
          <w:rFonts w:ascii="Times New Roman" w:eastAsia="宋体"/>
          <w:b/>
          <w:bCs/>
          <w:i w:val="0"/>
          <w:iCs w:val="0"/>
          <w:szCs w:val="24"/>
          <w:u w:val="single"/>
        </w:rPr>
      </w:pPr>
      <w:r>
        <w:rPr>
          <w:rFonts w:ascii="Times New Roman" w:eastAsia="宋体"/>
          <w:b/>
          <w:bCs/>
          <w:i w:val="0"/>
          <w:iCs w:val="0"/>
          <w:szCs w:val="24"/>
          <w:u w:val="single"/>
        </w:rPr>
        <w:t>表</w:t>
      </w:r>
      <w:r>
        <w:rPr>
          <w:rFonts w:hint="eastAsia" w:ascii="Times New Roman" w:eastAsia="宋体"/>
          <w:b/>
          <w:bCs/>
          <w:i w:val="0"/>
          <w:iCs w:val="0"/>
          <w:szCs w:val="24"/>
          <w:u w:val="single"/>
        </w:rPr>
        <w:t>1</w:t>
      </w:r>
      <w:r>
        <w:rPr>
          <w:rFonts w:ascii="Times New Roman" w:eastAsia="宋体"/>
          <w:b/>
          <w:bCs/>
          <w:i w:val="0"/>
          <w:iCs w:val="0"/>
          <w:szCs w:val="24"/>
          <w:u w:val="single"/>
        </w:rPr>
        <w:t>-</w:t>
      </w:r>
      <w:r>
        <w:rPr>
          <w:rFonts w:hint="eastAsia" w:ascii="Times New Roman" w:eastAsia="宋体"/>
          <w:b/>
          <w:bCs/>
          <w:i w:val="0"/>
          <w:iCs w:val="0"/>
          <w:szCs w:val="24"/>
          <w:u w:val="single"/>
          <w:lang w:val="en-US" w:eastAsia="zh-CN"/>
        </w:rPr>
        <w:t>10</w:t>
      </w:r>
      <w:r>
        <w:rPr>
          <w:rFonts w:ascii="Times New Roman" w:eastAsia="宋体"/>
          <w:b/>
          <w:bCs/>
          <w:i w:val="0"/>
          <w:iCs w:val="0"/>
          <w:szCs w:val="24"/>
          <w:u w:val="single"/>
        </w:rPr>
        <w:t xml:space="preserve">  白山市生态环境准入清单符合性</w:t>
      </w:r>
    </w:p>
    <w:tbl>
      <w:tblPr>
        <w:tblStyle w:val="5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134"/>
        <w:gridCol w:w="8931"/>
        <w:gridCol w:w="28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noWrap w:val="0"/>
            <w:vAlign w:val="top"/>
          </w:tcPr>
          <w:p>
            <w:pPr>
              <w:pStyle w:val="386"/>
              <w:spacing w:before="0" w:beforeLines="0" w:after="0" w:afterLines="0" w:line="240" w:lineRule="auto"/>
              <w:ind w:firstLine="0" w:firstLineChars="0"/>
              <w:jc w:val="center"/>
              <w:rPr>
                <w:bCs/>
                <w:i w:val="0"/>
                <w:iCs w:val="0"/>
                <w:sz w:val="21"/>
                <w:szCs w:val="21"/>
                <w:u w:val="single"/>
              </w:rPr>
            </w:pPr>
            <w:r>
              <w:rPr>
                <w:bCs/>
                <w:i w:val="0"/>
                <w:iCs w:val="0"/>
                <w:sz w:val="21"/>
                <w:szCs w:val="21"/>
                <w:u w:val="single"/>
              </w:rPr>
              <w:t>管控类别</w:t>
            </w:r>
          </w:p>
        </w:tc>
        <w:tc>
          <w:tcPr>
            <w:tcW w:w="10065" w:type="dxa"/>
            <w:gridSpan w:val="2"/>
            <w:noWrap w:val="0"/>
            <w:vAlign w:val="top"/>
          </w:tcPr>
          <w:p>
            <w:pPr>
              <w:pStyle w:val="386"/>
              <w:spacing w:before="0" w:beforeLines="0" w:after="0" w:afterLines="0" w:line="240" w:lineRule="auto"/>
              <w:ind w:firstLine="0" w:firstLineChars="0"/>
              <w:jc w:val="center"/>
              <w:rPr>
                <w:bCs/>
                <w:i w:val="0"/>
                <w:iCs w:val="0"/>
                <w:sz w:val="21"/>
                <w:szCs w:val="21"/>
                <w:u w:val="single"/>
              </w:rPr>
            </w:pPr>
            <w:r>
              <w:rPr>
                <w:bCs/>
                <w:i w:val="0"/>
                <w:iCs w:val="0"/>
                <w:sz w:val="21"/>
                <w:szCs w:val="21"/>
                <w:u w:val="single"/>
              </w:rPr>
              <w:t>管控要求</w:t>
            </w:r>
          </w:p>
        </w:tc>
        <w:tc>
          <w:tcPr>
            <w:tcW w:w="2867" w:type="dxa"/>
            <w:noWrap w:val="0"/>
            <w:vAlign w:val="top"/>
          </w:tcPr>
          <w:p>
            <w:pPr>
              <w:pStyle w:val="386"/>
              <w:spacing w:before="0" w:beforeLines="0" w:after="0" w:afterLines="0" w:line="240" w:lineRule="auto"/>
              <w:ind w:firstLine="0" w:firstLineChars="0"/>
              <w:jc w:val="center"/>
              <w:rPr>
                <w:bCs/>
                <w:i w:val="0"/>
                <w:iCs w:val="0"/>
                <w:sz w:val="21"/>
                <w:szCs w:val="21"/>
                <w:u w:val="single"/>
              </w:rPr>
            </w:pPr>
            <w:r>
              <w:rPr>
                <w:bCs/>
                <w:i w:val="0"/>
                <w:iCs w:val="0"/>
                <w:sz w:val="21"/>
                <w:szCs w:val="21"/>
                <w:u w:val="singl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noWrap w:val="0"/>
            <w:vAlign w:val="center"/>
          </w:tcPr>
          <w:p>
            <w:pPr>
              <w:pStyle w:val="386"/>
              <w:spacing w:before="0" w:beforeLines="0" w:after="0" w:afterLines="0" w:line="240" w:lineRule="auto"/>
              <w:ind w:firstLine="0" w:firstLineChars="0"/>
              <w:jc w:val="center"/>
              <w:rPr>
                <w:bCs/>
                <w:i w:val="0"/>
                <w:iCs w:val="0"/>
                <w:sz w:val="21"/>
                <w:szCs w:val="21"/>
                <w:u w:val="single"/>
              </w:rPr>
            </w:pPr>
            <w:r>
              <w:rPr>
                <w:bCs/>
                <w:i w:val="0"/>
                <w:iCs w:val="0"/>
                <w:sz w:val="21"/>
                <w:szCs w:val="21"/>
                <w:u w:val="single"/>
              </w:rPr>
              <w:t>空间布局约束</w:t>
            </w:r>
          </w:p>
        </w:tc>
        <w:tc>
          <w:tcPr>
            <w:tcW w:w="10065" w:type="dxa"/>
            <w:gridSpan w:val="2"/>
            <w:noWrap w:val="0"/>
            <w:vAlign w:val="center"/>
          </w:tcPr>
          <w:p>
            <w:pPr>
              <w:autoSpaceDE w:val="0"/>
              <w:autoSpaceDN w:val="0"/>
              <w:adjustRightInd w:val="0"/>
              <w:rPr>
                <w:bCs/>
                <w:i w:val="0"/>
                <w:iCs w:val="0"/>
                <w:sz w:val="21"/>
                <w:szCs w:val="21"/>
                <w:u w:val="single"/>
              </w:rPr>
            </w:pPr>
            <w:r>
              <w:rPr>
                <w:bCs/>
                <w:i w:val="0"/>
                <w:iCs w:val="0"/>
                <w:sz w:val="21"/>
                <w:szCs w:val="21"/>
                <w:u w:val="single"/>
              </w:rPr>
              <w:t>禁止在下列林地的采伐迹地种植人参：（1）自然保护区、森林公园、景区及其附近林地；（2）江河源头和两岸林地；（3）水库、湖泊周围等生态重要区位林地；（4）国道、省道、县道两侧第一层山脊内林地；    （5）坡度在25度以上的林地；（6）山脊、沟壑等林地；（7）不符合人参种植标准和要求的其他林地。</w:t>
            </w:r>
          </w:p>
        </w:tc>
        <w:tc>
          <w:tcPr>
            <w:tcW w:w="2867" w:type="dxa"/>
            <w:noWrap w:val="0"/>
            <w:vAlign w:val="center"/>
          </w:tcPr>
          <w:p>
            <w:pPr>
              <w:pStyle w:val="386"/>
              <w:spacing w:before="0" w:beforeLines="0" w:after="0" w:afterLines="0" w:line="240" w:lineRule="auto"/>
              <w:ind w:firstLine="0" w:firstLineChars="0"/>
              <w:jc w:val="center"/>
              <w:rPr>
                <w:bCs/>
                <w:i w:val="0"/>
                <w:iCs w:val="0"/>
                <w:sz w:val="21"/>
                <w:szCs w:val="21"/>
                <w:u w:val="single"/>
              </w:rPr>
            </w:pPr>
            <w:r>
              <w:rPr>
                <w:bCs/>
                <w:i w:val="0"/>
                <w:iCs w:val="0"/>
                <w:sz w:val="21"/>
                <w:szCs w:val="21"/>
                <w:u w:val="single"/>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restart"/>
            <w:noWrap w:val="0"/>
            <w:vAlign w:val="center"/>
          </w:tcPr>
          <w:p>
            <w:pPr>
              <w:pStyle w:val="386"/>
              <w:spacing w:before="0" w:beforeLines="0" w:after="0" w:afterLines="0" w:line="240" w:lineRule="auto"/>
              <w:ind w:firstLine="0" w:firstLineChars="0"/>
              <w:jc w:val="center"/>
              <w:rPr>
                <w:bCs/>
                <w:i w:val="0"/>
                <w:iCs w:val="0"/>
                <w:sz w:val="21"/>
                <w:szCs w:val="21"/>
                <w:u w:val="single"/>
              </w:rPr>
            </w:pPr>
            <w:r>
              <w:rPr>
                <w:bCs/>
                <w:i w:val="0"/>
                <w:iCs w:val="0"/>
                <w:sz w:val="21"/>
                <w:szCs w:val="21"/>
                <w:u w:val="single"/>
              </w:rPr>
              <w:t>污染物排放管控</w:t>
            </w:r>
          </w:p>
        </w:tc>
        <w:tc>
          <w:tcPr>
            <w:tcW w:w="1134" w:type="dxa"/>
            <w:vMerge w:val="restart"/>
            <w:noWrap w:val="0"/>
            <w:vAlign w:val="center"/>
          </w:tcPr>
          <w:p>
            <w:pPr>
              <w:autoSpaceDE w:val="0"/>
              <w:autoSpaceDN w:val="0"/>
              <w:adjustRightInd w:val="0"/>
              <w:rPr>
                <w:rFonts w:ascii="Times New Roman" w:hAnsi="Times New Roman" w:eastAsia="宋体" w:cs="Times New Roman"/>
                <w:i w:val="0"/>
                <w:iCs w:val="0"/>
                <w:kern w:val="0"/>
                <w:sz w:val="21"/>
                <w:szCs w:val="21"/>
                <w:u w:val="single"/>
              </w:rPr>
            </w:pPr>
            <w:r>
              <w:rPr>
                <w:rFonts w:ascii="Times New Roman" w:hAnsi="Times New Roman" w:eastAsia="宋体" w:cs="Times New Roman"/>
                <w:i w:val="0"/>
                <w:iCs w:val="0"/>
                <w:kern w:val="0"/>
                <w:sz w:val="21"/>
                <w:szCs w:val="21"/>
                <w:u w:val="single"/>
              </w:rPr>
              <w:t>环境质量目标</w:t>
            </w:r>
          </w:p>
        </w:tc>
        <w:tc>
          <w:tcPr>
            <w:tcW w:w="8931" w:type="dxa"/>
            <w:noWrap w:val="0"/>
            <w:vAlign w:val="center"/>
          </w:tcPr>
          <w:p>
            <w:pPr>
              <w:autoSpaceDE w:val="0"/>
              <w:autoSpaceDN w:val="0"/>
              <w:adjustRightInd w:val="0"/>
              <w:rPr>
                <w:rFonts w:ascii="Times New Roman" w:hAnsi="Times New Roman" w:eastAsia="宋体" w:cs="Times New Roman"/>
                <w:i w:val="0"/>
                <w:iCs w:val="0"/>
                <w:kern w:val="0"/>
                <w:sz w:val="21"/>
                <w:szCs w:val="21"/>
                <w:u w:val="single"/>
              </w:rPr>
            </w:pPr>
            <w:r>
              <w:rPr>
                <w:rFonts w:ascii="Times New Roman" w:hAnsi="Times New Roman" w:eastAsia="宋体" w:cs="Times New Roman"/>
                <w:i w:val="0"/>
                <w:iCs w:val="0"/>
                <w:kern w:val="0"/>
                <w:sz w:val="21"/>
                <w:szCs w:val="21"/>
                <w:u w:val="single"/>
              </w:rPr>
              <w:t>大气环境质量持续改善。2025年全市PM2.5年均浓度达到25微克/立方米，优良天数比例保持在98%左右；2035年允许波动，不能恶化（沙尘影响不计入）。</w:t>
            </w:r>
          </w:p>
        </w:tc>
        <w:tc>
          <w:tcPr>
            <w:tcW w:w="2867" w:type="dxa"/>
            <w:noWrap w:val="0"/>
            <w:vAlign w:val="center"/>
          </w:tcPr>
          <w:p>
            <w:pPr>
              <w:autoSpaceDE w:val="0"/>
              <w:autoSpaceDN w:val="0"/>
              <w:adjustRightInd w:val="0"/>
              <w:jc w:val="center"/>
              <w:rPr>
                <w:rFonts w:ascii="Times New Roman" w:hAnsi="Times New Roman" w:eastAsia="宋体" w:cs="Times New Roman"/>
                <w:i w:val="0"/>
                <w:iCs w:val="0"/>
                <w:kern w:val="0"/>
                <w:sz w:val="21"/>
                <w:szCs w:val="21"/>
                <w:u w:val="single"/>
              </w:rPr>
            </w:pPr>
            <w:r>
              <w:rPr>
                <w:rFonts w:ascii="Times New Roman" w:hAnsi="Times New Roman" w:eastAsia="宋体" w:cs="Times New Roman"/>
                <w:i w:val="0"/>
                <w:iCs w:val="0"/>
                <w:kern w:val="0"/>
                <w:sz w:val="21"/>
                <w:szCs w:val="21"/>
                <w:u w:val="singl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center"/>
          </w:tcPr>
          <w:p>
            <w:pPr>
              <w:pStyle w:val="386"/>
              <w:spacing w:before="0" w:beforeLines="0" w:after="0" w:afterLines="0" w:line="240" w:lineRule="auto"/>
              <w:ind w:firstLine="0" w:firstLineChars="0"/>
              <w:jc w:val="center"/>
              <w:rPr>
                <w:bCs/>
                <w:i w:val="0"/>
                <w:iCs w:val="0"/>
                <w:sz w:val="21"/>
                <w:szCs w:val="21"/>
                <w:u w:val="single"/>
              </w:rPr>
            </w:pPr>
          </w:p>
        </w:tc>
        <w:tc>
          <w:tcPr>
            <w:tcW w:w="1134" w:type="dxa"/>
            <w:vMerge w:val="continue"/>
            <w:noWrap w:val="0"/>
            <w:vAlign w:val="top"/>
          </w:tcPr>
          <w:p>
            <w:pPr>
              <w:autoSpaceDE w:val="0"/>
              <w:autoSpaceDN w:val="0"/>
              <w:adjustRightInd w:val="0"/>
              <w:rPr>
                <w:rFonts w:ascii="Times New Roman" w:hAnsi="Times New Roman" w:eastAsia="宋体" w:cs="Times New Roman"/>
                <w:i w:val="0"/>
                <w:iCs w:val="0"/>
                <w:kern w:val="0"/>
                <w:sz w:val="21"/>
                <w:szCs w:val="21"/>
                <w:u w:val="single"/>
              </w:rPr>
            </w:pPr>
          </w:p>
        </w:tc>
        <w:tc>
          <w:tcPr>
            <w:tcW w:w="8931" w:type="dxa"/>
            <w:noWrap w:val="0"/>
            <w:vAlign w:val="center"/>
          </w:tcPr>
          <w:p>
            <w:pPr>
              <w:autoSpaceDE w:val="0"/>
              <w:autoSpaceDN w:val="0"/>
              <w:adjustRightInd w:val="0"/>
              <w:rPr>
                <w:rFonts w:ascii="Times New Roman" w:hAnsi="Times New Roman" w:eastAsia="宋体" w:cs="Times New Roman"/>
                <w:i w:val="0"/>
                <w:iCs w:val="0"/>
                <w:kern w:val="0"/>
                <w:sz w:val="21"/>
                <w:szCs w:val="21"/>
                <w:u w:val="single"/>
              </w:rPr>
            </w:pPr>
            <w:r>
              <w:rPr>
                <w:rFonts w:ascii="Times New Roman" w:hAnsi="Times New Roman" w:eastAsia="宋体" w:cs="Times New Roman"/>
                <w:i w:val="0"/>
                <w:iCs w:val="0"/>
                <w:kern w:val="0"/>
                <w:sz w:val="21"/>
                <w:szCs w:val="21"/>
                <w:u w:val="single"/>
              </w:rPr>
              <w:t>水环境质量持续改善。2025年，地表水国控断面达到或优于</w:t>
            </w:r>
            <w:r>
              <w:rPr>
                <w:rFonts w:hint="eastAsia" w:ascii="Times New Roman" w:hAnsi="Times New Roman" w:eastAsia="宋体" w:cs="Times New Roman"/>
                <w:i w:val="0"/>
                <w:iCs w:val="0"/>
                <w:kern w:val="0"/>
                <w:sz w:val="21"/>
                <w:szCs w:val="21"/>
                <w:u w:val="single"/>
              </w:rPr>
              <w:t>Ⅲ</w:t>
            </w:r>
            <w:r>
              <w:rPr>
                <w:rFonts w:ascii="Times New Roman" w:hAnsi="Times New Roman" w:eastAsia="宋体" w:cs="Times New Roman"/>
                <w:i w:val="0"/>
                <w:iCs w:val="0"/>
                <w:kern w:val="0"/>
                <w:sz w:val="21"/>
                <w:szCs w:val="21"/>
                <w:u w:val="single"/>
              </w:rPr>
              <w:t>类水体比例保持100%，饮用水水源地水质稳定达标。</w:t>
            </w:r>
          </w:p>
        </w:tc>
        <w:tc>
          <w:tcPr>
            <w:tcW w:w="2867" w:type="dxa"/>
            <w:noWrap w:val="0"/>
            <w:vAlign w:val="center"/>
          </w:tcPr>
          <w:p>
            <w:pPr>
              <w:autoSpaceDE w:val="0"/>
              <w:autoSpaceDN w:val="0"/>
              <w:adjustRightInd w:val="0"/>
              <w:jc w:val="center"/>
              <w:rPr>
                <w:rFonts w:ascii="Times New Roman" w:hAnsi="Times New Roman" w:eastAsia="宋体" w:cs="Times New Roman"/>
                <w:i w:val="0"/>
                <w:iCs w:val="0"/>
                <w:kern w:val="0"/>
                <w:sz w:val="21"/>
                <w:szCs w:val="21"/>
                <w:u w:val="single"/>
              </w:rPr>
            </w:pPr>
            <w:r>
              <w:rPr>
                <w:bCs/>
                <w:i w:val="0"/>
                <w:iCs w:val="0"/>
                <w:sz w:val="21"/>
                <w:szCs w:val="21"/>
                <w:u w:val="single"/>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restart"/>
            <w:noWrap w:val="0"/>
            <w:vAlign w:val="center"/>
          </w:tcPr>
          <w:p>
            <w:pPr>
              <w:pStyle w:val="386"/>
              <w:spacing w:before="0" w:beforeLines="0" w:after="0" w:afterLines="0" w:line="240" w:lineRule="auto"/>
              <w:ind w:firstLine="0" w:firstLineChars="0"/>
              <w:jc w:val="center"/>
              <w:rPr>
                <w:bCs/>
                <w:i w:val="0"/>
                <w:iCs w:val="0"/>
                <w:sz w:val="21"/>
                <w:szCs w:val="21"/>
                <w:u w:val="single"/>
              </w:rPr>
            </w:pPr>
            <w:r>
              <w:rPr>
                <w:bCs/>
                <w:i w:val="0"/>
                <w:iCs w:val="0"/>
                <w:sz w:val="21"/>
                <w:szCs w:val="21"/>
                <w:u w:val="single"/>
              </w:rPr>
              <w:t>资源利用要求</w:t>
            </w:r>
          </w:p>
        </w:tc>
        <w:tc>
          <w:tcPr>
            <w:tcW w:w="1134" w:type="dxa"/>
            <w:noWrap w:val="0"/>
            <w:vAlign w:val="center"/>
          </w:tcPr>
          <w:p>
            <w:pPr>
              <w:autoSpaceDE w:val="0"/>
              <w:autoSpaceDN w:val="0"/>
              <w:adjustRightInd w:val="0"/>
              <w:rPr>
                <w:rFonts w:ascii="Times New Roman" w:hAnsi="Times New Roman" w:eastAsia="宋体" w:cs="Times New Roman"/>
                <w:i w:val="0"/>
                <w:iCs w:val="0"/>
                <w:kern w:val="0"/>
                <w:sz w:val="21"/>
                <w:szCs w:val="21"/>
                <w:u w:val="single"/>
              </w:rPr>
            </w:pPr>
            <w:r>
              <w:rPr>
                <w:rFonts w:ascii="Times New Roman" w:hAnsi="Times New Roman" w:eastAsia="宋体" w:cs="Times New Roman"/>
                <w:i w:val="0"/>
                <w:iCs w:val="0"/>
                <w:kern w:val="0"/>
                <w:sz w:val="21"/>
                <w:szCs w:val="21"/>
                <w:u w:val="single"/>
              </w:rPr>
              <w:t>水资源</w:t>
            </w:r>
          </w:p>
        </w:tc>
        <w:tc>
          <w:tcPr>
            <w:tcW w:w="8931" w:type="dxa"/>
            <w:noWrap w:val="0"/>
            <w:vAlign w:val="center"/>
          </w:tcPr>
          <w:p>
            <w:pPr>
              <w:autoSpaceDE w:val="0"/>
              <w:autoSpaceDN w:val="0"/>
              <w:adjustRightInd w:val="0"/>
              <w:rPr>
                <w:rFonts w:ascii="Times New Roman" w:hAnsi="Times New Roman" w:eastAsia="宋体" w:cs="Times New Roman"/>
                <w:i w:val="0"/>
                <w:iCs w:val="0"/>
                <w:kern w:val="0"/>
                <w:sz w:val="21"/>
                <w:szCs w:val="21"/>
                <w:u w:val="single"/>
              </w:rPr>
            </w:pPr>
            <w:r>
              <w:rPr>
                <w:rFonts w:ascii="Times New Roman" w:hAnsi="Times New Roman" w:eastAsia="宋体" w:cs="Times New Roman"/>
                <w:i w:val="0"/>
                <w:iCs w:val="0"/>
                <w:kern w:val="0"/>
                <w:sz w:val="21"/>
                <w:szCs w:val="21"/>
                <w:u w:val="single"/>
              </w:rPr>
              <w:t>2025年用水量控制在2.24亿立方米，2035年用水量控制在4.8亿立方米。</w:t>
            </w:r>
          </w:p>
        </w:tc>
        <w:tc>
          <w:tcPr>
            <w:tcW w:w="2867" w:type="dxa"/>
            <w:noWrap w:val="0"/>
            <w:vAlign w:val="center"/>
          </w:tcPr>
          <w:p>
            <w:pPr>
              <w:autoSpaceDE w:val="0"/>
              <w:autoSpaceDN w:val="0"/>
              <w:adjustRightInd w:val="0"/>
              <w:jc w:val="center"/>
              <w:rPr>
                <w:rFonts w:ascii="Times New Roman" w:hAnsi="Times New Roman" w:eastAsia="宋体" w:cs="Times New Roman"/>
                <w:i w:val="0"/>
                <w:iCs w:val="0"/>
                <w:kern w:val="0"/>
                <w:sz w:val="21"/>
                <w:szCs w:val="21"/>
                <w:u w:val="single"/>
              </w:rPr>
            </w:pPr>
            <w:r>
              <w:rPr>
                <w:bCs/>
                <w:i w:val="0"/>
                <w:iCs w:val="0"/>
                <w:sz w:val="21"/>
                <w:szCs w:val="21"/>
                <w:u w:val="single"/>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center"/>
          </w:tcPr>
          <w:p>
            <w:pPr>
              <w:pStyle w:val="386"/>
              <w:spacing w:before="0" w:beforeLines="0" w:after="0" w:afterLines="0" w:line="240" w:lineRule="auto"/>
              <w:ind w:firstLine="0" w:firstLineChars="0"/>
              <w:jc w:val="center"/>
              <w:rPr>
                <w:bCs/>
                <w:i w:val="0"/>
                <w:iCs w:val="0"/>
                <w:sz w:val="21"/>
                <w:szCs w:val="21"/>
                <w:u w:val="single"/>
              </w:rPr>
            </w:pPr>
          </w:p>
        </w:tc>
        <w:tc>
          <w:tcPr>
            <w:tcW w:w="1134" w:type="dxa"/>
            <w:noWrap w:val="0"/>
            <w:vAlign w:val="center"/>
          </w:tcPr>
          <w:p>
            <w:pPr>
              <w:autoSpaceDE w:val="0"/>
              <w:autoSpaceDN w:val="0"/>
              <w:adjustRightInd w:val="0"/>
              <w:rPr>
                <w:rFonts w:ascii="Times New Roman" w:hAnsi="Times New Roman" w:eastAsia="宋体" w:cs="Times New Roman"/>
                <w:i w:val="0"/>
                <w:iCs w:val="0"/>
                <w:kern w:val="0"/>
                <w:sz w:val="21"/>
                <w:szCs w:val="21"/>
                <w:u w:val="single"/>
              </w:rPr>
            </w:pPr>
            <w:r>
              <w:rPr>
                <w:rFonts w:ascii="Times New Roman" w:hAnsi="Times New Roman" w:eastAsia="宋体" w:cs="Times New Roman"/>
                <w:i w:val="0"/>
                <w:iCs w:val="0"/>
                <w:kern w:val="0"/>
                <w:sz w:val="21"/>
                <w:szCs w:val="21"/>
                <w:u w:val="single"/>
              </w:rPr>
              <w:t>土地资源</w:t>
            </w:r>
          </w:p>
        </w:tc>
        <w:tc>
          <w:tcPr>
            <w:tcW w:w="8931" w:type="dxa"/>
            <w:noWrap w:val="0"/>
            <w:vAlign w:val="center"/>
          </w:tcPr>
          <w:p>
            <w:pPr>
              <w:autoSpaceDE w:val="0"/>
              <w:autoSpaceDN w:val="0"/>
              <w:adjustRightInd w:val="0"/>
              <w:rPr>
                <w:rFonts w:ascii="Times New Roman" w:hAnsi="Times New Roman" w:eastAsia="宋体" w:cs="Times New Roman"/>
                <w:i w:val="0"/>
                <w:iCs w:val="0"/>
                <w:kern w:val="0"/>
                <w:sz w:val="21"/>
                <w:szCs w:val="21"/>
                <w:u w:val="single"/>
              </w:rPr>
            </w:pPr>
            <w:r>
              <w:rPr>
                <w:rFonts w:ascii="Times New Roman" w:hAnsi="Times New Roman" w:eastAsia="宋体" w:cs="Times New Roman"/>
                <w:i w:val="0"/>
                <w:iCs w:val="0"/>
                <w:kern w:val="0"/>
                <w:sz w:val="21"/>
                <w:szCs w:val="21"/>
                <w:u w:val="single"/>
              </w:rPr>
              <w:t>2025年耕地保有量不低于1059.01平方千米；永久基本农田保护面积不低于708.71平方千米；城镇开发边界控制在184.25平方千米以内。</w:t>
            </w:r>
          </w:p>
        </w:tc>
        <w:tc>
          <w:tcPr>
            <w:tcW w:w="2867" w:type="dxa"/>
            <w:noWrap w:val="0"/>
            <w:vAlign w:val="center"/>
          </w:tcPr>
          <w:p>
            <w:pPr>
              <w:autoSpaceDE w:val="0"/>
              <w:autoSpaceDN w:val="0"/>
              <w:adjustRightInd w:val="0"/>
              <w:jc w:val="center"/>
              <w:rPr>
                <w:rFonts w:ascii="Times New Roman" w:hAnsi="Times New Roman" w:eastAsia="宋体" w:cs="Times New Roman"/>
                <w:i w:val="0"/>
                <w:iCs w:val="0"/>
                <w:kern w:val="0"/>
                <w:sz w:val="21"/>
                <w:szCs w:val="21"/>
                <w:u w:val="single"/>
              </w:rPr>
            </w:pPr>
            <w:r>
              <w:rPr>
                <w:bCs/>
                <w:i w:val="0"/>
                <w:iCs w:val="0"/>
                <w:sz w:val="21"/>
                <w:szCs w:val="21"/>
                <w:u w:val="single"/>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top"/>
          </w:tcPr>
          <w:p>
            <w:pPr>
              <w:pStyle w:val="386"/>
              <w:spacing w:before="0" w:beforeLines="0" w:after="0" w:afterLines="0" w:line="240" w:lineRule="auto"/>
              <w:ind w:firstLine="0" w:firstLineChars="0"/>
              <w:rPr>
                <w:bCs/>
                <w:i w:val="0"/>
                <w:iCs w:val="0"/>
                <w:sz w:val="21"/>
                <w:szCs w:val="21"/>
                <w:u w:val="single"/>
              </w:rPr>
            </w:pPr>
          </w:p>
        </w:tc>
        <w:tc>
          <w:tcPr>
            <w:tcW w:w="1134" w:type="dxa"/>
            <w:noWrap w:val="0"/>
            <w:vAlign w:val="center"/>
          </w:tcPr>
          <w:p>
            <w:pPr>
              <w:autoSpaceDE w:val="0"/>
              <w:autoSpaceDN w:val="0"/>
              <w:adjustRightInd w:val="0"/>
              <w:rPr>
                <w:rFonts w:ascii="Times New Roman" w:hAnsi="Times New Roman" w:eastAsia="宋体" w:cs="Times New Roman"/>
                <w:i w:val="0"/>
                <w:iCs w:val="0"/>
                <w:kern w:val="0"/>
                <w:sz w:val="21"/>
                <w:szCs w:val="21"/>
                <w:u w:val="single"/>
              </w:rPr>
            </w:pPr>
            <w:r>
              <w:rPr>
                <w:rFonts w:ascii="Times New Roman" w:hAnsi="Times New Roman" w:eastAsia="宋体" w:cs="Times New Roman"/>
                <w:i w:val="0"/>
                <w:iCs w:val="0"/>
                <w:kern w:val="0"/>
                <w:sz w:val="21"/>
                <w:szCs w:val="21"/>
                <w:u w:val="single"/>
              </w:rPr>
              <w:t>能源</w:t>
            </w:r>
          </w:p>
        </w:tc>
        <w:tc>
          <w:tcPr>
            <w:tcW w:w="8931" w:type="dxa"/>
            <w:noWrap w:val="0"/>
            <w:vAlign w:val="center"/>
          </w:tcPr>
          <w:p>
            <w:pPr>
              <w:autoSpaceDE w:val="0"/>
              <w:autoSpaceDN w:val="0"/>
              <w:adjustRightInd w:val="0"/>
              <w:rPr>
                <w:rFonts w:ascii="Times New Roman" w:hAnsi="Times New Roman" w:eastAsia="宋体" w:cs="Times New Roman"/>
                <w:i w:val="0"/>
                <w:iCs w:val="0"/>
                <w:kern w:val="0"/>
                <w:sz w:val="21"/>
                <w:szCs w:val="21"/>
                <w:u w:val="single"/>
              </w:rPr>
            </w:pPr>
            <w:r>
              <w:rPr>
                <w:rFonts w:ascii="Times New Roman" w:hAnsi="Times New Roman" w:eastAsia="宋体" w:cs="Times New Roman"/>
                <w:i w:val="0"/>
                <w:iCs w:val="0"/>
                <w:kern w:val="0"/>
                <w:sz w:val="21"/>
                <w:szCs w:val="21"/>
                <w:u w:val="single"/>
              </w:rPr>
              <w:t>2025年，煤炭消费总量控制在451.74万吨以内，非化石能源消费比重达到15%。</w:t>
            </w:r>
          </w:p>
        </w:tc>
        <w:tc>
          <w:tcPr>
            <w:tcW w:w="2867" w:type="dxa"/>
            <w:noWrap w:val="0"/>
            <w:vAlign w:val="center"/>
          </w:tcPr>
          <w:p>
            <w:pPr>
              <w:autoSpaceDE w:val="0"/>
              <w:autoSpaceDN w:val="0"/>
              <w:adjustRightInd w:val="0"/>
              <w:jc w:val="center"/>
              <w:rPr>
                <w:rFonts w:ascii="Times New Roman" w:hAnsi="Times New Roman" w:eastAsia="宋体" w:cs="Times New Roman"/>
                <w:i w:val="0"/>
                <w:iCs w:val="0"/>
                <w:kern w:val="0"/>
                <w:sz w:val="21"/>
                <w:szCs w:val="21"/>
                <w:u w:val="single"/>
              </w:rPr>
            </w:pPr>
            <w:r>
              <w:rPr>
                <w:rFonts w:hint="eastAsia" w:ascii="Times New Roman" w:hAnsi="Times New Roman" w:eastAsia="宋体" w:cs="Times New Roman"/>
                <w:i w:val="0"/>
                <w:iCs w:val="0"/>
                <w:kern w:val="0"/>
                <w:sz w:val="21"/>
                <w:szCs w:val="21"/>
                <w:u w:val="single"/>
              </w:rPr>
              <w:t>不涉及</w:t>
            </w:r>
          </w:p>
        </w:tc>
      </w:tr>
    </w:tbl>
    <w:p>
      <w:pPr>
        <w:pStyle w:val="92"/>
        <w:spacing w:before="0" w:after="0" w:line="240" w:lineRule="auto"/>
        <w:ind w:firstLine="482" w:firstLineChars="200"/>
        <w:jc w:val="center"/>
        <w:rPr>
          <w:rFonts w:ascii="Times New Roman" w:eastAsia="宋体"/>
          <w:b/>
          <w:bCs/>
          <w:i w:val="0"/>
          <w:iCs w:val="0"/>
          <w:szCs w:val="24"/>
        </w:rPr>
      </w:pPr>
      <w:r>
        <w:rPr>
          <w:rFonts w:ascii="Times New Roman" w:eastAsia="宋体"/>
          <w:b/>
          <w:bCs/>
          <w:i w:val="0"/>
          <w:iCs w:val="0"/>
          <w:szCs w:val="24"/>
        </w:rPr>
        <w:t>表</w:t>
      </w:r>
      <w:r>
        <w:rPr>
          <w:rFonts w:hint="eastAsia" w:ascii="Times New Roman" w:eastAsia="宋体"/>
          <w:b/>
          <w:bCs/>
          <w:i w:val="0"/>
          <w:iCs w:val="0"/>
          <w:szCs w:val="24"/>
        </w:rPr>
        <w:t>1</w:t>
      </w:r>
      <w:r>
        <w:rPr>
          <w:rFonts w:ascii="Times New Roman" w:eastAsia="宋体"/>
          <w:b/>
          <w:bCs/>
          <w:i w:val="0"/>
          <w:iCs w:val="0"/>
          <w:szCs w:val="24"/>
        </w:rPr>
        <w:t>-</w:t>
      </w:r>
      <w:r>
        <w:rPr>
          <w:rFonts w:hint="eastAsia" w:ascii="Times New Roman" w:eastAsia="宋体"/>
          <w:b/>
          <w:bCs/>
          <w:i w:val="0"/>
          <w:iCs w:val="0"/>
          <w:szCs w:val="24"/>
          <w:lang w:val="en-US" w:eastAsia="zh-CN"/>
        </w:rPr>
        <w:t>11</w:t>
      </w:r>
      <w:r>
        <w:rPr>
          <w:rFonts w:ascii="Times New Roman" w:eastAsia="宋体"/>
          <w:b/>
          <w:bCs/>
          <w:i w:val="0"/>
          <w:iCs w:val="0"/>
          <w:szCs w:val="24"/>
        </w:rPr>
        <w:t xml:space="preserve">   环境管控单元生态环境准入清单符合性分析</w:t>
      </w:r>
    </w:p>
    <w:tbl>
      <w:tblPr>
        <w:tblStyle w:val="58"/>
        <w:tblW w:w="4999"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1651"/>
        <w:gridCol w:w="1058"/>
        <w:gridCol w:w="974"/>
        <w:gridCol w:w="1298"/>
        <w:gridCol w:w="6344"/>
        <w:gridCol w:w="3120"/>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449" w:hRule="atLeast"/>
          <w:tblHeader/>
        </w:trPr>
        <w:tc>
          <w:tcPr>
            <w:tcW w:w="571" w:type="pct"/>
            <w:noWrap w:val="0"/>
            <w:vAlign w:val="center"/>
          </w:tcPr>
          <w:p>
            <w:pPr>
              <w:autoSpaceDE w:val="0"/>
              <w:autoSpaceDN w:val="0"/>
              <w:adjustRightInd w:val="0"/>
              <w:rPr>
                <w:i w:val="0"/>
                <w:iCs w:val="0"/>
                <w:kern w:val="0"/>
                <w:sz w:val="21"/>
                <w:szCs w:val="21"/>
              </w:rPr>
            </w:pPr>
            <w:r>
              <w:rPr>
                <w:i w:val="0"/>
                <w:iCs w:val="0"/>
                <w:kern w:val="0"/>
                <w:sz w:val="21"/>
                <w:szCs w:val="21"/>
              </w:rPr>
              <w:t>环境管控单元编码</w:t>
            </w:r>
          </w:p>
        </w:tc>
        <w:tc>
          <w:tcPr>
            <w:tcW w:w="366" w:type="pct"/>
            <w:noWrap w:val="0"/>
            <w:vAlign w:val="center"/>
          </w:tcPr>
          <w:p>
            <w:pPr>
              <w:autoSpaceDE w:val="0"/>
              <w:autoSpaceDN w:val="0"/>
              <w:adjustRightInd w:val="0"/>
              <w:rPr>
                <w:i w:val="0"/>
                <w:iCs w:val="0"/>
                <w:kern w:val="0"/>
                <w:sz w:val="21"/>
                <w:szCs w:val="21"/>
              </w:rPr>
            </w:pPr>
            <w:r>
              <w:rPr>
                <w:i w:val="0"/>
                <w:iCs w:val="0"/>
                <w:kern w:val="0"/>
                <w:sz w:val="21"/>
                <w:szCs w:val="21"/>
              </w:rPr>
              <w:t>环境管控单元名称</w:t>
            </w:r>
          </w:p>
        </w:tc>
        <w:tc>
          <w:tcPr>
            <w:tcW w:w="337" w:type="pct"/>
            <w:noWrap w:val="0"/>
            <w:vAlign w:val="center"/>
          </w:tcPr>
          <w:p>
            <w:pPr>
              <w:autoSpaceDE w:val="0"/>
              <w:autoSpaceDN w:val="0"/>
              <w:adjustRightInd w:val="0"/>
              <w:rPr>
                <w:i w:val="0"/>
                <w:iCs w:val="0"/>
                <w:kern w:val="0"/>
                <w:sz w:val="21"/>
                <w:szCs w:val="21"/>
              </w:rPr>
            </w:pPr>
            <w:r>
              <w:rPr>
                <w:i w:val="0"/>
                <w:iCs w:val="0"/>
                <w:kern w:val="0"/>
                <w:sz w:val="21"/>
                <w:szCs w:val="21"/>
              </w:rPr>
              <w:t>管控单元分类</w:t>
            </w:r>
          </w:p>
        </w:tc>
        <w:tc>
          <w:tcPr>
            <w:tcW w:w="449" w:type="pct"/>
            <w:noWrap w:val="0"/>
            <w:vAlign w:val="center"/>
          </w:tcPr>
          <w:p>
            <w:pPr>
              <w:autoSpaceDE w:val="0"/>
              <w:autoSpaceDN w:val="0"/>
              <w:adjustRightInd w:val="0"/>
              <w:rPr>
                <w:i w:val="0"/>
                <w:iCs w:val="0"/>
                <w:kern w:val="0"/>
                <w:sz w:val="21"/>
                <w:szCs w:val="21"/>
              </w:rPr>
            </w:pPr>
            <w:r>
              <w:rPr>
                <w:i w:val="0"/>
                <w:iCs w:val="0"/>
                <w:kern w:val="0"/>
                <w:sz w:val="21"/>
                <w:szCs w:val="21"/>
              </w:rPr>
              <w:t>管控类型</w:t>
            </w:r>
          </w:p>
        </w:tc>
        <w:tc>
          <w:tcPr>
            <w:tcW w:w="2194" w:type="pct"/>
            <w:noWrap w:val="0"/>
            <w:vAlign w:val="center"/>
          </w:tcPr>
          <w:p>
            <w:pPr>
              <w:autoSpaceDE w:val="0"/>
              <w:autoSpaceDN w:val="0"/>
              <w:adjustRightInd w:val="0"/>
              <w:jc w:val="center"/>
              <w:rPr>
                <w:i w:val="0"/>
                <w:iCs w:val="0"/>
                <w:kern w:val="0"/>
                <w:sz w:val="21"/>
                <w:szCs w:val="21"/>
              </w:rPr>
            </w:pPr>
            <w:r>
              <w:rPr>
                <w:i w:val="0"/>
                <w:iCs w:val="0"/>
                <w:kern w:val="0"/>
                <w:sz w:val="21"/>
                <w:szCs w:val="21"/>
              </w:rPr>
              <w:t>管控要求</w:t>
            </w:r>
          </w:p>
        </w:tc>
        <w:tc>
          <w:tcPr>
            <w:tcW w:w="1079" w:type="pct"/>
            <w:noWrap w:val="0"/>
            <w:vAlign w:val="center"/>
          </w:tcPr>
          <w:p>
            <w:pPr>
              <w:autoSpaceDE w:val="0"/>
              <w:autoSpaceDN w:val="0"/>
              <w:adjustRightInd w:val="0"/>
              <w:jc w:val="center"/>
              <w:rPr>
                <w:i w:val="0"/>
                <w:iCs w:val="0"/>
                <w:kern w:val="0"/>
                <w:sz w:val="21"/>
                <w:szCs w:val="21"/>
              </w:rPr>
            </w:pPr>
            <w:r>
              <w:rPr>
                <w:i w:val="0"/>
                <w:iCs w:val="0"/>
                <w:kern w:val="0"/>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46" w:hRule="atLeast"/>
        </w:trPr>
        <w:tc>
          <w:tcPr>
            <w:tcW w:w="571" w:type="pct"/>
            <w:vMerge w:val="restart"/>
            <w:noWrap w:val="0"/>
            <w:vAlign w:val="center"/>
          </w:tcPr>
          <w:p>
            <w:pPr>
              <w:autoSpaceDE w:val="0"/>
              <w:autoSpaceDN w:val="0"/>
              <w:adjustRightInd w:val="0"/>
              <w:rPr>
                <w:i w:val="0"/>
                <w:iCs w:val="0"/>
                <w:kern w:val="0"/>
                <w:sz w:val="21"/>
                <w:szCs w:val="21"/>
              </w:rPr>
            </w:pPr>
            <w:r>
              <w:rPr>
                <w:i w:val="0"/>
                <w:iCs w:val="0"/>
                <w:kern w:val="0"/>
                <w:sz w:val="21"/>
                <w:szCs w:val="21"/>
              </w:rPr>
              <w:t>ZH22060520001</w:t>
            </w:r>
          </w:p>
        </w:tc>
        <w:tc>
          <w:tcPr>
            <w:tcW w:w="366" w:type="pct"/>
            <w:vMerge w:val="restart"/>
            <w:noWrap w:val="0"/>
            <w:vAlign w:val="center"/>
          </w:tcPr>
          <w:p>
            <w:pPr>
              <w:autoSpaceDE w:val="0"/>
              <w:autoSpaceDN w:val="0"/>
              <w:adjustRightInd w:val="0"/>
              <w:rPr>
                <w:i w:val="0"/>
                <w:iCs w:val="0"/>
                <w:kern w:val="0"/>
                <w:sz w:val="21"/>
                <w:szCs w:val="21"/>
              </w:rPr>
            </w:pPr>
            <w:r>
              <w:rPr>
                <w:i w:val="0"/>
                <w:iCs w:val="0"/>
                <w:kern w:val="0"/>
                <w:sz w:val="21"/>
                <w:szCs w:val="21"/>
              </w:rPr>
              <w:t>吉林江源经济开发区</w:t>
            </w:r>
          </w:p>
        </w:tc>
        <w:tc>
          <w:tcPr>
            <w:tcW w:w="337" w:type="pct"/>
            <w:vMerge w:val="restart"/>
            <w:noWrap w:val="0"/>
            <w:vAlign w:val="center"/>
          </w:tcPr>
          <w:p>
            <w:pPr>
              <w:autoSpaceDE w:val="0"/>
              <w:autoSpaceDN w:val="0"/>
              <w:adjustRightInd w:val="0"/>
              <w:rPr>
                <w:i w:val="0"/>
                <w:iCs w:val="0"/>
                <w:kern w:val="0"/>
                <w:sz w:val="21"/>
                <w:szCs w:val="21"/>
              </w:rPr>
            </w:pPr>
            <w:r>
              <w:rPr>
                <w:i w:val="0"/>
                <w:iCs w:val="0"/>
                <w:kern w:val="0"/>
                <w:sz w:val="21"/>
                <w:szCs w:val="21"/>
              </w:rPr>
              <w:t>2-重点管控</w:t>
            </w:r>
          </w:p>
        </w:tc>
        <w:tc>
          <w:tcPr>
            <w:tcW w:w="449" w:type="pct"/>
            <w:noWrap w:val="0"/>
            <w:vAlign w:val="center"/>
          </w:tcPr>
          <w:p>
            <w:pPr>
              <w:autoSpaceDE w:val="0"/>
              <w:autoSpaceDN w:val="0"/>
              <w:adjustRightInd w:val="0"/>
              <w:rPr>
                <w:i w:val="0"/>
                <w:iCs w:val="0"/>
                <w:kern w:val="0"/>
                <w:sz w:val="21"/>
                <w:szCs w:val="21"/>
              </w:rPr>
            </w:pPr>
            <w:r>
              <w:rPr>
                <w:i w:val="0"/>
                <w:iCs w:val="0"/>
                <w:kern w:val="0"/>
                <w:sz w:val="21"/>
                <w:szCs w:val="21"/>
              </w:rPr>
              <w:t>空间布局约束</w:t>
            </w:r>
          </w:p>
        </w:tc>
        <w:tc>
          <w:tcPr>
            <w:tcW w:w="2194" w:type="pct"/>
            <w:noWrap w:val="0"/>
            <w:vAlign w:val="center"/>
          </w:tcPr>
          <w:p>
            <w:pPr>
              <w:autoSpaceDE w:val="0"/>
              <w:autoSpaceDN w:val="0"/>
              <w:adjustRightInd w:val="0"/>
              <w:rPr>
                <w:i w:val="0"/>
                <w:iCs w:val="0"/>
                <w:kern w:val="0"/>
                <w:sz w:val="21"/>
                <w:szCs w:val="21"/>
              </w:rPr>
            </w:pPr>
            <w:r>
              <w:rPr>
                <w:i w:val="0"/>
                <w:iCs w:val="0"/>
                <w:kern w:val="0"/>
                <w:sz w:val="21"/>
                <w:szCs w:val="21"/>
              </w:rPr>
              <w:t>1严格控制高耗水、高污染行业发展。</w:t>
            </w:r>
          </w:p>
          <w:p>
            <w:pPr>
              <w:autoSpaceDE w:val="0"/>
              <w:autoSpaceDN w:val="0"/>
              <w:adjustRightInd w:val="0"/>
              <w:rPr>
                <w:i w:val="0"/>
                <w:iCs w:val="0"/>
                <w:kern w:val="0"/>
                <w:sz w:val="21"/>
                <w:szCs w:val="21"/>
              </w:rPr>
            </w:pPr>
            <w:r>
              <w:rPr>
                <w:i w:val="0"/>
                <w:iCs w:val="0"/>
                <w:kern w:val="0"/>
                <w:sz w:val="21"/>
                <w:szCs w:val="21"/>
              </w:rPr>
              <w:t>2</w:t>
            </w:r>
            <w:r>
              <w:rPr>
                <w:rFonts w:hint="eastAsia"/>
                <w:i w:val="0"/>
                <w:iCs w:val="0"/>
                <w:kern w:val="0"/>
                <w:sz w:val="21"/>
                <w:szCs w:val="21"/>
              </w:rPr>
              <w:t>严格落实规划环评及其批复文件环境准入条件</w:t>
            </w:r>
            <w:r>
              <w:rPr>
                <w:i w:val="0"/>
                <w:iCs w:val="0"/>
                <w:kern w:val="0"/>
                <w:sz w:val="21"/>
                <w:szCs w:val="21"/>
              </w:rPr>
              <w:t>。</w:t>
            </w:r>
          </w:p>
        </w:tc>
        <w:tc>
          <w:tcPr>
            <w:tcW w:w="1079" w:type="pct"/>
            <w:vMerge w:val="restart"/>
            <w:noWrap w:val="0"/>
            <w:vAlign w:val="center"/>
          </w:tcPr>
          <w:p>
            <w:pPr>
              <w:keepNext w:val="0"/>
              <w:keepLines w:val="0"/>
              <w:pageBreakBefore w:val="0"/>
              <w:widowControl w:val="0"/>
              <w:kinsoku/>
              <w:wordWrap w:val="0"/>
              <w:overflowPunct/>
              <w:topLinePunct w:val="0"/>
              <w:autoSpaceDE/>
              <w:autoSpaceDN/>
              <w:bidi w:val="0"/>
              <w:adjustRightInd/>
              <w:snapToGrid/>
              <w:ind w:firstLine="420" w:firstLineChars="200"/>
              <w:textAlignment w:val="auto"/>
              <w:rPr>
                <w:i w:val="0"/>
                <w:iCs w:val="0"/>
                <w:kern w:val="0"/>
                <w:sz w:val="21"/>
                <w:szCs w:val="21"/>
              </w:rPr>
            </w:pPr>
            <w:r>
              <w:rPr>
                <w:i w:val="0"/>
                <w:iCs w:val="0"/>
                <w:kern w:val="0"/>
                <w:sz w:val="21"/>
                <w:szCs w:val="21"/>
              </w:rPr>
              <w:t>符合：</w:t>
            </w:r>
            <w:r>
              <w:rPr>
                <w:rFonts w:hint="eastAsia"/>
                <w:bCs/>
                <w:i w:val="0"/>
                <w:iCs w:val="0"/>
                <w:sz w:val="21"/>
                <w:szCs w:val="21"/>
              </w:rPr>
              <w:t>本项目生产废水、生活污水由厂区自建废水处理站处理达到《污水综合排放标准》GB8978-1996表2三级标准排放限值及园区污水处理厂进水指标后排入污水管网内，进入园区污水处理厂处理后排放</w:t>
            </w:r>
            <w:r>
              <w:rPr>
                <w:bCs/>
                <w:i w:val="0"/>
                <w:iCs w:val="0"/>
                <w:sz w:val="21"/>
                <w:szCs w:val="21"/>
              </w:rPr>
              <w:t>；</w:t>
            </w:r>
            <w:r>
              <w:rPr>
                <w:rFonts w:hint="eastAsia"/>
                <w:bCs/>
                <w:i w:val="0"/>
                <w:iCs w:val="0"/>
                <w:sz w:val="21"/>
                <w:szCs w:val="21"/>
              </w:rPr>
              <w:t>本项目污水站产生的废气经“化学洗涤+生物滤池+活性炭吸附”处理后</w:t>
            </w:r>
            <w:r>
              <w:rPr>
                <w:bCs/>
                <w:i w:val="0"/>
                <w:iCs w:val="0"/>
                <w:sz w:val="21"/>
                <w:szCs w:val="21"/>
              </w:rPr>
              <w:t>经</w:t>
            </w:r>
            <w:r>
              <w:rPr>
                <w:rFonts w:hint="eastAsia"/>
                <w:bCs/>
                <w:i w:val="0"/>
                <w:iCs w:val="0"/>
                <w:sz w:val="21"/>
                <w:szCs w:val="21"/>
              </w:rPr>
              <w:t>1</w:t>
            </w:r>
            <w:r>
              <w:rPr>
                <w:bCs/>
                <w:i w:val="0"/>
                <w:iCs w:val="0"/>
                <w:sz w:val="21"/>
                <w:szCs w:val="21"/>
              </w:rPr>
              <w:t>5m高排气筒</w:t>
            </w:r>
            <w:r>
              <w:rPr>
                <w:rFonts w:hint="eastAsia"/>
                <w:bCs/>
                <w:i w:val="0"/>
                <w:iCs w:val="0"/>
                <w:sz w:val="21"/>
                <w:szCs w:val="21"/>
              </w:rPr>
              <w:t>（DA001）</w:t>
            </w:r>
            <w:r>
              <w:rPr>
                <w:bCs/>
                <w:i w:val="0"/>
                <w:iCs w:val="0"/>
                <w:sz w:val="21"/>
                <w:szCs w:val="21"/>
              </w:rPr>
              <w:t>排放</w:t>
            </w:r>
            <w:r>
              <w:rPr>
                <w:rFonts w:hint="eastAsia"/>
                <w:bCs/>
                <w:i w:val="0"/>
                <w:iCs w:val="0"/>
                <w:sz w:val="21"/>
                <w:szCs w:val="21"/>
              </w:rPr>
              <w:t>，满足《恶臭污染物排放标准》（GB14554-93）中表2中标准，</w:t>
            </w:r>
            <w:r>
              <w:rPr>
                <w:bCs/>
                <w:i w:val="0"/>
                <w:iCs w:val="0"/>
                <w:sz w:val="21"/>
                <w:szCs w:val="21"/>
              </w:rPr>
              <w:t>发酵废气经喷淋塔处理后经</w:t>
            </w:r>
            <w:r>
              <w:rPr>
                <w:rFonts w:hint="eastAsia"/>
                <w:bCs/>
                <w:i w:val="0"/>
                <w:iCs w:val="0"/>
                <w:sz w:val="21"/>
                <w:szCs w:val="21"/>
                <w:lang w:eastAsia="zh-CN"/>
              </w:rPr>
              <w:t>24</w:t>
            </w:r>
            <w:r>
              <w:rPr>
                <w:bCs/>
                <w:i w:val="0"/>
                <w:iCs w:val="0"/>
                <w:sz w:val="21"/>
                <w:szCs w:val="21"/>
              </w:rPr>
              <w:t>m高排气筒</w:t>
            </w:r>
            <w:r>
              <w:rPr>
                <w:rFonts w:hint="eastAsia"/>
                <w:bCs/>
                <w:i w:val="0"/>
                <w:iCs w:val="0"/>
                <w:sz w:val="21"/>
                <w:szCs w:val="21"/>
              </w:rPr>
              <w:t>（DA002）</w:t>
            </w:r>
            <w:r>
              <w:rPr>
                <w:bCs/>
                <w:i w:val="0"/>
                <w:iCs w:val="0"/>
                <w:sz w:val="21"/>
                <w:szCs w:val="21"/>
              </w:rPr>
              <w:t>排放，</w:t>
            </w:r>
            <w:r>
              <w:rPr>
                <w:rFonts w:hint="eastAsia"/>
                <w:bCs/>
                <w:i w:val="0"/>
                <w:iCs w:val="0"/>
                <w:sz w:val="21"/>
                <w:szCs w:val="21"/>
              </w:rPr>
              <w:t>其中非甲烷总烃满足《大气污染物综合排放标准》(GB16927-1996) 表2二级标准要求，氨满足满足《恶臭污染物排放标准》(GB 14554-93)表2标准，</w:t>
            </w:r>
            <w:r>
              <w:rPr>
                <w:rFonts w:hint="eastAsia"/>
                <w:bCs/>
                <w:i w:val="0"/>
                <w:iCs w:val="0"/>
                <w:sz w:val="21"/>
                <w:szCs w:val="21"/>
                <w:lang w:val="en-US" w:eastAsia="zh-CN"/>
              </w:rPr>
              <w:t>热风炉1产生的烟气与喷雾干燥塔1喷雾干燥产生的粉尘经过布袋除尘器（效率99%）处理后由同一根24m高排气筒（DA003）排放</w:t>
            </w:r>
            <w:r>
              <w:rPr>
                <w:rFonts w:hint="eastAsia"/>
                <w:bCs/>
                <w:i w:val="0"/>
                <w:iCs w:val="0"/>
                <w:sz w:val="21"/>
                <w:szCs w:val="21"/>
              </w:rPr>
              <w:t>，</w:t>
            </w:r>
            <w:r>
              <w:rPr>
                <w:rFonts w:hint="eastAsia"/>
                <w:bCs/>
                <w:i w:val="0"/>
                <w:iCs w:val="0"/>
                <w:sz w:val="21"/>
                <w:szCs w:val="21"/>
                <w:lang w:val="en-US" w:eastAsia="zh-CN"/>
              </w:rPr>
              <w:t>热风炉2产生的烟气与喷雾干燥塔2喷雾干燥产生的粉尘经过布袋除尘器（效率99%）处理后由同一根24m高排气筒（DA004）排放</w:t>
            </w:r>
            <w:r>
              <w:rPr>
                <w:rFonts w:hint="eastAsia"/>
                <w:bCs/>
                <w:i w:val="0"/>
                <w:iCs w:val="0"/>
                <w:sz w:val="21"/>
                <w:szCs w:val="21"/>
                <w:lang w:eastAsia="zh-CN"/>
              </w:rPr>
              <w:t>，</w:t>
            </w:r>
            <w:r>
              <w:rPr>
                <w:rFonts w:hint="eastAsia"/>
                <w:bCs/>
                <w:i w:val="0"/>
                <w:iCs w:val="0"/>
                <w:sz w:val="21"/>
                <w:szCs w:val="21"/>
                <w:lang w:val="en-US" w:eastAsia="zh-CN"/>
              </w:rPr>
              <w:t>其中颗粒物满足《大气污染物综合排放标准》（GB16297-1996）中表2颗粒物排</w:t>
            </w:r>
            <w:r>
              <w:rPr>
                <w:rFonts w:hint="eastAsia" w:ascii="Times New Roman" w:hAnsi="Times New Roman" w:eastAsia="宋体" w:cs="Times New Roman"/>
                <w:bCs/>
                <w:i w:val="0"/>
                <w:iCs w:val="0"/>
                <w:sz w:val="21"/>
                <w:szCs w:val="21"/>
                <w:lang w:val="en-US" w:eastAsia="zh-CN"/>
              </w:rPr>
              <w:t>放限值要求，</w:t>
            </w:r>
            <w:r>
              <w:rPr>
                <w:rFonts w:hint="default" w:ascii="Times New Roman" w:hAnsi="Times New Roman" w:eastAsia="宋体" w:cs="Times New Roman"/>
                <w:bCs/>
                <w:i w:val="0"/>
                <w:iCs w:val="0"/>
                <w:sz w:val="21"/>
                <w:szCs w:val="21"/>
                <w:lang w:val="en-US" w:eastAsia="zh-CN"/>
              </w:rPr>
              <w:t>SO</w:t>
            </w:r>
            <w:r>
              <w:rPr>
                <w:rFonts w:hint="default" w:ascii="Times New Roman" w:hAnsi="Times New Roman" w:eastAsia="宋体" w:cs="Times New Roman"/>
                <w:bCs/>
                <w:i w:val="0"/>
                <w:iCs w:val="0"/>
                <w:sz w:val="21"/>
                <w:szCs w:val="21"/>
                <w:vertAlign w:val="subscript"/>
                <w:lang w:val="en-US" w:eastAsia="zh-CN"/>
              </w:rPr>
              <w:t>2</w:t>
            </w:r>
            <w:r>
              <w:rPr>
                <w:rFonts w:hint="eastAsia" w:ascii="Times New Roman" w:hAnsi="Times New Roman" w:eastAsia="宋体" w:cs="Times New Roman"/>
                <w:bCs/>
                <w:i w:val="0"/>
                <w:iCs w:val="0"/>
                <w:sz w:val="21"/>
                <w:szCs w:val="21"/>
                <w:lang w:val="en-US" w:eastAsia="zh-CN"/>
              </w:rPr>
              <w:t>和</w:t>
            </w:r>
            <w:r>
              <w:rPr>
                <w:rFonts w:hint="default" w:ascii="Times New Roman" w:hAnsi="Times New Roman" w:eastAsia="宋体" w:cs="Times New Roman"/>
                <w:bCs/>
                <w:i w:val="0"/>
                <w:iCs w:val="0"/>
                <w:sz w:val="21"/>
                <w:szCs w:val="21"/>
                <w:lang w:val="en-US" w:eastAsia="zh-CN"/>
              </w:rPr>
              <w:t>NO</w:t>
            </w:r>
            <w:r>
              <w:rPr>
                <w:rFonts w:hint="default" w:ascii="Times New Roman" w:hAnsi="Times New Roman" w:eastAsia="宋体" w:cs="Times New Roman"/>
                <w:bCs/>
                <w:i w:val="0"/>
                <w:iCs w:val="0"/>
                <w:sz w:val="21"/>
                <w:szCs w:val="21"/>
                <w:vertAlign w:val="subscript"/>
                <w:lang w:val="en-US" w:eastAsia="zh-CN"/>
              </w:rPr>
              <w:t>X</w:t>
            </w:r>
            <w:r>
              <w:rPr>
                <w:rFonts w:hint="eastAsia" w:ascii="Times New Roman" w:hAnsi="Times New Roman" w:eastAsia="宋体" w:cs="Times New Roman"/>
                <w:bCs/>
                <w:i w:val="0"/>
                <w:iCs w:val="0"/>
                <w:sz w:val="21"/>
                <w:szCs w:val="21"/>
                <w:lang w:val="en-US" w:eastAsia="zh-CN"/>
              </w:rPr>
              <w:t>满足《锅炉大气污染物排放标准》（GB13271-2014)表2新建锅炉大气污染物排放限值。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46" w:hRule="atLeast"/>
        </w:trPr>
        <w:tc>
          <w:tcPr>
            <w:tcW w:w="571" w:type="pct"/>
            <w:vMerge w:val="continue"/>
            <w:noWrap w:val="0"/>
            <w:vAlign w:val="center"/>
          </w:tcPr>
          <w:p>
            <w:pPr>
              <w:autoSpaceDE w:val="0"/>
              <w:autoSpaceDN w:val="0"/>
              <w:adjustRightInd w:val="0"/>
              <w:rPr>
                <w:i w:val="0"/>
                <w:iCs w:val="0"/>
                <w:kern w:val="0"/>
                <w:sz w:val="21"/>
                <w:szCs w:val="21"/>
              </w:rPr>
            </w:pPr>
          </w:p>
        </w:tc>
        <w:tc>
          <w:tcPr>
            <w:tcW w:w="366" w:type="pct"/>
            <w:vMerge w:val="continue"/>
            <w:noWrap w:val="0"/>
            <w:vAlign w:val="center"/>
          </w:tcPr>
          <w:p>
            <w:pPr>
              <w:autoSpaceDE w:val="0"/>
              <w:autoSpaceDN w:val="0"/>
              <w:adjustRightInd w:val="0"/>
              <w:rPr>
                <w:i w:val="0"/>
                <w:iCs w:val="0"/>
                <w:kern w:val="0"/>
                <w:sz w:val="21"/>
                <w:szCs w:val="21"/>
              </w:rPr>
            </w:pPr>
          </w:p>
        </w:tc>
        <w:tc>
          <w:tcPr>
            <w:tcW w:w="337" w:type="pct"/>
            <w:vMerge w:val="continue"/>
            <w:noWrap w:val="0"/>
            <w:vAlign w:val="center"/>
          </w:tcPr>
          <w:p>
            <w:pPr>
              <w:autoSpaceDE w:val="0"/>
              <w:autoSpaceDN w:val="0"/>
              <w:adjustRightInd w:val="0"/>
              <w:rPr>
                <w:i w:val="0"/>
                <w:iCs w:val="0"/>
                <w:kern w:val="0"/>
                <w:sz w:val="21"/>
                <w:szCs w:val="21"/>
              </w:rPr>
            </w:pPr>
          </w:p>
        </w:tc>
        <w:tc>
          <w:tcPr>
            <w:tcW w:w="449" w:type="pct"/>
            <w:noWrap w:val="0"/>
            <w:vAlign w:val="center"/>
          </w:tcPr>
          <w:p>
            <w:pPr>
              <w:autoSpaceDE w:val="0"/>
              <w:autoSpaceDN w:val="0"/>
              <w:adjustRightInd w:val="0"/>
              <w:rPr>
                <w:i w:val="0"/>
                <w:iCs w:val="0"/>
                <w:kern w:val="0"/>
                <w:sz w:val="21"/>
                <w:szCs w:val="21"/>
              </w:rPr>
            </w:pPr>
            <w:r>
              <w:rPr>
                <w:i w:val="0"/>
                <w:iCs w:val="0"/>
                <w:kern w:val="0"/>
                <w:sz w:val="21"/>
                <w:szCs w:val="21"/>
              </w:rPr>
              <w:t>污染物排放管控</w:t>
            </w:r>
          </w:p>
        </w:tc>
        <w:tc>
          <w:tcPr>
            <w:tcW w:w="2194" w:type="pct"/>
            <w:noWrap w:val="0"/>
            <w:vAlign w:val="center"/>
          </w:tcPr>
          <w:p>
            <w:pPr>
              <w:autoSpaceDE w:val="0"/>
              <w:autoSpaceDN w:val="0"/>
              <w:adjustRightInd w:val="0"/>
              <w:rPr>
                <w:i w:val="0"/>
                <w:iCs w:val="0"/>
                <w:kern w:val="0"/>
                <w:sz w:val="21"/>
                <w:szCs w:val="21"/>
              </w:rPr>
            </w:pPr>
            <w:r>
              <w:rPr>
                <w:i w:val="0"/>
                <w:iCs w:val="0"/>
                <w:kern w:val="0"/>
                <w:sz w:val="21"/>
                <w:szCs w:val="21"/>
              </w:rPr>
              <w:t>1工业涂装等涉及挥发性有机物排放的行业企业属于控制重点，应推广使用低（无）挥发性有机物含量的原辅材料，安装高效集气装置等措施，提升工艺废气、尾气收集处置率。</w:t>
            </w:r>
          </w:p>
          <w:p>
            <w:pPr>
              <w:autoSpaceDE w:val="0"/>
              <w:autoSpaceDN w:val="0"/>
              <w:adjustRightInd w:val="0"/>
              <w:rPr>
                <w:i w:val="0"/>
                <w:iCs w:val="0"/>
                <w:kern w:val="0"/>
                <w:sz w:val="21"/>
                <w:szCs w:val="21"/>
              </w:rPr>
            </w:pPr>
            <w:r>
              <w:rPr>
                <w:i w:val="0"/>
                <w:iCs w:val="0"/>
                <w:kern w:val="0"/>
                <w:sz w:val="21"/>
                <w:szCs w:val="21"/>
              </w:rPr>
              <w:t>2重点行业污染治理升级改造，推进各类园区循环化改造。</w:t>
            </w:r>
          </w:p>
          <w:p>
            <w:pPr>
              <w:autoSpaceDE w:val="0"/>
              <w:autoSpaceDN w:val="0"/>
              <w:adjustRightInd w:val="0"/>
              <w:rPr>
                <w:i w:val="0"/>
                <w:iCs w:val="0"/>
                <w:kern w:val="0"/>
                <w:sz w:val="21"/>
                <w:szCs w:val="21"/>
              </w:rPr>
            </w:pPr>
            <w:r>
              <w:rPr>
                <w:i w:val="0"/>
                <w:iCs w:val="0"/>
                <w:kern w:val="0"/>
                <w:sz w:val="21"/>
                <w:szCs w:val="21"/>
              </w:rPr>
              <w:t>3一体推进重点行业大气污染深度治理与节能降碳，推动大型燃煤锅炉、钢铁、水泥等行业超低排放改造，推动重点行业、重点领域氮氧化物减排，探索开展大气污染物与温室气体排放协同控制改造提升工程试点。</w:t>
            </w:r>
          </w:p>
          <w:p>
            <w:pPr>
              <w:autoSpaceDE w:val="0"/>
              <w:autoSpaceDN w:val="0"/>
              <w:adjustRightInd w:val="0"/>
              <w:rPr>
                <w:i w:val="0"/>
                <w:iCs w:val="0"/>
                <w:kern w:val="0"/>
                <w:sz w:val="21"/>
                <w:szCs w:val="21"/>
              </w:rPr>
            </w:pPr>
            <w:r>
              <w:rPr>
                <w:i w:val="0"/>
                <w:iCs w:val="0"/>
                <w:kern w:val="0"/>
                <w:sz w:val="21"/>
                <w:szCs w:val="21"/>
              </w:rPr>
              <w:t>4执行《吉林省新污染物治理实施方案》相关要求，加强新污染物多环境介质协同治理，全面强化清洁生产和绿色制造。</w:t>
            </w:r>
          </w:p>
        </w:tc>
        <w:tc>
          <w:tcPr>
            <w:tcW w:w="1079" w:type="pct"/>
            <w:vMerge w:val="continue"/>
            <w:noWrap w:val="0"/>
            <w:vAlign w:val="center"/>
          </w:tcPr>
          <w:p>
            <w:pPr>
              <w:pStyle w:val="389"/>
              <w:widowControl w:val="0"/>
              <w:snapToGrid/>
              <w:spacing w:line="240" w:lineRule="auto"/>
              <w:ind w:firstLine="0" w:firstLineChars="0"/>
              <w:rPr>
                <w:rFonts w:eastAsia="宋体"/>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46" w:hRule="atLeast"/>
        </w:trPr>
        <w:tc>
          <w:tcPr>
            <w:tcW w:w="571" w:type="pct"/>
            <w:vMerge w:val="continue"/>
            <w:noWrap w:val="0"/>
            <w:vAlign w:val="center"/>
          </w:tcPr>
          <w:p>
            <w:pPr>
              <w:autoSpaceDE w:val="0"/>
              <w:autoSpaceDN w:val="0"/>
              <w:adjustRightInd w:val="0"/>
              <w:rPr>
                <w:i w:val="0"/>
                <w:iCs w:val="0"/>
                <w:kern w:val="0"/>
                <w:sz w:val="21"/>
                <w:szCs w:val="21"/>
              </w:rPr>
            </w:pPr>
          </w:p>
        </w:tc>
        <w:tc>
          <w:tcPr>
            <w:tcW w:w="366" w:type="pct"/>
            <w:vMerge w:val="continue"/>
            <w:noWrap w:val="0"/>
            <w:vAlign w:val="center"/>
          </w:tcPr>
          <w:p>
            <w:pPr>
              <w:autoSpaceDE w:val="0"/>
              <w:autoSpaceDN w:val="0"/>
              <w:adjustRightInd w:val="0"/>
              <w:rPr>
                <w:i w:val="0"/>
                <w:iCs w:val="0"/>
                <w:kern w:val="0"/>
                <w:sz w:val="21"/>
                <w:szCs w:val="21"/>
              </w:rPr>
            </w:pPr>
          </w:p>
        </w:tc>
        <w:tc>
          <w:tcPr>
            <w:tcW w:w="337" w:type="pct"/>
            <w:vMerge w:val="continue"/>
            <w:noWrap w:val="0"/>
            <w:vAlign w:val="center"/>
          </w:tcPr>
          <w:p>
            <w:pPr>
              <w:autoSpaceDE w:val="0"/>
              <w:autoSpaceDN w:val="0"/>
              <w:adjustRightInd w:val="0"/>
              <w:rPr>
                <w:i w:val="0"/>
                <w:iCs w:val="0"/>
                <w:kern w:val="0"/>
                <w:sz w:val="21"/>
                <w:szCs w:val="21"/>
              </w:rPr>
            </w:pPr>
          </w:p>
        </w:tc>
        <w:tc>
          <w:tcPr>
            <w:tcW w:w="449" w:type="pct"/>
            <w:noWrap w:val="0"/>
            <w:vAlign w:val="center"/>
          </w:tcPr>
          <w:p>
            <w:pPr>
              <w:autoSpaceDE w:val="0"/>
              <w:autoSpaceDN w:val="0"/>
              <w:adjustRightInd w:val="0"/>
              <w:rPr>
                <w:i w:val="0"/>
                <w:iCs w:val="0"/>
                <w:kern w:val="0"/>
                <w:sz w:val="21"/>
                <w:szCs w:val="21"/>
              </w:rPr>
            </w:pPr>
            <w:r>
              <w:rPr>
                <w:i w:val="0"/>
                <w:iCs w:val="0"/>
                <w:kern w:val="0"/>
                <w:sz w:val="21"/>
                <w:szCs w:val="21"/>
              </w:rPr>
              <w:t>环境风险防控</w:t>
            </w:r>
          </w:p>
        </w:tc>
        <w:tc>
          <w:tcPr>
            <w:tcW w:w="2194" w:type="pct"/>
            <w:noWrap w:val="0"/>
            <w:vAlign w:val="center"/>
          </w:tcPr>
          <w:p>
            <w:pPr>
              <w:autoSpaceDE w:val="0"/>
              <w:autoSpaceDN w:val="0"/>
              <w:adjustRightInd w:val="0"/>
              <w:rPr>
                <w:i w:val="0"/>
                <w:iCs w:val="0"/>
                <w:kern w:val="0"/>
                <w:sz w:val="21"/>
                <w:szCs w:val="21"/>
              </w:rPr>
            </w:pPr>
            <w:r>
              <w:rPr>
                <w:i w:val="0"/>
                <w:iCs w:val="0"/>
                <w:kern w:val="0"/>
                <w:sz w:val="21"/>
                <w:szCs w:val="21"/>
              </w:rPr>
              <w:t>1开发区应制定环境风险应急预案，成立应急组织机构，定期开展应急演练，提高区域环境风险防范能力。</w:t>
            </w:r>
          </w:p>
          <w:p>
            <w:pPr>
              <w:autoSpaceDE w:val="0"/>
              <w:autoSpaceDN w:val="0"/>
              <w:adjustRightInd w:val="0"/>
              <w:rPr>
                <w:i w:val="0"/>
                <w:iCs w:val="0"/>
                <w:kern w:val="0"/>
                <w:sz w:val="21"/>
                <w:szCs w:val="21"/>
              </w:rPr>
            </w:pPr>
            <w:r>
              <w:rPr>
                <w:i w:val="0"/>
                <w:iCs w:val="0"/>
                <w:kern w:val="0"/>
                <w:sz w:val="21"/>
                <w:szCs w:val="21"/>
              </w:rPr>
              <w:t>2污染地块落实《污染地块土壤环境管理办法（试行）》要求，在环境调查、风险评估、治理与修复阶段实施土壤与地下水风险管控，暂不开发利用的地块实施以防治污染扩散为目的的土壤和地下水污染防治，对再开发利用地块实施以安全利用为目的的土壤和地下水污染防治。土壤环境污染重点监管企业、危化品仓储企业落实《工矿用地土壤环境管理办法（试行）》要求，实施项目环评、设计建设、拆除设施、终止经营全生命周期土壤和地下水污染防治。</w:t>
            </w:r>
          </w:p>
          <w:p>
            <w:pPr>
              <w:autoSpaceDE w:val="0"/>
              <w:autoSpaceDN w:val="0"/>
              <w:adjustRightInd w:val="0"/>
              <w:rPr>
                <w:i w:val="0"/>
                <w:iCs w:val="0"/>
                <w:kern w:val="0"/>
                <w:sz w:val="21"/>
                <w:szCs w:val="21"/>
              </w:rPr>
            </w:pPr>
            <w:r>
              <w:rPr>
                <w:i w:val="0"/>
                <w:iCs w:val="0"/>
                <w:kern w:val="0"/>
                <w:sz w:val="21"/>
                <w:szCs w:val="21"/>
              </w:rPr>
              <w:t>3</w:t>
            </w:r>
            <w:r>
              <w:rPr>
                <w:rFonts w:hint="eastAsia"/>
                <w:i w:val="0"/>
                <w:iCs w:val="0"/>
                <w:kern w:val="0"/>
                <w:sz w:val="21"/>
                <w:szCs w:val="21"/>
              </w:rPr>
              <w:t>严格管理涉及易导致环境风险的有毒有害和易燃易爆物质的生产、使用、贮运等新建、改扩建项目</w:t>
            </w:r>
            <w:r>
              <w:rPr>
                <w:i w:val="0"/>
                <w:iCs w:val="0"/>
                <w:kern w:val="0"/>
                <w:sz w:val="21"/>
                <w:szCs w:val="21"/>
              </w:rPr>
              <w:t>。</w:t>
            </w:r>
          </w:p>
          <w:p>
            <w:pPr>
              <w:autoSpaceDE w:val="0"/>
              <w:autoSpaceDN w:val="0"/>
              <w:adjustRightInd w:val="0"/>
              <w:rPr>
                <w:i w:val="0"/>
                <w:iCs w:val="0"/>
                <w:kern w:val="0"/>
                <w:sz w:val="21"/>
                <w:szCs w:val="21"/>
              </w:rPr>
            </w:pPr>
            <w:r>
              <w:rPr>
                <w:i w:val="0"/>
                <w:iCs w:val="0"/>
                <w:kern w:val="0"/>
                <w:sz w:val="21"/>
                <w:szCs w:val="21"/>
              </w:rPr>
              <w:t>4严格落实规划环评及其批复文件制定的环境风险防范措施。</w:t>
            </w:r>
          </w:p>
        </w:tc>
        <w:tc>
          <w:tcPr>
            <w:tcW w:w="1079" w:type="pct"/>
            <w:vMerge w:val="continue"/>
            <w:noWrap w:val="0"/>
            <w:vAlign w:val="center"/>
          </w:tcPr>
          <w:p>
            <w:pPr>
              <w:autoSpaceDE w:val="0"/>
              <w:autoSpaceDN w:val="0"/>
              <w:adjustRightInd w:val="0"/>
              <w:rPr>
                <w:i w:val="0"/>
                <w:iCs w:val="0"/>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46" w:hRule="atLeast"/>
        </w:trPr>
        <w:tc>
          <w:tcPr>
            <w:tcW w:w="571" w:type="pct"/>
            <w:vMerge w:val="continue"/>
            <w:noWrap w:val="0"/>
            <w:vAlign w:val="center"/>
          </w:tcPr>
          <w:p>
            <w:pPr>
              <w:autoSpaceDE w:val="0"/>
              <w:autoSpaceDN w:val="0"/>
              <w:adjustRightInd w:val="0"/>
              <w:rPr>
                <w:i w:val="0"/>
                <w:iCs w:val="0"/>
                <w:kern w:val="0"/>
                <w:sz w:val="21"/>
                <w:szCs w:val="21"/>
              </w:rPr>
            </w:pPr>
          </w:p>
        </w:tc>
        <w:tc>
          <w:tcPr>
            <w:tcW w:w="366" w:type="pct"/>
            <w:vMerge w:val="continue"/>
            <w:noWrap w:val="0"/>
            <w:vAlign w:val="center"/>
          </w:tcPr>
          <w:p>
            <w:pPr>
              <w:autoSpaceDE w:val="0"/>
              <w:autoSpaceDN w:val="0"/>
              <w:adjustRightInd w:val="0"/>
              <w:rPr>
                <w:i w:val="0"/>
                <w:iCs w:val="0"/>
                <w:kern w:val="0"/>
                <w:sz w:val="21"/>
                <w:szCs w:val="21"/>
              </w:rPr>
            </w:pPr>
          </w:p>
        </w:tc>
        <w:tc>
          <w:tcPr>
            <w:tcW w:w="337" w:type="pct"/>
            <w:vMerge w:val="continue"/>
            <w:noWrap w:val="0"/>
            <w:vAlign w:val="center"/>
          </w:tcPr>
          <w:p>
            <w:pPr>
              <w:autoSpaceDE w:val="0"/>
              <w:autoSpaceDN w:val="0"/>
              <w:adjustRightInd w:val="0"/>
              <w:rPr>
                <w:i w:val="0"/>
                <w:iCs w:val="0"/>
                <w:kern w:val="0"/>
                <w:sz w:val="21"/>
                <w:szCs w:val="21"/>
              </w:rPr>
            </w:pPr>
          </w:p>
        </w:tc>
        <w:tc>
          <w:tcPr>
            <w:tcW w:w="449" w:type="pct"/>
            <w:noWrap w:val="0"/>
            <w:vAlign w:val="center"/>
          </w:tcPr>
          <w:p>
            <w:pPr>
              <w:autoSpaceDE w:val="0"/>
              <w:autoSpaceDN w:val="0"/>
              <w:adjustRightInd w:val="0"/>
              <w:rPr>
                <w:i w:val="0"/>
                <w:iCs w:val="0"/>
                <w:kern w:val="0"/>
                <w:sz w:val="21"/>
                <w:szCs w:val="21"/>
              </w:rPr>
            </w:pPr>
            <w:r>
              <w:rPr>
                <w:i w:val="0"/>
                <w:iCs w:val="0"/>
                <w:kern w:val="0"/>
                <w:sz w:val="21"/>
                <w:szCs w:val="21"/>
              </w:rPr>
              <w:t>资源开发效率</w:t>
            </w:r>
          </w:p>
        </w:tc>
        <w:tc>
          <w:tcPr>
            <w:tcW w:w="2194" w:type="pct"/>
            <w:noWrap w:val="0"/>
            <w:vAlign w:val="center"/>
          </w:tcPr>
          <w:p>
            <w:pPr>
              <w:autoSpaceDE w:val="0"/>
              <w:autoSpaceDN w:val="0"/>
              <w:adjustRightInd w:val="0"/>
              <w:rPr>
                <w:i w:val="0"/>
                <w:iCs w:val="0"/>
                <w:kern w:val="0"/>
                <w:sz w:val="21"/>
                <w:szCs w:val="21"/>
              </w:rPr>
            </w:pPr>
            <w:r>
              <w:rPr>
                <w:i w:val="0"/>
                <w:iCs w:val="0"/>
                <w:kern w:val="0"/>
                <w:sz w:val="21"/>
                <w:szCs w:val="21"/>
              </w:rPr>
              <w:t>1推广园区集中供热，园区新建供热设施须执行排放浓度限值。</w:t>
            </w:r>
            <w:r>
              <w:rPr>
                <w:i w:val="0"/>
                <w:iCs w:val="0"/>
                <w:kern w:val="0"/>
                <w:sz w:val="21"/>
                <w:szCs w:val="21"/>
              </w:rPr>
              <w:tab/>
            </w:r>
          </w:p>
          <w:p>
            <w:pPr>
              <w:autoSpaceDE w:val="0"/>
              <w:autoSpaceDN w:val="0"/>
              <w:adjustRightInd w:val="0"/>
              <w:rPr>
                <w:i w:val="0"/>
                <w:iCs w:val="0"/>
                <w:kern w:val="0"/>
                <w:sz w:val="21"/>
                <w:szCs w:val="21"/>
              </w:rPr>
            </w:pPr>
            <w:r>
              <w:rPr>
                <w:i w:val="0"/>
                <w:iCs w:val="0"/>
                <w:kern w:val="0"/>
                <w:sz w:val="21"/>
                <w:szCs w:val="21"/>
              </w:rPr>
              <w:t>2完成吉林省下达的产能置换要求。各产业执行对应的清洁生产标准。</w:t>
            </w:r>
          </w:p>
        </w:tc>
        <w:tc>
          <w:tcPr>
            <w:tcW w:w="1079" w:type="pct"/>
            <w:vMerge w:val="continue"/>
            <w:noWrap w:val="0"/>
            <w:vAlign w:val="center"/>
          </w:tcPr>
          <w:p>
            <w:pPr>
              <w:autoSpaceDE w:val="0"/>
              <w:autoSpaceDN w:val="0"/>
              <w:adjustRightInd w:val="0"/>
              <w:rPr>
                <w:i w:val="0"/>
                <w:iCs w:val="0"/>
                <w:kern w:val="0"/>
                <w:sz w:val="21"/>
                <w:szCs w:val="21"/>
              </w:rPr>
            </w:pPr>
          </w:p>
        </w:tc>
      </w:tr>
    </w:tbl>
    <w:p>
      <w:pPr>
        <w:spacing w:line="360" w:lineRule="auto"/>
        <w:rPr>
          <w:rFonts w:hint="eastAsia"/>
          <w:i w:val="0"/>
          <w:iCs w:val="0"/>
        </w:rPr>
        <w:sectPr>
          <w:headerReference r:id="rId9" w:type="default"/>
          <w:footerReference r:id="rId10" w:type="default"/>
          <w:pgSz w:w="16840" w:h="11907" w:orient="landscape"/>
          <w:pgMar w:top="1418" w:right="1304" w:bottom="1418" w:left="1304" w:header="851" w:footer="851" w:gutter="0"/>
          <w:pgBorders>
            <w:top w:val="none" w:sz="0" w:space="0"/>
            <w:left w:val="none" w:sz="0" w:space="0"/>
            <w:bottom w:val="none" w:sz="0" w:space="0"/>
            <w:right w:val="none" w:sz="0" w:space="0"/>
          </w:pgBorders>
          <w:pgNumType w:fmt="decimal"/>
          <w:cols w:space="720" w:num="1"/>
          <w:docGrid w:linePitch="312" w:charSpace="0"/>
        </w:sectPr>
      </w:pPr>
    </w:p>
    <w:p>
      <w:pPr>
        <w:spacing w:line="360" w:lineRule="auto"/>
        <w:ind w:firstLine="480" w:firstLineChars="200"/>
        <w:rPr>
          <w:rFonts w:hint="eastAsia"/>
          <w:i w:val="0"/>
          <w:iCs w:val="0"/>
        </w:rPr>
      </w:pPr>
      <w:r>
        <w:rPr>
          <w:rFonts w:hint="eastAsia"/>
          <w:i w:val="0"/>
          <w:iCs w:val="0"/>
        </w:rPr>
        <w:t>综上，本项目符合吉林省、白山市以及环境管控单元的生态管控要求。</w:t>
      </w:r>
    </w:p>
    <w:p>
      <w:pPr>
        <w:spacing w:line="360" w:lineRule="auto"/>
        <w:ind w:firstLine="480" w:firstLineChars="200"/>
        <w:rPr>
          <w:rFonts w:hint="eastAsia"/>
          <w:i w:val="0"/>
          <w:iCs w:val="0"/>
        </w:rPr>
      </w:pPr>
      <w:r>
        <w:rPr>
          <w:rFonts w:hint="eastAsia"/>
          <w:i w:val="0"/>
          <w:iCs w:val="0"/>
        </w:rPr>
        <w:t>4、产业政策符合性</w:t>
      </w:r>
    </w:p>
    <w:p>
      <w:pPr>
        <w:spacing w:line="360" w:lineRule="auto"/>
        <w:ind w:firstLine="480" w:firstLineChars="200"/>
        <w:rPr>
          <w:i w:val="0"/>
          <w:iCs w:val="0"/>
        </w:rPr>
      </w:pPr>
      <w:r>
        <w:rPr>
          <w:i w:val="0"/>
          <w:iCs w:val="0"/>
        </w:rPr>
        <w:t>本项目符合《产业结构调整指导目录（20</w:t>
      </w:r>
      <w:r>
        <w:rPr>
          <w:rFonts w:hint="eastAsia"/>
          <w:i w:val="0"/>
          <w:iCs w:val="0"/>
        </w:rPr>
        <w:t>24</w:t>
      </w:r>
      <w:r>
        <w:rPr>
          <w:i w:val="0"/>
          <w:iCs w:val="0"/>
        </w:rPr>
        <w:t>年</w:t>
      </w:r>
      <w:r>
        <w:rPr>
          <w:rFonts w:hint="eastAsia"/>
          <w:i w:val="0"/>
          <w:iCs w:val="0"/>
        </w:rPr>
        <w:t>本</w:t>
      </w:r>
      <w:r>
        <w:rPr>
          <w:i w:val="0"/>
          <w:iCs w:val="0"/>
        </w:rPr>
        <w:t>）》中第一类鼓励类中第一条农林牧渔业规定：</w:t>
      </w:r>
      <w:r>
        <w:rPr>
          <w:rFonts w:hint="eastAsia"/>
          <w:i w:val="0"/>
          <w:iCs w:val="0"/>
        </w:rPr>
        <w:t>“</w:t>
      </w:r>
      <w:r>
        <w:rPr>
          <w:i w:val="0"/>
          <w:iCs w:val="0"/>
        </w:rPr>
        <w:t>1</w:t>
      </w:r>
      <w:r>
        <w:rPr>
          <w:rFonts w:hint="eastAsia"/>
          <w:i w:val="0"/>
          <w:iCs w:val="0"/>
        </w:rPr>
        <w:t>3.</w:t>
      </w:r>
      <w:r>
        <w:rPr>
          <w:i w:val="0"/>
          <w:iCs w:val="0"/>
        </w:rPr>
        <w:t>绿色农业：全生物降解地膜、高强度易回收地膜农田示范与应用，受污染耕地风险管控与修复，符合绿色低碳循环要求的饲料、饲料添加剂、肥料、农药、兽药等优质安全环保农业投入品及绿色食品生产允许使用的食品添加剂开发，农产品及其产地环境监测技术开发和应用，有机废弃物无害化、价值化处理及有机肥料产业化技术开发与应用</w:t>
      </w:r>
      <w:r>
        <w:rPr>
          <w:rFonts w:hint="eastAsia"/>
          <w:i w:val="0"/>
          <w:iCs w:val="0"/>
        </w:rPr>
        <w:t>”</w:t>
      </w:r>
      <w:r>
        <w:rPr>
          <w:i w:val="0"/>
          <w:iCs w:val="0"/>
        </w:rPr>
        <w:t>中的规定，因此，本项目</w:t>
      </w:r>
      <w:r>
        <w:rPr>
          <w:rFonts w:hint="eastAsia"/>
          <w:i w:val="0"/>
          <w:iCs w:val="0"/>
        </w:rPr>
        <w:t>为</w:t>
      </w:r>
      <w:r>
        <w:rPr>
          <w:i w:val="0"/>
          <w:iCs w:val="0"/>
        </w:rPr>
        <w:t>有发酵工艺的饲料添加剂</w:t>
      </w:r>
      <w:r>
        <w:rPr>
          <w:rFonts w:hint="eastAsia"/>
          <w:i w:val="0"/>
          <w:iCs w:val="0"/>
        </w:rPr>
        <w:t>项目，</w:t>
      </w:r>
      <w:r>
        <w:rPr>
          <w:i w:val="0"/>
          <w:iCs w:val="0"/>
        </w:rPr>
        <w:t>属于鼓励类，符合国家产业政策。</w:t>
      </w:r>
    </w:p>
    <w:p>
      <w:pPr>
        <w:spacing w:line="360" w:lineRule="auto"/>
        <w:ind w:firstLine="480" w:firstLineChars="200"/>
        <w:rPr>
          <w:rFonts w:hint="eastAsia"/>
          <w:i w:val="0"/>
          <w:iCs w:val="0"/>
        </w:rPr>
      </w:pPr>
      <w:r>
        <w:rPr>
          <w:rFonts w:hint="eastAsia"/>
          <w:i w:val="0"/>
          <w:iCs w:val="0"/>
        </w:rPr>
        <w:t>5、与白山市空气、水环境、土壤环境质量巩固提升三个行动方案符合性分析</w:t>
      </w:r>
    </w:p>
    <w:p>
      <w:pPr>
        <w:pStyle w:val="92"/>
        <w:spacing w:before="0" w:after="0"/>
        <w:ind w:firstLine="0"/>
        <w:jc w:val="center"/>
        <w:textAlignment w:val="baseline"/>
        <w:rPr>
          <w:rFonts w:hint="eastAsia" w:ascii="Times New Roman" w:eastAsia="宋体"/>
          <w:b/>
          <w:bCs/>
          <w:i w:val="0"/>
          <w:iCs w:val="0"/>
          <w:sz w:val="21"/>
          <w:szCs w:val="16"/>
        </w:rPr>
      </w:pPr>
      <w:r>
        <w:rPr>
          <w:rFonts w:hint="eastAsia" w:ascii="Times New Roman" w:eastAsia="宋体"/>
          <w:b/>
          <w:bCs/>
          <w:i w:val="0"/>
          <w:iCs w:val="0"/>
          <w:szCs w:val="24"/>
        </w:rPr>
        <w:t>表1-</w:t>
      </w:r>
      <w:r>
        <w:rPr>
          <w:rFonts w:hint="eastAsia" w:ascii="Times New Roman" w:eastAsia="宋体"/>
          <w:b/>
          <w:bCs/>
          <w:i w:val="0"/>
          <w:iCs w:val="0"/>
          <w:szCs w:val="24"/>
          <w:lang w:val="en-US" w:eastAsia="zh-CN"/>
        </w:rPr>
        <w:t>12</w:t>
      </w:r>
      <w:r>
        <w:rPr>
          <w:rFonts w:ascii="Times New Roman" w:eastAsia="宋体"/>
          <w:b/>
          <w:bCs/>
          <w:i w:val="0"/>
          <w:iCs w:val="0"/>
          <w:szCs w:val="24"/>
        </w:rPr>
        <w:t>与《</w:t>
      </w:r>
      <w:r>
        <w:rPr>
          <w:rFonts w:hint="eastAsia" w:ascii="Times New Roman" w:eastAsia="宋体"/>
          <w:b/>
          <w:bCs/>
          <w:i w:val="0"/>
          <w:iCs w:val="0"/>
          <w:szCs w:val="24"/>
        </w:rPr>
        <w:t>白山市</w:t>
      </w:r>
      <w:r>
        <w:rPr>
          <w:rFonts w:ascii="Times New Roman" w:eastAsia="宋体"/>
          <w:b/>
          <w:bCs/>
          <w:i w:val="0"/>
          <w:iCs w:val="0"/>
          <w:szCs w:val="24"/>
        </w:rPr>
        <w:t>空气、水环境、土壤环境质量巩固提升三个行动</w:t>
      </w:r>
      <w:r>
        <w:rPr>
          <w:rFonts w:hint="eastAsia" w:ascii="Times New Roman" w:eastAsia="宋体"/>
          <w:b/>
          <w:bCs/>
          <w:i w:val="0"/>
          <w:iCs w:val="0"/>
          <w:szCs w:val="24"/>
        </w:rPr>
        <w:t>实施</w:t>
      </w:r>
      <w:r>
        <w:rPr>
          <w:rFonts w:ascii="Times New Roman" w:eastAsia="宋体"/>
          <w:b/>
          <w:bCs/>
          <w:i w:val="0"/>
          <w:iCs w:val="0"/>
          <w:szCs w:val="24"/>
        </w:rPr>
        <w:t>方案》符合性分析一览表</w:t>
      </w:r>
    </w:p>
    <w:tbl>
      <w:tblPr>
        <w:tblStyle w:val="58"/>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5"/>
        <w:gridCol w:w="5714"/>
        <w:gridCol w:w="19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97" w:type="pct"/>
            <w:noWrap w:val="0"/>
            <w:vAlign w:val="center"/>
          </w:tcPr>
          <w:p>
            <w:pPr>
              <w:autoSpaceDE w:val="0"/>
              <w:autoSpaceDN w:val="0"/>
              <w:adjustRightInd w:val="0"/>
              <w:jc w:val="center"/>
              <w:rPr>
                <w:rFonts w:hint="eastAsia"/>
                <w:i w:val="0"/>
                <w:iCs w:val="0"/>
                <w:kern w:val="0"/>
                <w:sz w:val="21"/>
                <w:szCs w:val="21"/>
              </w:rPr>
            </w:pPr>
            <w:r>
              <w:rPr>
                <w:rFonts w:hint="eastAsia"/>
                <w:i w:val="0"/>
                <w:iCs w:val="0"/>
                <w:kern w:val="0"/>
                <w:sz w:val="21"/>
                <w:szCs w:val="21"/>
              </w:rPr>
              <w:t>类别</w:t>
            </w:r>
          </w:p>
        </w:tc>
        <w:tc>
          <w:tcPr>
            <w:tcW w:w="3078" w:type="pct"/>
            <w:noWrap w:val="0"/>
            <w:vAlign w:val="center"/>
          </w:tcPr>
          <w:p>
            <w:pPr>
              <w:autoSpaceDE w:val="0"/>
              <w:autoSpaceDN w:val="0"/>
              <w:adjustRightInd w:val="0"/>
              <w:jc w:val="center"/>
              <w:rPr>
                <w:rFonts w:hint="eastAsia"/>
                <w:i w:val="0"/>
                <w:iCs w:val="0"/>
                <w:kern w:val="0"/>
                <w:sz w:val="21"/>
                <w:szCs w:val="21"/>
              </w:rPr>
            </w:pPr>
            <w:r>
              <w:rPr>
                <w:rFonts w:hint="eastAsia"/>
                <w:i w:val="0"/>
                <w:iCs w:val="0"/>
                <w:kern w:val="0"/>
                <w:sz w:val="21"/>
                <w:szCs w:val="21"/>
              </w:rPr>
              <w:t>内容</w:t>
            </w:r>
          </w:p>
        </w:tc>
        <w:tc>
          <w:tcPr>
            <w:tcW w:w="1024" w:type="pct"/>
            <w:noWrap w:val="0"/>
            <w:vAlign w:val="center"/>
          </w:tcPr>
          <w:p>
            <w:pPr>
              <w:autoSpaceDE w:val="0"/>
              <w:autoSpaceDN w:val="0"/>
              <w:adjustRightInd w:val="0"/>
              <w:jc w:val="center"/>
              <w:rPr>
                <w:rFonts w:hint="eastAsia"/>
                <w:i w:val="0"/>
                <w:iCs w:val="0"/>
                <w:kern w:val="0"/>
                <w:sz w:val="21"/>
                <w:szCs w:val="21"/>
              </w:rPr>
            </w:pPr>
            <w:r>
              <w:rPr>
                <w:rFonts w:hint="eastAsia"/>
                <w:i w:val="0"/>
                <w:iCs w:val="0"/>
                <w:kern w:val="0"/>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897" w:type="pct"/>
            <w:vMerge w:val="restart"/>
            <w:noWrap w:val="0"/>
            <w:vAlign w:val="center"/>
          </w:tcPr>
          <w:p>
            <w:pPr>
              <w:autoSpaceDE w:val="0"/>
              <w:autoSpaceDN w:val="0"/>
              <w:adjustRightInd w:val="0"/>
              <w:rPr>
                <w:i w:val="0"/>
                <w:iCs w:val="0"/>
                <w:kern w:val="0"/>
                <w:sz w:val="21"/>
                <w:szCs w:val="21"/>
                <w:lang w:val="zh-TW" w:eastAsia="zh-TW"/>
              </w:rPr>
            </w:pPr>
            <w:r>
              <w:rPr>
                <w:rFonts w:hint="eastAsia"/>
                <w:i w:val="0"/>
                <w:iCs w:val="0"/>
                <w:kern w:val="0"/>
                <w:sz w:val="21"/>
                <w:szCs w:val="21"/>
                <w:lang w:val="zh-TW"/>
              </w:rPr>
              <w:t>白山市</w:t>
            </w:r>
            <w:r>
              <w:rPr>
                <w:i w:val="0"/>
                <w:iCs w:val="0"/>
                <w:kern w:val="0"/>
                <w:sz w:val="21"/>
                <w:szCs w:val="21"/>
                <w:lang w:val="zh-TW" w:eastAsia="zh-TW"/>
              </w:rPr>
              <w:t>空气质量巩固提升行动实施方案</w:t>
            </w:r>
          </w:p>
        </w:tc>
        <w:tc>
          <w:tcPr>
            <w:tcW w:w="3078" w:type="pct"/>
            <w:noWrap w:val="0"/>
            <w:vAlign w:val="center"/>
          </w:tcPr>
          <w:p>
            <w:pPr>
              <w:autoSpaceDE w:val="0"/>
              <w:autoSpaceDN w:val="0"/>
              <w:adjustRightInd w:val="0"/>
              <w:rPr>
                <w:i w:val="0"/>
                <w:iCs w:val="0"/>
                <w:kern w:val="0"/>
                <w:sz w:val="21"/>
                <w:szCs w:val="21"/>
              </w:rPr>
            </w:pPr>
            <w:r>
              <w:rPr>
                <w:i w:val="0"/>
                <w:iCs w:val="0"/>
                <w:kern w:val="0"/>
                <w:sz w:val="21"/>
                <w:szCs w:val="21"/>
              </w:rPr>
              <w:t>严格煤炭消费总量控制。制定煤炭消费总量控制目标，加快清洁能源替代，大力提高天然气利用水平。优化调控煤炭消费，积极推广应用煤炭清洁高效利用和新型节能技术，逐步关停改造分散燃煤锅炉、热电联产以及小火电，推进煤炭清洁利用，探索绿色电厂建设。完善能源消费政策机制，加大经济政策调节力度，促进能源结构调整和节能减排。</w:t>
            </w:r>
          </w:p>
        </w:tc>
        <w:tc>
          <w:tcPr>
            <w:tcW w:w="1024" w:type="pct"/>
            <w:noWrap w:val="0"/>
            <w:vAlign w:val="center"/>
          </w:tcPr>
          <w:p>
            <w:pPr>
              <w:autoSpaceDE w:val="0"/>
              <w:autoSpaceDN w:val="0"/>
              <w:adjustRightInd w:val="0"/>
              <w:rPr>
                <w:i w:val="0"/>
                <w:iCs w:val="0"/>
                <w:kern w:val="0"/>
                <w:sz w:val="21"/>
                <w:szCs w:val="21"/>
              </w:rPr>
            </w:pPr>
            <w:r>
              <w:rPr>
                <w:i w:val="0"/>
                <w:iCs w:val="0"/>
                <w:kern w:val="0"/>
                <w:sz w:val="21"/>
                <w:szCs w:val="21"/>
              </w:rPr>
              <w:t>符合</w:t>
            </w:r>
            <w:r>
              <w:rPr>
                <w:rFonts w:hint="eastAsia"/>
                <w:i w:val="0"/>
                <w:iCs w:val="0"/>
                <w:kern w:val="0"/>
                <w:sz w:val="21"/>
                <w:szCs w:val="21"/>
              </w:rPr>
              <w:t>。本项目冬季采暖及</w:t>
            </w:r>
            <w:r>
              <w:rPr>
                <w:rFonts w:hint="eastAsia"/>
                <w:i w:val="0"/>
                <w:iCs w:val="0"/>
                <w:kern w:val="0"/>
                <w:sz w:val="21"/>
                <w:szCs w:val="21"/>
                <w:lang w:eastAsia="zh-CN"/>
              </w:rPr>
              <w:t>部分</w:t>
            </w:r>
            <w:r>
              <w:rPr>
                <w:rFonts w:hint="eastAsia"/>
                <w:i w:val="0"/>
                <w:iCs w:val="0"/>
                <w:kern w:val="0"/>
                <w:sz w:val="21"/>
                <w:szCs w:val="21"/>
              </w:rPr>
              <w:t>生产用</w:t>
            </w:r>
            <w:r>
              <w:rPr>
                <w:rFonts w:hint="eastAsia"/>
                <w:i w:val="0"/>
                <w:iCs w:val="0"/>
                <w:kern w:val="0"/>
                <w:sz w:val="21"/>
                <w:szCs w:val="21"/>
                <w:lang w:eastAsia="zh-CN"/>
              </w:rPr>
              <w:t>热</w:t>
            </w:r>
            <w:r>
              <w:rPr>
                <w:rFonts w:hint="eastAsia"/>
                <w:i w:val="0"/>
                <w:iCs w:val="0"/>
                <w:kern w:val="0"/>
                <w:sz w:val="21"/>
                <w:szCs w:val="21"/>
              </w:rPr>
              <w:t>为大台子蒸汽站供应</w:t>
            </w:r>
            <w:r>
              <w:rPr>
                <w:rFonts w:hint="eastAsia"/>
                <w:i w:val="0"/>
                <w:iCs w:val="0"/>
                <w:kern w:val="0"/>
                <w:sz w:val="21"/>
                <w:szCs w:val="21"/>
                <w:lang w:eastAsia="zh-CN"/>
              </w:rPr>
              <w:t>，热风炉采用天然气作为燃料</w:t>
            </w:r>
            <w:r>
              <w:rPr>
                <w:rFonts w:hint="eastAsia"/>
                <w:i w:val="0"/>
                <w:iCs w:val="0"/>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897" w:type="pct"/>
            <w:vMerge w:val="continue"/>
            <w:noWrap w:val="0"/>
            <w:vAlign w:val="center"/>
          </w:tcPr>
          <w:p>
            <w:pPr>
              <w:autoSpaceDE w:val="0"/>
              <w:autoSpaceDN w:val="0"/>
              <w:adjustRightInd w:val="0"/>
              <w:rPr>
                <w:i w:val="0"/>
                <w:iCs w:val="0"/>
                <w:kern w:val="0"/>
                <w:sz w:val="21"/>
                <w:szCs w:val="21"/>
              </w:rPr>
            </w:pPr>
          </w:p>
        </w:tc>
        <w:tc>
          <w:tcPr>
            <w:tcW w:w="3078" w:type="pct"/>
            <w:noWrap w:val="0"/>
            <w:vAlign w:val="center"/>
          </w:tcPr>
          <w:p>
            <w:pPr>
              <w:autoSpaceDE w:val="0"/>
              <w:autoSpaceDN w:val="0"/>
              <w:adjustRightInd w:val="0"/>
              <w:rPr>
                <w:i w:val="0"/>
                <w:iCs w:val="0"/>
                <w:kern w:val="0"/>
                <w:sz w:val="21"/>
                <w:szCs w:val="21"/>
                <w:lang w:val="zh-TW" w:eastAsia="zh-TW"/>
              </w:rPr>
            </w:pPr>
            <w:r>
              <w:rPr>
                <w:i w:val="0"/>
                <w:iCs w:val="0"/>
                <w:kern w:val="0"/>
                <w:sz w:val="21"/>
                <w:szCs w:val="21"/>
              </w:rPr>
              <w:t>推进工业污染源全面达标排放。推动工业污染源烟气高效脱硫脱硝、除尘改造，确保各项污染物稳定达标排放。重点排污单位要安装自动监控设备并与生态环境部门联网，对排放不达标的，加大行政处罚和联合惩戒力度，限期整改到位。加强无组织排放深度治理，提高无组织排放管控水平。</w:t>
            </w:r>
          </w:p>
        </w:tc>
        <w:tc>
          <w:tcPr>
            <w:tcW w:w="1024" w:type="pct"/>
            <w:noWrap w:val="0"/>
            <w:vAlign w:val="center"/>
          </w:tcPr>
          <w:p>
            <w:pPr>
              <w:wordWrap w:val="0"/>
              <w:autoSpaceDE w:val="0"/>
              <w:autoSpaceDN w:val="0"/>
              <w:adjustRightInd w:val="0"/>
              <w:rPr>
                <w:rFonts w:hint="eastAsia"/>
                <w:i w:val="0"/>
                <w:iCs w:val="0"/>
                <w:kern w:val="0"/>
                <w:sz w:val="21"/>
                <w:szCs w:val="21"/>
              </w:rPr>
            </w:pPr>
            <w:r>
              <w:rPr>
                <w:i w:val="0"/>
                <w:iCs w:val="0"/>
                <w:kern w:val="0"/>
                <w:sz w:val="21"/>
                <w:szCs w:val="21"/>
              </w:rPr>
              <w:t>符合</w:t>
            </w:r>
            <w:r>
              <w:rPr>
                <w:rFonts w:hint="eastAsia"/>
                <w:i w:val="0"/>
                <w:iCs w:val="0"/>
                <w:kern w:val="0"/>
                <w:sz w:val="21"/>
                <w:szCs w:val="21"/>
              </w:rPr>
              <w:t>。</w:t>
            </w:r>
            <w:r>
              <w:rPr>
                <w:i w:val="0"/>
                <w:iCs w:val="0"/>
                <w:kern w:val="0"/>
                <w:sz w:val="21"/>
                <w:szCs w:val="21"/>
              </w:rPr>
              <w:t>本项目采取严格的废气治理措施，主要污染物排放满足《大气污染物综合排放标准》（GB16297-1996）</w:t>
            </w:r>
            <w:r>
              <w:rPr>
                <w:rFonts w:hint="eastAsia"/>
                <w:i w:val="0"/>
                <w:iCs w:val="0"/>
                <w:kern w:val="0"/>
                <w:sz w:val="21"/>
                <w:szCs w:val="21"/>
                <w:lang w:eastAsia="zh-CN"/>
              </w:rPr>
              <w:t>、</w:t>
            </w:r>
            <w:r>
              <w:rPr>
                <w:rFonts w:hint="eastAsia"/>
                <w:i w:val="0"/>
                <w:iCs w:val="0"/>
                <w:kern w:val="0"/>
                <w:sz w:val="21"/>
                <w:szCs w:val="21"/>
                <w:lang w:val="en-US" w:eastAsia="zh-CN"/>
              </w:rPr>
              <w:t>《锅炉大气污染物排放标准》（GB13271-2014)</w:t>
            </w:r>
            <w:r>
              <w:rPr>
                <w:i w:val="0"/>
                <w:iCs w:val="0"/>
                <w:kern w:val="0"/>
                <w:sz w:val="21"/>
                <w:szCs w:val="21"/>
              </w:rPr>
              <w:t>和《恶臭污染物排放标准》（GB14554-93）中相应排放标准</w:t>
            </w:r>
            <w:r>
              <w:rPr>
                <w:rFonts w:hint="eastAsia"/>
                <w:i w:val="0"/>
                <w:iCs w:val="0"/>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897" w:type="pct"/>
            <w:vMerge w:val="continue"/>
            <w:noWrap w:val="0"/>
            <w:vAlign w:val="center"/>
          </w:tcPr>
          <w:p>
            <w:pPr>
              <w:autoSpaceDE w:val="0"/>
              <w:autoSpaceDN w:val="0"/>
              <w:adjustRightInd w:val="0"/>
              <w:rPr>
                <w:i w:val="0"/>
                <w:iCs w:val="0"/>
                <w:kern w:val="0"/>
                <w:sz w:val="21"/>
                <w:szCs w:val="21"/>
                <w:lang w:val="zh-TW" w:eastAsia="zh-TW"/>
              </w:rPr>
            </w:pPr>
          </w:p>
        </w:tc>
        <w:tc>
          <w:tcPr>
            <w:tcW w:w="3078" w:type="pct"/>
            <w:noWrap w:val="0"/>
            <w:vAlign w:val="center"/>
          </w:tcPr>
          <w:p>
            <w:pPr>
              <w:autoSpaceDE w:val="0"/>
              <w:autoSpaceDN w:val="0"/>
              <w:adjustRightInd w:val="0"/>
              <w:rPr>
                <w:i w:val="0"/>
                <w:iCs w:val="0"/>
                <w:kern w:val="0"/>
                <w:sz w:val="21"/>
                <w:szCs w:val="21"/>
                <w:lang w:val="zh-TW" w:eastAsia="zh-TW"/>
              </w:rPr>
            </w:pPr>
            <w:r>
              <w:rPr>
                <w:i w:val="0"/>
                <w:iCs w:val="0"/>
                <w:kern w:val="0"/>
                <w:sz w:val="21"/>
                <w:szCs w:val="21"/>
              </w:rPr>
              <w:t>推进重点行业污染深度治理。大力推行清洁生产，鼓励企业采用先进适用的清洁生产原料、技术、工艺和装备，对排放强度高的重污染行业实施清洁化改造。推进通钢板石球团和水泥行业污染治理设施超低排放改造。</w:t>
            </w:r>
          </w:p>
        </w:tc>
        <w:tc>
          <w:tcPr>
            <w:tcW w:w="1024" w:type="pct"/>
            <w:noWrap w:val="0"/>
            <w:vAlign w:val="center"/>
          </w:tcPr>
          <w:p>
            <w:pPr>
              <w:wordWrap w:val="0"/>
              <w:autoSpaceDE w:val="0"/>
              <w:autoSpaceDN w:val="0"/>
              <w:adjustRightInd w:val="0"/>
              <w:rPr>
                <w:i w:val="0"/>
                <w:iCs w:val="0"/>
                <w:kern w:val="0"/>
                <w:sz w:val="21"/>
                <w:szCs w:val="21"/>
              </w:rPr>
            </w:pPr>
            <w:r>
              <w:rPr>
                <w:i w:val="0"/>
                <w:iCs w:val="0"/>
                <w:kern w:val="0"/>
                <w:sz w:val="21"/>
                <w:szCs w:val="21"/>
              </w:rPr>
              <w:t>符合</w:t>
            </w:r>
            <w:r>
              <w:rPr>
                <w:rFonts w:hint="eastAsia"/>
                <w:i w:val="0"/>
                <w:iCs w:val="0"/>
                <w:kern w:val="0"/>
                <w:sz w:val="21"/>
                <w:szCs w:val="21"/>
              </w:rPr>
              <w:t>。</w:t>
            </w:r>
            <w:r>
              <w:rPr>
                <w:i w:val="0"/>
                <w:iCs w:val="0"/>
                <w:kern w:val="0"/>
                <w:sz w:val="21"/>
                <w:szCs w:val="21"/>
              </w:rPr>
              <w:t>本项目采用先进适用的清洁生产原料、技术、工艺和装备</w:t>
            </w:r>
            <w:r>
              <w:rPr>
                <w:rFonts w:hint="eastAsia"/>
                <w:i w:val="0"/>
                <w:iCs w:val="0"/>
                <w:kern w:val="0"/>
                <w:sz w:val="21"/>
                <w:szCs w:val="21"/>
              </w:rPr>
              <w:t>。</w:t>
            </w:r>
            <w:r>
              <w:rPr>
                <w:i w:val="0"/>
                <w:iCs w:val="0"/>
                <w:kern w:val="0"/>
                <w:sz w:val="21"/>
                <w:szCs w:val="21"/>
              </w:rPr>
              <w:t>主要污染物排放满足《大气污染物综合排放标准》（GB16297-1996）、</w:t>
            </w:r>
            <w:r>
              <w:rPr>
                <w:rFonts w:hint="eastAsia" w:ascii="Times New Roman" w:hAnsi="Times New Roman" w:eastAsia="宋体" w:cs="Times New Roman"/>
                <w:bCs/>
                <w:i w:val="0"/>
                <w:iCs w:val="0"/>
                <w:sz w:val="21"/>
                <w:szCs w:val="21"/>
                <w:lang w:val="en-US" w:eastAsia="zh-CN"/>
              </w:rPr>
              <w:t>《锅炉大气污染物排放标准》（GB13271-2014)</w:t>
            </w:r>
            <w:r>
              <w:rPr>
                <w:i w:val="0"/>
                <w:iCs w:val="0"/>
                <w:kern w:val="0"/>
                <w:sz w:val="21"/>
                <w:szCs w:val="21"/>
              </w:rPr>
              <w:t>和《恶臭污染物排放标准》（GB14554-93）中相应排放标准</w:t>
            </w:r>
            <w:r>
              <w:rPr>
                <w:rFonts w:hint="eastAsia"/>
                <w:i w:val="0"/>
                <w:iCs w:val="0"/>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897" w:type="pct"/>
            <w:vMerge w:val="continue"/>
            <w:noWrap w:val="0"/>
            <w:vAlign w:val="center"/>
          </w:tcPr>
          <w:p>
            <w:pPr>
              <w:autoSpaceDE w:val="0"/>
              <w:autoSpaceDN w:val="0"/>
              <w:adjustRightInd w:val="0"/>
              <w:rPr>
                <w:i w:val="0"/>
                <w:iCs w:val="0"/>
                <w:kern w:val="0"/>
                <w:sz w:val="21"/>
                <w:szCs w:val="21"/>
                <w:lang w:val="zh-TW" w:eastAsia="zh-TW"/>
              </w:rPr>
            </w:pPr>
          </w:p>
        </w:tc>
        <w:tc>
          <w:tcPr>
            <w:tcW w:w="3078" w:type="pct"/>
            <w:noWrap w:val="0"/>
            <w:vAlign w:val="center"/>
          </w:tcPr>
          <w:p>
            <w:pPr>
              <w:autoSpaceDE w:val="0"/>
              <w:autoSpaceDN w:val="0"/>
              <w:adjustRightInd w:val="0"/>
              <w:rPr>
                <w:i w:val="0"/>
                <w:iCs w:val="0"/>
                <w:kern w:val="0"/>
                <w:sz w:val="21"/>
                <w:szCs w:val="21"/>
                <w:lang w:val="zh-TW" w:eastAsia="zh-TW"/>
              </w:rPr>
            </w:pPr>
            <w:r>
              <w:rPr>
                <w:i w:val="0"/>
                <w:iCs w:val="0"/>
                <w:kern w:val="0"/>
                <w:sz w:val="21"/>
                <w:szCs w:val="21"/>
              </w:rPr>
              <w:t>提升挥发性有机物（VOCs）治理水平。以石化、化工、工业涂装、包装印刷和油品储运销等行业为重点，大力提升挥发性有机物排放收集率、去除率和治理设施运行率，全面实施挥发性有机物总量控制。加快推进挥发性有机物排放重点企业在线监控设施建设，推动挥发性有机物产品源头替代。推进年排放量10吨以上和泄露点位超过2000个的重点企业建设监测、防控和处理相结合的VOCs治理体系。开展化工园区VOCs监测监管体系试点示范建设。</w:t>
            </w:r>
          </w:p>
        </w:tc>
        <w:tc>
          <w:tcPr>
            <w:tcW w:w="1024" w:type="pct"/>
            <w:noWrap w:val="0"/>
            <w:vAlign w:val="center"/>
          </w:tcPr>
          <w:p>
            <w:pPr>
              <w:keepNext w:val="0"/>
              <w:keepLines w:val="0"/>
              <w:pageBreakBefore w:val="0"/>
              <w:widowControl w:val="0"/>
              <w:kinsoku/>
              <w:wordWrap w:val="0"/>
              <w:overflowPunct/>
              <w:topLinePunct w:val="0"/>
              <w:autoSpaceDE w:val="0"/>
              <w:autoSpaceDN w:val="0"/>
              <w:bidi w:val="0"/>
              <w:adjustRightInd w:val="0"/>
              <w:snapToGrid/>
              <w:jc w:val="center"/>
              <w:textAlignment w:val="auto"/>
              <w:rPr>
                <w:i w:val="0"/>
                <w:iCs w:val="0"/>
                <w:kern w:val="0"/>
                <w:sz w:val="21"/>
                <w:szCs w:val="21"/>
              </w:rPr>
            </w:pPr>
            <w:r>
              <w:rPr>
                <w:i w:val="0"/>
                <w:iCs w:val="0"/>
                <w:kern w:val="0"/>
                <w:sz w:val="21"/>
                <w:szCs w:val="21"/>
              </w:rPr>
              <w:t>符合</w:t>
            </w:r>
          </w:p>
          <w:p>
            <w:pPr>
              <w:keepNext w:val="0"/>
              <w:keepLines w:val="0"/>
              <w:pageBreakBefore w:val="0"/>
              <w:widowControl w:val="0"/>
              <w:kinsoku/>
              <w:wordWrap w:val="0"/>
              <w:overflowPunct/>
              <w:topLinePunct w:val="0"/>
              <w:autoSpaceDE w:val="0"/>
              <w:autoSpaceDN w:val="0"/>
              <w:bidi w:val="0"/>
              <w:adjustRightInd w:val="0"/>
              <w:snapToGrid/>
              <w:textAlignment w:val="auto"/>
              <w:rPr>
                <w:i w:val="0"/>
                <w:iCs w:val="0"/>
                <w:kern w:val="0"/>
                <w:sz w:val="21"/>
                <w:szCs w:val="21"/>
              </w:rPr>
            </w:pPr>
            <w:r>
              <w:rPr>
                <w:i w:val="0"/>
                <w:iCs w:val="0"/>
                <w:kern w:val="0"/>
                <w:sz w:val="21"/>
                <w:szCs w:val="21"/>
              </w:rPr>
              <w:t>本项目主要污染物排放满足《大气污染物综合排放标准》（GB16297-1996）、</w:t>
            </w:r>
            <w:r>
              <w:rPr>
                <w:rFonts w:hint="eastAsia" w:ascii="Times New Roman" w:hAnsi="Times New Roman" w:eastAsia="宋体" w:cs="Times New Roman"/>
                <w:bCs/>
                <w:i w:val="0"/>
                <w:iCs w:val="0"/>
                <w:sz w:val="21"/>
                <w:szCs w:val="21"/>
                <w:lang w:val="en-US" w:eastAsia="zh-CN"/>
              </w:rPr>
              <w:t>《锅炉大气污染物排放标准》（GB13271-2014)</w:t>
            </w:r>
            <w:r>
              <w:rPr>
                <w:i w:val="0"/>
                <w:iCs w:val="0"/>
                <w:kern w:val="0"/>
                <w:sz w:val="21"/>
                <w:szCs w:val="21"/>
              </w:rPr>
              <w:t>和《恶臭污染物排放标准》（GB14554-93）中相应排放标准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7" w:type="pct"/>
            <w:vMerge w:val="restart"/>
            <w:noWrap w:val="0"/>
            <w:vAlign w:val="center"/>
          </w:tcPr>
          <w:p>
            <w:pPr>
              <w:autoSpaceDE w:val="0"/>
              <w:autoSpaceDN w:val="0"/>
              <w:adjustRightInd w:val="0"/>
              <w:rPr>
                <w:rFonts w:hint="eastAsia"/>
                <w:i w:val="0"/>
                <w:iCs w:val="0"/>
                <w:kern w:val="0"/>
                <w:sz w:val="21"/>
                <w:szCs w:val="21"/>
              </w:rPr>
            </w:pPr>
            <w:r>
              <w:rPr>
                <w:rFonts w:hint="eastAsia"/>
                <w:i w:val="0"/>
                <w:iCs w:val="0"/>
                <w:kern w:val="0"/>
                <w:sz w:val="21"/>
                <w:szCs w:val="21"/>
              </w:rPr>
              <w:t>白山市水环境质量巩固提升行动方案</w:t>
            </w:r>
          </w:p>
        </w:tc>
        <w:tc>
          <w:tcPr>
            <w:tcW w:w="3078" w:type="pct"/>
            <w:noWrap w:val="0"/>
            <w:vAlign w:val="center"/>
          </w:tcPr>
          <w:p>
            <w:pPr>
              <w:autoSpaceDE w:val="0"/>
              <w:autoSpaceDN w:val="0"/>
              <w:adjustRightInd w:val="0"/>
              <w:rPr>
                <w:rFonts w:hint="eastAsia"/>
                <w:i w:val="0"/>
                <w:iCs w:val="0"/>
                <w:kern w:val="0"/>
                <w:sz w:val="21"/>
                <w:szCs w:val="21"/>
              </w:rPr>
            </w:pPr>
            <w:r>
              <w:rPr>
                <w:i w:val="0"/>
                <w:iCs w:val="0"/>
                <w:kern w:val="0"/>
                <w:sz w:val="21"/>
                <w:szCs w:val="21"/>
              </w:rPr>
              <w:t>强化工业企业排水管理。工业集聚区应当按规定建设污水集中处理设施。各地政府或工业集聚管理机构要组织有关部门和单位对进入市政污水收集设施的工业企业进行排查，经评估认定污染物不能被城镇污水厂有效处理或可能影响城镇污水处理厂出水稳定达标的，要依法责令限期退出；经评估可继续接入污水管网的，应当依法取得排污许可。</w:t>
            </w:r>
          </w:p>
        </w:tc>
        <w:tc>
          <w:tcPr>
            <w:tcW w:w="1024" w:type="pct"/>
            <w:noWrap w:val="0"/>
            <w:vAlign w:val="center"/>
          </w:tcPr>
          <w:p>
            <w:pPr>
              <w:wordWrap w:val="0"/>
              <w:autoSpaceDE w:val="0"/>
              <w:autoSpaceDN w:val="0"/>
              <w:adjustRightInd w:val="0"/>
              <w:rPr>
                <w:rFonts w:hint="eastAsia"/>
                <w:i w:val="0"/>
                <w:iCs w:val="0"/>
                <w:kern w:val="0"/>
                <w:sz w:val="21"/>
                <w:szCs w:val="21"/>
              </w:rPr>
            </w:pPr>
            <w:r>
              <w:rPr>
                <w:rFonts w:hint="eastAsia"/>
                <w:i w:val="0"/>
                <w:iCs w:val="0"/>
                <w:kern w:val="0"/>
                <w:sz w:val="21"/>
                <w:szCs w:val="21"/>
              </w:rPr>
              <w:t>符合：本项目生产废水、生活污水由厂区自建废水处理站处理达到《污水综合排放标准》GB8978-1996表2三级标准排放限值及园区污水处理厂进水指标后排入污水管网内，进入园区污水处理厂处理后排放</w:t>
            </w:r>
            <w:r>
              <w:rPr>
                <w:i w:val="0"/>
                <w:iCs w:val="0"/>
                <w:kern w:val="0"/>
                <w:sz w:val="21"/>
                <w:szCs w:val="21"/>
              </w:rPr>
              <w:t>，严格遵守相关环境管理要求。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7" w:type="pct"/>
            <w:vMerge w:val="continue"/>
            <w:noWrap w:val="0"/>
            <w:vAlign w:val="center"/>
          </w:tcPr>
          <w:p>
            <w:pPr>
              <w:autoSpaceDE w:val="0"/>
              <w:autoSpaceDN w:val="0"/>
              <w:adjustRightInd w:val="0"/>
              <w:rPr>
                <w:rFonts w:hint="eastAsia"/>
                <w:i w:val="0"/>
                <w:iCs w:val="0"/>
                <w:kern w:val="0"/>
                <w:sz w:val="21"/>
                <w:szCs w:val="21"/>
              </w:rPr>
            </w:pPr>
          </w:p>
        </w:tc>
        <w:tc>
          <w:tcPr>
            <w:tcW w:w="3078" w:type="pct"/>
            <w:noWrap w:val="0"/>
            <w:vAlign w:val="center"/>
          </w:tcPr>
          <w:p>
            <w:pPr>
              <w:autoSpaceDE w:val="0"/>
              <w:autoSpaceDN w:val="0"/>
              <w:adjustRightInd w:val="0"/>
              <w:rPr>
                <w:rFonts w:hint="eastAsia"/>
                <w:i w:val="0"/>
                <w:iCs w:val="0"/>
                <w:kern w:val="0"/>
                <w:sz w:val="21"/>
                <w:szCs w:val="21"/>
              </w:rPr>
            </w:pPr>
            <w:r>
              <w:rPr>
                <w:i w:val="0"/>
                <w:iCs w:val="0"/>
                <w:kern w:val="0"/>
                <w:sz w:val="21"/>
                <w:szCs w:val="21"/>
              </w:rPr>
              <w:t>加强重点污染源管控和治理。严格落实“三线一单”环境管控要求，按照环境管控单元和环境准入清单实施分类管理，对不符合生态环境准入清单要求的企业一律禁止准入。（市生态环境局牵头，市发改委、市工信局等参与）全面推动农副食品加工、化工、造纸、钢铁、氮肥、印染、制药、农药、电镀、染料颜料等行业实施绿色化改造，推进清洁生产，减少工业企业污染物排放量。</w:t>
            </w:r>
          </w:p>
        </w:tc>
        <w:tc>
          <w:tcPr>
            <w:tcW w:w="1024" w:type="pct"/>
            <w:noWrap w:val="0"/>
            <w:vAlign w:val="center"/>
          </w:tcPr>
          <w:p>
            <w:pPr>
              <w:autoSpaceDE w:val="0"/>
              <w:autoSpaceDN w:val="0"/>
              <w:adjustRightInd w:val="0"/>
              <w:rPr>
                <w:rFonts w:hint="eastAsia"/>
                <w:i w:val="0"/>
                <w:iCs w:val="0"/>
                <w:kern w:val="0"/>
                <w:sz w:val="21"/>
                <w:szCs w:val="21"/>
              </w:rPr>
            </w:pPr>
            <w:r>
              <w:rPr>
                <w:i w:val="0"/>
                <w:iCs w:val="0"/>
                <w:kern w:val="0"/>
                <w:sz w:val="21"/>
                <w:szCs w:val="21"/>
              </w:rPr>
              <w:t>符合。本项目废水经厂区内污水处理站处理后进入</w:t>
            </w:r>
            <w:r>
              <w:rPr>
                <w:rFonts w:hint="eastAsia"/>
                <w:i w:val="0"/>
                <w:iCs w:val="0"/>
                <w:kern w:val="0"/>
                <w:sz w:val="21"/>
                <w:szCs w:val="21"/>
              </w:rPr>
              <w:t>园区污水处理厂</w:t>
            </w:r>
            <w:r>
              <w:rPr>
                <w:i w:val="0"/>
                <w:iCs w:val="0"/>
                <w:kern w:val="0"/>
                <w:sz w:val="21"/>
                <w:szCs w:val="21"/>
              </w:rPr>
              <w:t>进行处理</w:t>
            </w:r>
            <w:r>
              <w:rPr>
                <w:rFonts w:hint="eastAsia"/>
                <w:i w:val="0"/>
                <w:iCs w:val="0"/>
                <w:kern w:val="0"/>
                <w:sz w:val="21"/>
                <w:szCs w:val="21"/>
              </w:rPr>
              <w:t>，</w:t>
            </w:r>
            <w:r>
              <w:rPr>
                <w:i w:val="0"/>
                <w:iCs w:val="0"/>
                <w:kern w:val="0"/>
                <w:sz w:val="21"/>
                <w:szCs w:val="21"/>
              </w:rPr>
              <w:t>严格遵守相关环境管理要求。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7" w:type="pct"/>
            <w:vMerge w:val="continue"/>
            <w:noWrap w:val="0"/>
            <w:vAlign w:val="center"/>
          </w:tcPr>
          <w:p>
            <w:pPr>
              <w:autoSpaceDE w:val="0"/>
              <w:autoSpaceDN w:val="0"/>
              <w:adjustRightInd w:val="0"/>
              <w:rPr>
                <w:rFonts w:hint="eastAsia"/>
                <w:i w:val="0"/>
                <w:iCs w:val="0"/>
                <w:kern w:val="0"/>
                <w:sz w:val="21"/>
                <w:szCs w:val="21"/>
              </w:rPr>
            </w:pPr>
          </w:p>
        </w:tc>
        <w:tc>
          <w:tcPr>
            <w:tcW w:w="3078" w:type="pct"/>
            <w:noWrap w:val="0"/>
            <w:vAlign w:val="center"/>
          </w:tcPr>
          <w:p>
            <w:pPr>
              <w:autoSpaceDE w:val="0"/>
              <w:autoSpaceDN w:val="0"/>
              <w:adjustRightInd w:val="0"/>
              <w:rPr>
                <w:rFonts w:hint="eastAsia"/>
                <w:i w:val="0"/>
                <w:iCs w:val="0"/>
                <w:kern w:val="0"/>
                <w:sz w:val="21"/>
                <w:szCs w:val="21"/>
              </w:rPr>
            </w:pPr>
            <w:r>
              <w:rPr>
                <w:i w:val="0"/>
                <w:iCs w:val="0"/>
                <w:kern w:val="0"/>
                <w:sz w:val="21"/>
                <w:szCs w:val="21"/>
              </w:rPr>
              <w:t>推进节水行动。坚持“以水定城、以水定地、以水定人、以水定产”，切实加强公共用水监督管理，全面推进城市节水、工业节水、农业节水，工业生产、城市绿化、道路清洁、车辆冲洗、建筑施工及生态景观用水等领域，优先使用再生水。</w:t>
            </w:r>
          </w:p>
        </w:tc>
        <w:tc>
          <w:tcPr>
            <w:tcW w:w="1024" w:type="pct"/>
            <w:noWrap w:val="0"/>
            <w:vAlign w:val="center"/>
          </w:tcPr>
          <w:p>
            <w:pPr>
              <w:autoSpaceDE w:val="0"/>
              <w:autoSpaceDN w:val="0"/>
              <w:adjustRightInd w:val="0"/>
              <w:rPr>
                <w:rFonts w:hint="eastAsia"/>
                <w:i w:val="0"/>
                <w:iCs w:val="0"/>
                <w:kern w:val="0"/>
                <w:sz w:val="21"/>
                <w:szCs w:val="21"/>
              </w:rPr>
            </w:pPr>
            <w:r>
              <w:rPr>
                <w:i w:val="0"/>
                <w:iCs w:val="0"/>
                <w:kern w:val="0"/>
                <w:sz w:val="21"/>
                <w:szCs w:val="21"/>
              </w:rPr>
              <w:t>符合。本项目严格遵守关环境管理要求，节约用水，不属于高耗水行业。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7" w:type="pct"/>
            <w:vMerge w:val="continue"/>
            <w:noWrap w:val="0"/>
            <w:vAlign w:val="center"/>
          </w:tcPr>
          <w:p>
            <w:pPr>
              <w:autoSpaceDE w:val="0"/>
              <w:autoSpaceDN w:val="0"/>
              <w:adjustRightInd w:val="0"/>
              <w:rPr>
                <w:rFonts w:hint="eastAsia"/>
                <w:i w:val="0"/>
                <w:iCs w:val="0"/>
                <w:kern w:val="0"/>
                <w:sz w:val="21"/>
                <w:szCs w:val="21"/>
              </w:rPr>
            </w:pPr>
          </w:p>
        </w:tc>
        <w:tc>
          <w:tcPr>
            <w:tcW w:w="3078" w:type="pct"/>
            <w:noWrap w:val="0"/>
            <w:vAlign w:val="center"/>
          </w:tcPr>
          <w:p>
            <w:pPr>
              <w:autoSpaceDE w:val="0"/>
              <w:autoSpaceDN w:val="0"/>
              <w:adjustRightInd w:val="0"/>
              <w:rPr>
                <w:i w:val="0"/>
                <w:iCs w:val="0"/>
                <w:kern w:val="0"/>
                <w:sz w:val="21"/>
                <w:szCs w:val="21"/>
              </w:rPr>
            </w:pPr>
            <w:r>
              <w:rPr>
                <w:i w:val="0"/>
                <w:iCs w:val="0"/>
                <w:kern w:val="0"/>
                <w:sz w:val="21"/>
                <w:szCs w:val="21"/>
              </w:rPr>
              <w:t>探索开展流域应急处置工程建设。开展重点流域各级支流实地踏查，探索在支流合适区域，通过采取建设污水事故收集截流设施等工程措施，减缓事故状态下污水对流域水环境质量的影响。</w:t>
            </w:r>
          </w:p>
        </w:tc>
        <w:tc>
          <w:tcPr>
            <w:tcW w:w="1024" w:type="pct"/>
            <w:noWrap w:val="0"/>
            <w:vAlign w:val="center"/>
          </w:tcPr>
          <w:p>
            <w:pPr>
              <w:autoSpaceDE w:val="0"/>
              <w:autoSpaceDN w:val="0"/>
              <w:adjustRightInd w:val="0"/>
              <w:rPr>
                <w:i w:val="0"/>
                <w:iCs w:val="0"/>
                <w:kern w:val="0"/>
                <w:sz w:val="21"/>
                <w:szCs w:val="21"/>
              </w:rPr>
            </w:pPr>
            <w:r>
              <w:rPr>
                <w:i w:val="0"/>
                <w:iCs w:val="0"/>
                <w:kern w:val="0"/>
                <w:sz w:val="21"/>
                <w:szCs w:val="21"/>
              </w:rPr>
              <w:t>本项目严格按照相关要求健全企业应急防范体系，厂区内设置三级应急防控体系，并充分依托园区应急防控体系，制定突发环境事件风险应急预案，提高风险防控能力。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7" w:type="pct"/>
            <w:vMerge w:val="restart"/>
            <w:noWrap w:val="0"/>
            <w:vAlign w:val="center"/>
          </w:tcPr>
          <w:p>
            <w:pPr>
              <w:autoSpaceDE w:val="0"/>
              <w:autoSpaceDN w:val="0"/>
              <w:adjustRightInd w:val="0"/>
              <w:rPr>
                <w:rFonts w:hint="eastAsia"/>
                <w:i w:val="0"/>
                <w:iCs w:val="0"/>
                <w:kern w:val="0"/>
                <w:sz w:val="21"/>
                <w:szCs w:val="21"/>
              </w:rPr>
            </w:pPr>
            <w:r>
              <w:rPr>
                <w:rFonts w:hint="eastAsia"/>
                <w:i w:val="0"/>
                <w:iCs w:val="0"/>
                <w:kern w:val="0"/>
                <w:sz w:val="21"/>
                <w:szCs w:val="21"/>
              </w:rPr>
              <w:t>白山市土壤环境质量巩固提升行动实施方案</w:t>
            </w:r>
          </w:p>
        </w:tc>
        <w:tc>
          <w:tcPr>
            <w:tcW w:w="3078" w:type="pct"/>
            <w:noWrap w:val="0"/>
            <w:vAlign w:val="center"/>
          </w:tcPr>
          <w:p>
            <w:pPr>
              <w:autoSpaceDE w:val="0"/>
              <w:autoSpaceDN w:val="0"/>
              <w:adjustRightInd w:val="0"/>
              <w:rPr>
                <w:rFonts w:hint="eastAsia"/>
                <w:i w:val="0"/>
                <w:iCs w:val="0"/>
                <w:kern w:val="0"/>
                <w:sz w:val="21"/>
                <w:szCs w:val="21"/>
              </w:rPr>
            </w:pPr>
            <w:r>
              <w:rPr>
                <w:i w:val="0"/>
                <w:iCs w:val="0"/>
                <w:kern w:val="0"/>
                <w:sz w:val="21"/>
                <w:szCs w:val="21"/>
              </w:rPr>
              <w:t>加强土壤重点监管单位管控。落实土壤污染重点监管单位土壤和地下水污染隐患排查，自行监测，拆除设施、设备或者建筑物、构筑物污染防治方案备案等制度，制定突发环境事件应急预案。更新土壤污染重点监管单位名单，推动将土壤污染重点监管单位纳入排污许可证管理。对现有重点监管单位开展土壤污染隐患排查，建立隐患排查档案。完成重点监管单位地下储罐核实登记。开展重点监管单位、污水集中处理设施、固体废物处置设施周边土壤环境监测。</w:t>
            </w:r>
          </w:p>
        </w:tc>
        <w:tc>
          <w:tcPr>
            <w:tcW w:w="1024" w:type="pct"/>
            <w:noWrap w:val="0"/>
            <w:vAlign w:val="center"/>
          </w:tcPr>
          <w:p>
            <w:pPr>
              <w:autoSpaceDE w:val="0"/>
              <w:autoSpaceDN w:val="0"/>
              <w:adjustRightInd w:val="0"/>
              <w:rPr>
                <w:rFonts w:hint="eastAsia"/>
                <w:i w:val="0"/>
                <w:iCs w:val="0"/>
                <w:kern w:val="0"/>
                <w:sz w:val="21"/>
                <w:szCs w:val="21"/>
              </w:rPr>
            </w:pPr>
            <w:r>
              <w:rPr>
                <w:i w:val="0"/>
                <w:iCs w:val="0"/>
                <w:kern w:val="0"/>
                <w:sz w:val="21"/>
                <w:szCs w:val="21"/>
              </w:rPr>
              <w:t>本项目将按照相关要求定期对厂区及周边土壤进行自行监测，制定环境污染事件应急预案</w:t>
            </w:r>
            <w:r>
              <w:rPr>
                <w:rFonts w:hint="eastAsia"/>
                <w:i w:val="0"/>
                <w:iCs w:val="0"/>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7" w:type="pct"/>
            <w:vMerge w:val="continue"/>
            <w:noWrap w:val="0"/>
            <w:vAlign w:val="center"/>
          </w:tcPr>
          <w:p>
            <w:pPr>
              <w:autoSpaceDE w:val="0"/>
              <w:autoSpaceDN w:val="0"/>
              <w:adjustRightInd w:val="0"/>
              <w:rPr>
                <w:rFonts w:hint="eastAsia"/>
                <w:i w:val="0"/>
                <w:iCs w:val="0"/>
                <w:kern w:val="0"/>
                <w:sz w:val="21"/>
                <w:szCs w:val="21"/>
              </w:rPr>
            </w:pPr>
          </w:p>
        </w:tc>
        <w:tc>
          <w:tcPr>
            <w:tcW w:w="3078" w:type="pct"/>
            <w:noWrap w:val="0"/>
            <w:vAlign w:val="center"/>
          </w:tcPr>
          <w:p>
            <w:pPr>
              <w:autoSpaceDE w:val="0"/>
              <w:autoSpaceDN w:val="0"/>
              <w:adjustRightInd w:val="0"/>
              <w:rPr>
                <w:rFonts w:hint="eastAsia"/>
                <w:i w:val="0"/>
                <w:iCs w:val="0"/>
                <w:kern w:val="0"/>
                <w:sz w:val="21"/>
                <w:szCs w:val="21"/>
              </w:rPr>
            </w:pPr>
            <w:r>
              <w:rPr>
                <w:i w:val="0"/>
                <w:iCs w:val="0"/>
                <w:kern w:val="0"/>
                <w:sz w:val="21"/>
                <w:szCs w:val="21"/>
              </w:rPr>
              <w:t>制定地下水环境污染隐患清单。利用企业用地土壤污染状况调查成果，公布地下水污染场地清单，制定风险管控方案，实施地下水风险管控。推进地下水重点污染源的地下水自行监测和治理管控工作，防范企业地下水污染风险。</w:t>
            </w:r>
          </w:p>
        </w:tc>
        <w:tc>
          <w:tcPr>
            <w:tcW w:w="1024" w:type="pct"/>
            <w:noWrap w:val="0"/>
            <w:vAlign w:val="center"/>
          </w:tcPr>
          <w:p>
            <w:pPr>
              <w:autoSpaceDE w:val="0"/>
              <w:autoSpaceDN w:val="0"/>
              <w:adjustRightInd w:val="0"/>
              <w:rPr>
                <w:rFonts w:hint="eastAsia"/>
                <w:i w:val="0"/>
                <w:iCs w:val="0"/>
                <w:kern w:val="0"/>
                <w:sz w:val="21"/>
                <w:szCs w:val="21"/>
              </w:rPr>
            </w:pPr>
            <w:r>
              <w:rPr>
                <w:i w:val="0"/>
                <w:iCs w:val="0"/>
                <w:kern w:val="0"/>
                <w:sz w:val="21"/>
                <w:szCs w:val="21"/>
              </w:rPr>
              <w:t>本项目制定地下水风险管控方案，对厂区进行地下水分区防渗，并定期开展地下水自行监测工作</w:t>
            </w:r>
            <w:r>
              <w:rPr>
                <w:rFonts w:hint="eastAsia"/>
                <w:i w:val="0"/>
                <w:iCs w:val="0"/>
                <w:kern w:val="0"/>
                <w:sz w:val="21"/>
                <w:szCs w:val="21"/>
              </w:rPr>
              <w:t>。</w:t>
            </w:r>
          </w:p>
        </w:tc>
      </w:tr>
      <w:bookmarkEnd w:id="19"/>
      <w:bookmarkEnd w:id="20"/>
      <w:bookmarkEnd w:id="21"/>
    </w:tbl>
    <w:p>
      <w:pPr>
        <w:spacing w:line="360" w:lineRule="auto"/>
        <w:ind w:firstLine="480" w:firstLineChars="200"/>
        <w:rPr>
          <w:rFonts w:hint="eastAsia"/>
          <w:i w:val="0"/>
          <w:iCs w:val="0"/>
          <w:kern w:val="0"/>
        </w:rPr>
      </w:pPr>
      <w:r>
        <w:rPr>
          <w:rFonts w:hint="eastAsia"/>
          <w:i w:val="0"/>
          <w:iCs w:val="0"/>
          <w:kern w:val="0"/>
        </w:rPr>
        <w:t>综上，本项目符合白山市空气、水环境、土壤环境质量巩固提升三个行动方案的相关要求。</w:t>
      </w:r>
    </w:p>
    <w:p>
      <w:pPr>
        <w:pStyle w:val="4"/>
        <w:rPr>
          <w:rFonts w:ascii="Times New Roman" w:hAnsi="Times New Roman" w:eastAsia="宋体"/>
          <w:b/>
          <w:i w:val="0"/>
          <w:iCs w:val="0"/>
          <w:sz w:val="28"/>
          <w:szCs w:val="28"/>
        </w:rPr>
      </w:pPr>
      <w:bookmarkStart w:id="23" w:name="_Toc3247"/>
      <w:r>
        <w:rPr>
          <w:rFonts w:hint="eastAsia" w:ascii="Times New Roman" w:hAnsi="Times New Roman" w:eastAsia="宋体"/>
          <w:b/>
          <w:i w:val="0"/>
          <w:iCs w:val="0"/>
          <w:sz w:val="28"/>
          <w:szCs w:val="28"/>
        </w:rPr>
        <w:t>1.5</w:t>
      </w:r>
      <w:r>
        <w:rPr>
          <w:rFonts w:ascii="Times New Roman" w:hAnsi="Times New Roman" w:eastAsia="宋体"/>
          <w:b/>
          <w:i w:val="0"/>
          <w:iCs w:val="0"/>
          <w:sz w:val="28"/>
          <w:szCs w:val="28"/>
        </w:rPr>
        <w:t>主要环境问题及</w:t>
      </w:r>
      <w:r>
        <w:rPr>
          <w:rFonts w:hint="eastAsia" w:ascii="Times New Roman" w:hAnsi="Times New Roman" w:eastAsia="宋体"/>
          <w:b/>
          <w:i w:val="0"/>
          <w:iCs w:val="0"/>
          <w:sz w:val="28"/>
          <w:szCs w:val="28"/>
        </w:rPr>
        <w:t>环境</w:t>
      </w:r>
      <w:r>
        <w:rPr>
          <w:rFonts w:ascii="Times New Roman" w:hAnsi="Times New Roman" w:eastAsia="宋体"/>
          <w:b/>
          <w:i w:val="0"/>
          <w:iCs w:val="0"/>
          <w:sz w:val="28"/>
          <w:szCs w:val="28"/>
        </w:rPr>
        <w:t>影响</w:t>
      </w:r>
      <w:bookmarkEnd w:id="23"/>
    </w:p>
    <w:p>
      <w:pPr>
        <w:spacing w:line="360" w:lineRule="auto"/>
        <w:ind w:firstLine="480" w:firstLineChars="200"/>
        <w:rPr>
          <w:rFonts w:hint="eastAsia"/>
          <w:i w:val="0"/>
          <w:iCs w:val="0"/>
        </w:rPr>
      </w:pPr>
      <w:r>
        <w:rPr>
          <w:rFonts w:hint="eastAsia"/>
          <w:i w:val="0"/>
          <w:iCs w:val="0"/>
        </w:rPr>
        <w:t>本项目施工期环境影响主要包括施工过程产生的扬尘、粉尘和汽车尾气对环境空气的影响；施工废水和施工人员产生的生活污水对水环境的影响；施工机械噪声对声环境的影响；施工期产生的施工垃圾和施工人员产生的生活垃圾对周围环境的影响以及工程施工对周围生态环境的影响。</w:t>
      </w:r>
    </w:p>
    <w:p>
      <w:pPr>
        <w:spacing w:line="360" w:lineRule="auto"/>
        <w:ind w:firstLine="480" w:firstLineChars="200"/>
        <w:rPr>
          <w:rFonts w:hint="eastAsia"/>
          <w:i w:val="0"/>
          <w:iCs w:val="0"/>
        </w:rPr>
      </w:pPr>
      <w:r>
        <w:rPr>
          <w:rFonts w:hint="eastAsia"/>
          <w:i w:val="0"/>
          <w:iCs w:val="0"/>
        </w:rPr>
        <w:t>本项目运营期主要环境问题如下：</w:t>
      </w:r>
    </w:p>
    <w:p>
      <w:pPr>
        <w:spacing w:line="360" w:lineRule="auto"/>
        <w:ind w:firstLine="480" w:firstLineChars="200"/>
        <w:rPr>
          <w:rFonts w:hint="eastAsia"/>
          <w:i w:val="0"/>
          <w:iCs w:val="0"/>
        </w:rPr>
      </w:pPr>
      <w:bookmarkStart w:id="24" w:name="_Toc8626"/>
      <w:bookmarkStart w:id="25" w:name="_Toc499905411"/>
      <w:bookmarkStart w:id="26" w:name="_Toc502831489"/>
      <w:r>
        <w:rPr>
          <w:rFonts w:hint="eastAsia"/>
          <w:i w:val="0"/>
          <w:iCs w:val="0"/>
        </w:rPr>
        <w:t>1、废气</w:t>
      </w:r>
    </w:p>
    <w:p>
      <w:pPr>
        <w:spacing w:line="360" w:lineRule="auto"/>
        <w:ind w:firstLine="480" w:firstLineChars="200"/>
        <w:rPr>
          <w:rFonts w:hint="eastAsia"/>
          <w:i w:val="0"/>
          <w:iCs w:val="0"/>
        </w:rPr>
      </w:pPr>
      <w:r>
        <w:rPr>
          <w:rFonts w:hint="eastAsia"/>
          <w:i w:val="0"/>
          <w:iCs w:val="0"/>
        </w:rPr>
        <w:t>本项目污水站产生的废气经</w:t>
      </w:r>
      <w:r>
        <w:rPr>
          <w:rFonts w:hint="eastAsia"/>
          <w:i w:val="0"/>
          <w:iCs w:val="0"/>
          <w:lang w:eastAsia="zh-CN"/>
        </w:rPr>
        <w:t>“</w:t>
      </w:r>
      <w:r>
        <w:rPr>
          <w:rFonts w:hint="eastAsia"/>
          <w:i w:val="0"/>
          <w:iCs w:val="0"/>
        </w:rPr>
        <w:t>化学洗涤+生物滤池+活性炭吸附”</w:t>
      </w:r>
      <w:r>
        <w:rPr>
          <w:rFonts w:hint="eastAsia"/>
          <w:i w:val="0"/>
          <w:iCs w:val="0"/>
          <w:lang w:val="en-US" w:eastAsia="zh-CN"/>
        </w:rPr>
        <w:t>处理</w:t>
      </w:r>
      <w:r>
        <w:rPr>
          <w:rFonts w:hint="eastAsia"/>
          <w:i w:val="0"/>
          <w:iCs w:val="0"/>
        </w:rPr>
        <w:t>后经15m高排气筒（DA001）排放，满足《恶臭污染物排放标准》（GB14554-93）中表2中标准；发酵废气经喷淋塔处理后经</w:t>
      </w:r>
      <w:r>
        <w:rPr>
          <w:rFonts w:hint="eastAsia"/>
          <w:i w:val="0"/>
          <w:iCs w:val="0"/>
          <w:lang w:eastAsia="zh-CN"/>
        </w:rPr>
        <w:t>24</w:t>
      </w:r>
      <w:r>
        <w:rPr>
          <w:rFonts w:hint="eastAsia"/>
          <w:i w:val="0"/>
          <w:iCs w:val="0"/>
        </w:rPr>
        <w:t>m高排气筒（DA002）排放，其中非甲烷总烃满足《大气污染物综合排放标准》(GB16927-1996) 表2二级标准要求，氨</w:t>
      </w:r>
      <w:r>
        <w:rPr>
          <w:rFonts w:hint="eastAsia"/>
          <w:i w:val="0"/>
          <w:iCs w:val="0"/>
          <w:lang w:val="en-US" w:eastAsia="zh-CN"/>
        </w:rPr>
        <w:t>气</w:t>
      </w:r>
      <w:r>
        <w:rPr>
          <w:rFonts w:hint="eastAsia"/>
          <w:i w:val="0"/>
          <w:iCs w:val="0"/>
        </w:rPr>
        <w:t>度满足《恶臭污染物排放标准》(GB 14554-93)表2标准；热风炉1产生的烟气与喷雾干燥塔1喷雾干燥产生的粉尘经过布袋除尘器（效率99%）处理后由同一根24m高排气筒（DA003）排放，热风炉2产生的烟气与喷雾干燥塔2喷雾干燥产生的粉尘经过布袋除尘器（效率99%）处理后由同一根24m高排气筒（DA004）排放，其中颗粒物满足《大气污染物综合排放标准》（GB16297-1996）中表2颗粒物排放限值要求，SO</w:t>
      </w:r>
      <w:r>
        <w:rPr>
          <w:rFonts w:hint="eastAsia"/>
          <w:i w:val="0"/>
          <w:iCs w:val="0"/>
          <w:vertAlign w:val="subscript"/>
        </w:rPr>
        <w:t>2</w:t>
      </w:r>
      <w:r>
        <w:rPr>
          <w:rFonts w:hint="eastAsia"/>
          <w:i w:val="0"/>
          <w:iCs w:val="0"/>
        </w:rPr>
        <w:t>和NO</w:t>
      </w:r>
      <w:r>
        <w:rPr>
          <w:rFonts w:hint="eastAsia"/>
          <w:i w:val="0"/>
          <w:iCs w:val="0"/>
          <w:vertAlign w:val="subscript"/>
        </w:rPr>
        <w:t>X</w:t>
      </w:r>
      <w:r>
        <w:rPr>
          <w:rFonts w:hint="eastAsia"/>
          <w:i w:val="0"/>
          <w:iCs w:val="0"/>
        </w:rPr>
        <w:t>满足《锅炉大气污染物排放标准》（GB13271-2014)表2新建锅炉大气污染物排放限值；食堂油烟经高效油烟净化器处理后排放，满足</w:t>
      </w:r>
      <w:r>
        <w:rPr>
          <w:rFonts w:cs="宋体"/>
          <w:i w:val="0"/>
          <w:iCs w:val="0"/>
          <w:kern w:val="0"/>
        </w:rPr>
        <w:t>《饮食业油烟排放标准（试行）》（GB 18483-2001）中相关的限值标准</w:t>
      </w:r>
      <w:r>
        <w:rPr>
          <w:rFonts w:hint="eastAsia"/>
          <w:i w:val="0"/>
          <w:iCs w:val="0"/>
        </w:rPr>
        <w:t>。</w:t>
      </w:r>
    </w:p>
    <w:p>
      <w:pPr>
        <w:spacing w:line="360" w:lineRule="auto"/>
        <w:ind w:firstLine="480" w:firstLineChars="200"/>
        <w:rPr>
          <w:rFonts w:hint="eastAsia"/>
          <w:i w:val="0"/>
          <w:iCs w:val="0"/>
        </w:rPr>
      </w:pPr>
      <w:r>
        <w:rPr>
          <w:rFonts w:hint="eastAsia"/>
          <w:i w:val="0"/>
          <w:iCs w:val="0"/>
        </w:rPr>
        <w:t>2、废水</w:t>
      </w:r>
    </w:p>
    <w:p>
      <w:pPr>
        <w:pStyle w:val="89"/>
        <w:snapToGrid w:val="0"/>
        <w:spacing w:line="360" w:lineRule="auto"/>
        <w:ind w:firstLine="480"/>
        <w:rPr>
          <w:i w:val="0"/>
          <w:iCs w:val="0"/>
          <w:sz w:val="24"/>
          <w:szCs w:val="32"/>
        </w:rPr>
      </w:pPr>
      <w:r>
        <w:rPr>
          <w:i w:val="0"/>
          <w:iCs w:val="0"/>
          <w:sz w:val="24"/>
          <w:szCs w:val="24"/>
        </w:rPr>
        <w:t>项目废水主要为生活污水、</w:t>
      </w:r>
      <w:r>
        <w:rPr>
          <w:rFonts w:hint="eastAsia"/>
          <w:i w:val="0"/>
          <w:iCs w:val="0"/>
          <w:sz w:val="24"/>
        </w:rPr>
        <w:t>生产</w:t>
      </w:r>
      <w:r>
        <w:rPr>
          <w:i w:val="0"/>
          <w:iCs w:val="0"/>
          <w:sz w:val="24"/>
        </w:rPr>
        <w:t>废水</w:t>
      </w:r>
      <w:r>
        <w:rPr>
          <w:rFonts w:hint="eastAsia"/>
          <w:i w:val="0"/>
          <w:iCs w:val="0"/>
          <w:sz w:val="24"/>
        </w:rPr>
        <w:t>，</w:t>
      </w:r>
      <w:r>
        <w:rPr>
          <w:i w:val="0"/>
          <w:iCs w:val="0"/>
          <w:sz w:val="24"/>
        </w:rPr>
        <w:t>其中生产废水主要为</w:t>
      </w:r>
      <w:r>
        <w:rPr>
          <w:rFonts w:hAnsi="宋体"/>
          <w:i w:val="0"/>
          <w:iCs w:val="0"/>
          <w:color w:val="000000"/>
          <w:sz w:val="24"/>
        </w:rPr>
        <w:t>发酵</w:t>
      </w:r>
      <w:r>
        <w:rPr>
          <w:rFonts w:hint="eastAsia" w:hAnsi="宋体"/>
          <w:i w:val="0"/>
          <w:iCs w:val="0"/>
          <w:color w:val="000000"/>
          <w:sz w:val="24"/>
        </w:rPr>
        <w:t>车间清洗废水</w:t>
      </w:r>
      <w:r>
        <w:rPr>
          <w:rFonts w:hAnsi="宋体"/>
          <w:i w:val="0"/>
          <w:iCs w:val="0"/>
          <w:color w:val="000000"/>
          <w:sz w:val="24"/>
        </w:rPr>
        <w:t>、</w:t>
      </w:r>
      <w:r>
        <w:rPr>
          <w:rFonts w:hint="eastAsia" w:hAnsi="宋体"/>
          <w:i w:val="0"/>
          <w:iCs w:val="0"/>
          <w:color w:val="000000"/>
          <w:sz w:val="24"/>
        </w:rPr>
        <w:t>分离干燥</w:t>
      </w:r>
      <w:r>
        <w:rPr>
          <w:rFonts w:hAnsi="宋体"/>
          <w:i w:val="0"/>
          <w:iCs w:val="0"/>
          <w:color w:val="000000"/>
          <w:sz w:val="24"/>
        </w:rPr>
        <w:t>车间</w:t>
      </w:r>
      <w:r>
        <w:rPr>
          <w:rFonts w:hint="eastAsia" w:hAnsi="宋体"/>
          <w:i w:val="0"/>
          <w:iCs w:val="0"/>
          <w:color w:val="000000"/>
          <w:sz w:val="24"/>
        </w:rPr>
        <w:t>离心洗涤废</w:t>
      </w:r>
      <w:r>
        <w:rPr>
          <w:rFonts w:hAnsi="宋体"/>
          <w:i w:val="0"/>
          <w:iCs w:val="0"/>
          <w:color w:val="000000"/>
          <w:sz w:val="24"/>
        </w:rPr>
        <w:t>水、</w:t>
      </w:r>
      <w:r>
        <w:rPr>
          <w:rFonts w:hint="eastAsia" w:hAnsi="宋体"/>
          <w:i w:val="0"/>
          <w:iCs w:val="0"/>
          <w:color w:val="000000"/>
          <w:sz w:val="24"/>
        </w:rPr>
        <w:t>车间</w:t>
      </w:r>
      <w:r>
        <w:rPr>
          <w:rFonts w:hAnsi="宋体"/>
          <w:i w:val="0"/>
          <w:iCs w:val="0"/>
          <w:color w:val="000000"/>
          <w:sz w:val="24"/>
        </w:rPr>
        <w:t>冲洗地面水</w:t>
      </w:r>
      <w:r>
        <w:rPr>
          <w:rFonts w:hint="eastAsia" w:hAnsi="宋体"/>
          <w:i w:val="0"/>
          <w:iCs w:val="0"/>
          <w:color w:val="000000"/>
          <w:sz w:val="24"/>
          <w:lang w:eastAsia="zh-CN"/>
        </w:rPr>
        <w:t>、冷凝水、</w:t>
      </w:r>
      <w:r>
        <w:rPr>
          <w:rFonts w:hint="default" w:ascii="Times New Roman" w:hAnsi="Times New Roman" w:cs="Times New Roman"/>
          <w:i w:val="0"/>
          <w:iCs w:val="0"/>
          <w:color w:val="000000" w:themeColor="text1"/>
          <w:sz w:val="24"/>
          <w:u w:val="none"/>
          <w14:textFill>
            <w14:solidFill>
              <w14:schemeClr w14:val="tx1"/>
            </w14:solidFill>
          </w14:textFill>
        </w:rPr>
        <w:t>循环冷却水废水</w:t>
      </w:r>
      <w:r>
        <w:rPr>
          <w:rFonts w:hint="eastAsia" w:ascii="Times New Roman" w:hAnsi="Times New Roman" w:cs="Times New Roman"/>
          <w:i w:val="0"/>
          <w:iCs w:val="0"/>
          <w:color w:val="000000" w:themeColor="text1"/>
          <w:sz w:val="24"/>
          <w:u w:val="none"/>
          <w:lang w:eastAsia="zh-CN"/>
          <w14:textFill>
            <w14:solidFill>
              <w14:schemeClr w14:val="tx1"/>
            </w14:solidFill>
          </w14:textFill>
        </w:rPr>
        <w:t>、</w:t>
      </w:r>
      <w:r>
        <w:rPr>
          <w:rFonts w:hint="eastAsia" w:hAnsi="宋体"/>
          <w:i w:val="0"/>
          <w:iCs w:val="0"/>
          <w:color w:val="000000"/>
          <w:sz w:val="24"/>
          <w:lang w:eastAsia="zh-CN"/>
        </w:rPr>
        <w:t>喷淋废水及化验废水</w:t>
      </w:r>
      <w:r>
        <w:rPr>
          <w:i w:val="0"/>
          <w:iCs w:val="0"/>
          <w:sz w:val="24"/>
          <w:szCs w:val="24"/>
        </w:rPr>
        <w:t>等。</w:t>
      </w:r>
    </w:p>
    <w:p>
      <w:pPr>
        <w:pStyle w:val="89"/>
        <w:snapToGrid w:val="0"/>
        <w:spacing w:line="360" w:lineRule="auto"/>
        <w:ind w:firstLine="480"/>
        <w:rPr>
          <w:i w:val="0"/>
          <w:iCs w:val="0"/>
          <w:sz w:val="24"/>
          <w:szCs w:val="24"/>
          <w:lang w:val="zh-CN"/>
        </w:rPr>
      </w:pPr>
      <w:r>
        <w:rPr>
          <w:rFonts w:hint="eastAsia" w:cs="宋体"/>
          <w:i w:val="0"/>
          <w:iCs w:val="0"/>
          <w:kern w:val="0"/>
          <w:sz w:val="24"/>
          <w:szCs w:val="24"/>
        </w:rPr>
        <w:t>本项目产生的食堂废水由油水分离器处理后与生活污水</w:t>
      </w:r>
      <w:r>
        <w:rPr>
          <w:rFonts w:hint="eastAsia"/>
          <w:i w:val="0"/>
          <w:iCs w:val="0"/>
          <w:sz w:val="24"/>
          <w:szCs w:val="24"/>
        </w:rPr>
        <w:t>、生产</w:t>
      </w:r>
      <w:r>
        <w:rPr>
          <w:i w:val="0"/>
          <w:iCs w:val="0"/>
          <w:sz w:val="24"/>
          <w:szCs w:val="24"/>
        </w:rPr>
        <w:t>废水经厂内污水管道收集，</w:t>
      </w:r>
      <w:r>
        <w:rPr>
          <w:rFonts w:hint="eastAsia"/>
          <w:i w:val="0"/>
          <w:iCs w:val="0"/>
          <w:sz w:val="24"/>
          <w:szCs w:val="24"/>
        </w:rPr>
        <w:t>经过厂内污水处理站采用“</w:t>
      </w:r>
      <w:r>
        <w:rPr>
          <w:rFonts w:hint="eastAsia"/>
          <w:i w:val="0"/>
          <w:iCs w:val="0"/>
          <w:color w:val="000000"/>
          <w:sz w:val="24"/>
        </w:rPr>
        <w:t>水解+</w:t>
      </w:r>
      <w:r>
        <w:rPr>
          <w:rFonts w:hint="eastAsia"/>
          <w:i w:val="0"/>
          <w:iCs w:val="0"/>
          <w:color w:val="000000"/>
          <w:sz w:val="24"/>
          <w:lang w:val="en-US" w:eastAsia="zh-CN"/>
        </w:rPr>
        <w:t>UASB+</w:t>
      </w:r>
      <w:r>
        <w:rPr>
          <w:rFonts w:hint="eastAsia"/>
          <w:i w:val="0"/>
          <w:iCs w:val="0"/>
          <w:color w:val="000000"/>
          <w:sz w:val="24"/>
        </w:rPr>
        <w:t>A/O</w:t>
      </w:r>
      <w:r>
        <w:rPr>
          <w:rFonts w:hint="eastAsia"/>
          <w:i w:val="0"/>
          <w:iCs w:val="0"/>
          <w:sz w:val="24"/>
          <w:szCs w:val="24"/>
        </w:rPr>
        <w:t>”工艺处理，处理后废水达到《污水综合排放标准》GB8978-1996表2三级标准排放限值及园区污水处理厂进水指标后排入污水管网内，进入园区污水处理厂处理后排放</w:t>
      </w:r>
      <w:r>
        <w:rPr>
          <w:i w:val="0"/>
          <w:iCs w:val="0"/>
          <w:sz w:val="24"/>
          <w:szCs w:val="24"/>
          <w:lang w:val="zh-CN"/>
        </w:rPr>
        <w:t>。</w:t>
      </w:r>
    </w:p>
    <w:p>
      <w:pPr>
        <w:spacing w:line="360" w:lineRule="auto"/>
        <w:ind w:firstLine="480" w:firstLineChars="200"/>
        <w:rPr>
          <w:i w:val="0"/>
          <w:iCs w:val="0"/>
        </w:rPr>
      </w:pPr>
      <w:r>
        <w:rPr>
          <w:rFonts w:hint="eastAsia"/>
          <w:i w:val="0"/>
          <w:iCs w:val="0"/>
        </w:rPr>
        <w:t>3、噪声</w:t>
      </w:r>
    </w:p>
    <w:p>
      <w:pPr>
        <w:pStyle w:val="89"/>
        <w:snapToGrid w:val="0"/>
        <w:spacing w:line="360" w:lineRule="auto"/>
        <w:ind w:firstLine="480"/>
        <w:rPr>
          <w:rFonts w:hint="eastAsia"/>
          <w:i w:val="0"/>
          <w:iCs w:val="0"/>
          <w:sz w:val="24"/>
          <w:szCs w:val="24"/>
        </w:rPr>
      </w:pPr>
      <w:r>
        <w:rPr>
          <w:rFonts w:hint="eastAsia"/>
          <w:i w:val="0"/>
          <w:iCs w:val="0"/>
          <w:sz w:val="24"/>
          <w:szCs w:val="24"/>
        </w:rPr>
        <w:t>本项目运行期通过采用低噪声设备，对于声级值较大的风机、泵类等做减振处理等措施，减少设备运行对周围环境的影响，厂界噪声能够满足《工业企业厂界环境噪声排放标准》（GB12348-2008）</w:t>
      </w:r>
      <w:r>
        <w:rPr>
          <w:rFonts w:hint="eastAsia"/>
          <w:i w:val="0"/>
          <w:iCs w:val="0"/>
          <w:sz w:val="24"/>
          <w:szCs w:val="24"/>
          <w:lang w:val="en-US" w:eastAsia="zh-CN"/>
        </w:rPr>
        <w:t>2</w:t>
      </w:r>
      <w:r>
        <w:rPr>
          <w:rFonts w:hint="eastAsia"/>
          <w:i w:val="0"/>
          <w:iCs w:val="0"/>
          <w:sz w:val="24"/>
          <w:szCs w:val="24"/>
        </w:rPr>
        <w:t xml:space="preserve"> 类标准要求。</w:t>
      </w:r>
    </w:p>
    <w:p>
      <w:pPr>
        <w:spacing w:line="360" w:lineRule="auto"/>
        <w:ind w:firstLine="480" w:firstLineChars="200"/>
        <w:rPr>
          <w:rFonts w:hint="eastAsia"/>
          <w:i w:val="0"/>
          <w:iCs w:val="0"/>
        </w:rPr>
      </w:pPr>
      <w:r>
        <w:rPr>
          <w:rFonts w:hint="eastAsia"/>
          <w:i w:val="0"/>
          <w:iCs w:val="0"/>
        </w:rPr>
        <w:t>4、固体废物</w:t>
      </w:r>
    </w:p>
    <w:p>
      <w:pPr>
        <w:spacing w:line="360" w:lineRule="auto"/>
        <w:ind w:firstLine="480" w:firstLineChars="200"/>
        <w:rPr>
          <w:rFonts w:hint="eastAsia"/>
          <w:i w:val="0"/>
          <w:iCs w:val="0"/>
        </w:rPr>
      </w:pPr>
      <w:r>
        <w:rPr>
          <w:rFonts w:hint="eastAsia"/>
          <w:i w:val="0"/>
          <w:iCs w:val="0"/>
          <w:szCs w:val="28"/>
        </w:rPr>
        <w:t>本</w:t>
      </w:r>
      <w:r>
        <w:rPr>
          <w:rFonts w:hint="eastAsia"/>
          <w:i w:val="0"/>
          <w:iCs w:val="0"/>
          <w:color w:val="000000"/>
        </w:rPr>
        <w:t>项目产生的固体废物有生活垃圾、</w:t>
      </w:r>
      <w:r>
        <w:rPr>
          <w:rFonts w:hint="eastAsia" w:hAnsi="Times New Roman"/>
          <w:i w:val="0"/>
          <w:iCs w:val="0"/>
          <w:color w:val="000000"/>
          <w:lang w:eastAsia="zh-CN"/>
        </w:rPr>
        <w:t>收集到的粉尘、</w:t>
      </w:r>
      <w:r>
        <w:rPr>
          <w:rFonts w:hint="eastAsia"/>
          <w:i w:val="0"/>
          <w:iCs w:val="0"/>
          <w:color w:val="000000"/>
        </w:rPr>
        <w:t>废包装材料、废滤材（初中高效过滤器、过滤芯）</w:t>
      </w:r>
      <w:r>
        <w:rPr>
          <w:rFonts w:hint="eastAsia"/>
          <w:i w:val="0"/>
          <w:iCs w:val="0"/>
          <w:color w:val="000000"/>
          <w:lang w:eastAsia="zh-CN"/>
        </w:rPr>
        <w:t>、</w:t>
      </w:r>
      <w:r>
        <w:rPr>
          <w:rFonts w:hint="eastAsia"/>
          <w:i w:val="0"/>
          <w:iCs w:val="0"/>
          <w:color w:val="000000"/>
        </w:rPr>
        <w:t>污水站污泥、废活性炭</w:t>
      </w:r>
      <w:r>
        <w:rPr>
          <w:rFonts w:hint="eastAsia"/>
          <w:i w:val="0"/>
          <w:iCs w:val="0"/>
          <w:lang w:eastAsia="zh-CN"/>
        </w:rPr>
        <w:t>、废机油</w:t>
      </w:r>
      <w:r>
        <w:rPr>
          <w:rFonts w:hint="eastAsia" w:ascii="Times New Roman" w:hAnsi="Times New Roman" w:eastAsia="宋体" w:cs="Times New Roman"/>
          <w:i w:val="0"/>
          <w:iCs w:val="0"/>
          <w:lang w:val="en-US" w:eastAsia="zh-CN"/>
        </w:rPr>
        <w:t>及废机油桶</w:t>
      </w:r>
      <w:r>
        <w:rPr>
          <w:rFonts w:hint="eastAsia"/>
          <w:i w:val="0"/>
          <w:iCs w:val="0"/>
          <w:lang w:eastAsia="zh-CN"/>
        </w:rPr>
        <w:t>、实验废液及废包装瓶</w:t>
      </w:r>
      <w:r>
        <w:rPr>
          <w:rFonts w:hint="eastAsia"/>
          <w:i w:val="0"/>
          <w:iCs w:val="0"/>
          <w:color w:val="000000"/>
        </w:rPr>
        <w:t>，</w:t>
      </w:r>
      <w:r>
        <w:rPr>
          <w:rFonts w:hint="eastAsia"/>
          <w:i w:val="0"/>
          <w:iCs w:val="0"/>
          <w:szCs w:val="28"/>
        </w:rPr>
        <w:t>其中生活垃圾委托环卫部门处理；</w:t>
      </w:r>
      <w:r>
        <w:rPr>
          <w:rFonts w:hint="eastAsia" w:hAnsi="Times New Roman"/>
          <w:i w:val="0"/>
          <w:iCs w:val="0"/>
          <w:color w:val="000000"/>
          <w:lang w:eastAsia="zh-CN"/>
        </w:rPr>
        <w:t>收集到的粉尘</w:t>
      </w:r>
      <w:r>
        <w:rPr>
          <w:rFonts w:hint="eastAsia"/>
          <w:i w:val="0"/>
          <w:iCs w:val="0"/>
          <w:color w:val="000000"/>
          <w:lang w:eastAsia="zh-CN"/>
        </w:rPr>
        <w:t>、</w:t>
      </w:r>
      <w:r>
        <w:rPr>
          <w:rFonts w:hint="eastAsia"/>
          <w:i w:val="0"/>
          <w:iCs w:val="0"/>
          <w:color w:val="000000"/>
        </w:rPr>
        <w:t>废包装材料</w:t>
      </w:r>
      <w:r>
        <w:rPr>
          <w:rFonts w:hint="eastAsia"/>
          <w:i w:val="0"/>
          <w:iCs w:val="0"/>
          <w:color w:val="000000"/>
          <w:lang w:eastAsia="zh-CN"/>
        </w:rPr>
        <w:t>、废滤材（初中高效过滤器、过滤芯）</w:t>
      </w:r>
      <w:r>
        <w:rPr>
          <w:rFonts w:hint="eastAsia"/>
          <w:i w:val="0"/>
          <w:iCs w:val="0"/>
          <w:lang w:eastAsia="zh-CN"/>
        </w:rPr>
        <w:t>收集后外卖</w:t>
      </w:r>
      <w:r>
        <w:rPr>
          <w:rFonts w:hint="eastAsia"/>
          <w:i w:val="0"/>
          <w:iCs w:val="0"/>
          <w:szCs w:val="28"/>
          <w:lang w:eastAsia="zh-CN"/>
        </w:rPr>
        <w:t>，</w:t>
      </w:r>
      <w:r>
        <w:rPr>
          <w:rFonts w:hint="eastAsia"/>
          <w:i w:val="0"/>
          <w:iCs w:val="0"/>
          <w:szCs w:val="28"/>
        </w:rPr>
        <w:t>污水站污泥</w:t>
      </w:r>
      <w:r>
        <w:rPr>
          <w:rFonts w:hint="eastAsia"/>
          <w:i w:val="0"/>
          <w:iCs w:val="0"/>
          <w:szCs w:val="28"/>
          <w:lang w:eastAsia="zh-CN"/>
        </w:rPr>
        <w:t>送至白山绿能新能源有限公司处置</w:t>
      </w:r>
      <w:r>
        <w:rPr>
          <w:rFonts w:hint="eastAsia"/>
          <w:i w:val="0"/>
          <w:iCs w:val="0"/>
          <w:szCs w:val="28"/>
        </w:rPr>
        <w:t>，</w:t>
      </w:r>
      <w:r>
        <w:rPr>
          <w:rFonts w:hint="eastAsia"/>
          <w:i w:val="0"/>
          <w:iCs w:val="0"/>
          <w:szCs w:val="28"/>
          <w:lang w:eastAsia="zh-CN"/>
        </w:rPr>
        <w:t>废机油</w:t>
      </w:r>
      <w:r>
        <w:rPr>
          <w:rFonts w:hint="eastAsia" w:ascii="Times New Roman" w:hAnsi="Times New Roman" w:eastAsia="宋体" w:cs="Times New Roman"/>
          <w:i w:val="0"/>
          <w:iCs w:val="0"/>
          <w:lang w:val="en-US" w:eastAsia="zh-CN"/>
        </w:rPr>
        <w:t>及废机油桶</w:t>
      </w:r>
      <w:r>
        <w:rPr>
          <w:rFonts w:hint="eastAsia"/>
          <w:i w:val="0"/>
          <w:iCs w:val="0"/>
          <w:szCs w:val="28"/>
          <w:lang w:eastAsia="zh-CN"/>
        </w:rPr>
        <w:t>、</w:t>
      </w:r>
      <w:r>
        <w:rPr>
          <w:rFonts w:hint="eastAsia"/>
          <w:i w:val="0"/>
          <w:iCs w:val="0"/>
          <w:szCs w:val="28"/>
        </w:rPr>
        <w:t>废活性炭</w:t>
      </w:r>
      <w:r>
        <w:rPr>
          <w:rFonts w:hint="eastAsia"/>
          <w:i w:val="0"/>
          <w:iCs w:val="0"/>
          <w:lang w:eastAsia="zh-CN"/>
        </w:rPr>
        <w:t>、实验废液及废包装瓶</w:t>
      </w:r>
      <w:r>
        <w:rPr>
          <w:rFonts w:hint="eastAsia"/>
          <w:i w:val="0"/>
          <w:iCs w:val="0"/>
          <w:szCs w:val="28"/>
        </w:rPr>
        <w:t>委托有资质单位处理。</w:t>
      </w:r>
    </w:p>
    <w:p>
      <w:pPr>
        <w:spacing w:line="360" w:lineRule="auto"/>
        <w:ind w:firstLine="480" w:firstLineChars="200"/>
        <w:rPr>
          <w:rFonts w:hint="eastAsia"/>
          <w:i w:val="0"/>
          <w:iCs w:val="0"/>
        </w:rPr>
      </w:pPr>
      <w:r>
        <w:rPr>
          <w:rFonts w:hint="eastAsia"/>
          <w:i w:val="0"/>
          <w:iCs w:val="0"/>
        </w:rPr>
        <w:t>5、地下水及土壤</w:t>
      </w:r>
    </w:p>
    <w:p>
      <w:pPr>
        <w:spacing w:line="360" w:lineRule="auto"/>
        <w:ind w:firstLine="480" w:firstLineChars="200"/>
        <w:rPr>
          <w:rFonts w:hint="eastAsia"/>
          <w:i/>
          <w:iCs/>
          <w:u w:val="single"/>
        </w:rPr>
      </w:pPr>
      <w:r>
        <w:rPr>
          <w:rFonts w:hint="eastAsia"/>
          <w:i/>
          <w:iCs/>
          <w:u w:val="single"/>
        </w:rPr>
        <w:t>本项目污水站、危品库等为重点污染防治区，防渗层的防渗性能应等效于6.0m厚渗透系数为1.0×10</w:t>
      </w:r>
      <w:r>
        <w:rPr>
          <w:rFonts w:hint="eastAsia"/>
          <w:i/>
          <w:iCs/>
          <w:u w:val="single"/>
          <w:vertAlign w:val="superscript"/>
        </w:rPr>
        <w:t>-7</w:t>
      </w:r>
      <w:r>
        <w:rPr>
          <w:rFonts w:hint="eastAsia"/>
          <w:i/>
          <w:iCs/>
          <w:u w:val="single"/>
        </w:rPr>
        <w:t>cm/s的黏土层的防渗性能。生产车间及综合库等为一般污染防治区，防渗层的防渗性能应等效于1.5m厚渗透系数为1.0×10</w:t>
      </w:r>
      <w:r>
        <w:rPr>
          <w:rFonts w:hint="eastAsia"/>
          <w:i/>
          <w:iCs/>
          <w:u w:val="single"/>
          <w:vertAlign w:val="superscript"/>
        </w:rPr>
        <w:t>-7</w:t>
      </w:r>
      <w:r>
        <w:rPr>
          <w:rFonts w:hint="eastAsia"/>
          <w:i/>
          <w:iCs/>
          <w:u w:val="single"/>
        </w:rPr>
        <w:t>cm/s 的黏土层的防渗性能。厂区道路及办公区为简单污染防治区。本项目运行过程及时收集地面上的污染物并定期集中处理、制定地下水跟踪监测计划、合理布置地下水跟踪监测井等。</w:t>
      </w:r>
    </w:p>
    <w:p>
      <w:pPr>
        <w:spacing w:line="360" w:lineRule="auto"/>
        <w:ind w:firstLine="480" w:firstLineChars="200"/>
        <w:rPr>
          <w:i w:val="0"/>
          <w:iCs w:val="0"/>
        </w:rPr>
      </w:pPr>
      <w:r>
        <w:rPr>
          <w:rFonts w:hint="eastAsia"/>
          <w:i w:val="0"/>
          <w:iCs w:val="0"/>
        </w:rPr>
        <w:t>6、环境风险</w:t>
      </w:r>
    </w:p>
    <w:p>
      <w:pPr>
        <w:spacing w:line="360" w:lineRule="auto"/>
        <w:ind w:firstLine="480" w:firstLineChars="200"/>
        <w:rPr>
          <w:rFonts w:hint="eastAsia"/>
          <w:i w:val="0"/>
          <w:iCs w:val="0"/>
        </w:rPr>
      </w:pPr>
      <w:r>
        <w:rPr>
          <w:rFonts w:hint="eastAsia"/>
          <w:i w:val="0"/>
          <w:iCs w:val="0"/>
        </w:rPr>
        <w:t>项目主要环境风险事故是</w:t>
      </w:r>
      <w:r>
        <w:rPr>
          <w:rFonts w:hint="eastAsia"/>
          <w:i w:val="0"/>
          <w:iCs w:val="0"/>
          <w:lang w:val="en-US" w:eastAsia="zh-CN"/>
        </w:rPr>
        <w:t>污水站管道泄漏、</w:t>
      </w:r>
      <w:r>
        <w:rPr>
          <w:rFonts w:hint="eastAsia"/>
          <w:i w:val="0"/>
          <w:iCs w:val="0"/>
          <w:lang w:eastAsia="zh-CN"/>
        </w:rPr>
        <w:t>乙醇储罐、</w:t>
      </w:r>
      <w:r>
        <w:rPr>
          <w:rFonts w:hint="eastAsia"/>
          <w:i w:val="0"/>
          <w:iCs w:val="0"/>
        </w:rPr>
        <w:t>氨水储罐泄露事故，产生次生环境污染。制定环境风险应急预案，配备足够的应急物资，并定期开展演练等，可将环境风险事故降至最低；及时修编环境风险应急预案，并到生态环境主管部门及有关部门备案，同时开展经常性演练等。其他环境风险防范措施与地下水、土壤相同。</w:t>
      </w:r>
    </w:p>
    <w:p>
      <w:pPr>
        <w:spacing w:line="360" w:lineRule="auto"/>
        <w:ind w:firstLine="562" w:firstLineChars="200"/>
        <w:rPr>
          <w:b/>
          <w:i w:val="0"/>
          <w:iCs w:val="0"/>
          <w:sz w:val="28"/>
          <w:szCs w:val="28"/>
        </w:rPr>
      </w:pPr>
      <w:r>
        <w:rPr>
          <w:rFonts w:hint="eastAsia"/>
          <w:b/>
          <w:i w:val="0"/>
          <w:iCs w:val="0"/>
          <w:sz w:val="28"/>
          <w:szCs w:val="28"/>
        </w:rPr>
        <w:t>1.6</w:t>
      </w:r>
      <w:r>
        <w:rPr>
          <w:b/>
          <w:i w:val="0"/>
          <w:iCs w:val="0"/>
          <w:sz w:val="28"/>
          <w:szCs w:val="28"/>
        </w:rPr>
        <w:t>环境影响评价主要结论</w:t>
      </w:r>
      <w:bookmarkEnd w:id="24"/>
      <w:bookmarkEnd w:id="25"/>
      <w:bookmarkEnd w:id="26"/>
    </w:p>
    <w:p>
      <w:pPr>
        <w:spacing w:line="360" w:lineRule="auto"/>
        <w:ind w:firstLine="480" w:firstLineChars="200"/>
        <w:rPr>
          <w:i w:val="0"/>
          <w:iCs w:val="0"/>
        </w:rPr>
      </w:pPr>
      <w:r>
        <w:rPr>
          <w:i w:val="0"/>
          <w:iCs w:val="0"/>
        </w:rPr>
        <w:t>项目生产采用的生产工艺和设备，符合清洁生产要求，项目主要废气污染物经相应处理后可满足达标排放要求，</w:t>
      </w:r>
      <w:r>
        <w:rPr>
          <w:rFonts w:hint="eastAsia"/>
          <w:i w:val="0"/>
          <w:iCs w:val="0"/>
        </w:rPr>
        <w:t>项目生产废水、生活污水由厂区自建废水处理站处理达到《污水综合排放标准》GB8978-1996表2三级标准排放限值及园区污水处理厂进水指标后排入污水管网内，进入园区污水处理厂处理后排放</w:t>
      </w:r>
      <w:r>
        <w:rPr>
          <w:i w:val="0"/>
          <w:iCs w:val="0"/>
        </w:rPr>
        <w:t>；项目采取有效的污染防治措施，污染物可达标排放。影响预测结果表明，项目建设对评价区的水、气、声等环境影响较小，不会降低项目所在地的环境质量等级</w:t>
      </w:r>
      <w:r>
        <w:rPr>
          <w:rFonts w:hint="eastAsia"/>
          <w:i w:val="0"/>
          <w:iCs w:val="0"/>
        </w:rPr>
        <w:t>，</w:t>
      </w:r>
      <w:r>
        <w:rPr>
          <w:i w:val="0"/>
          <w:iCs w:val="0"/>
        </w:rPr>
        <w:t>同时项目建设取得了周边公众的支持和理解。</w:t>
      </w:r>
    </w:p>
    <w:p>
      <w:pPr>
        <w:spacing w:line="360" w:lineRule="auto"/>
        <w:ind w:firstLine="480" w:firstLineChars="200"/>
        <w:rPr>
          <w:i w:val="0"/>
          <w:iCs w:val="0"/>
        </w:rPr>
      </w:pPr>
      <w:r>
        <w:rPr>
          <w:i w:val="0"/>
          <w:iCs w:val="0"/>
        </w:rPr>
        <w:t>在落实各项环保措施要求，严格执行环保</w:t>
      </w:r>
      <w:r>
        <w:rPr>
          <w:rFonts w:hint="eastAsia"/>
          <w:i w:val="0"/>
          <w:iCs w:val="0"/>
        </w:rPr>
        <w:t>“</w:t>
      </w:r>
      <w:r>
        <w:rPr>
          <w:i w:val="0"/>
          <w:iCs w:val="0"/>
        </w:rPr>
        <w:t>三同时</w:t>
      </w:r>
      <w:r>
        <w:rPr>
          <w:rFonts w:hint="eastAsia"/>
          <w:i w:val="0"/>
          <w:iCs w:val="0"/>
        </w:rPr>
        <w:t>”</w:t>
      </w:r>
      <w:r>
        <w:rPr>
          <w:i w:val="0"/>
          <w:iCs w:val="0"/>
        </w:rPr>
        <w:t>的前提下，从环保角度分析，本项目建设具有环境可行性。</w:t>
      </w:r>
    </w:p>
    <w:p>
      <w:pPr>
        <w:spacing w:line="360" w:lineRule="auto"/>
        <w:rPr>
          <w:i w:val="0"/>
          <w:iCs w:val="0"/>
        </w:rPr>
        <w:sectPr>
          <w:pgSz w:w="11907" w:h="16840"/>
          <w:pgMar w:top="1304" w:right="1418" w:bottom="1304" w:left="1418"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
        <w:spacing w:before="120" w:after="360" w:line="360" w:lineRule="auto"/>
        <w:jc w:val="center"/>
        <w:rPr>
          <w:i w:val="0"/>
          <w:iCs w:val="0"/>
          <w:sz w:val="36"/>
        </w:rPr>
      </w:pPr>
      <w:bookmarkStart w:id="27" w:name="_Toc30095"/>
      <w:r>
        <w:rPr>
          <w:i w:val="0"/>
          <w:iCs w:val="0"/>
          <w:sz w:val="36"/>
        </w:rPr>
        <w:t>第</w:t>
      </w:r>
      <w:r>
        <w:rPr>
          <w:rFonts w:hint="eastAsia"/>
          <w:i w:val="0"/>
          <w:iCs w:val="0"/>
          <w:sz w:val="36"/>
        </w:rPr>
        <w:t>二</w:t>
      </w:r>
      <w:r>
        <w:rPr>
          <w:i w:val="0"/>
          <w:iCs w:val="0"/>
          <w:sz w:val="36"/>
        </w:rPr>
        <w:t>章总论</w:t>
      </w:r>
      <w:bookmarkEnd w:id="27"/>
    </w:p>
    <w:p>
      <w:pPr>
        <w:pStyle w:val="4"/>
        <w:rPr>
          <w:rFonts w:ascii="Times New Roman" w:hAnsi="Times New Roman" w:eastAsia="宋体"/>
          <w:b/>
          <w:i w:val="0"/>
          <w:iCs w:val="0"/>
          <w:sz w:val="28"/>
          <w:szCs w:val="28"/>
        </w:rPr>
      </w:pPr>
      <w:bookmarkStart w:id="28" w:name="_Toc4600"/>
      <w:r>
        <w:rPr>
          <w:rFonts w:hint="eastAsia" w:ascii="Times New Roman" w:hAnsi="Times New Roman" w:eastAsia="宋体"/>
          <w:b/>
          <w:i w:val="0"/>
          <w:iCs w:val="0"/>
          <w:sz w:val="28"/>
          <w:szCs w:val="28"/>
        </w:rPr>
        <w:t>2</w:t>
      </w:r>
      <w:r>
        <w:rPr>
          <w:rFonts w:ascii="Times New Roman" w:hAnsi="Times New Roman" w:eastAsia="宋体"/>
          <w:b/>
          <w:i w:val="0"/>
          <w:iCs w:val="0"/>
          <w:sz w:val="28"/>
          <w:szCs w:val="28"/>
        </w:rPr>
        <w:t>.1编制依据</w:t>
      </w:r>
      <w:bookmarkEnd w:id="28"/>
    </w:p>
    <w:p>
      <w:pPr>
        <w:pStyle w:val="26"/>
        <w:spacing w:line="360" w:lineRule="auto"/>
        <w:ind w:firstLine="482"/>
        <w:rPr>
          <w:rFonts w:ascii="Times New Roman" w:hAnsi="Times New Roman"/>
          <w:b/>
          <w:bCs/>
          <w:i w:val="0"/>
          <w:iCs w:val="0"/>
        </w:rPr>
      </w:pPr>
      <w:r>
        <w:rPr>
          <w:rFonts w:hint="eastAsia" w:ascii="Times New Roman" w:hAnsi="Times New Roman"/>
          <w:b/>
          <w:bCs/>
          <w:i w:val="0"/>
          <w:iCs w:val="0"/>
        </w:rPr>
        <w:t>2</w:t>
      </w:r>
      <w:r>
        <w:rPr>
          <w:rFonts w:ascii="Times New Roman" w:hAnsi="Times New Roman"/>
          <w:b/>
          <w:bCs/>
          <w:i w:val="0"/>
          <w:iCs w:val="0"/>
        </w:rPr>
        <w:t>.1.1法律、法规及国务院规范性文件</w:t>
      </w:r>
    </w:p>
    <w:p>
      <w:pPr>
        <w:spacing w:line="360" w:lineRule="auto"/>
        <w:ind w:firstLine="480" w:firstLineChars="200"/>
        <w:rPr>
          <w:i w:val="0"/>
          <w:iCs w:val="0"/>
        </w:rPr>
      </w:pPr>
      <w:r>
        <w:rPr>
          <w:i w:val="0"/>
          <w:iCs w:val="0"/>
        </w:rPr>
        <w:t>1、《中华人民共和国环境保护法》（2014年4月24日修订，2015年1月1日实施）；</w:t>
      </w:r>
    </w:p>
    <w:p>
      <w:pPr>
        <w:spacing w:line="360" w:lineRule="auto"/>
        <w:ind w:firstLine="480" w:firstLineChars="200"/>
        <w:rPr>
          <w:i w:val="0"/>
          <w:iCs w:val="0"/>
        </w:rPr>
      </w:pPr>
      <w:r>
        <w:rPr>
          <w:i w:val="0"/>
          <w:iCs w:val="0"/>
        </w:rPr>
        <w:t>2、《中华人民共和国环境影响评价法》（2018年修正，2018年12月29日起施行）；</w:t>
      </w:r>
    </w:p>
    <w:p>
      <w:pPr>
        <w:spacing w:line="360" w:lineRule="auto"/>
        <w:ind w:firstLine="480" w:firstLineChars="200"/>
        <w:rPr>
          <w:i w:val="0"/>
          <w:iCs w:val="0"/>
        </w:rPr>
      </w:pPr>
      <w:r>
        <w:rPr>
          <w:i w:val="0"/>
          <w:iCs w:val="0"/>
        </w:rPr>
        <w:t>3、《中华人民共和国大气污染防治法》（2018年修正，2018年10月26日起施行）；</w:t>
      </w:r>
    </w:p>
    <w:p>
      <w:pPr>
        <w:spacing w:line="360" w:lineRule="auto"/>
        <w:ind w:firstLine="480" w:firstLineChars="200"/>
        <w:rPr>
          <w:i w:val="0"/>
          <w:iCs w:val="0"/>
        </w:rPr>
      </w:pPr>
      <w:r>
        <w:rPr>
          <w:i w:val="0"/>
          <w:iCs w:val="0"/>
        </w:rPr>
        <w:t>4、《中华人民共和国水污染防治法》</w:t>
      </w:r>
      <w:r>
        <w:rPr>
          <w:rFonts w:hint="eastAsia"/>
          <w:i w:val="0"/>
          <w:iCs w:val="0"/>
        </w:rPr>
        <w:t>（</w:t>
      </w:r>
      <w:r>
        <w:rPr>
          <w:i w:val="0"/>
          <w:iCs w:val="0"/>
        </w:rPr>
        <w:t>2017年6月第二次修正，2018年1月1日起施行</w:t>
      </w:r>
      <w:r>
        <w:rPr>
          <w:rFonts w:hint="eastAsia"/>
          <w:i w:val="0"/>
          <w:iCs w:val="0"/>
        </w:rPr>
        <w:t>）</w:t>
      </w:r>
      <w:r>
        <w:rPr>
          <w:i w:val="0"/>
          <w:iCs w:val="0"/>
        </w:rPr>
        <w:t>；</w:t>
      </w:r>
    </w:p>
    <w:p>
      <w:pPr>
        <w:spacing w:line="360" w:lineRule="auto"/>
        <w:ind w:firstLine="480" w:firstLineChars="200"/>
        <w:rPr>
          <w:i w:val="0"/>
          <w:iCs w:val="0"/>
        </w:rPr>
      </w:pPr>
      <w:r>
        <w:rPr>
          <w:rFonts w:hint="eastAsia"/>
          <w:i w:val="0"/>
          <w:iCs w:val="0"/>
        </w:rPr>
        <w:t>5、</w:t>
      </w:r>
      <w:r>
        <w:rPr>
          <w:i w:val="0"/>
          <w:iCs w:val="0"/>
        </w:rPr>
        <w:t>《中华人民共和国土壤污染防治法》</w:t>
      </w:r>
      <w:r>
        <w:rPr>
          <w:rFonts w:hint="eastAsia"/>
          <w:i w:val="0"/>
          <w:iCs w:val="0"/>
        </w:rPr>
        <w:t>（</w:t>
      </w:r>
      <w:r>
        <w:rPr>
          <w:i w:val="0"/>
          <w:iCs w:val="0"/>
        </w:rPr>
        <w:t>2019年1月1日起施行</w:t>
      </w:r>
      <w:r>
        <w:rPr>
          <w:rFonts w:hint="eastAsia"/>
          <w:i w:val="0"/>
          <w:iCs w:val="0"/>
        </w:rPr>
        <w:t>）；</w:t>
      </w:r>
    </w:p>
    <w:p>
      <w:pPr>
        <w:shd w:val="clear" w:color="auto" w:fill="FFFFFF"/>
        <w:spacing w:line="360" w:lineRule="auto"/>
        <w:ind w:firstLine="482"/>
        <w:rPr>
          <w:i w:val="0"/>
          <w:iCs w:val="0"/>
          <w:kern w:val="0"/>
        </w:rPr>
      </w:pPr>
      <w:r>
        <w:rPr>
          <w:rFonts w:hint="eastAsia"/>
          <w:i w:val="0"/>
          <w:iCs w:val="0"/>
        </w:rPr>
        <w:t>6</w:t>
      </w:r>
      <w:r>
        <w:rPr>
          <w:i w:val="0"/>
          <w:iCs w:val="0"/>
        </w:rPr>
        <w:t>、《中华人民共和国环境噪声</w:t>
      </w:r>
      <w:r>
        <w:rPr>
          <w:rFonts w:hint="eastAsia"/>
          <w:i w:val="0"/>
          <w:iCs w:val="0"/>
        </w:rPr>
        <w:t>污染</w:t>
      </w:r>
      <w:r>
        <w:rPr>
          <w:i w:val="0"/>
          <w:iCs w:val="0"/>
        </w:rPr>
        <w:t>防治法》（</w:t>
      </w:r>
      <w:r>
        <w:rPr>
          <w:rFonts w:hint="eastAsia"/>
          <w:i w:val="0"/>
          <w:iCs w:val="0"/>
        </w:rPr>
        <w:t>2022年6月5日起施行</w:t>
      </w:r>
      <w:r>
        <w:rPr>
          <w:i w:val="0"/>
          <w:iCs w:val="0"/>
        </w:rPr>
        <w:t>）；</w:t>
      </w:r>
    </w:p>
    <w:p>
      <w:pPr>
        <w:spacing w:line="360" w:lineRule="auto"/>
        <w:ind w:firstLine="480" w:firstLineChars="200"/>
        <w:rPr>
          <w:i w:val="0"/>
          <w:iCs w:val="0"/>
        </w:rPr>
      </w:pPr>
      <w:r>
        <w:rPr>
          <w:rFonts w:hint="eastAsia"/>
          <w:i w:val="0"/>
          <w:iCs w:val="0"/>
        </w:rPr>
        <w:t>7</w:t>
      </w:r>
      <w:r>
        <w:rPr>
          <w:i w:val="0"/>
          <w:iCs w:val="0"/>
        </w:rPr>
        <w:t>、《中华人民共和国固体废物污染环境防治法》</w:t>
      </w:r>
      <w:r>
        <w:rPr>
          <w:rFonts w:hint="eastAsia"/>
          <w:i w:val="0"/>
          <w:iCs w:val="0"/>
        </w:rPr>
        <w:t>（</w:t>
      </w:r>
      <w:r>
        <w:rPr>
          <w:i w:val="0"/>
          <w:iCs w:val="0"/>
        </w:rPr>
        <w:t>20</w:t>
      </w:r>
      <w:r>
        <w:rPr>
          <w:rFonts w:hint="eastAsia"/>
          <w:i w:val="0"/>
          <w:iCs w:val="0"/>
        </w:rPr>
        <w:t>20</w:t>
      </w:r>
      <w:r>
        <w:rPr>
          <w:i w:val="0"/>
          <w:iCs w:val="0"/>
        </w:rPr>
        <w:t>年</w:t>
      </w:r>
      <w:r>
        <w:rPr>
          <w:rFonts w:hint="eastAsia"/>
          <w:i w:val="0"/>
          <w:iCs w:val="0"/>
        </w:rPr>
        <w:t>4</w:t>
      </w:r>
      <w:r>
        <w:rPr>
          <w:i w:val="0"/>
          <w:iCs w:val="0"/>
        </w:rPr>
        <w:t>月</w:t>
      </w:r>
      <w:r>
        <w:rPr>
          <w:rFonts w:hint="eastAsia"/>
          <w:i w:val="0"/>
          <w:iCs w:val="0"/>
        </w:rPr>
        <w:t>29</w:t>
      </w:r>
      <w:r>
        <w:rPr>
          <w:i w:val="0"/>
          <w:iCs w:val="0"/>
        </w:rPr>
        <w:t>日修正</w:t>
      </w:r>
      <w:r>
        <w:rPr>
          <w:rFonts w:hint="eastAsia"/>
          <w:i w:val="0"/>
          <w:iCs w:val="0"/>
        </w:rPr>
        <w:t>2020年9月1日施行）</w:t>
      </w:r>
      <w:r>
        <w:rPr>
          <w:i w:val="0"/>
          <w:iCs w:val="0"/>
        </w:rPr>
        <w:t>；</w:t>
      </w:r>
    </w:p>
    <w:p>
      <w:pPr>
        <w:spacing w:line="360" w:lineRule="auto"/>
        <w:ind w:firstLine="480" w:firstLineChars="200"/>
        <w:rPr>
          <w:i w:val="0"/>
          <w:iCs w:val="0"/>
        </w:rPr>
      </w:pPr>
      <w:r>
        <w:rPr>
          <w:i w:val="0"/>
          <w:iCs w:val="0"/>
        </w:rPr>
        <w:t>8、《中华人民共和国循环经济促进法》（2018年修订，2018年10月26日起施行）；</w:t>
      </w:r>
    </w:p>
    <w:p>
      <w:pPr>
        <w:spacing w:line="360" w:lineRule="auto"/>
        <w:ind w:firstLine="480" w:firstLineChars="200"/>
        <w:rPr>
          <w:i w:val="0"/>
          <w:iCs w:val="0"/>
        </w:rPr>
      </w:pPr>
      <w:r>
        <w:rPr>
          <w:i w:val="0"/>
          <w:iCs w:val="0"/>
        </w:rPr>
        <w:t>9、《建设项目环境保护管理条例》，国务院第683号令，2017年6月21日通过，2017年10月1日施行；</w:t>
      </w:r>
    </w:p>
    <w:p>
      <w:pPr>
        <w:spacing w:line="360" w:lineRule="auto"/>
        <w:ind w:firstLine="480" w:firstLineChars="200"/>
        <w:rPr>
          <w:rFonts w:hint="eastAsia"/>
          <w:bCs/>
          <w:i w:val="0"/>
          <w:iCs w:val="0"/>
        </w:rPr>
      </w:pPr>
      <w:r>
        <w:rPr>
          <w:bCs/>
          <w:i w:val="0"/>
          <w:iCs w:val="0"/>
        </w:rPr>
        <w:t>10、</w:t>
      </w:r>
      <w:r>
        <w:rPr>
          <w:rFonts w:hint="eastAsia"/>
          <w:i w:val="0"/>
          <w:iCs w:val="0"/>
        </w:rPr>
        <w:t>《建设项目环境影响评价分类管理名录》（2021年版）</w:t>
      </w:r>
      <w:r>
        <w:rPr>
          <w:bCs/>
          <w:i w:val="0"/>
          <w:iCs w:val="0"/>
        </w:rPr>
        <w:t>；</w:t>
      </w:r>
    </w:p>
    <w:p>
      <w:pPr>
        <w:spacing w:line="360" w:lineRule="auto"/>
        <w:ind w:firstLine="480" w:firstLineChars="200"/>
        <w:rPr>
          <w:bCs/>
          <w:i w:val="0"/>
          <w:iCs w:val="0"/>
        </w:rPr>
      </w:pPr>
      <w:r>
        <w:rPr>
          <w:bCs/>
          <w:i w:val="0"/>
          <w:iCs w:val="0"/>
        </w:rPr>
        <w:t>1</w:t>
      </w:r>
      <w:r>
        <w:rPr>
          <w:rFonts w:hint="eastAsia"/>
          <w:bCs/>
          <w:i w:val="0"/>
          <w:iCs w:val="0"/>
        </w:rPr>
        <w:t>1</w:t>
      </w:r>
      <w:r>
        <w:rPr>
          <w:bCs/>
          <w:i w:val="0"/>
          <w:iCs w:val="0"/>
        </w:rPr>
        <w:t>、《国务院关于印发水污染防治行动计划的通知》（国发〔2015〕17号）；</w:t>
      </w:r>
    </w:p>
    <w:p>
      <w:pPr>
        <w:spacing w:line="360" w:lineRule="auto"/>
        <w:ind w:firstLine="480" w:firstLineChars="200"/>
        <w:rPr>
          <w:i w:val="0"/>
          <w:iCs w:val="0"/>
        </w:rPr>
      </w:pPr>
      <w:r>
        <w:rPr>
          <w:bCs/>
          <w:i w:val="0"/>
          <w:iCs w:val="0"/>
        </w:rPr>
        <w:t>1</w:t>
      </w:r>
      <w:r>
        <w:rPr>
          <w:rFonts w:hint="eastAsia"/>
          <w:bCs/>
          <w:i w:val="0"/>
          <w:iCs w:val="0"/>
        </w:rPr>
        <w:t>2</w:t>
      </w:r>
      <w:r>
        <w:rPr>
          <w:bCs/>
          <w:i w:val="0"/>
          <w:iCs w:val="0"/>
        </w:rPr>
        <w:t>、《国务院关于印发土壤污染防治行动计划的通知》（</w:t>
      </w:r>
      <w:r>
        <w:rPr>
          <w:i w:val="0"/>
          <w:iCs w:val="0"/>
        </w:rPr>
        <w:t>国发[2016]31号）；</w:t>
      </w:r>
    </w:p>
    <w:p>
      <w:pPr>
        <w:spacing w:line="360" w:lineRule="auto"/>
        <w:ind w:firstLine="480" w:firstLineChars="200"/>
        <w:rPr>
          <w:i w:val="0"/>
          <w:iCs w:val="0"/>
        </w:rPr>
      </w:pPr>
      <w:r>
        <w:rPr>
          <w:i w:val="0"/>
          <w:iCs w:val="0"/>
        </w:rPr>
        <w:t>1</w:t>
      </w:r>
      <w:r>
        <w:rPr>
          <w:rFonts w:hint="eastAsia"/>
          <w:i w:val="0"/>
          <w:iCs w:val="0"/>
        </w:rPr>
        <w:t>3</w:t>
      </w:r>
      <w:r>
        <w:rPr>
          <w:i w:val="0"/>
          <w:iCs w:val="0"/>
        </w:rPr>
        <w:t>、《</w:t>
      </w:r>
      <w:r>
        <w:rPr>
          <w:bCs/>
          <w:i w:val="0"/>
          <w:iCs w:val="0"/>
        </w:rPr>
        <w:t>国务院办公厅关于印发控制污染物排放许可制实施方案的通知》（</w:t>
      </w:r>
      <w:r>
        <w:rPr>
          <w:i w:val="0"/>
          <w:iCs w:val="0"/>
        </w:rPr>
        <w:t>国办发〔2016〕81号）；</w:t>
      </w:r>
    </w:p>
    <w:p>
      <w:pPr>
        <w:spacing w:line="360" w:lineRule="auto"/>
        <w:ind w:firstLine="480" w:firstLineChars="200"/>
        <w:rPr>
          <w:i w:val="0"/>
          <w:iCs w:val="0"/>
        </w:rPr>
      </w:pPr>
      <w:r>
        <w:rPr>
          <w:i w:val="0"/>
          <w:iCs w:val="0"/>
        </w:rPr>
        <w:t>1</w:t>
      </w:r>
      <w:r>
        <w:rPr>
          <w:rFonts w:hint="eastAsia"/>
          <w:i w:val="0"/>
          <w:iCs w:val="0"/>
        </w:rPr>
        <w:t>4</w:t>
      </w:r>
      <w:r>
        <w:rPr>
          <w:i w:val="0"/>
          <w:iCs w:val="0"/>
        </w:rPr>
        <w:t>、《中华人民共和国节约能源法》，2016年7月2日修订</w:t>
      </w:r>
      <w:r>
        <w:rPr>
          <w:rFonts w:hint="eastAsia"/>
          <w:i w:val="0"/>
          <w:iCs w:val="0"/>
        </w:rPr>
        <w:t>。</w:t>
      </w:r>
    </w:p>
    <w:p>
      <w:pPr>
        <w:spacing w:line="360" w:lineRule="auto"/>
        <w:ind w:firstLine="482" w:firstLineChars="200"/>
        <w:rPr>
          <w:b/>
          <w:bCs/>
          <w:i w:val="0"/>
          <w:iCs w:val="0"/>
        </w:rPr>
      </w:pPr>
      <w:r>
        <w:rPr>
          <w:b/>
          <w:bCs/>
          <w:i w:val="0"/>
          <w:iCs w:val="0"/>
        </w:rPr>
        <w:t>2.1.2部门规章及规范性文件</w:t>
      </w:r>
    </w:p>
    <w:p>
      <w:pPr>
        <w:spacing w:line="360" w:lineRule="auto"/>
        <w:ind w:firstLine="480" w:firstLineChars="200"/>
        <w:rPr>
          <w:i w:val="0"/>
          <w:iCs w:val="0"/>
        </w:rPr>
      </w:pPr>
      <w:r>
        <w:rPr>
          <w:i w:val="0"/>
          <w:iCs w:val="0"/>
        </w:rPr>
        <w:t>1、《关于以改善环境质量为核心加强环境影响评价管理的通知》（环环评[2016]150号）；</w:t>
      </w:r>
    </w:p>
    <w:p>
      <w:pPr>
        <w:pStyle w:val="26"/>
        <w:spacing w:line="360" w:lineRule="auto"/>
        <w:rPr>
          <w:i w:val="0"/>
          <w:iCs w:val="0"/>
          <w:shd w:val="clear" w:color="auto" w:fill="FFFFFF"/>
        </w:rPr>
      </w:pPr>
      <w:r>
        <w:rPr>
          <w:rFonts w:ascii="Times New Roman" w:hAnsi="Times New Roman"/>
          <w:i w:val="0"/>
          <w:iCs w:val="0"/>
        </w:rPr>
        <w:t>2、《产业结构调整指导目录》（20</w:t>
      </w:r>
      <w:r>
        <w:rPr>
          <w:rFonts w:hint="eastAsia" w:ascii="Times New Roman" w:hAnsi="Times New Roman"/>
          <w:i w:val="0"/>
          <w:iCs w:val="0"/>
        </w:rPr>
        <w:t>24</w:t>
      </w:r>
      <w:r>
        <w:rPr>
          <w:rFonts w:ascii="Times New Roman" w:hAnsi="Times New Roman"/>
          <w:i w:val="0"/>
          <w:iCs w:val="0"/>
        </w:rPr>
        <w:t>年本）；</w:t>
      </w:r>
    </w:p>
    <w:p>
      <w:pPr>
        <w:pStyle w:val="354"/>
        <w:ind w:firstLine="480"/>
        <w:rPr>
          <w:i w:val="0"/>
          <w:iCs w:val="0"/>
          <w:szCs w:val="24"/>
        </w:rPr>
      </w:pPr>
      <w:r>
        <w:rPr>
          <w:rFonts w:hint="eastAsia"/>
          <w:i w:val="0"/>
          <w:iCs w:val="0"/>
          <w:szCs w:val="24"/>
        </w:rPr>
        <w:t>3、</w:t>
      </w:r>
      <w:r>
        <w:rPr>
          <w:i w:val="0"/>
          <w:iCs w:val="0"/>
          <w:szCs w:val="24"/>
        </w:rPr>
        <w:t>《关于印发《企业事业单位突发环境事件应急预案备案管理办法（试行）》的通知》（环发[2014]4号，2015年1月8日）。</w:t>
      </w:r>
    </w:p>
    <w:p>
      <w:pPr>
        <w:spacing w:line="360" w:lineRule="auto"/>
        <w:ind w:firstLine="480" w:firstLineChars="200"/>
        <w:jc w:val="left"/>
        <w:rPr>
          <w:i w:val="0"/>
          <w:iCs w:val="0"/>
        </w:rPr>
      </w:pPr>
      <w:r>
        <w:rPr>
          <w:rFonts w:hint="eastAsia"/>
          <w:i w:val="0"/>
          <w:iCs w:val="0"/>
        </w:rPr>
        <w:t>4</w:t>
      </w:r>
      <w:r>
        <w:rPr>
          <w:i w:val="0"/>
          <w:iCs w:val="0"/>
        </w:rPr>
        <w:t>、《国家危险废物名录（2021版）》（2021年1月1日施行）；</w:t>
      </w:r>
    </w:p>
    <w:p>
      <w:pPr>
        <w:spacing w:line="360" w:lineRule="auto"/>
        <w:ind w:firstLine="480" w:firstLineChars="200"/>
        <w:rPr>
          <w:bCs/>
          <w:i w:val="0"/>
          <w:iCs w:val="0"/>
        </w:rPr>
      </w:pPr>
      <w:r>
        <w:rPr>
          <w:rFonts w:hint="eastAsia"/>
          <w:bCs/>
          <w:i w:val="0"/>
          <w:iCs w:val="0"/>
        </w:rPr>
        <w:t>5</w:t>
      </w:r>
      <w:r>
        <w:rPr>
          <w:bCs/>
          <w:i w:val="0"/>
          <w:iCs w:val="0"/>
        </w:rPr>
        <w:t>、《突发环境事件应急管理办法》（2015本、环境保护令第34号）；</w:t>
      </w:r>
    </w:p>
    <w:p>
      <w:pPr>
        <w:pStyle w:val="76"/>
        <w:spacing w:line="360" w:lineRule="auto"/>
        <w:ind w:firstLine="480"/>
        <w:rPr>
          <w:rFonts w:hint="default" w:ascii="Times New Roman" w:hAnsi="Times New Roman"/>
          <w:i w:val="0"/>
          <w:iCs w:val="0"/>
          <w:color w:val="auto"/>
          <w:sz w:val="24"/>
        </w:rPr>
      </w:pPr>
      <w:r>
        <w:rPr>
          <w:rFonts w:hint="default" w:ascii="Times New Roman" w:hAnsi="Times New Roman"/>
          <w:i w:val="0"/>
          <w:iCs w:val="0"/>
          <w:color w:val="auto"/>
          <w:sz w:val="24"/>
        </w:rPr>
        <w:t>6、《环境影响公众参与办法》（2019 年1月1日施行）；</w:t>
      </w:r>
    </w:p>
    <w:p>
      <w:pPr>
        <w:spacing w:line="360" w:lineRule="auto"/>
        <w:ind w:firstLine="480" w:firstLineChars="200"/>
        <w:jc w:val="left"/>
        <w:rPr>
          <w:i w:val="0"/>
          <w:iCs w:val="0"/>
        </w:rPr>
      </w:pPr>
      <w:r>
        <w:rPr>
          <w:rFonts w:hint="eastAsia"/>
          <w:i w:val="0"/>
          <w:iCs w:val="0"/>
        </w:rPr>
        <w:t>7</w:t>
      </w:r>
      <w:r>
        <w:rPr>
          <w:i w:val="0"/>
          <w:iCs w:val="0"/>
        </w:rPr>
        <w:t>、《建设项目危险废物环境影响评价指南》（2017年10月1日起实施）；</w:t>
      </w:r>
    </w:p>
    <w:p>
      <w:pPr>
        <w:pStyle w:val="76"/>
        <w:spacing w:line="360" w:lineRule="auto"/>
        <w:ind w:firstLine="480"/>
        <w:rPr>
          <w:rFonts w:ascii="Times New Roman" w:hAnsi="Times New Roman"/>
          <w:i w:val="0"/>
          <w:iCs w:val="0"/>
          <w:color w:val="auto"/>
          <w:sz w:val="24"/>
        </w:rPr>
      </w:pPr>
      <w:r>
        <w:rPr>
          <w:rFonts w:ascii="Times New Roman" w:hAnsi="Times New Roman"/>
          <w:i w:val="0"/>
          <w:iCs w:val="0"/>
          <w:color w:val="auto"/>
          <w:sz w:val="24"/>
        </w:rPr>
        <w:t>8、《危险废物转移管理办法》（2021年11月30日生态环境部、公安部、交通运输部令第23号公布 自2022年1月1日起施行）；</w:t>
      </w:r>
    </w:p>
    <w:p>
      <w:pPr>
        <w:spacing w:line="360" w:lineRule="auto"/>
        <w:ind w:firstLine="480" w:firstLineChars="200"/>
        <w:jc w:val="left"/>
        <w:rPr>
          <w:i w:val="0"/>
          <w:iCs w:val="0"/>
        </w:rPr>
      </w:pPr>
      <w:r>
        <w:rPr>
          <w:rFonts w:hint="eastAsia"/>
          <w:i w:val="0"/>
          <w:iCs w:val="0"/>
        </w:rPr>
        <w:t>9</w:t>
      </w:r>
      <w:r>
        <w:rPr>
          <w:i w:val="0"/>
          <w:iCs w:val="0"/>
        </w:rPr>
        <w:t>、《关于加强重点行业建设项目区域削减措施监督管理的通知》（环办环评</w:t>
      </w:r>
      <w:r>
        <w:rPr>
          <w:bCs/>
          <w:i w:val="0"/>
          <w:iCs w:val="0"/>
          <w:spacing w:val="-6"/>
        </w:rPr>
        <w:t>[</w:t>
      </w:r>
      <w:r>
        <w:rPr>
          <w:i w:val="0"/>
          <w:iCs w:val="0"/>
        </w:rPr>
        <w:t>2020</w:t>
      </w:r>
      <w:r>
        <w:rPr>
          <w:bCs/>
          <w:i w:val="0"/>
          <w:iCs w:val="0"/>
          <w:spacing w:val="-6"/>
        </w:rPr>
        <w:t>]</w:t>
      </w:r>
      <w:r>
        <w:rPr>
          <w:i w:val="0"/>
          <w:iCs w:val="0"/>
        </w:rPr>
        <w:t>36号）；</w:t>
      </w:r>
    </w:p>
    <w:p>
      <w:pPr>
        <w:spacing w:line="360" w:lineRule="auto"/>
        <w:ind w:firstLine="480" w:firstLineChars="200"/>
        <w:rPr>
          <w:bCs/>
          <w:i w:val="0"/>
          <w:iCs w:val="0"/>
        </w:rPr>
      </w:pPr>
      <w:r>
        <w:rPr>
          <w:rFonts w:hint="eastAsia"/>
          <w:bCs/>
          <w:i w:val="0"/>
          <w:iCs w:val="0"/>
        </w:rPr>
        <w:t>10</w:t>
      </w:r>
      <w:r>
        <w:rPr>
          <w:bCs/>
          <w:i w:val="0"/>
          <w:iCs w:val="0"/>
        </w:rPr>
        <w:t>、《国务院关于印发</w:t>
      </w:r>
      <w:r>
        <w:rPr>
          <w:rFonts w:hint="eastAsia"/>
          <w:bCs/>
          <w:i w:val="0"/>
          <w:iCs w:val="0"/>
        </w:rPr>
        <w:t>“十四五”生态环境保护规划</w:t>
      </w:r>
      <w:r>
        <w:rPr>
          <w:bCs/>
          <w:i w:val="0"/>
          <w:iCs w:val="0"/>
        </w:rPr>
        <w:t>的通知》国发[2016]65号；</w:t>
      </w:r>
    </w:p>
    <w:p>
      <w:pPr>
        <w:spacing w:line="360" w:lineRule="auto"/>
        <w:ind w:firstLine="480" w:firstLineChars="200"/>
        <w:rPr>
          <w:rFonts w:hint="eastAsia"/>
          <w:i w:val="0"/>
          <w:iCs w:val="0"/>
        </w:rPr>
      </w:pPr>
      <w:r>
        <w:rPr>
          <w:rFonts w:hint="eastAsia"/>
          <w:i w:val="0"/>
          <w:iCs w:val="0"/>
        </w:rPr>
        <w:t>11</w:t>
      </w:r>
      <w:r>
        <w:rPr>
          <w:i w:val="0"/>
          <w:iCs w:val="0"/>
        </w:rPr>
        <w:t>、《</w:t>
      </w:r>
      <w:r>
        <w:rPr>
          <w:bCs/>
          <w:i w:val="0"/>
          <w:iCs w:val="0"/>
        </w:rPr>
        <w:fldChar w:fldCharType="begin"/>
      </w:r>
      <w:r>
        <w:rPr>
          <w:bCs/>
          <w:i w:val="0"/>
          <w:iCs w:val="0"/>
        </w:rPr>
        <w:instrText xml:space="preserve"> HYPERLINK "http://www.waizi.org.cn/doc/30510.html" \o "环环评〔2018〕11号《环境保护部关于强化建设项目环境影响评价事中事后监管的实施意见》" \t "_blank" </w:instrText>
      </w:r>
      <w:r>
        <w:rPr>
          <w:bCs/>
          <w:i w:val="0"/>
          <w:iCs w:val="0"/>
        </w:rPr>
        <w:fldChar w:fldCharType="separate"/>
      </w:r>
      <w:r>
        <w:rPr>
          <w:i w:val="0"/>
          <w:iCs w:val="0"/>
        </w:rPr>
        <w:t>环境保护部关于强化建设项目环境影响评价事中事后监管的实施意见</w:t>
      </w:r>
      <w:r>
        <w:rPr>
          <w:bCs/>
          <w:i w:val="0"/>
          <w:iCs w:val="0"/>
        </w:rPr>
        <w:fldChar w:fldCharType="end"/>
      </w:r>
      <w:r>
        <w:rPr>
          <w:i w:val="0"/>
          <w:iCs w:val="0"/>
        </w:rPr>
        <w:t>》</w:t>
      </w:r>
      <w:r>
        <w:rPr>
          <w:bCs/>
          <w:i w:val="0"/>
          <w:iCs w:val="0"/>
        </w:rPr>
        <w:t>（环环</w:t>
      </w:r>
      <w:r>
        <w:rPr>
          <w:rFonts w:hint="eastAsia"/>
          <w:i w:val="0"/>
          <w:iCs w:val="0"/>
        </w:rPr>
        <w:t>评[2018]11号）；</w:t>
      </w:r>
    </w:p>
    <w:p>
      <w:pPr>
        <w:spacing w:line="360" w:lineRule="auto"/>
        <w:ind w:firstLine="480" w:firstLineChars="200"/>
        <w:rPr>
          <w:rFonts w:hint="eastAsia"/>
          <w:i w:val="0"/>
          <w:iCs w:val="0"/>
        </w:rPr>
      </w:pPr>
      <w:r>
        <w:rPr>
          <w:rFonts w:hint="eastAsia"/>
          <w:i w:val="0"/>
          <w:iCs w:val="0"/>
        </w:rPr>
        <w:t>12、《关于印发环境保护综合名录（2021 年版）的通知》（环办综合函〔2021〕495 号）；</w:t>
      </w:r>
    </w:p>
    <w:p>
      <w:pPr>
        <w:spacing w:line="360" w:lineRule="auto"/>
        <w:ind w:firstLine="480" w:firstLineChars="200"/>
        <w:rPr>
          <w:rFonts w:hint="eastAsia"/>
          <w:i w:val="0"/>
          <w:iCs w:val="0"/>
        </w:rPr>
      </w:pPr>
      <w:r>
        <w:rPr>
          <w:rFonts w:hint="eastAsia"/>
          <w:i w:val="0"/>
          <w:iCs w:val="0"/>
        </w:rPr>
        <w:t>13、《关于印发环境影响评价与排污许可领域协同推进碳减排工作方案的通知》（环办环评函〔2021〕277 号）；</w:t>
      </w:r>
    </w:p>
    <w:p>
      <w:pPr>
        <w:spacing w:line="360" w:lineRule="auto"/>
        <w:ind w:firstLine="480" w:firstLineChars="200"/>
        <w:jc w:val="left"/>
        <w:rPr>
          <w:b/>
          <w:bCs/>
          <w:i w:val="0"/>
          <w:iCs w:val="0"/>
        </w:rPr>
      </w:pPr>
      <w:r>
        <w:rPr>
          <w:rFonts w:hint="eastAsia"/>
          <w:i w:val="0"/>
          <w:iCs w:val="0"/>
        </w:rPr>
        <w:t>14、《排污许可证申请与核发技术规范 食品制造工业-方便食品及饲料添加剂制造工业》(HJ1030.3-2019；</w:t>
      </w:r>
    </w:p>
    <w:p>
      <w:pPr>
        <w:spacing w:line="360" w:lineRule="auto"/>
        <w:ind w:firstLine="482" w:firstLineChars="200"/>
        <w:rPr>
          <w:b/>
          <w:bCs/>
          <w:i w:val="0"/>
          <w:iCs w:val="0"/>
        </w:rPr>
      </w:pPr>
      <w:r>
        <w:rPr>
          <w:b/>
          <w:bCs/>
          <w:i w:val="0"/>
          <w:iCs w:val="0"/>
        </w:rPr>
        <w:t>2.1.</w:t>
      </w:r>
      <w:r>
        <w:rPr>
          <w:rFonts w:hint="eastAsia"/>
          <w:b/>
          <w:bCs/>
          <w:i w:val="0"/>
          <w:iCs w:val="0"/>
        </w:rPr>
        <w:t>3</w:t>
      </w:r>
      <w:r>
        <w:rPr>
          <w:b/>
          <w:bCs/>
          <w:i w:val="0"/>
          <w:iCs w:val="0"/>
        </w:rPr>
        <w:t>地方法律、法规、规范及规划等</w:t>
      </w:r>
    </w:p>
    <w:p>
      <w:pPr>
        <w:spacing w:line="360" w:lineRule="auto"/>
        <w:ind w:firstLine="480" w:firstLineChars="200"/>
        <w:jc w:val="left"/>
        <w:rPr>
          <w:i w:val="0"/>
          <w:iCs w:val="0"/>
        </w:rPr>
      </w:pPr>
      <w:r>
        <w:rPr>
          <w:i w:val="0"/>
          <w:iCs w:val="0"/>
        </w:rPr>
        <w:t>1、《吉林省</w:t>
      </w:r>
      <w:r>
        <w:rPr>
          <w:rFonts w:hint="eastAsia"/>
          <w:i w:val="0"/>
          <w:iCs w:val="0"/>
        </w:rPr>
        <w:t>生态</w:t>
      </w:r>
      <w:r>
        <w:rPr>
          <w:i w:val="0"/>
          <w:iCs w:val="0"/>
        </w:rPr>
        <w:t>环境保护条例》（</w:t>
      </w:r>
      <w:r>
        <w:rPr>
          <w:rFonts w:hint="eastAsia"/>
          <w:i w:val="0"/>
          <w:iCs w:val="0"/>
        </w:rPr>
        <w:t>2021年1月1日起</w:t>
      </w:r>
      <w:r>
        <w:rPr>
          <w:i w:val="0"/>
          <w:iCs w:val="0"/>
        </w:rPr>
        <w:t>施行）；</w:t>
      </w:r>
    </w:p>
    <w:p>
      <w:pPr>
        <w:spacing w:line="360" w:lineRule="auto"/>
        <w:ind w:firstLine="480" w:firstLineChars="200"/>
        <w:jc w:val="left"/>
        <w:rPr>
          <w:i w:val="0"/>
          <w:iCs w:val="0"/>
        </w:rPr>
      </w:pPr>
      <w:r>
        <w:rPr>
          <w:rFonts w:hint="eastAsia"/>
          <w:i w:val="0"/>
          <w:iCs w:val="0"/>
        </w:rPr>
        <w:t>2</w:t>
      </w:r>
      <w:r>
        <w:rPr>
          <w:i w:val="0"/>
          <w:iCs w:val="0"/>
        </w:rPr>
        <w:t>、《吉林省大气污染防治条例》</w:t>
      </w:r>
      <w:r>
        <w:rPr>
          <w:rFonts w:hint="eastAsia"/>
          <w:i w:val="0"/>
          <w:iCs w:val="0"/>
        </w:rPr>
        <w:t>2022年7月28日修订通过，2022年10月1日起施行；</w:t>
      </w:r>
    </w:p>
    <w:p>
      <w:pPr>
        <w:spacing w:line="360" w:lineRule="auto"/>
        <w:ind w:firstLine="480" w:firstLineChars="200"/>
        <w:jc w:val="left"/>
        <w:rPr>
          <w:i w:val="0"/>
          <w:iCs w:val="0"/>
        </w:rPr>
      </w:pPr>
      <w:r>
        <w:rPr>
          <w:rFonts w:hint="eastAsia"/>
          <w:i w:val="0"/>
          <w:iCs w:val="0"/>
        </w:rPr>
        <w:t>3</w:t>
      </w:r>
      <w:r>
        <w:rPr>
          <w:i w:val="0"/>
          <w:iCs w:val="0"/>
        </w:rPr>
        <w:t>、《吉林省人民政府关于实施“三线一单”生态环境分区管控的意见》；</w:t>
      </w:r>
    </w:p>
    <w:p>
      <w:pPr>
        <w:spacing w:line="360" w:lineRule="auto"/>
        <w:ind w:firstLine="480" w:firstLineChars="200"/>
        <w:jc w:val="left"/>
        <w:rPr>
          <w:i w:val="0"/>
          <w:iCs w:val="0"/>
        </w:rPr>
      </w:pPr>
      <w:r>
        <w:rPr>
          <w:rFonts w:hint="eastAsia"/>
          <w:i w:val="0"/>
          <w:iCs w:val="0"/>
        </w:rPr>
        <w:t>4</w:t>
      </w:r>
      <w:r>
        <w:rPr>
          <w:i w:val="0"/>
          <w:iCs w:val="0"/>
        </w:rPr>
        <w:t>、《吉林省人民政府办公厅关于印发吉林省空气、水环境、土壤环境质量巩固提升三个行动方案的通知》（吉政办发〔2021〕10号）；</w:t>
      </w:r>
    </w:p>
    <w:p>
      <w:pPr>
        <w:pStyle w:val="26"/>
        <w:spacing w:line="360" w:lineRule="auto"/>
        <w:rPr>
          <w:rFonts w:hint="eastAsia" w:ascii="Times New Roman" w:hAnsi="Times New Roman"/>
          <w:i w:val="0"/>
          <w:iCs w:val="0"/>
        </w:rPr>
      </w:pPr>
      <w:r>
        <w:rPr>
          <w:rFonts w:hint="eastAsia" w:ascii="Times New Roman" w:hAnsi="Times New Roman"/>
          <w:i w:val="0"/>
          <w:iCs w:val="0"/>
        </w:rPr>
        <w:t>5、《吉林省人民政府办公厅关于印发吉林省空气、水环境、土壤环境质量巩固提升三个行动方案的通知》（吉政办发〔2021〕10号）</w:t>
      </w:r>
    </w:p>
    <w:p>
      <w:pPr>
        <w:spacing w:line="360" w:lineRule="auto"/>
        <w:ind w:firstLine="480" w:firstLineChars="200"/>
        <w:jc w:val="left"/>
        <w:rPr>
          <w:i w:val="0"/>
          <w:iCs w:val="0"/>
        </w:rPr>
      </w:pPr>
      <w:r>
        <w:rPr>
          <w:rFonts w:hint="eastAsia"/>
          <w:i w:val="0"/>
          <w:iCs w:val="0"/>
        </w:rPr>
        <w:t>6</w:t>
      </w:r>
      <w:r>
        <w:rPr>
          <w:i w:val="0"/>
          <w:iCs w:val="0"/>
        </w:rPr>
        <w:t>、《吉林省大气污染防治条例》（2016年7月1日起施行）；</w:t>
      </w:r>
    </w:p>
    <w:p>
      <w:pPr>
        <w:spacing w:line="360" w:lineRule="auto"/>
        <w:ind w:firstLine="480" w:firstLineChars="200"/>
        <w:jc w:val="left"/>
        <w:rPr>
          <w:i w:val="0"/>
          <w:iCs w:val="0"/>
        </w:rPr>
      </w:pPr>
      <w:r>
        <w:rPr>
          <w:rFonts w:hint="eastAsia"/>
          <w:i w:val="0"/>
          <w:iCs w:val="0"/>
        </w:rPr>
        <w:t>7</w:t>
      </w:r>
      <w:r>
        <w:rPr>
          <w:i w:val="0"/>
          <w:iCs w:val="0"/>
        </w:rPr>
        <w:t>、《关于印发吉林省国民经济和社会发展第十三个五年规划纲要的通知》（吉政发[2016]12号）；</w:t>
      </w:r>
    </w:p>
    <w:p>
      <w:pPr>
        <w:spacing w:line="360" w:lineRule="auto"/>
        <w:ind w:firstLine="480" w:firstLineChars="200"/>
        <w:jc w:val="left"/>
        <w:rPr>
          <w:i w:val="0"/>
          <w:iCs w:val="0"/>
        </w:rPr>
      </w:pPr>
      <w:r>
        <w:rPr>
          <w:rFonts w:hint="eastAsia"/>
          <w:i w:val="0"/>
          <w:iCs w:val="0"/>
        </w:rPr>
        <w:t>8</w:t>
      </w:r>
      <w:r>
        <w:rPr>
          <w:i w:val="0"/>
          <w:iCs w:val="0"/>
        </w:rPr>
        <w:t>、《</w:t>
      </w:r>
      <w:r>
        <w:rPr>
          <w:rFonts w:hint="eastAsia"/>
          <w:i w:val="0"/>
          <w:iCs w:val="0"/>
        </w:rPr>
        <w:t>吉林省生态环境保护“十四五”规划</w:t>
      </w:r>
      <w:r>
        <w:rPr>
          <w:i w:val="0"/>
          <w:iCs w:val="0"/>
        </w:rPr>
        <w:t>》；</w:t>
      </w:r>
    </w:p>
    <w:p>
      <w:pPr>
        <w:pStyle w:val="76"/>
        <w:spacing w:line="360" w:lineRule="auto"/>
        <w:ind w:firstLine="480"/>
        <w:rPr>
          <w:i w:val="0"/>
          <w:iCs w:val="0"/>
          <w:color w:val="auto"/>
          <w:sz w:val="24"/>
        </w:rPr>
      </w:pPr>
      <w:r>
        <w:rPr>
          <w:rFonts w:ascii="Times New Roman" w:hAnsi="Times New Roman"/>
          <w:i w:val="0"/>
          <w:iCs w:val="0"/>
          <w:color w:val="auto"/>
          <w:sz w:val="24"/>
        </w:rPr>
        <w:t>9、《白山市生态环境保护“十四五”规划》；</w:t>
      </w:r>
    </w:p>
    <w:p>
      <w:pPr>
        <w:spacing w:line="360" w:lineRule="auto"/>
        <w:ind w:firstLine="482" w:firstLineChars="200"/>
        <w:rPr>
          <w:b/>
          <w:i w:val="0"/>
          <w:iCs w:val="0"/>
        </w:rPr>
      </w:pPr>
      <w:r>
        <w:rPr>
          <w:rFonts w:hint="eastAsia"/>
          <w:b/>
          <w:i w:val="0"/>
          <w:iCs w:val="0"/>
        </w:rPr>
        <w:t>2</w:t>
      </w:r>
      <w:r>
        <w:rPr>
          <w:b/>
          <w:i w:val="0"/>
          <w:iCs w:val="0"/>
        </w:rPr>
        <w:t>.1.</w:t>
      </w:r>
      <w:r>
        <w:rPr>
          <w:rFonts w:hint="eastAsia"/>
          <w:b/>
          <w:i w:val="0"/>
          <w:iCs w:val="0"/>
        </w:rPr>
        <w:t>4</w:t>
      </w:r>
      <w:r>
        <w:rPr>
          <w:b/>
          <w:i w:val="0"/>
          <w:iCs w:val="0"/>
        </w:rPr>
        <w:t>环境影响评价技术导则</w:t>
      </w:r>
    </w:p>
    <w:p>
      <w:pPr>
        <w:spacing w:line="360" w:lineRule="auto"/>
        <w:ind w:firstLine="480" w:firstLineChars="200"/>
        <w:jc w:val="left"/>
        <w:rPr>
          <w:rFonts w:hint="eastAsia"/>
          <w:i w:val="0"/>
          <w:iCs w:val="0"/>
        </w:rPr>
      </w:pPr>
      <w:r>
        <w:rPr>
          <w:rFonts w:hint="eastAsia"/>
          <w:i w:val="0"/>
          <w:iCs w:val="0"/>
        </w:rPr>
        <w:t>1、《建设项目环境影响评价技术导则总纲》(HJ2.1-2016)；</w:t>
      </w:r>
    </w:p>
    <w:p>
      <w:pPr>
        <w:spacing w:line="360" w:lineRule="auto"/>
        <w:ind w:firstLine="480" w:firstLineChars="200"/>
        <w:jc w:val="left"/>
        <w:rPr>
          <w:rFonts w:hint="eastAsia"/>
          <w:i w:val="0"/>
          <w:iCs w:val="0"/>
        </w:rPr>
      </w:pPr>
      <w:r>
        <w:rPr>
          <w:rFonts w:hint="eastAsia"/>
          <w:i w:val="0"/>
          <w:iCs w:val="0"/>
        </w:rPr>
        <w:t>2、《环境影响评价技术导则大气环境》(HJ2.2-2018)；</w:t>
      </w:r>
    </w:p>
    <w:p>
      <w:pPr>
        <w:spacing w:line="360" w:lineRule="auto"/>
        <w:ind w:firstLine="480" w:firstLineChars="200"/>
        <w:jc w:val="left"/>
        <w:rPr>
          <w:rFonts w:hint="eastAsia"/>
          <w:i w:val="0"/>
          <w:iCs w:val="0"/>
        </w:rPr>
      </w:pPr>
      <w:r>
        <w:rPr>
          <w:rFonts w:hint="eastAsia"/>
          <w:i w:val="0"/>
          <w:iCs w:val="0"/>
        </w:rPr>
        <w:t>3、《环境影响评价技术导则地表水环境》(HJ2.3-2018);</w:t>
      </w:r>
    </w:p>
    <w:p>
      <w:pPr>
        <w:spacing w:line="360" w:lineRule="auto"/>
        <w:ind w:firstLine="480" w:firstLineChars="200"/>
        <w:jc w:val="left"/>
        <w:rPr>
          <w:rFonts w:hint="eastAsia"/>
          <w:i w:val="0"/>
          <w:iCs w:val="0"/>
        </w:rPr>
      </w:pPr>
      <w:r>
        <w:rPr>
          <w:rFonts w:hint="eastAsia"/>
          <w:i w:val="0"/>
          <w:iCs w:val="0"/>
        </w:rPr>
        <w:t>4、《环境影响评价技术导则声环境》(HJ2.4-2021)；</w:t>
      </w:r>
    </w:p>
    <w:p>
      <w:pPr>
        <w:spacing w:line="360" w:lineRule="auto"/>
        <w:ind w:firstLine="480" w:firstLineChars="200"/>
        <w:jc w:val="left"/>
        <w:rPr>
          <w:rFonts w:hint="eastAsia"/>
          <w:i w:val="0"/>
          <w:iCs w:val="0"/>
        </w:rPr>
      </w:pPr>
      <w:r>
        <w:rPr>
          <w:rFonts w:hint="eastAsia"/>
          <w:i w:val="0"/>
          <w:iCs w:val="0"/>
        </w:rPr>
        <w:t>5、《建设项目环境风险评价技术导则》(HJ 169-2018)；</w:t>
      </w:r>
    </w:p>
    <w:p>
      <w:pPr>
        <w:spacing w:line="360" w:lineRule="auto"/>
        <w:ind w:firstLine="480" w:firstLineChars="200"/>
        <w:jc w:val="left"/>
        <w:rPr>
          <w:rFonts w:hint="eastAsia"/>
          <w:i w:val="0"/>
          <w:iCs w:val="0"/>
        </w:rPr>
      </w:pPr>
      <w:r>
        <w:rPr>
          <w:rFonts w:hint="eastAsia"/>
          <w:i w:val="0"/>
          <w:iCs w:val="0"/>
        </w:rPr>
        <w:t>6、《环境影响评价技术导则地下水环境》(HJ610-2016);</w:t>
      </w:r>
    </w:p>
    <w:p>
      <w:pPr>
        <w:spacing w:line="360" w:lineRule="auto"/>
        <w:ind w:firstLine="480" w:firstLineChars="200"/>
        <w:jc w:val="left"/>
        <w:rPr>
          <w:rFonts w:hint="eastAsia"/>
          <w:i w:val="0"/>
          <w:iCs w:val="0"/>
        </w:rPr>
      </w:pPr>
      <w:r>
        <w:rPr>
          <w:rFonts w:hint="eastAsia"/>
          <w:i w:val="0"/>
          <w:iCs w:val="0"/>
        </w:rPr>
        <w:t>7、《环境影响评价技术导则生态影响》(HJ19-2022);</w:t>
      </w:r>
    </w:p>
    <w:p>
      <w:pPr>
        <w:spacing w:line="360" w:lineRule="auto"/>
        <w:ind w:firstLine="480" w:firstLineChars="200"/>
        <w:jc w:val="left"/>
        <w:rPr>
          <w:rFonts w:hint="eastAsia"/>
          <w:i w:val="0"/>
          <w:iCs w:val="0"/>
        </w:rPr>
      </w:pPr>
      <w:r>
        <w:rPr>
          <w:rFonts w:hint="eastAsia"/>
          <w:i w:val="0"/>
          <w:iCs w:val="0"/>
        </w:rPr>
        <w:t>8、《建设项目环境风险评价技术导则》(HJ169-2018)；</w:t>
      </w:r>
    </w:p>
    <w:p>
      <w:pPr>
        <w:spacing w:line="360" w:lineRule="auto"/>
        <w:ind w:firstLine="480" w:firstLineChars="200"/>
        <w:jc w:val="left"/>
        <w:rPr>
          <w:rFonts w:hint="eastAsia"/>
          <w:i w:val="0"/>
          <w:iCs w:val="0"/>
        </w:rPr>
      </w:pPr>
      <w:r>
        <w:rPr>
          <w:rFonts w:hint="eastAsia"/>
          <w:i w:val="0"/>
          <w:iCs w:val="0"/>
        </w:rPr>
        <w:t>9、《环境影响评价技术导则土壤环境》(HJ964-2018);</w:t>
      </w:r>
    </w:p>
    <w:p>
      <w:pPr>
        <w:spacing w:line="360" w:lineRule="auto"/>
        <w:ind w:firstLine="480" w:firstLineChars="200"/>
        <w:jc w:val="left"/>
        <w:rPr>
          <w:rFonts w:hint="eastAsia"/>
          <w:i w:val="0"/>
          <w:iCs w:val="0"/>
        </w:rPr>
      </w:pPr>
      <w:r>
        <w:rPr>
          <w:rFonts w:hint="eastAsia"/>
          <w:i w:val="0"/>
          <w:iCs w:val="0"/>
        </w:rPr>
        <w:t>10、《固体废物处理处置工程技术导则》(HJ2035-2013)；</w:t>
      </w:r>
    </w:p>
    <w:p>
      <w:pPr>
        <w:spacing w:line="360" w:lineRule="auto"/>
        <w:ind w:firstLine="480" w:firstLineChars="200"/>
        <w:jc w:val="left"/>
        <w:rPr>
          <w:rFonts w:hint="eastAsia"/>
          <w:i w:val="0"/>
          <w:iCs w:val="0"/>
        </w:rPr>
      </w:pPr>
      <w:r>
        <w:rPr>
          <w:rFonts w:hint="eastAsia"/>
          <w:i w:val="0"/>
          <w:iCs w:val="0"/>
        </w:rPr>
        <w:t>11、《固废废物鉴别标准通则》(GB34330-2017)；</w:t>
      </w:r>
    </w:p>
    <w:p>
      <w:pPr>
        <w:spacing w:line="360" w:lineRule="auto"/>
        <w:ind w:firstLine="480" w:firstLineChars="200"/>
        <w:jc w:val="left"/>
        <w:rPr>
          <w:rFonts w:hint="eastAsia"/>
          <w:i w:val="0"/>
          <w:iCs w:val="0"/>
        </w:rPr>
      </w:pPr>
      <w:r>
        <w:rPr>
          <w:rFonts w:hint="eastAsia"/>
          <w:i w:val="0"/>
          <w:iCs w:val="0"/>
        </w:rPr>
        <w:t>12、《建设项目环境影响评价技术导则总纲》(HJ2.1-2016)；</w:t>
      </w:r>
    </w:p>
    <w:p>
      <w:pPr>
        <w:pStyle w:val="26"/>
        <w:spacing w:line="360" w:lineRule="auto"/>
        <w:ind w:firstLine="482"/>
        <w:rPr>
          <w:rFonts w:ascii="Times New Roman" w:hAnsi="Times New Roman"/>
          <w:b/>
          <w:bCs/>
          <w:i w:val="0"/>
          <w:iCs w:val="0"/>
        </w:rPr>
      </w:pPr>
      <w:r>
        <w:rPr>
          <w:rFonts w:hint="eastAsia" w:ascii="Times New Roman" w:hAnsi="Times New Roman"/>
          <w:b/>
          <w:bCs/>
          <w:i w:val="0"/>
          <w:iCs w:val="0"/>
        </w:rPr>
        <w:t>2.1.5</w:t>
      </w:r>
      <w:r>
        <w:rPr>
          <w:rFonts w:ascii="Times New Roman" w:hAnsi="Times New Roman"/>
          <w:b/>
          <w:bCs/>
          <w:i w:val="0"/>
          <w:iCs w:val="0"/>
        </w:rPr>
        <w:t>建设项目有关文件</w:t>
      </w:r>
    </w:p>
    <w:p>
      <w:pPr>
        <w:pStyle w:val="26"/>
        <w:spacing w:line="360" w:lineRule="auto"/>
        <w:rPr>
          <w:rFonts w:hint="eastAsia" w:ascii="Times New Roman" w:hAnsi="Times New Roman"/>
          <w:i w:val="0"/>
          <w:iCs w:val="0"/>
        </w:rPr>
      </w:pPr>
      <w:r>
        <w:rPr>
          <w:rFonts w:hint="eastAsia" w:ascii="Times New Roman" w:hAnsi="Times New Roman"/>
          <w:i w:val="0"/>
          <w:iCs w:val="0"/>
        </w:rPr>
        <w:t>1、《吉林江源经济开发区总体规划（2020-2035年）环境影响报告书》（吉林省春光环保工程开发有限公司）；</w:t>
      </w:r>
    </w:p>
    <w:p>
      <w:pPr>
        <w:pStyle w:val="26"/>
        <w:spacing w:line="360" w:lineRule="auto"/>
        <w:rPr>
          <w:rFonts w:hint="eastAsia" w:ascii="Times New Roman" w:hAnsi="Times New Roman"/>
          <w:i w:val="0"/>
          <w:iCs w:val="0"/>
        </w:rPr>
      </w:pPr>
      <w:r>
        <w:rPr>
          <w:rFonts w:hint="eastAsia" w:ascii="Times New Roman" w:hAnsi="Times New Roman"/>
          <w:i w:val="0"/>
          <w:iCs w:val="0"/>
        </w:rPr>
        <w:t>2《吉林省生态环境厅关于〈吉林江源经济开发区（2020-2035年）环境影响报告书〉的审查意见》（吉环环评字〔2023〕3号）；</w:t>
      </w:r>
    </w:p>
    <w:p>
      <w:pPr>
        <w:pStyle w:val="26"/>
        <w:spacing w:line="360" w:lineRule="auto"/>
        <w:rPr>
          <w:rFonts w:ascii="Times New Roman" w:hAnsi="Times New Roman"/>
          <w:i w:val="0"/>
          <w:iCs w:val="0"/>
        </w:rPr>
      </w:pPr>
      <w:r>
        <w:rPr>
          <w:rFonts w:hint="eastAsia" w:ascii="Times New Roman" w:hAnsi="Times New Roman"/>
          <w:i w:val="0"/>
          <w:iCs w:val="0"/>
        </w:rPr>
        <w:t>3、吉林省元瑞环保科技有限公司</w:t>
      </w:r>
      <w:r>
        <w:rPr>
          <w:rFonts w:ascii="Times New Roman" w:hAnsi="Times New Roman"/>
          <w:i w:val="0"/>
          <w:iCs w:val="0"/>
        </w:rPr>
        <w:t>与</w:t>
      </w:r>
      <w:r>
        <w:rPr>
          <w:rFonts w:hint="eastAsia" w:ascii="Times New Roman" w:hAnsi="Times New Roman"/>
          <w:i w:val="0"/>
          <w:iCs w:val="0"/>
        </w:rPr>
        <w:t>吉林万方东巽虾青素产业科技发展有限公司</w:t>
      </w:r>
      <w:r>
        <w:rPr>
          <w:rFonts w:ascii="Times New Roman" w:hAnsi="Times New Roman"/>
          <w:i w:val="0"/>
          <w:iCs w:val="0"/>
        </w:rPr>
        <w:t>签订的该项目环境影响评价委托书。</w:t>
      </w:r>
    </w:p>
    <w:p>
      <w:pPr>
        <w:pStyle w:val="4"/>
        <w:rPr>
          <w:rFonts w:ascii="Times New Roman" w:hAnsi="Times New Roman" w:eastAsia="宋体"/>
          <w:b/>
          <w:i w:val="0"/>
          <w:iCs w:val="0"/>
          <w:sz w:val="28"/>
          <w:szCs w:val="28"/>
        </w:rPr>
      </w:pPr>
      <w:bookmarkStart w:id="29" w:name="_Toc208913216"/>
      <w:bookmarkStart w:id="30" w:name="_Toc215908926"/>
      <w:bookmarkStart w:id="31" w:name="_Toc208913324"/>
      <w:bookmarkStart w:id="32" w:name="_Toc358443938"/>
      <w:bookmarkStart w:id="33" w:name="_Toc372121131"/>
      <w:bookmarkStart w:id="34" w:name="_Toc360977576"/>
      <w:bookmarkStart w:id="35" w:name="_Toc402422953"/>
      <w:bookmarkStart w:id="36" w:name="_Toc402422183"/>
      <w:bookmarkStart w:id="37" w:name="_Toc402422523"/>
      <w:bookmarkStart w:id="38" w:name="_Toc401150935"/>
      <w:bookmarkStart w:id="39" w:name="_Toc407191372"/>
      <w:bookmarkStart w:id="40" w:name="_Toc18449"/>
      <w:bookmarkStart w:id="41" w:name="_Toc502831492"/>
      <w:r>
        <w:rPr>
          <w:rFonts w:hint="eastAsia" w:ascii="Times New Roman" w:hAnsi="Times New Roman" w:eastAsia="宋体"/>
          <w:b/>
          <w:i w:val="0"/>
          <w:iCs w:val="0"/>
          <w:sz w:val="28"/>
          <w:szCs w:val="28"/>
        </w:rPr>
        <w:t>2</w:t>
      </w:r>
      <w:r>
        <w:rPr>
          <w:rFonts w:ascii="Times New Roman" w:hAnsi="Times New Roman" w:eastAsia="宋体"/>
          <w:b/>
          <w:i w:val="0"/>
          <w:iCs w:val="0"/>
          <w:sz w:val="28"/>
          <w:szCs w:val="28"/>
        </w:rPr>
        <w:t>.2</w:t>
      </w:r>
      <w:bookmarkEnd w:id="29"/>
      <w:bookmarkEnd w:id="30"/>
      <w:bookmarkEnd w:id="31"/>
      <w:bookmarkEnd w:id="32"/>
      <w:bookmarkEnd w:id="33"/>
      <w:bookmarkEnd w:id="34"/>
      <w:r>
        <w:rPr>
          <w:rFonts w:ascii="Times New Roman" w:hAnsi="Times New Roman" w:eastAsia="宋体"/>
          <w:b/>
          <w:i w:val="0"/>
          <w:iCs w:val="0"/>
          <w:sz w:val="28"/>
          <w:szCs w:val="28"/>
        </w:rPr>
        <w:t>环境影响因素识别与</w:t>
      </w:r>
      <w:bookmarkEnd w:id="35"/>
      <w:bookmarkEnd w:id="36"/>
      <w:bookmarkEnd w:id="37"/>
      <w:bookmarkEnd w:id="38"/>
      <w:bookmarkEnd w:id="39"/>
      <w:r>
        <w:rPr>
          <w:rFonts w:ascii="Times New Roman" w:hAnsi="Times New Roman" w:eastAsia="宋体"/>
          <w:b/>
          <w:i w:val="0"/>
          <w:iCs w:val="0"/>
          <w:sz w:val="28"/>
          <w:szCs w:val="28"/>
        </w:rPr>
        <w:t>评价因子筛选</w:t>
      </w:r>
      <w:bookmarkEnd w:id="40"/>
      <w:bookmarkEnd w:id="41"/>
    </w:p>
    <w:p>
      <w:pPr>
        <w:spacing w:line="360" w:lineRule="auto"/>
        <w:ind w:firstLine="480" w:firstLineChars="200"/>
        <w:rPr>
          <w:i w:val="0"/>
          <w:iCs w:val="0"/>
        </w:rPr>
      </w:pPr>
      <w:r>
        <w:rPr>
          <w:rFonts w:hint="eastAsia"/>
          <w:i w:val="0"/>
          <w:iCs w:val="0"/>
        </w:rPr>
        <w:t>2</w:t>
      </w:r>
      <w:r>
        <w:rPr>
          <w:i w:val="0"/>
          <w:iCs w:val="0"/>
        </w:rPr>
        <w:t>.2.1环境影响因素识别</w:t>
      </w:r>
    </w:p>
    <w:p>
      <w:pPr>
        <w:spacing w:line="360" w:lineRule="auto"/>
        <w:ind w:firstLine="463" w:firstLineChars="193"/>
        <w:jc w:val="left"/>
        <w:rPr>
          <w:i w:val="0"/>
          <w:iCs w:val="0"/>
        </w:rPr>
      </w:pPr>
      <w:r>
        <w:rPr>
          <w:i w:val="0"/>
          <w:iCs w:val="0"/>
        </w:rPr>
        <w:t>在对建设项目现场踏勘的基础上，根据工程所在的环境状况和工程规模，对建设项目工程的环境要素影响情况进行分析，环境要素识别矩阵见表</w:t>
      </w:r>
      <w:r>
        <w:rPr>
          <w:rFonts w:hint="eastAsia"/>
          <w:i w:val="0"/>
          <w:iCs w:val="0"/>
        </w:rPr>
        <w:t>2</w:t>
      </w:r>
      <w:r>
        <w:rPr>
          <w:i w:val="0"/>
          <w:iCs w:val="0"/>
        </w:rPr>
        <w:t>-1。</w:t>
      </w:r>
    </w:p>
    <w:p>
      <w:pPr>
        <w:pStyle w:val="76"/>
        <w:spacing w:line="360" w:lineRule="auto"/>
        <w:rPr>
          <w:i w:val="0"/>
          <w:iCs w:val="0"/>
        </w:rPr>
      </w:pPr>
    </w:p>
    <w:p>
      <w:pPr>
        <w:pStyle w:val="77"/>
        <w:spacing w:before="48" w:after="48"/>
        <w:rPr>
          <w:i w:val="0"/>
          <w:iCs w:val="0"/>
        </w:rPr>
      </w:pPr>
    </w:p>
    <w:p>
      <w:pPr>
        <w:pStyle w:val="92"/>
        <w:spacing w:before="0" w:after="0"/>
        <w:ind w:firstLine="0"/>
        <w:jc w:val="center"/>
        <w:textAlignment w:val="baseline"/>
        <w:rPr>
          <w:rFonts w:hint="eastAsia" w:ascii="Times New Roman" w:eastAsia="宋体"/>
          <w:b/>
          <w:bCs/>
          <w:i w:val="0"/>
          <w:iCs w:val="0"/>
          <w:szCs w:val="24"/>
        </w:rPr>
      </w:pPr>
    </w:p>
    <w:p>
      <w:pPr>
        <w:pStyle w:val="92"/>
        <w:spacing w:before="0" w:after="0"/>
        <w:ind w:firstLine="0"/>
        <w:jc w:val="center"/>
        <w:textAlignment w:val="baseline"/>
        <w:rPr>
          <w:rFonts w:hint="eastAsia" w:ascii="Times New Roman" w:eastAsia="宋体"/>
          <w:b/>
          <w:bCs/>
          <w:i w:val="0"/>
          <w:iCs w:val="0"/>
          <w:szCs w:val="24"/>
        </w:rPr>
      </w:pPr>
    </w:p>
    <w:p>
      <w:pPr>
        <w:pStyle w:val="92"/>
        <w:spacing w:before="0" w:after="0" w:line="240" w:lineRule="auto"/>
        <w:ind w:firstLine="0"/>
        <w:jc w:val="center"/>
        <w:textAlignment w:val="baseline"/>
        <w:rPr>
          <w:rFonts w:hint="eastAsia" w:ascii="Times New Roman" w:eastAsia="宋体"/>
          <w:b/>
          <w:bCs/>
          <w:i w:val="0"/>
          <w:iCs w:val="0"/>
          <w:szCs w:val="24"/>
        </w:rPr>
        <w:sectPr>
          <w:pgSz w:w="11907" w:h="16840"/>
          <w:pgMar w:top="1304" w:right="1418" w:bottom="1304" w:left="1418"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92"/>
        <w:spacing w:before="0" w:after="0" w:line="240" w:lineRule="auto"/>
        <w:ind w:firstLine="0"/>
        <w:jc w:val="center"/>
        <w:textAlignment w:val="baseline"/>
        <w:rPr>
          <w:rFonts w:hint="eastAsia" w:ascii="Times New Roman" w:eastAsia="宋体"/>
          <w:b/>
          <w:bCs/>
          <w:i w:val="0"/>
          <w:iCs w:val="0"/>
          <w:szCs w:val="24"/>
        </w:rPr>
      </w:pPr>
      <w:r>
        <w:rPr>
          <w:rFonts w:hint="eastAsia" w:ascii="Times New Roman" w:eastAsia="宋体"/>
          <w:b/>
          <w:bCs/>
          <w:i w:val="0"/>
          <w:iCs w:val="0"/>
          <w:szCs w:val="24"/>
        </w:rPr>
        <w:t>表2-1环境影响识别矩阵</w:t>
      </w:r>
    </w:p>
    <w:tbl>
      <w:tblPr>
        <w:tblStyle w:val="5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30"/>
        <w:gridCol w:w="1519"/>
        <w:gridCol w:w="1176"/>
        <w:gridCol w:w="1176"/>
        <w:gridCol w:w="1059"/>
        <w:gridCol w:w="1059"/>
        <w:gridCol w:w="10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01" w:type="pct"/>
            <w:vMerge w:val="restart"/>
            <w:noWrap w:val="0"/>
            <w:vAlign w:val="center"/>
          </w:tcPr>
          <w:p>
            <w:pPr>
              <w:ind w:left="-120" w:leftChars="-50" w:right="-120" w:rightChars="-50"/>
              <w:jc w:val="center"/>
              <w:rPr>
                <w:rFonts w:hint="eastAsia"/>
                <w:i w:val="0"/>
                <w:iCs w:val="0"/>
                <w:sz w:val="21"/>
                <w:szCs w:val="21"/>
              </w:rPr>
            </w:pPr>
            <w:r>
              <w:rPr>
                <w:rFonts w:hint="eastAsia"/>
                <w:i w:val="0"/>
                <w:iCs w:val="0"/>
                <w:sz w:val="21"/>
                <w:szCs w:val="21"/>
                <w:lang w:val="zh-CN"/>
              </w:rPr>
              <w:t>影响因子</w:t>
            </w:r>
          </w:p>
        </w:tc>
        <w:tc>
          <w:tcPr>
            <w:tcW w:w="2084" w:type="pct"/>
            <w:gridSpan w:val="3"/>
            <w:noWrap w:val="0"/>
            <w:vAlign w:val="center"/>
          </w:tcPr>
          <w:p>
            <w:pPr>
              <w:ind w:left="-120" w:leftChars="-50" w:right="-120" w:rightChars="-50"/>
              <w:jc w:val="center"/>
              <w:rPr>
                <w:rFonts w:hint="eastAsia"/>
                <w:i w:val="0"/>
                <w:iCs w:val="0"/>
                <w:sz w:val="21"/>
                <w:szCs w:val="21"/>
              </w:rPr>
            </w:pPr>
            <w:r>
              <w:rPr>
                <w:rFonts w:hint="eastAsia"/>
                <w:i w:val="0"/>
                <w:iCs w:val="0"/>
                <w:sz w:val="21"/>
                <w:szCs w:val="21"/>
                <w:lang w:val="zh-CN"/>
              </w:rPr>
              <w:t>施工期</w:t>
            </w:r>
          </w:p>
        </w:tc>
        <w:tc>
          <w:tcPr>
            <w:tcW w:w="1714" w:type="pct"/>
            <w:gridSpan w:val="3"/>
            <w:noWrap w:val="0"/>
            <w:vAlign w:val="center"/>
          </w:tcPr>
          <w:p>
            <w:pPr>
              <w:ind w:left="-120" w:leftChars="-50" w:right="-120" w:rightChars="-50"/>
              <w:jc w:val="center"/>
              <w:rPr>
                <w:rFonts w:hint="eastAsia"/>
                <w:i w:val="0"/>
                <w:iCs w:val="0"/>
                <w:sz w:val="21"/>
                <w:szCs w:val="21"/>
                <w:lang w:val="zh-CN"/>
              </w:rPr>
            </w:pPr>
            <w:r>
              <w:rPr>
                <w:rFonts w:hint="eastAsia"/>
                <w:i w:val="0"/>
                <w:iCs w:val="0"/>
                <w:sz w:val="21"/>
                <w:szCs w:val="21"/>
                <w:lang w:val="zh-CN"/>
              </w:rPr>
              <w:t>运行期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01" w:type="pct"/>
            <w:vMerge w:val="continue"/>
            <w:noWrap w:val="0"/>
            <w:vAlign w:val="center"/>
          </w:tcPr>
          <w:p>
            <w:pPr>
              <w:ind w:left="-120" w:leftChars="-50" w:right="-120" w:rightChars="-50"/>
              <w:jc w:val="center"/>
              <w:rPr>
                <w:rFonts w:hint="eastAsia"/>
                <w:i w:val="0"/>
                <w:iCs w:val="0"/>
                <w:sz w:val="21"/>
                <w:szCs w:val="21"/>
              </w:rPr>
            </w:pPr>
          </w:p>
        </w:tc>
        <w:tc>
          <w:tcPr>
            <w:tcW w:w="818" w:type="pct"/>
            <w:noWrap w:val="0"/>
            <w:tcMar>
              <w:left w:w="0" w:type="dxa"/>
              <w:right w:w="0" w:type="dxa"/>
            </w:tcMar>
            <w:vAlign w:val="center"/>
          </w:tcPr>
          <w:p>
            <w:pPr>
              <w:ind w:left="-120" w:leftChars="-50" w:right="-120" w:rightChars="-50"/>
              <w:jc w:val="center"/>
              <w:rPr>
                <w:rFonts w:hint="eastAsia"/>
                <w:i w:val="0"/>
                <w:iCs w:val="0"/>
                <w:sz w:val="21"/>
                <w:szCs w:val="21"/>
              </w:rPr>
            </w:pPr>
            <w:r>
              <w:rPr>
                <w:rFonts w:hint="eastAsia"/>
                <w:i w:val="0"/>
                <w:iCs w:val="0"/>
                <w:sz w:val="21"/>
                <w:szCs w:val="21"/>
              </w:rPr>
              <w:t>施工人员生活</w:t>
            </w:r>
          </w:p>
        </w:tc>
        <w:tc>
          <w:tcPr>
            <w:tcW w:w="633" w:type="pct"/>
            <w:noWrap w:val="0"/>
            <w:tcMar>
              <w:left w:w="0" w:type="dxa"/>
              <w:right w:w="0" w:type="dxa"/>
            </w:tcMar>
            <w:vAlign w:val="center"/>
          </w:tcPr>
          <w:p>
            <w:pPr>
              <w:ind w:left="-120" w:leftChars="-50" w:right="-120" w:rightChars="-50"/>
              <w:jc w:val="center"/>
              <w:rPr>
                <w:rFonts w:hint="eastAsia"/>
                <w:i w:val="0"/>
                <w:iCs w:val="0"/>
                <w:sz w:val="21"/>
                <w:szCs w:val="21"/>
              </w:rPr>
            </w:pPr>
            <w:r>
              <w:rPr>
                <w:rFonts w:hint="eastAsia"/>
                <w:i w:val="0"/>
                <w:iCs w:val="0"/>
                <w:sz w:val="21"/>
                <w:szCs w:val="21"/>
              </w:rPr>
              <w:t>运输车辆</w:t>
            </w:r>
          </w:p>
        </w:tc>
        <w:tc>
          <w:tcPr>
            <w:tcW w:w="633" w:type="pct"/>
            <w:noWrap w:val="0"/>
            <w:tcMar>
              <w:left w:w="0" w:type="dxa"/>
              <w:right w:w="0" w:type="dxa"/>
            </w:tcMar>
            <w:vAlign w:val="center"/>
          </w:tcPr>
          <w:p>
            <w:pPr>
              <w:ind w:left="-120" w:leftChars="-50" w:right="-120" w:rightChars="-50"/>
              <w:jc w:val="center"/>
              <w:rPr>
                <w:rFonts w:hint="eastAsia"/>
                <w:i w:val="0"/>
                <w:iCs w:val="0"/>
                <w:sz w:val="21"/>
                <w:szCs w:val="21"/>
              </w:rPr>
            </w:pPr>
            <w:r>
              <w:rPr>
                <w:rFonts w:hint="eastAsia"/>
                <w:i w:val="0"/>
                <w:iCs w:val="0"/>
                <w:sz w:val="21"/>
                <w:szCs w:val="21"/>
              </w:rPr>
              <w:t>施工过程</w:t>
            </w:r>
          </w:p>
        </w:tc>
        <w:tc>
          <w:tcPr>
            <w:tcW w:w="570" w:type="pct"/>
            <w:noWrap w:val="0"/>
            <w:tcMar>
              <w:left w:w="0" w:type="dxa"/>
              <w:right w:w="0" w:type="dxa"/>
            </w:tcMar>
            <w:vAlign w:val="center"/>
          </w:tcPr>
          <w:p>
            <w:pPr>
              <w:ind w:left="-120" w:leftChars="-50" w:right="-120" w:rightChars="-50"/>
              <w:jc w:val="center"/>
              <w:rPr>
                <w:rFonts w:hint="eastAsia"/>
                <w:i w:val="0"/>
                <w:iCs w:val="0"/>
                <w:sz w:val="21"/>
                <w:szCs w:val="21"/>
              </w:rPr>
            </w:pPr>
            <w:r>
              <w:rPr>
                <w:rFonts w:hint="eastAsia"/>
                <w:i w:val="0"/>
                <w:iCs w:val="0"/>
                <w:sz w:val="21"/>
                <w:szCs w:val="21"/>
              </w:rPr>
              <w:t>生产过程</w:t>
            </w:r>
          </w:p>
        </w:tc>
        <w:tc>
          <w:tcPr>
            <w:tcW w:w="570" w:type="pct"/>
            <w:noWrap w:val="0"/>
            <w:tcMar>
              <w:left w:w="0" w:type="dxa"/>
              <w:right w:w="0" w:type="dxa"/>
            </w:tcMar>
            <w:vAlign w:val="center"/>
          </w:tcPr>
          <w:p>
            <w:pPr>
              <w:ind w:left="-120" w:leftChars="-50" w:right="-120" w:rightChars="-50"/>
              <w:jc w:val="center"/>
              <w:rPr>
                <w:rFonts w:hint="eastAsia"/>
                <w:i w:val="0"/>
                <w:iCs w:val="0"/>
                <w:sz w:val="21"/>
                <w:szCs w:val="21"/>
              </w:rPr>
            </w:pPr>
            <w:r>
              <w:rPr>
                <w:rFonts w:hint="eastAsia"/>
                <w:i w:val="0"/>
                <w:iCs w:val="0"/>
                <w:sz w:val="21"/>
                <w:szCs w:val="21"/>
              </w:rPr>
              <w:t>职工生活</w:t>
            </w:r>
          </w:p>
        </w:tc>
        <w:tc>
          <w:tcPr>
            <w:tcW w:w="574" w:type="pct"/>
            <w:noWrap w:val="0"/>
            <w:tcMar>
              <w:left w:w="0" w:type="dxa"/>
              <w:right w:w="0" w:type="dxa"/>
            </w:tcMar>
            <w:vAlign w:val="center"/>
          </w:tcPr>
          <w:p>
            <w:pPr>
              <w:ind w:left="-120" w:leftChars="-50" w:right="-120" w:rightChars="-50"/>
              <w:jc w:val="center"/>
              <w:rPr>
                <w:rFonts w:hint="eastAsia"/>
                <w:i w:val="0"/>
                <w:iCs w:val="0"/>
                <w:sz w:val="21"/>
                <w:szCs w:val="21"/>
              </w:rPr>
            </w:pPr>
            <w:r>
              <w:rPr>
                <w:rFonts w:hint="eastAsia"/>
                <w:i w:val="0"/>
                <w:iCs w:val="0"/>
                <w:sz w:val="21"/>
                <w:szCs w:val="21"/>
              </w:rPr>
              <w:t>材料储存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01" w:type="pct"/>
            <w:noWrap w:val="0"/>
            <w:vAlign w:val="center"/>
          </w:tcPr>
          <w:p>
            <w:pPr>
              <w:ind w:left="-120" w:leftChars="-50" w:right="-120" w:rightChars="-50"/>
              <w:jc w:val="center"/>
              <w:rPr>
                <w:rFonts w:hint="eastAsia"/>
                <w:i w:val="0"/>
                <w:iCs w:val="0"/>
                <w:sz w:val="21"/>
                <w:szCs w:val="21"/>
              </w:rPr>
            </w:pPr>
            <w:r>
              <w:rPr>
                <w:rFonts w:hint="eastAsia"/>
                <w:i w:val="0"/>
                <w:iCs w:val="0"/>
                <w:sz w:val="21"/>
                <w:szCs w:val="21"/>
                <w:lang w:val="zh-CN"/>
              </w:rPr>
              <w:t>环境空气</w:t>
            </w:r>
          </w:p>
        </w:tc>
        <w:tc>
          <w:tcPr>
            <w:tcW w:w="818"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p>
        </w:tc>
        <w:tc>
          <w:tcPr>
            <w:tcW w:w="633"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r>
              <w:rPr>
                <w:rFonts w:hint="eastAsia"/>
                <w:i w:val="0"/>
                <w:iCs w:val="0"/>
                <w:sz w:val="21"/>
                <w:szCs w:val="21"/>
                <w:lang w:val="zh-CN"/>
              </w:rPr>
              <w:t>□</w:t>
            </w:r>
          </w:p>
        </w:tc>
        <w:tc>
          <w:tcPr>
            <w:tcW w:w="633"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r>
              <w:rPr>
                <w:rFonts w:hint="eastAsia"/>
                <w:i w:val="0"/>
                <w:iCs w:val="0"/>
                <w:sz w:val="21"/>
                <w:szCs w:val="21"/>
                <w:lang w:val="zh-CN"/>
              </w:rPr>
              <w:t>□</w:t>
            </w:r>
          </w:p>
        </w:tc>
        <w:tc>
          <w:tcPr>
            <w:tcW w:w="570"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r>
              <w:rPr>
                <w:rFonts w:hint="eastAsia"/>
                <w:i w:val="0"/>
                <w:iCs w:val="0"/>
                <w:sz w:val="21"/>
                <w:szCs w:val="21"/>
                <w:lang w:val="zh-CN"/>
              </w:rPr>
              <w:t>□</w:t>
            </w:r>
          </w:p>
        </w:tc>
        <w:tc>
          <w:tcPr>
            <w:tcW w:w="570"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p>
        </w:tc>
        <w:tc>
          <w:tcPr>
            <w:tcW w:w="574"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01" w:type="pct"/>
            <w:noWrap w:val="0"/>
            <w:vAlign w:val="center"/>
          </w:tcPr>
          <w:p>
            <w:pPr>
              <w:ind w:left="-120" w:leftChars="-50" w:right="-120" w:rightChars="-50"/>
              <w:jc w:val="center"/>
              <w:rPr>
                <w:rFonts w:hint="eastAsia"/>
                <w:i w:val="0"/>
                <w:iCs w:val="0"/>
                <w:sz w:val="21"/>
                <w:szCs w:val="21"/>
              </w:rPr>
            </w:pPr>
            <w:r>
              <w:rPr>
                <w:rFonts w:hint="eastAsia"/>
                <w:i w:val="0"/>
                <w:iCs w:val="0"/>
                <w:sz w:val="21"/>
                <w:szCs w:val="21"/>
                <w:lang w:val="zh-CN"/>
              </w:rPr>
              <w:t>地表水</w:t>
            </w:r>
          </w:p>
        </w:tc>
        <w:tc>
          <w:tcPr>
            <w:tcW w:w="818"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r>
              <w:rPr>
                <w:rFonts w:hint="eastAsia"/>
                <w:i w:val="0"/>
                <w:iCs w:val="0"/>
                <w:sz w:val="21"/>
                <w:szCs w:val="21"/>
                <w:lang w:val="zh-CN"/>
              </w:rPr>
              <w:t>□</w:t>
            </w:r>
          </w:p>
        </w:tc>
        <w:tc>
          <w:tcPr>
            <w:tcW w:w="633"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p>
        </w:tc>
        <w:tc>
          <w:tcPr>
            <w:tcW w:w="633"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p>
        </w:tc>
        <w:tc>
          <w:tcPr>
            <w:tcW w:w="570"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p>
        </w:tc>
        <w:tc>
          <w:tcPr>
            <w:tcW w:w="570"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p>
        </w:tc>
        <w:tc>
          <w:tcPr>
            <w:tcW w:w="574"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01" w:type="pct"/>
            <w:noWrap w:val="0"/>
            <w:vAlign w:val="center"/>
          </w:tcPr>
          <w:p>
            <w:pPr>
              <w:ind w:left="-120" w:leftChars="-50" w:right="-120" w:rightChars="-50"/>
              <w:jc w:val="center"/>
              <w:rPr>
                <w:rFonts w:hint="eastAsia"/>
                <w:i w:val="0"/>
                <w:iCs w:val="0"/>
                <w:sz w:val="21"/>
                <w:szCs w:val="21"/>
              </w:rPr>
            </w:pPr>
            <w:r>
              <w:rPr>
                <w:rFonts w:hint="eastAsia"/>
                <w:i w:val="0"/>
                <w:iCs w:val="0"/>
                <w:sz w:val="21"/>
                <w:szCs w:val="21"/>
                <w:lang w:val="zh-CN"/>
              </w:rPr>
              <w:t>地下水</w:t>
            </w:r>
          </w:p>
        </w:tc>
        <w:tc>
          <w:tcPr>
            <w:tcW w:w="818"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p>
        </w:tc>
        <w:tc>
          <w:tcPr>
            <w:tcW w:w="633"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p>
        </w:tc>
        <w:tc>
          <w:tcPr>
            <w:tcW w:w="633"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p>
        </w:tc>
        <w:tc>
          <w:tcPr>
            <w:tcW w:w="570"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r>
              <w:rPr>
                <w:rFonts w:hint="eastAsia"/>
                <w:i w:val="0"/>
                <w:iCs w:val="0"/>
                <w:sz w:val="21"/>
                <w:szCs w:val="21"/>
                <w:lang w:val="zh-CN"/>
              </w:rPr>
              <w:t>□</w:t>
            </w:r>
          </w:p>
        </w:tc>
        <w:tc>
          <w:tcPr>
            <w:tcW w:w="570"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p>
        </w:tc>
        <w:tc>
          <w:tcPr>
            <w:tcW w:w="574"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r>
              <w:rPr>
                <w:rFonts w:hint="eastAsia"/>
                <w:i w:val="0"/>
                <w:iCs w:val="0"/>
                <w:sz w:val="21"/>
                <w:szCs w:val="21"/>
                <w:lang w:val="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01" w:type="pct"/>
            <w:noWrap w:val="0"/>
            <w:vAlign w:val="center"/>
          </w:tcPr>
          <w:p>
            <w:pPr>
              <w:ind w:left="-120" w:leftChars="-50" w:right="-120" w:rightChars="-50"/>
              <w:jc w:val="center"/>
              <w:rPr>
                <w:rFonts w:hint="eastAsia"/>
                <w:i w:val="0"/>
                <w:iCs w:val="0"/>
                <w:sz w:val="21"/>
                <w:szCs w:val="21"/>
              </w:rPr>
            </w:pPr>
            <w:r>
              <w:rPr>
                <w:rFonts w:hint="eastAsia"/>
                <w:i w:val="0"/>
                <w:iCs w:val="0"/>
                <w:sz w:val="21"/>
                <w:szCs w:val="21"/>
                <w:lang w:val="zh-CN"/>
              </w:rPr>
              <w:t>声环境</w:t>
            </w:r>
          </w:p>
        </w:tc>
        <w:tc>
          <w:tcPr>
            <w:tcW w:w="818"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p>
        </w:tc>
        <w:tc>
          <w:tcPr>
            <w:tcW w:w="633"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r>
              <w:rPr>
                <w:rFonts w:hint="eastAsia"/>
                <w:i w:val="0"/>
                <w:iCs w:val="0"/>
                <w:sz w:val="21"/>
                <w:szCs w:val="21"/>
                <w:lang w:val="zh-CN"/>
              </w:rPr>
              <w:t>□</w:t>
            </w:r>
          </w:p>
        </w:tc>
        <w:tc>
          <w:tcPr>
            <w:tcW w:w="633"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r>
              <w:rPr>
                <w:rFonts w:hint="eastAsia"/>
                <w:i w:val="0"/>
                <w:iCs w:val="0"/>
                <w:sz w:val="21"/>
                <w:szCs w:val="21"/>
                <w:lang w:val="zh-CN"/>
              </w:rPr>
              <w:t>□</w:t>
            </w:r>
          </w:p>
        </w:tc>
        <w:tc>
          <w:tcPr>
            <w:tcW w:w="570"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r>
              <w:rPr>
                <w:rFonts w:hint="eastAsia"/>
                <w:i w:val="0"/>
                <w:iCs w:val="0"/>
                <w:sz w:val="21"/>
                <w:szCs w:val="21"/>
                <w:lang w:val="zh-CN"/>
              </w:rPr>
              <w:t>□</w:t>
            </w:r>
          </w:p>
        </w:tc>
        <w:tc>
          <w:tcPr>
            <w:tcW w:w="570"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p>
        </w:tc>
        <w:tc>
          <w:tcPr>
            <w:tcW w:w="574"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01" w:type="pct"/>
            <w:noWrap w:val="0"/>
            <w:vAlign w:val="center"/>
          </w:tcPr>
          <w:p>
            <w:pPr>
              <w:ind w:left="-120" w:leftChars="-50" w:right="-120" w:rightChars="-50"/>
              <w:jc w:val="center"/>
              <w:rPr>
                <w:rFonts w:hint="eastAsia"/>
                <w:i w:val="0"/>
                <w:iCs w:val="0"/>
                <w:sz w:val="21"/>
                <w:szCs w:val="21"/>
                <w:lang w:val="zh-CN"/>
              </w:rPr>
            </w:pPr>
            <w:r>
              <w:rPr>
                <w:rFonts w:hint="eastAsia"/>
                <w:i w:val="0"/>
                <w:iCs w:val="0"/>
                <w:sz w:val="21"/>
                <w:szCs w:val="21"/>
                <w:lang w:val="zh-CN"/>
              </w:rPr>
              <w:t>土壤</w:t>
            </w:r>
          </w:p>
        </w:tc>
        <w:tc>
          <w:tcPr>
            <w:tcW w:w="818"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r>
              <w:rPr>
                <w:rFonts w:hint="eastAsia"/>
                <w:i w:val="0"/>
                <w:iCs w:val="0"/>
                <w:sz w:val="21"/>
                <w:szCs w:val="21"/>
                <w:lang w:val="zh-CN"/>
              </w:rPr>
              <w:t>□</w:t>
            </w:r>
          </w:p>
        </w:tc>
        <w:tc>
          <w:tcPr>
            <w:tcW w:w="633"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p>
        </w:tc>
        <w:tc>
          <w:tcPr>
            <w:tcW w:w="633"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p>
        </w:tc>
        <w:tc>
          <w:tcPr>
            <w:tcW w:w="570"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r>
              <w:rPr>
                <w:rFonts w:hint="eastAsia"/>
                <w:i w:val="0"/>
                <w:iCs w:val="0"/>
                <w:sz w:val="21"/>
                <w:szCs w:val="21"/>
                <w:lang w:val="zh-CN"/>
              </w:rPr>
              <w:t>○</w:t>
            </w:r>
          </w:p>
        </w:tc>
        <w:tc>
          <w:tcPr>
            <w:tcW w:w="570"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p>
        </w:tc>
        <w:tc>
          <w:tcPr>
            <w:tcW w:w="574"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01" w:type="pct"/>
            <w:noWrap w:val="0"/>
            <w:vAlign w:val="center"/>
          </w:tcPr>
          <w:p>
            <w:pPr>
              <w:ind w:left="-120" w:leftChars="-50" w:right="-120" w:rightChars="-50"/>
              <w:jc w:val="center"/>
              <w:rPr>
                <w:rFonts w:hint="eastAsia"/>
                <w:i w:val="0"/>
                <w:iCs w:val="0"/>
                <w:sz w:val="21"/>
                <w:szCs w:val="21"/>
              </w:rPr>
            </w:pPr>
            <w:r>
              <w:rPr>
                <w:rFonts w:hint="eastAsia"/>
                <w:i w:val="0"/>
                <w:iCs w:val="0"/>
                <w:sz w:val="21"/>
                <w:szCs w:val="21"/>
                <w:lang w:val="zh-CN"/>
              </w:rPr>
              <w:t>生态环境</w:t>
            </w:r>
          </w:p>
        </w:tc>
        <w:tc>
          <w:tcPr>
            <w:tcW w:w="818"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p>
        </w:tc>
        <w:tc>
          <w:tcPr>
            <w:tcW w:w="633"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r>
              <w:rPr>
                <w:rFonts w:hint="eastAsia"/>
                <w:i w:val="0"/>
                <w:iCs w:val="0"/>
                <w:sz w:val="21"/>
                <w:szCs w:val="21"/>
                <w:lang w:val="zh-CN"/>
              </w:rPr>
              <w:t>□</w:t>
            </w:r>
          </w:p>
        </w:tc>
        <w:tc>
          <w:tcPr>
            <w:tcW w:w="633"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r>
              <w:rPr>
                <w:rFonts w:hint="eastAsia"/>
                <w:i w:val="0"/>
                <w:iCs w:val="0"/>
                <w:sz w:val="21"/>
                <w:szCs w:val="21"/>
                <w:lang w:val="zh-CN"/>
              </w:rPr>
              <w:t>□</w:t>
            </w:r>
          </w:p>
        </w:tc>
        <w:tc>
          <w:tcPr>
            <w:tcW w:w="570"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p>
        </w:tc>
        <w:tc>
          <w:tcPr>
            <w:tcW w:w="570"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p>
        </w:tc>
        <w:tc>
          <w:tcPr>
            <w:tcW w:w="574"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01" w:type="pct"/>
            <w:noWrap w:val="0"/>
            <w:vAlign w:val="center"/>
          </w:tcPr>
          <w:p>
            <w:pPr>
              <w:ind w:left="-120" w:leftChars="-50" w:right="-120" w:rightChars="-50"/>
              <w:jc w:val="center"/>
              <w:rPr>
                <w:rFonts w:hint="eastAsia"/>
                <w:i w:val="0"/>
                <w:iCs w:val="0"/>
                <w:sz w:val="21"/>
                <w:szCs w:val="21"/>
              </w:rPr>
            </w:pPr>
            <w:r>
              <w:rPr>
                <w:rFonts w:hint="eastAsia"/>
                <w:i w:val="0"/>
                <w:iCs w:val="0"/>
                <w:sz w:val="21"/>
                <w:szCs w:val="21"/>
                <w:lang w:val="zh-CN"/>
              </w:rPr>
              <w:t>固体废物</w:t>
            </w:r>
          </w:p>
        </w:tc>
        <w:tc>
          <w:tcPr>
            <w:tcW w:w="818"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r>
              <w:rPr>
                <w:rFonts w:hint="eastAsia"/>
                <w:i w:val="0"/>
                <w:iCs w:val="0"/>
                <w:sz w:val="21"/>
                <w:szCs w:val="21"/>
                <w:lang w:val="zh-CN"/>
              </w:rPr>
              <w:t>□</w:t>
            </w:r>
          </w:p>
        </w:tc>
        <w:tc>
          <w:tcPr>
            <w:tcW w:w="633"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p>
        </w:tc>
        <w:tc>
          <w:tcPr>
            <w:tcW w:w="633"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r>
              <w:rPr>
                <w:rFonts w:hint="eastAsia"/>
                <w:i w:val="0"/>
                <w:iCs w:val="0"/>
                <w:sz w:val="21"/>
                <w:szCs w:val="21"/>
                <w:lang w:val="zh-CN"/>
              </w:rPr>
              <w:t>□</w:t>
            </w:r>
          </w:p>
        </w:tc>
        <w:tc>
          <w:tcPr>
            <w:tcW w:w="570"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r>
              <w:rPr>
                <w:rFonts w:hint="eastAsia"/>
                <w:i w:val="0"/>
                <w:iCs w:val="0"/>
                <w:sz w:val="21"/>
                <w:szCs w:val="21"/>
                <w:lang w:val="zh-CN"/>
              </w:rPr>
              <w:t>□</w:t>
            </w:r>
          </w:p>
        </w:tc>
        <w:tc>
          <w:tcPr>
            <w:tcW w:w="570"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p>
        </w:tc>
        <w:tc>
          <w:tcPr>
            <w:tcW w:w="574" w:type="pct"/>
            <w:noWrap w:val="0"/>
            <w:vAlign w:val="center"/>
          </w:tcPr>
          <w:p>
            <w:pPr>
              <w:ind w:left="-120" w:leftChars="-50" w:right="-120" w:rightChars="-50"/>
              <w:jc w:val="center"/>
              <w:rPr>
                <w:rFonts w:hint="eastAsia"/>
                <w:i w:val="0"/>
                <w:iCs w:val="0"/>
                <w:sz w:val="21"/>
                <w:szCs w:val="21"/>
              </w:rPr>
            </w:pPr>
            <w:r>
              <w:rPr>
                <w:rFonts w:hint="eastAsia"/>
                <w:i w:val="0"/>
                <w:iCs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01" w:type="pct"/>
            <w:noWrap w:val="0"/>
            <w:vAlign w:val="center"/>
          </w:tcPr>
          <w:p>
            <w:pPr>
              <w:ind w:left="-120" w:leftChars="-50" w:right="-120" w:rightChars="-50"/>
              <w:jc w:val="center"/>
              <w:rPr>
                <w:rFonts w:hint="eastAsia"/>
                <w:i w:val="0"/>
                <w:iCs w:val="0"/>
                <w:sz w:val="21"/>
                <w:szCs w:val="21"/>
              </w:rPr>
            </w:pPr>
            <w:r>
              <w:rPr>
                <w:rFonts w:hint="eastAsia"/>
                <w:i w:val="0"/>
                <w:iCs w:val="0"/>
                <w:sz w:val="21"/>
                <w:szCs w:val="21"/>
                <w:lang w:val="zh-CN"/>
              </w:rPr>
              <w:t>备注</w:t>
            </w:r>
          </w:p>
        </w:tc>
        <w:tc>
          <w:tcPr>
            <w:tcW w:w="3799" w:type="pct"/>
            <w:gridSpan w:val="6"/>
            <w:noWrap w:val="0"/>
            <w:vAlign w:val="center"/>
          </w:tcPr>
          <w:p>
            <w:pPr>
              <w:ind w:left="-120" w:leftChars="-50" w:right="-120" w:rightChars="-50"/>
              <w:jc w:val="center"/>
              <w:rPr>
                <w:rFonts w:hint="eastAsia"/>
                <w:i w:val="0"/>
                <w:iCs w:val="0"/>
                <w:sz w:val="21"/>
                <w:szCs w:val="21"/>
                <w:lang w:val="zh-CN"/>
              </w:rPr>
            </w:pPr>
            <w:r>
              <w:rPr>
                <w:rFonts w:hint="eastAsia"/>
                <w:i w:val="0"/>
                <w:iCs w:val="0"/>
                <w:sz w:val="21"/>
                <w:szCs w:val="21"/>
                <w:lang w:val="zh-CN"/>
              </w:rPr>
              <w:t>▲：有利影响；∆：不利影响；○：长期影响；□：短期影响。</w:t>
            </w:r>
          </w:p>
        </w:tc>
      </w:tr>
    </w:tbl>
    <w:p>
      <w:pPr>
        <w:spacing w:line="360" w:lineRule="auto"/>
        <w:ind w:firstLine="480" w:firstLineChars="200"/>
        <w:rPr>
          <w:i w:val="0"/>
          <w:iCs w:val="0"/>
        </w:rPr>
      </w:pPr>
      <w:r>
        <w:rPr>
          <w:rFonts w:hint="eastAsia"/>
          <w:i w:val="0"/>
          <w:iCs w:val="0"/>
        </w:rPr>
        <w:t>2</w:t>
      </w:r>
      <w:r>
        <w:rPr>
          <w:i w:val="0"/>
          <w:iCs w:val="0"/>
        </w:rPr>
        <w:t>.2.2评价因子筛选</w:t>
      </w:r>
    </w:p>
    <w:p>
      <w:pPr>
        <w:spacing w:line="360" w:lineRule="auto"/>
        <w:ind w:firstLine="480" w:firstLineChars="200"/>
        <w:rPr>
          <w:bCs/>
          <w:i w:val="0"/>
          <w:iCs w:val="0"/>
        </w:rPr>
      </w:pPr>
      <w:r>
        <w:rPr>
          <w:bCs/>
          <w:i w:val="0"/>
          <w:iCs w:val="0"/>
        </w:rPr>
        <w:t>由列出的矩阵表可以看出，本项目排出的污染物可能影响大气、地表水、地下水，对土壤环境的影响较小。</w:t>
      </w:r>
    </w:p>
    <w:p>
      <w:pPr>
        <w:spacing w:line="360" w:lineRule="auto"/>
        <w:ind w:firstLine="480" w:firstLineChars="200"/>
        <w:rPr>
          <w:i w:val="0"/>
          <w:iCs w:val="0"/>
        </w:rPr>
      </w:pPr>
      <w:r>
        <w:rPr>
          <w:bCs/>
          <w:i w:val="0"/>
          <w:iCs w:val="0"/>
        </w:rPr>
        <w:t>建设项目的环境影响评价因子筛选</w:t>
      </w:r>
      <w:r>
        <w:rPr>
          <w:i w:val="0"/>
          <w:iCs w:val="0"/>
        </w:rPr>
        <w:t>结果见表</w:t>
      </w:r>
      <w:r>
        <w:rPr>
          <w:rFonts w:hint="eastAsia"/>
          <w:i w:val="0"/>
          <w:iCs w:val="0"/>
        </w:rPr>
        <w:t>2</w:t>
      </w:r>
      <w:r>
        <w:rPr>
          <w:i w:val="0"/>
          <w:iCs w:val="0"/>
        </w:rPr>
        <w:t>-2。</w:t>
      </w:r>
    </w:p>
    <w:p>
      <w:pPr>
        <w:pStyle w:val="92"/>
        <w:spacing w:before="0" w:after="0" w:line="240" w:lineRule="auto"/>
        <w:ind w:firstLine="0"/>
        <w:jc w:val="center"/>
        <w:textAlignment w:val="baseline"/>
        <w:rPr>
          <w:rFonts w:hint="eastAsia" w:ascii="Times New Roman" w:eastAsia="宋体"/>
          <w:b/>
          <w:bCs/>
          <w:i w:val="0"/>
          <w:iCs w:val="0"/>
          <w:szCs w:val="24"/>
        </w:rPr>
      </w:pPr>
      <w:r>
        <w:rPr>
          <w:rFonts w:hint="eastAsia" w:ascii="Times New Roman" w:eastAsia="宋体"/>
          <w:b/>
          <w:bCs/>
          <w:i w:val="0"/>
          <w:iCs w:val="0"/>
          <w:szCs w:val="24"/>
        </w:rPr>
        <w:t>表2-2环境影响评价因子筛选</w:t>
      </w:r>
    </w:p>
    <w:tbl>
      <w:tblPr>
        <w:tblStyle w:val="5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5783"/>
        <w:gridCol w:w="21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78" w:type="dxa"/>
            <w:noWrap w:val="0"/>
            <w:vAlign w:val="center"/>
          </w:tcPr>
          <w:p>
            <w:pPr>
              <w:jc w:val="center"/>
              <w:rPr>
                <w:i w:val="0"/>
                <w:iCs w:val="0"/>
                <w:sz w:val="21"/>
                <w:szCs w:val="21"/>
              </w:rPr>
            </w:pPr>
            <w:r>
              <w:rPr>
                <w:i w:val="0"/>
                <w:iCs w:val="0"/>
                <w:sz w:val="21"/>
                <w:szCs w:val="21"/>
              </w:rPr>
              <w:t>项目</w:t>
            </w:r>
          </w:p>
        </w:tc>
        <w:tc>
          <w:tcPr>
            <w:tcW w:w="5783" w:type="dxa"/>
            <w:noWrap w:val="0"/>
            <w:vAlign w:val="center"/>
          </w:tcPr>
          <w:p>
            <w:pPr>
              <w:ind w:left="-120" w:leftChars="-50" w:right="-120" w:rightChars="-50"/>
              <w:jc w:val="center"/>
              <w:rPr>
                <w:i w:val="0"/>
                <w:iCs w:val="0"/>
                <w:sz w:val="21"/>
                <w:szCs w:val="21"/>
              </w:rPr>
            </w:pPr>
            <w:r>
              <w:rPr>
                <w:i w:val="0"/>
                <w:iCs w:val="0"/>
                <w:sz w:val="21"/>
                <w:szCs w:val="21"/>
              </w:rPr>
              <w:t>现状评价因子</w:t>
            </w:r>
          </w:p>
        </w:tc>
        <w:tc>
          <w:tcPr>
            <w:tcW w:w="2155" w:type="dxa"/>
            <w:noWrap w:val="0"/>
            <w:vAlign w:val="center"/>
          </w:tcPr>
          <w:p>
            <w:pPr>
              <w:ind w:left="-120" w:leftChars="-50" w:right="-120" w:rightChars="-50"/>
              <w:jc w:val="center"/>
              <w:rPr>
                <w:i w:val="0"/>
                <w:iCs w:val="0"/>
                <w:sz w:val="21"/>
                <w:szCs w:val="21"/>
              </w:rPr>
            </w:pPr>
            <w:r>
              <w:rPr>
                <w:i w:val="0"/>
                <w:iCs w:val="0"/>
                <w:sz w:val="21"/>
                <w:szCs w:val="21"/>
              </w:rPr>
              <w:t>预测评价因子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78" w:type="dxa"/>
            <w:noWrap w:val="0"/>
            <w:vAlign w:val="center"/>
          </w:tcPr>
          <w:p>
            <w:pPr>
              <w:jc w:val="center"/>
              <w:rPr>
                <w:i w:val="0"/>
                <w:iCs w:val="0"/>
                <w:sz w:val="21"/>
                <w:szCs w:val="21"/>
              </w:rPr>
            </w:pPr>
            <w:r>
              <w:rPr>
                <w:i w:val="0"/>
                <w:iCs w:val="0"/>
                <w:sz w:val="21"/>
                <w:szCs w:val="21"/>
              </w:rPr>
              <w:t>环境空气</w:t>
            </w:r>
          </w:p>
        </w:tc>
        <w:tc>
          <w:tcPr>
            <w:tcW w:w="5783" w:type="dxa"/>
            <w:noWrap w:val="0"/>
            <w:vAlign w:val="center"/>
          </w:tcPr>
          <w:p>
            <w:pPr>
              <w:ind w:left="-120" w:leftChars="-50" w:right="-120" w:rightChars="-50"/>
              <w:jc w:val="center"/>
              <w:rPr>
                <w:rFonts w:hint="eastAsia"/>
                <w:i w:val="0"/>
                <w:iCs w:val="0"/>
                <w:sz w:val="21"/>
                <w:szCs w:val="21"/>
              </w:rPr>
            </w:pPr>
            <w:r>
              <w:rPr>
                <w:i w:val="0"/>
                <w:iCs w:val="0"/>
                <w:sz w:val="21"/>
                <w:szCs w:val="21"/>
              </w:rPr>
              <w:t>SO</w:t>
            </w:r>
            <w:r>
              <w:rPr>
                <w:i w:val="0"/>
                <w:iCs w:val="0"/>
                <w:sz w:val="21"/>
                <w:szCs w:val="21"/>
                <w:vertAlign w:val="subscript"/>
              </w:rPr>
              <w:t>2、</w:t>
            </w:r>
            <w:r>
              <w:rPr>
                <w:i w:val="0"/>
                <w:iCs w:val="0"/>
                <w:sz w:val="21"/>
                <w:szCs w:val="21"/>
              </w:rPr>
              <w:t>NO</w:t>
            </w:r>
            <w:r>
              <w:rPr>
                <w:i w:val="0"/>
                <w:iCs w:val="0"/>
                <w:sz w:val="21"/>
                <w:szCs w:val="21"/>
                <w:vertAlign w:val="subscript"/>
              </w:rPr>
              <w:t>2</w:t>
            </w:r>
            <w:r>
              <w:rPr>
                <w:i w:val="0"/>
                <w:iCs w:val="0"/>
                <w:sz w:val="21"/>
                <w:szCs w:val="21"/>
              </w:rPr>
              <w:t>、PM</w:t>
            </w:r>
            <w:r>
              <w:rPr>
                <w:i w:val="0"/>
                <w:iCs w:val="0"/>
                <w:sz w:val="21"/>
                <w:szCs w:val="21"/>
                <w:vertAlign w:val="subscript"/>
              </w:rPr>
              <w:t>10</w:t>
            </w:r>
            <w:r>
              <w:rPr>
                <w:i w:val="0"/>
                <w:iCs w:val="0"/>
                <w:sz w:val="21"/>
                <w:szCs w:val="21"/>
              </w:rPr>
              <w:t>、PM</w:t>
            </w:r>
            <w:r>
              <w:rPr>
                <w:i w:val="0"/>
                <w:iCs w:val="0"/>
                <w:sz w:val="21"/>
                <w:szCs w:val="21"/>
                <w:vertAlign w:val="subscript"/>
              </w:rPr>
              <w:t>2.5</w:t>
            </w:r>
            <w:r>
              <w:rPr>
                <w:i w:val="0"/>
                <w:iCs w:val="0"/>
                <w:sz w:val="21"/>
                <w:szCs w:val="21"/>
              </w:rPr>
              <w:t>、CO、O</w:t>
            </w:r>
            <w:r>
              <w:rPr>
                <w:i w:val="0"/>
                <w:iCs w:val="0"/>
                <w:sz w:val="21"/>
                <w:szCs w:val="21"/>
                <w:vertAlign w:val="subscript"/>
              </w:rPr>
              <w:t>3</w:t>
            </w:r>
            <w:r>
              <w:rPr>
                <w:i w:val="0"/>
                <w:iCs w:val="0"/>
                <w:sz w:val="21"/>
                <w:szCs w:val="21"/>
              </w:rPr>
              <w:t>、</w:t>
            </w:r>
            <w:r>
              <w:rPr>
                <w:rFonts w:hint="eastAsia"/>
                <w:i w:val="0"/>
                <w:iCs w:val="0"/>
                <w:sz w:val="21"/>
                <w:szCs w:val="21"/>
              </w:rPr>
              <w:t>TSP</w:t>
            </w:r>
          </w:p>
          <w:p>
            <w:pPr>
              <w:ind w:left="-120" w:leftChars="-50" w:right="-120" w:rightChars="-50"/>
              <w:jc w:val="center"/>
              <w:rPr>
                <w:rFonts w:hint="eastAsia"/>
                <w:i w:val="0"/>
                <w:iCs w:val="0"/>
                <w:sz w:val="21"/>
                <w:szCs w:val="21"/>
              </w:rPr>
            </w:pPr>
            <w:r>
              <w:rPr>
                <w:i w:val="0"/>
                <w:iCs w:val="0"/>
                <w:sz w:val="21"/>
                <w:szCs w:val="21"/>
              </w:rPr>
              <w:t>NH</w:t>
            </w:r>
            <w:r>
              <w:rPr>
                <w:i w:val="0"/>
                <w:iCs w:val="0"/>
                <w:sz w:val="21"/>
                <w:szCs w:val="21"/>
                <w:vertAlign w:val="subscript"/>
              </w:rPr>
              <w:t>3</w:t>
            </w:r>
            <w:r>
              <w:rPr>
                <w:i w:val="0"/>
                <w:iCs w:val="0"/>
                <w:sz w:val="21"/>
                <w:szCs w:val="21"/>
              </w:rPr>
              <w:t>、H</w:t>
            </w:r>
            <w:r>
              <w:rPr>
                <w:i w:val="0"/>
                <w:iCs w:val="0"/>
                <w:sz w:val="21"/>
                <w:szCs w:val="21"/>
                <w:vertAlign w:val="subscript"/>
              </w:rPr>
              <w:t>2</w:t>
            </w:r>
            <w:r>
              <w:rPr>
                <w:i w:val="0"/>
                <w:iCs w:val="0"/>
                <w:sz w:val="21"/>
                <w:szCs w:val="21"/>
              </w:rPr>
              <w:t>S</w:t>
            </w:r>
            <w:r>
              <w:rPr>
                <w:rFonts w:hint="eastAsia"/>
                <w:i w:val="0"/>
                <w:iCs w:val="0"/>
                <w:sz w:val="21"/>
                <w:szCs w:val="21"/>
              </w:rPr>
              <w:t>、非甲烷总烃、臭气浓度</w:t>
            </w:r>
          </w:p>
        </w:tc>
        <w:tc>
          <w:tcPr>
            <w:tcW w:w="2155" w:type="dxa"/>
            <w:noWrap w:val="0"/>
            <w:vAlign w:val="center"/>
          </w:tcPr>
          <w:p>
            <w:pPr>
              <w:ind w:left="-120" w:leftChars="-50" w:right="-120" w:rightChars="-50"/>
              <w:jc w:val="center"/>
              <w:rPr>
                <w:rFonts w:hint="eastAsia" w:eastAsia="宋体"/>
                <w:i w:val="0"/>
                <w:iCs w:val="0"/>
                <w:sz w:val="21"/>
                <w:szCs w:val="21"/>
                <w:lang w:eastAsia="zh-CN"/>
              </w:rPr>
            </w:pPr>
            <w:r>
              <w:rPr>
                <w:i w:val="0"/>
                <w:iCs w:val="0"/>
                <w:sz w:val="21"/>
                <w:szCs w:val="21"/>
              </w:rPr>
              <w:t>NH</w:t>
            </w:r>
            <w:r>
              <w:rPr>
                <w:i w:val="0"/>
                <w:iCs w:val="0"/>
                <w:sz w:val="21"/>
                <w:szCs w:val="21"/>
                <w:vertAlign w:val="subscript"/>
              </w:rPr>
              <w:t>3</w:t>
            </w:r>
            <w:r>
              <w:rPr>
                <w:i w:val="0"/>
                <w:iCs w:val="0"/>
                <w:sz w:val="21"/>
                <w:szCs w:val="21"/>
              </w:rPr>
              <w:t>、</w:t>
            </w:r>
            <w:r>
              <w:rPr>
                <w:rFonts w:hint="eastAsia"/>
                <w:i w:val="0"/>
                <w:iCs w:val="0"/>
                <w:sz w:val="21"/>
                <w:szCs w:val="21"/>
              </w:rPr>
              <w:t>硫化氢、TSP</w:t>
            </w:r>
            <w:r>
              <w:rPr>
                <w:rFonts w:hint="eastAsia"/>
                <w:i w:val="0"/>
                <w:iCs w:val="0"/>
                <w:sz w:val="21"/>
                <w:szCs w:val="21"/>
                <w:lang w:eastAsia="zh-CN"/>
              </w:rPr>
              <w:t>、氮氧化物、二氧化硫、</w:t>
            </w:r>
            <w:r>
              <w:rPr>
                <w:rFonts w:hint="eastAsia"/>
                <w:i w:val="0"/>
                <w:iCs w:val="0"/>
                <w:sz w:val="21"/>
                <w:szCs w:val="21"/>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1078" w:type="dxa"/>
            <w:noWrap w:val="0"/>
            <w:vAlign w:val="center"/>
          </w:tcPr>
          <w:p>
            <w:pPr>
              <w:jc w:val="center"/>
              <w:rPr>
                <w:i w:val="0"/>
                <w:iCs w:val="0"/>
                <w:sz w:val="21"/>
                <w:szCs w:val="21"/>
              </w:rPr>
            </w:pPr>
            <w:r>
              <w:rPr>
                <w:i w:val="0"/>
                <w:iCs w:val="0"/>
                <w:sz w:val="21"/>
                <w:szCs w:val="21"/>
              </w:rPr>
              <w:t>地表水</w:t>
            </w:r>
          </w:p>
        </w:tc>
        <w:tc>
          <w:tcPr>
            <w:tcW w:w="5783" w:type="dxa"/>
            <w:noWrap w:val="0"/>
            <w:vAlign w:val="center"/>
          </w:tcPr>
          <w:p>
            <w:pPr>
              <w:jc w:val="center"/>
              <w:rPr>
                <w:i w:val="0"/>
                <w:iCs w:val="0"/>
                <w:sz w:val="21"/>
                <w:szCs w:val="21"/>
              </w:rPr>
            </w:pPr>
            <w:r>
              <w:rPr>
                <w:i w:val="0"/>
                <w:iCs w:val="0"/>
                <w:sz w:val="21"/>
                <w:szCs w:val="21"/>
              </w:rPr>
              <w:t>pH、COD、BOD</w:t>
            </w:r>
            <w:r>
              <w:rPr>
                <w:i w:val="0"/>
                <w:iCs w:val="0"/>
                <w:sz w:val="21"/>
                <w:szCs w:val="21"/>
                <w:vertAlign w:val="subscript"/>
              </w:rPr>
              <w:t>5</w:t>
            </w:r>
            <w:r>
              <w:rPr>
                <w:i w:val="0"/>
                <w:iCs w:val="0"/>
                <w:sz w:val="21"/>
                <w:szCs w:val="21"/>
              </w:rPr>
              <w:t>、NH</w:t>
            </w:r>
            <w:r>
              <w:rPr>
                <w:i w:val="0"/>
                <w:iCs w:val="0"/>
                <w:sz w:val="21"/>
                <w:szCs w:val="21"/>
                <w:vertAlign w:val="subscript"/>
              </w:rPr>
              <w:t>3</w:t>
            </w:r>
            <w:r>
              <w:rPr>
                <w:i w:val="0"/>
                <w:iCs w:val="0"/>
                <w:sz w:val="21"/>
                <w:szCs w:val="21"/>
              </w:rPr>
              <w:t>-N、</w:t>
            </w:r>
            <w:r>
              <w:rPr>
                <w:rFonts w:hint="eastAsia"/>
                <w:i w:val="0"/>
                <w:iCs w:val="0"/>
                <w:sz w:val="21"/>
                <w:szCs w:val="21"/>
              </w:rPr>
              <w:t>SS、总磷、挥发酚、</w:t>
            </w:r>
            <w:r>
              <w:rPr>
                <w:i w:val="0"/>
                <w:iCs w:val="0"/>
                <w:sz w:val="21"/>
                <w:szCs w:val="21"/>
              </w:rPr>
              <w:t>粪大肠菌群</w:t>
            </w:r>
          </w:p>
        </w:tc>
        <w:tc>
          <w:tcPr>
            <w:tcW w:w="2155" w:type="dxa"/>
            <w:noWrap w:val="0"/>
            <w:vAlign w:val="center"/>
          </w:tcPr>
          <w:p>
            <w:pPr>
              <w:jc w:val="center"/>
              <w:rPr>
                <w:i w:val="0"/>
                <w:iCs w:val="0"/>
                <w:sz w:val="21"/>
                <w:szCs w:val="21"/>
              </w:rPr>
            </w:pPr>
            <w:r>
              <w:rPr>
                <w:i w:val="0"/>
                <w:iCs w:val="0"/>
                <w:sz w:val="21"/>
                <w:szCs w:val="21"/>
              </w:rPr>
              <w:t>COD</w:t>
            </w:r>
            <w:r>
              <w:rPr>
                <w:rFonts w:hint="eastAsia"/>
                <w:i w:val="0"/>
                <w:iCs w:val="0"/>
                <w:sz w:val="21"/>
                <w:szCs w:val="21"/>
              </w:rPr>
              <w:t>、</w:t>
            </w:r>
            <w:r>
              <w:rPr>
                <w:i w:val="0"/>
                <w:iCs w:val="0"/>
                <w:sz w:val="21"/>
                <w:szCs w:val="21"/>
              </w:rPr>
              <w:t>BOD</w:t>
            </w:r>
            <w:r>
              <w:rPr>
                <w:i w:val="0"/>
                <w:iCs w:val="0"/>
                <w:sz w:val="21"/>
                <w:szCs w:val="21"/>
                <w:vertAlign w:val="subscript"/>
              </w:rPr>
              <w:t>5</w:t>
            </w:r>
            <w:r>
              <w:rPr>
                <w:rFonts w:hint="eastAsia"/>
                <w:i w:val="0"/>
                <w:iCs w:val="0"/>
                <w:sz w:val="21"/>
                <w:szCs w:val="21"/>
              </w:rPr>
              <w:t>、</w:t>
            </w:r>
            <w:r>
              <w:rPr>
                <w:i w:val="0"/>
                <w:iCs w:val="0"/>
                <w:sz w:val="21"/>
                <w:szCs w:val="21"/>
              </w:rPr>
              <w:t>SS</w:t>
            </w:r>
            <w:r>
              <w:rPr>
                <w:rFonts w:hint="eastAsia"/>
                <w:i w:val="0"/>
                <w:iCs w:val="0"/>
                <w:sz w:val="21"/>
                <w:szCs w:val="21"/>
              </w:rPr>
              <w:t>、</w:t>
            </w:r>
            <w:r>
              <w:rPr>
                <w:i w:val="0"/>
                <w:iCs w:val="0"/>
                <w:sz w:val="21"/>
                <w:szCs w:val="21"/>
              </w:rPr>
              <w:t>NH</w:t>
            </w:r>
            <w:r>
              <w:rPr>
                <w:i w:val="0"/>
                <w:iCs w:val="0"/>
                <w:sz w:val="21"/>
                <w:szCs w:val="21"/>
                <w:vertAlign w:val="subscript"/>
              </w:rPr>
              <w:t>3</w:t>
            </w:r>
            <w:r>
              <w:rPr>
                <w:i w:val="0"/>
                <w:iCs w:val="0"/>
                <w:sz w:val="21"/>
                <w:szCs w:val="21"/>
              </w:rPr>
              <w:t>-N</w:t>
            </w:r>
            <w:r>
              <w:rPr>
                <w:rFonts w:hint="eastAsia"/>
                <w:i w:val="0"/>
                <w:iCs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78" w:type="dxa"/>
            <w:noWrap w:val="0"/>
            <w:vAlign w:val="center"/>
          </w:tcPr>
          <w:p>
            <w:pPr>
              <w:jc w:val="center"/>
              <w:rPr>
                <w:i w:val="0"/>
                <w:iCs w:val="0"/>
                <w:sz w:val="21"/>
                <w:szCs w:val="21"/>
              </w:rPr>
            </w:pPr>
            <w:r>
              <w:rPr>
                <w:i w:val="0"/>
                <w:iCs w:val="0"/>
                <w:sz w:val="21"/>
                <w:szCs w:val="21"/>
              </w:rPr>
              <w:t>地下水</w:t>
            </w:r>
          </w:p>
        </w:tc>
        <w:tc>
          <w:tcPr>
            <w:tcW w:w="5783" w:type="dxa"/>
            <w:noWrap w:val="0"/>
            <w:vAlign w:val="center"/>
          </w:tcPr>
          <w:p>
            <w:pPr>
              <w:jc w:val="center"/>
              <w:rPr>
                <w:i w:val="0"/>
                <w:iCs w:val="0"/>
                <w:sz w:val="21"/>
                <w:szCs w:val="21"/>
              </w:rPr>
            </w:pPr>
            <w:r>
              <w:rPr>
                <w:rFonts w:hint="eastAsia"/>
                <w:i w:val="0"/>
                <w:iCs w:val="0"/>
                <w:sz w:val="21"/>
                <w:szCs w:val="21"/>
              </w:rPr>
              <w:t>K</w:t>
            </w:r>
            <w:r>
              <w:rPr>
                <w:rFonts w:hint="eastAsia"/>
                <w:i w:val="0"/>
                <w:iCs w:val="0"/>
                <w:sz w:val="21"/>
                <w:szCs w:val="21"/>
                <w:vertAlign w:val="superscript"/>
              </w:rPr>
              <w:t>+</w:t>
            </w:r>
            <w:r>
              <w:rPr>
                <w:rFonts w:hint="eastAsia"/>
                <w:i w:val="0"/>
                <w:iCs w:val="0"/>
                <w:sz w:val="21"/>
                <w:szCs w:val="21"/>
              </w:rPr>
              <w:t>、Na</w:t>
            </w:r>
            <w:r>
              <w:rPr>
                <w:rFonts w:hint="eastAsia"/>
                <w:i w:val="0"/>
                <w:iCs w:val="0"/>
                <w:sz w:val="21"/>
                <w:szCs w:val="21"/>
                <w:vertAlign w:val="superscript"/>
              </w:rPr>
              <w:t>+</w:t>
            </w:r>
            <w:r>
              <w:rPr>
                <w:rFonts w:hint="eastAsia"/>
                <w:i w:val="0"/>
                <w:iCs w:val="0"/>
                <w:sz w:val="21"/>
                <w:szCs w:val="21"/>
              </w:rPr>
              <w:t>、Ca</w:t>
            </w:r>
            <w:r>
              <w:rPr>
                <w:rFonts w:hint="eastAsia"/>
                <w:i w:val="0"/>
                <w:iCs w:val="0"/>
                <w:sz w:val="21"/>
                <w:szCs w:val="21"/>
                <w:vertAlign w:val="superscript"/>
              </w:rPr>
              <w:t>2+</w:t>
            </w:r>
            <w:r>
              <w:rPr>
                <w:rFonts w:hint="eastAsia"/>
                <w:i w:val="0"/>
                <w:iCs w:val="0"/>
                <w:sz w:val="21"/>
                <w:szCs w:val="21"/>
              </w:rPr>
              <w:t>、Mg</w:t>
            </w:r>
            <w:r>
              <w:rPr>
                <w:rFonts w:hint="eastAsia"/>
                <w:i w:val="0"/>
                <w:iCs w:val="0"/>
                <w:sz w:val="21"/>
                <w:szCs w:val="21"/>
                <w:vertAlign w:val="superscript"/>
              </w:rPr>
              <w:t>2+</w:t>
            </w:r>
            <w:r>
              <w:rPr>
                <w:rFonts w:hint="eastAsia"/>
                <w:i w:val="0"/>
                <w:iCs w:val="0"/>
                <w:sz w:val="21"/>
                <w:szCs w:val="21"/>
              </w:rPr>
              <w:t>、CO</w:t>
            </w:r>
            <w:r>
              <w:rPr>
                <w:rFonts w:hint="eastAsia"/>
                <w:i w:val="0"/>
                <w:iCs w:val="0"/>
                <w:sz w:val="21"/>
                <w:szCs w:val="21"/>
                <w:vertAlign w:val="subscript"/>
              </w:rPr>
              <w:t>3</w:t>
            </w:r>
            <w:r>
              <w:rPr>
                <w:rFonts w:hint="eastAsia"/>
                <w:i w:val="0"/>
                <w:iCs w:val="0"/>
                <w:sz w:val="21"/>
                <w:szCs w:val="21"/>
                <w:vertAlign w:val="superscript"/>
              </w:rPr>
              <w:t>2-</w:t>
            </w:r>
            <w:r>
              <w:rPr>
                <w:rFonts w:hint="eastAsia"/>
                <w:i w:val="0"/>
                <w:iCs w:val="0"/>
                <w:sz w:val="21"/>
                <w:szCs w:val="21"/>
              </w:rPr>
              <w:t>、HCO</w:t>
            </w:r>
            <w:r>
              <w:rPr>
                <w:rFonts w:hint="eastAsia"/>
                <w:i w:val="0"/>
                <w:iCs w:val="0"/>
                <w:sz w:val="21"/>
                <w:szCs w:val="21"/>
                <w:vertAlign w:val="superscript"/>
              </w:rPr>
              <w:t>3-</w:t>
            </w:r>
            <w:r>
              <w:rPr>
                <w:rFonts w:hint="eastAsia"/>
                <w:i w:val="0"/>
                <w:iCs w:val="0"/>
                <w:sz w:val="21"/>
                <w:szCs w:val="21"/>
              </w:rPr>
              <w:t>、CI</w:t>
            </w:r>
            <w:r>
              <w:rPr>
                <w:rFonts w:hint="eastAsia"/>
                <w:i w:val="0"/>
                <w:iCs w:val="0"/>
                <w:sz w:val="21"/>
                <w:szCs w:val="21"/>
                <w:vertAlign w:val="superscript"/>
              </w:rPr>
              <w:t>-</w:t>
            </w:r>
            <w:r>
              <w:rPr>
                <w:rFonts w:hint="eastAsia"/>
                <w:i w:val="0"/>
                <w:iCs w:val="0"/>
                <w:sz w:val="21"/>
                <w:szCs w:val="21"/>
              </w:rPr>
              <w:t>、SO4</w:t>
            </w:r>
            <w:r>
              <w:rPr>
                <w:rFonts w:hint="eastAsia"/>
                <w:i w:val="0"/>
                <w:iCs w:val="0"/>
                <w:sz w:val="21"/>
                <w:szCs w:val="21"/>
                <w:vertAlign w:val="superscript"/>
              </w:rPr>
              <w:t>2-</w:t>
            </w:r>
            <w:r>
              <w:rPr>
                <w:rFonts w:hint="eastAsia"/>
                <w:i w:val="0"/>
                <w:iCs w:val="0"/>
                <w:sz w:val="21"/>
                <w:szCs w:val="21"/>
              </w:rPr>
              <w:t>、pH、总硬度、溶解性总固体、硫酸盐、氯化物、挥发性酚类、阴离子表面活性剂、耗氧量、总大肠杆菌、氨氮</w:t>
            </w:r>
          </w:p>
        </w:tc>
        <w:tc>
          <w:tcPr>
            <w:tcW w:w="2155" w:type="dxa"/>
            <w:noWrap w:val="0"/>
            <w:vAlign w:val="center"/>
          </w:tcPr>
          <w:p>
            <w:pPr>
              <w:jc w:val="center"/>
              <w:rPr>
                <w:i w:val="0"/>
                <w:iCs w:val="0"/>
                <w:sz w:val="21"/>
                <w:szCs w:val="21"/>
              </w:rPr>
            </w:pPr>
            <w:r>
              <w:rPr>
                <w:rFonts w:hint="eastAsia"/>
                <w:i w:val="0"/>
                <w:iCs w:val="0"/>
                <w:sz w:val="21"/>
                <w:szCs w:val="21"/>
              </w:rPr>
              <w:t>COD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1" w:hRule="atLeast"/>
          <w:jc w:val="center"/>
        </w:trPr>
        <w:tc>
          <w:tcPr>
            <w:tcW w:w="1078" w:type="dxa"/>
            <w:noWrap w:val="0"/>
            <w:vAlign w:val="center"/>
          </w:tcPr>
          <w:p>
            <w:pPr>
              <w:jc w:val="center"/>
              <w:rPr>
                <w:i w:val="0"/>
                <w:iCs w:val="0"/>
                <w:sz w:val="21"/>
                <w:szCs w:val="21"/>
              </w:rPr>
            </w:pPr>
            <w:r>
              <w:rPr>
                <w:i w:val="0"/>
                <w:iCs w:val="0"/>
                <w:sz w:val="21"/>
                <w:szCs w:val="21"/>
              </w:rPr>
              <w:t>声环境</w:t>
            </w:r>
          </w:p>
        </w:tc>
        <w:tc>
          <w:tcPr>
            <w:tcW w:w="5783" w:type="dxa"/>
            <w:noWrap w:val="0"/>
            <w:vAlign w:val="center"/>
          </w:tcPr>
          <w:p>
            <w:pPr>
              <w:ind w:left="-120" w:leftChars="-50" w:right="-120" w:rightChars="-50"/>
              <w:jc w:val="center"/>
              <w:rPr>
                <w:i w:val="0"/>
                <w:iCs w:val="0"/>
                <w:sz w:val="21"/>
                <w:szCs w:val="21"/>
              </w:rPr>
            </w:pPr>
            <w:r>
              <w:rPr>
                <w:i w:val="0"/>
                <w:iCs w:val="0"/>
                <w:sz w:val="21"/>
                <w:szCs w:val="21"/>
              </w:rPr>
              <w:t>等效A声级dB(A)</w:t>
            </w:r>
          </w:p>
        </w:tc>
        <w:tc>
          <w:tcPr>
            <w:tcW w:w="2155" w:type="dxa"/>
            <w:noWrap w:val="0"/>
            <w:vAlign w:val="center"/>
          </w:tcPr>
          <w:p>
            <w:pPr>
              <w:ind w:left="-120" w:leftChars="-50" w:right="-120" w:rightChars="-50"/>
              <w:jc w:val="center"/>
              <w:rPr>
                <w:i w:val="0"/>
                <w:iCs w:val="0"/>
                <w:sz w:val="21"/>
                <w:szCs w:val="21"/>
              </w:rPr>
            </w:pPr>
            <w:r>
              <w:rPr>
                <w:i w:val="0"/>
                <w:iCs w:val="0"/>
                <w:sz w:val="21"/>
                <w:szCs w:val="21"/>
              </w:rPr>
              <w:t>厂界噪声dB(A)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1" w:hRule="atLeast"/>
          <w:jc w:val="center"/>
        </w:trPr>
        <w:tc>
          <w:tcPr>
            <w:tcW w:w="1078" w:type="dxa"/>
            <w:noWrap w:val="0"/>
            <w:vAlign w:val="center"/>
          </w:tcPr>
          <w:p>
            <w:pPr>
              <w:jc w:val="center"/>
              <w:rPr>
                <w:i w:val="0"/>
                <w:iCs w:val="0"/>
                <w:sz w:val="21"/>
                <w:szCs w:val="21"/>
              </w:rPr>
            </w:pPr>
            <w:r>
              <w:rPr>
                <w:i w:val="0"/>
                <w:iCs w:val="0"/>
                <w:sz w:val="21"/>
                <w:szCs w:val="21"/>
              </w:rPr>
              <w:t>固体废物</w:t>
            </w:r>
          </w:p>
        </w:tc>
        <w:tc>
          <w:tcPr>
            <w:tcW w:w="7938" w:type="dxa"/>
            <w:gridSpan w:val="2"/>
            <w:noWrap w:val="0"/>
            <w:vAlign w:val="center"/>
          </w:tcPr>
          <w:p>
            <w:pPr>
              <w:ind w:left="-120" w:leftChars="-50" w:right="-120" w:rightChars="-50"/>
              <w:jc w:val="center"/>
              <w:rPr>
                <w:i w:val="0"/>
                <w:iCs w:val="0"/>
                <w:sz w:val="21"/>
                <w:szCs w:val="21"/>
              </w:rPr>
            </w:pPr>
            <w:r>
              <w:rPr>
                <w:i w:val="0"/>
                <w:iCs w:val="0"/>
                <w:sz w:val="21"/>
                <w:szCs w:val="21"/>
              </w:rPr>
              <w:t>工业固体废物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78" w:type="dxa"/>
            <w:noWrap w:val="0"/>
            <w:vAlign w:val="center"/>
          </w:tcPr>
          <w:p>
            <w:pPr>
              <w:jc w:val="center"/>
              <w:rPr>
                <w:i w:val="0"/>
                <w:iCs w:val="0"/>
                <w:sz w:val="21"/>
                <w:szCs w:val="21"/>
              </w:rPr>
            </w:pPr>
            <w:r>
              <w:rPr>
                <w:i w:val="0"/>
                <w:iCs w:val="0"/>
                <w:sz w:val="21"/>
                <w:szCs w:val="21"/>
              </w:rPr>
              <w:t>环境风险</w:t>
            </w:r>
          </w:p>
        </w:tc>
        <w:tc>
          <w:tcPr>
            <w:tcW w:w="7938" w:type="dxa"/>
            <w:gridSpan w:val="2"/>
            <w:noWrap w:val="0"/>
            <w:vAlign w:val="center"/>
          </w:tcPr>
          <w:p>
            <w:pPr>
              <w:ind w:left="-120" w:leftChars="-50" w:right="-120" w:rightChars="-50"/>
              <w:jc w:val="center"/>
              <w:rPr>
                <w:i w:val="0"/>
                <w:iCs w:val="0"/>
                <w:sz w:val="21"/>
                <w:szCs w:val="21"/>
              </w:rPr>
            </w:pPr>
            <w:r>
              <w:rPr>
                <w:rFonts w:hint="eastAsia"/>
                <w:i w:val="0"/>
                <w:iCs w:val="0"/>
                <w:sz w:val="21"/>
                <w:szCs w:val="21"/>
                <w:lang w:eastAsia="zh-CN"/>
              </w:rPr>
              <w:t>乙醇储罐、</w:t>
            </w:r>
            <w:r>
              <w:rPr>
                <w:rFonts w:hint="eastAsia"/>
                <w:i w:val="0"/>
                <w:iCs w:val="0"/>
                <w:sz w:val="21"/>
                <w:szCs w:val="21"/>
              </w:rPr>
              <w:t>氨水储罐泄漏</w:t>
            </w:r>
            <w:r>
              <w:rPr>
                <w:i w:val="0"/>
                <w:iCs w:val="0"/>
                <w:sz w:val="21"/>
                <w:szCs w:val="21"/>
              </w:rPr>
              <w:t>对周围环境的影响及环境风险可</w:t>
            </w:r>
            <w:r>
              <w:rPr>
                <w:rFonts w:hint="eastAsia"/>
                <w:i w:val="0"/>
                <w:iCs w:val="0"/>
                <w:sz w:val="21"/>
                <w:szCs w:val="21"/>
              </w:rPr>
              <w:t>控性分析</w:t>
            </w:r>
          </w:p>
        </w:tc>
      </w:tr>
    </w:tbl>
    <w:p>
      <w:pPr>
        <w:pStyle w:val="4"/>
        <w:rPr>
          <w:rFonts w:ascii="Times New Roman" w:hAnsi="Times New Roman" w:eastAsia="宋体"/>
          <w:b/>
          <w:i w:val="0"/>
          <w:iCs w:val="0"/>
          <w:sz w:val="28"/>
          <w:szCs w:val="28"/>
        </w:rPr>
      </w:pPr>
      <w:bookmarkStart w:id="42" w:name="_Toc201043726"/>
      <w:bookmarkStart w:id="43" w:name="_Toc197308670"/>
      <w:bookmarkStart w:id="44" w:name="_Toc193602511"/>
      <w:bookmarkStart w:id="45" w:name="_Toc309821124"/>
      <w:bookmarkStart w:id="46" w:name="_Toc193601772"/>
      <w:bookmarkStart w:id="47" w:name="_Toc195628217"/>
      <w:bookmarkStart w:id="48" w:name="_Toc195365710"/>
      <w:bookmarkStart w:id="49" w:name="_Toc216804100"/>
      <w:bookmarkStart w:id="50" w:name="_Toc195158749"/>
      <w:bookmarkStart w:id="51" w:name="_Toc196211576"/>
      <w:bookmarkStart w:id="52" w:name="_Toc216921061"/>
      <w:bookmarkStart w:id="53" w:name="_Toc195628076"/>
      <w:bookmarkStart w:id="54" w:name="_Toc216803620"/>
      <w:bookmarkStart w:id="55" w:name="_Toc195365808"/>
      <w:bookmarkStart w:id="56" w:name="_Toc216402613"/>
      <w:bookmarkStart w:id="57" w:name="_Toc195628380"/>
      <w:bookmarkStart w:id="58" w:name="_Toc200939197"/>
      <w:bookmarkStart w:id="59" w:name="_Toc193602107"/>
      <w:bookmarkStart w:id="60" w:name="_Toc200938710"/>
      <w:bookmarkStart w:id="61" w:name="_Toc4731"/>
      <w:r>
        <w:rPr>
          <w:rFonts w:hint="eastAsia" w:ascii="Times New Roman" w:hAnsi="Times New Roman" w:eastAsia="宋体"/>
          <w:b/>
          <w:i w:val="0"/>
          <w:iCs w:val="0"/>
          <w:sz w:val="28"/>
          <w:szCs w:val="28"/>
        </w:rPr>
        <w:t>2</w:t>
      </w:r>
      <w:r>
        <w:rPr>
          <w:rFonts w:ascii="Times New Roman" w:hAnsi="Times New Roman" w:eastAsia="宋体"/>
          <w:b/>
          <w:i w:val="0"/>
          <w:iCs w:val="0"/>
          <w:sz w:val="28"/>
          <w:szCs w:val="28"/>
        </w:rPr>
        <w:t>.3</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Pr>
          <w:rFonts w:ascii="Times New Roman" w:hAnsi="Times New Roman" w:eastAsia="宋体"/>
          <w:b/>
          <w:i w:val="0"/>
          <w:iCs w:val="0"/>
          <w:sz w:val="28"/>
          <w:szCs w:val="28"/>
        </w:rPr>
        <w:t>环境质量功能区及评价标准</w:t>
      </w:r>
      <w:bookmarkEnd w:id="61"/>
    </w:p>
    <w:p>
      <w:pPr>
        <w:spacing w:line="360" w:lineRule="auto"/>
        <w:ind w:firstLine="482" w:firstLineChars="200"/>
        <w:rPr>
          <w:b/>
          <w:i w:val="0"/>
          <w:iCs w:val="0"/>
        </w:rPr>
      </w:pPr>
      <w:r>
        <w:rPr>
          <w:rFonts w:hint="eastAsia"/>
          <w:b/>
          <w:i w:val="0"/>
          <w:iCs w:val="0"/>
        </w:rPr>
        <w:t>2</w:t>
      </w:r>
      <w:r>
        <w:rPr>
          <w:b/>
          <w:i w:val="0"/>
          <w:iCs w:val="0"/>
        </w:rPr>
        <w:t>.3.1环境质量功能</w:t>
      </w:r>
      <w:r>
        <w:rPr>
          <w:rFonts w:hint="eastAsia"/>
          <w:b/>
          <w:i w:val="0"/>
          <w:iCs w:val="0"/>
        </w:rPr>
        <w:t>区划</w:t>
      </w:r>
    </w:p>
    <w:p>
      <w:pPr>
        <w:spacing w:line="360" w:lineRule="auto"/>
        <w:ind w:firstLine="480" w:firstLineChars="200"/>
        <w:rPr>
          <w:rFonts w:hint="eastAsia"/>
          <w:i w:val="0"/>
          <w:iCs w:val="0"/>
        </w:rPr>
      </w:pPr>
      <w:r>
        <w:rPr>
          <w:rFonts w:hint="eastAsia"/>
          <w:i w:val="0"/>
          <w:iCs w:val="0"/>
        </w:rPr>
        <w:t>环境空气：</w:t>
      </w:r>
      <w:r>
        <w:rPr>
          <w:i w:val="0"/>
          <w:iCs w:val="0"/>
        </w:rPr>
        <w:t>本项目所在区域属于环境空气质量二类区</w:t>
      </w:r>
      <w:r>
        <w:rPr>
          <w:rFonts w:hint="eastAsia"/>
          <w:i w:val="0"/>
          <w:iCs w:val="0"/>
        </w:rPr>
        <w:t>，</w:t>
      </w:r>
      <w:r>
        <w:rPr>
          <w:i w:val="0"/>
          <w:iCs w:val="0"/>
        </w:rPr>
        <w:t>环境空气执行《环境空气质量标准》（GB3095-2012）中二类区</w:t>
      </w:r>
      <w:r>
        <w:rPr>
          <w:rFonts w:hint="eastAsia"/>
          <w:i w:val="0"/>
          <w:iCs w:val="0"/>
        </w:rPr>
        <w:t>。</w:t>
      </w:r>
    </w:p>
    <w:p>
      <w:pPr>
        <w:spacing w:line="360" w:lineRule="auto"/>
        <w:ind w:firstLine="480" w:firstLineChars="200"/>
        <w:rPr>
          <w:rFonts w:hint="eastAsia"/>
          <w:i w:val="0"/>
          <w:iCs w:val="0"/>
        </w:rPr>
      </w:pPr>
      <w:r>
        <w:rPr>
          <w:rFonts w:hint="eastAsia"/>
          <w:i w:val="0"/>
          <w:iCs w:val="0"/>
        </w:rPr>
        <w:t>地表水：</w:t>
      </w:r>
      <w:r>
        <w:rPr>
          <w:i w:val="0"/>
          <w:iCs w:val="0"/>
        </w:rPr>
        <w:t>本项目所在区域</w:t>
      </w:r>
      <w:r>
        <w:rPr>
          <w:rFonts w:hint="eastAsia"/>
          <w:i w:val="0"/>
          <w:iCs w:val="0"/>
        </w:rPr>
        <w:t>区域地表水体</w:t>
      </w:r>
      <w:r>
        <w:rPr>
          <w:i w:val="0"/>
          <w:iCs w:val="0"/>
        </w:rPr>
        <w:t>为</w:t>
      </w:r>
      <w:r>
        <w:rPr>
          <w:rFonts w:hint="eastAsia"/>
          <w:i w:val="0"/>
          <w:iCs w:val="0"/>
        </w:rPr>
        <w:t>浑江</w:t>
      </w:r>
      <w:r>
        <w:rPr>
          <w:i w:val="0"/>
          <w:iCs w:val="0"/>
        </w:rPr>
        <w:t>，根据《吉林省地表水功能区》（DB22/388-2004）要求，受纳水体</w:t>
      </w:r>
      <w:r>
        <w:rPr>
          <w:rFonts w:hint="eastAsia"/>
          <w:i w:val="0"/>
          <w:iCs w:val="0"/>
        </w:rPr>
        <w:t>浑江</w:t>
      </w:r>
      <w:r>
        <w:rPr>
          <w:i w:val="0"/>
          <w:iCs w:val="0"/>
        </w:rPr>
        <w:t>水质功能为</w:t>
      </w:r>
      <w:r>
        <w:rPr>
          <w:rFonts w:hint="eastAsia" w:ascii="宋体" w:hAnsi="宋体" w:cs="宋体"/>
          <w:i w:val="0"/>
          <w:iCs w:val="0"/>
        </w:rPr>
        <w:t>Ⅲ</w:t>
      </w:r>
      <w:r>
        <w:rPr>
          <w:i w:val="0"/>
          <w:iCs w:val="0"/>
        </w:rPr>
        <w:t>类区</w:t>
      </w:r>
      <w:r>
        <w:rPr>
          <w:rFonts w:hint="eastAsia"/>
          <w:i w:val="0"/>
          <w:iCs w:val="0"/>
        </w:rPr>
        <w:t>。</w:t>
      </w:r>
    </w:p>
    <w:p>
      <w:pPr>
        <w:spacing w:line="360" w:lineRule="auto"/>
        <w:ind w:firstLine="480" w:firstLineChars="200"/>
        <w:rPr>
          <w:rFonts w:hint="eastAsia"/>
          <w:i w:val="0"/>
          <w:iCs w:val="0"/>
          <w:u w:val="single"/>
        </w:rPr>
      </w:pPr>
      <w:r>
        <w:rPr>
          <w:rFonts w:hint="eastAsia"/>
          <w:i w:val="0"/>
          <w:iCs w:val="0"/>
          <w:u w:val="single"/>
        </w:rPr>
        <w:t>声环境：</w:t>
      </w:r>
      <w:r>
        <w:rPr>
          <w:rFonts w:hint="eastAsia"/>
          <w:i w:val="0"/>
          <w:iCs w:val="0"/>
          <w:color w:val="000000"/>
          <w:kern w:val="0"/>
          <w:u w:val="single"/>
          <w:lang w:val="en-US" w:eastAsia="zh-CN" w:bidi="ar"/>
        </w:rPr>
        <w:t>根据白山市声环境功能区</w:t>
      </w:r>
      <w:r>
        <w:rPr>
          <w:rFonts w:hint="eastAsia"/>
          <w:i w:val="0"/>
          <w:iCs w:val="0"/>
          <w:u w:val="single"/>
        </w:rPr>
        <w:t>确定</w:t>
      </w:r>
      <w:r>
        <w:rPr>
          <w:i w:val="0"/>
          <w:iCs w:val="0"/>
          <w:u w:val="single"/>
        </w:rPr>
        <w:t>本项目所在区域属于声环境</w:t>
      </w:r>
      <w:r>
        <w:rPr>
          <w:rFonts w:hint="eastAsia"/>
          <w:i w:val="0"/>
          <w:iCs w:val="0"/>
          <w:u w:val="single"/>
          <w:lang w:val="en-US" w:eastAsia="zh-CN"/>
        </w:rPr>
        <w:t>2</w:t>
      </w:r>
      <w:r>
        <w:rPr>
          <w:i w:val="0"/>
          <w:iCs w:val="0"/>
          <w:u w:val="single"/>
        </w:rPr>
        <w:t>类功能区</w:t>
      </w:r>
      <w:r>
        <w:rPr>
          <w:rFonts w:hint="eastAsia"/>
          <w:i w:val="0"/>
          <w:iCs w:val="0"/>
          <w:u w:val="single"/>
        </w:rPr>
        <w:t>，厂区</w:t>
      </w:r>
      <w:r>
        <w:rPr>
          <w:i w:val="0"/>
          <w:iCs w:val="0"/>
          <w:u w:val="single"/>
        </w:rPr>
        <w:t>执行《声环境质量标准》(GB3096-2008)中的</w:t>
      </w:r>
      <w:r>
        <w:rPr>
          <w:rFonts w:hint="eastAsia"/>
          <w:i w:val="0"/>
          <w:iCs w:val="0"/>
          <w:u w:val="single"/>
          <w:lang w:val="en-US" w:eastAsia="zh-CN"/>
        </w:rPr>
        <w:t>2</w:t>
      </w:r>
      <w:r>
        <w:rPr>
          <w:i w:val="0"/>
          <w:iCs w:val="0"/>
          <w:u w:val="single"/>
        </w:rPr>
        <w:t>类声环境功能区标准</w:t>
      </w:r>
      <w:r>
        <w:rPr>
          <w:rFonts w:hint="eastAsia"/>
          <w:i w:val="0"/>
          <w:iCs w:val="0"/>
          <w:u w:val="single"/>
        </w:rPr>
        <w:t>。</w:t>
      </w:r>
    </w:p>
    <w:p>
      <w:pPr>
        <w:spacing w:line="360" w:lineRule="auto"/>
        <w:ind w:firstLine="480" w:firstLineChars="200"/>
        <w:rPr>
          <w:i w:val="0"/>
          <w:iCs w:val="0"/>
        </w:rPr>
      </w:pPr>
      <w:r>
        <w:rPr>
          <w:rFonts w:hint="eastAsia"/>
          <w:i w:val="0"/>
          <w:iCs w:val="0"/>
        </w:rPr>
        <w:t>地下水：评价区域地下水以人体健康基准值为依据，主要适用于集中式生活饮用水水源及工、农业水，根据《地下水质量标准》（GB/T14848-2017）中地下水质量分级划分，评价区域内地下水</w:t>
      </w:r>
      <w:r>
        <w:rPr>
          <w:i w:val="0"/>
          <w:iCs w:val="0"/>
        </w:rPr>
        <w:t>使用功能为农业用水及生活饮用水</w:t>
      </w:r>
      <w:r>
        <w:rPr>
          <w:rFonts w:hint="eastAsia"/>
          <w:i w:val="0"/>
          <w:iCs w:val="0"/>
        </w:rPr>
        <w:t>，</w:t>
      </w:r>
      <w:r>
        <w:rPr>
          <w:i w:val="0"/>
          <w:iCs w:val="0"/>
        </w:rPr>
        <w:t>相应地执行《地下水质量标准》（GB/T14848-2017）中Ⅲ类标准。</w:t>
      </w:r>
    </w:p>
    <w:p>
      <w:pPr>
        <w:spacing w:line="360" w:lineRule="auto"/>
        <w:ind w:firstLine="482" w:firstLineChars="200"/>
        <w:rPr>
          <w:rFonts w:hint="eastAsia"/>
          <w:b/>
          <w:i w:val="0"/>
          <w:iCs w:val="0"/>
        </w:rPr>
      </w:pPr>
      <w:r>
        <w:rPr>
          <w:rFonts w:hint="eastAsia"/>
          <w:b/>
          <w:i w:val="0"/>
          <w:iCs w:val="0"/>
        </w:rPr>
        <w:t>2</w:t>
      </w:r>
      <w:r>
        <w:rPr>
          <w:b/>
          <w:i w:val="0"/>
          <w:iCs w:val="0"/>
        </w:rPr>
        <w:t>.3.</w:t>
      </w:r>
      <w:r>
        <w:rPr>
          <w:rFonts w:hint="eastAsia"/>
          <w:b/>
          <w:i w:val="0"/>
          <w:iCs w:val="0"/>
        </w:rPr>
        <w:t>2</w:t>
      </w:r>
      <w:r>
        <w:rPr>
          <w:b/>
          <w:i w:val="0"/>
          <w:iCs w:val="0"/>
        </w:rPr>
        <w:t>环境质量</w:t>
      </w:r>
      <w:r>
        <w:rPr>
          <w:rFonts w:hint="eastAsia"/>
          <w:b/>
          <w:i w:val="0"/>
          <w:iCs w:val="0"/>
        </w:rPr>
        <w:t>标准</w:t>
      </w:r>
    </w:p>
    <w:p>
      <w:pPr>
        <w:spacing w:line="360" w:lineRule="auto"/>
        <w:ind w:firstLine="480" w:firstLineChars="200"/>
        <w:rPr>
          <w:i w:val="0"/>
          <w:iCs w:val="0"/>
        </w:rPr>
      </w:pPr>
      <w:r>
        <w:rPr>
          <w:i w:val="0"/>
          <w:iCs w:val="0"/>
        </w:rPr>
        <w:t>1、地表水环境</w:t>
      </w:r>
    </w:p>
    <w:p>
      <w:pPr>
        <w:pStyle w:val="48"/>
        <w:spacing w:line="360" w:lineRule="auto"/>
        <w:ind w:left="0" w:firstLine="480" w:firstLineChars="200"/>
        <w:rPr>
          <w:rFonts w:hint="eastAsia"/>
          <w:i w:val="0"/>
          <w:iCs w:val="0"/>
          <w:sz w:val="24"/>
        </w:rPr>
      </w:pPr>
      <w:r>
        <w:rPr>
          <w:rFonts w:hint="eastAsia"/>
          <w:i w:val="0"/>
          <w:iCs w:val="0"/>
          <w:sz w:val="24"/>
        </w:rPr>
        <w:t>本项目生产废水、生活污水由厂区自建废水处理站处理达到《污水综合排放标准》GB8978-1996表2三级标准排放限值及园区污水处理厂进水指标后排入污水管网内，进入园区污水处理厂处理达标后排入浑江。</w:t>
      </w:r>
    </w:p>
    <w:p>
      <w:pPr>
        <w:pStyle w:val="48"/>
        <w:spacing w:line="360" w:lineRule="auto"/>
        <w:ind w:left="0" w:firstLine="480" w:firstLineChars="200"/>
        <w:rPr>
          <w:i w:val="0"/>
          <w:iCs w:val="0"/>
        </w:rPr>
      </w:pPr>
      <w:r>
        <w:rPr>
          <w:i w:val="0"/>
          <w:iCs w:val="0"/>
          <w:sz w:val="24"/>
          <w:szCs w:val="24"/>
        </w:rPr>
        <w:t>根据《吉林省地表水功能区》（DB22/388-2004）可知，评价范围内</w:t>
      </w:r>
      <w:r>
        <w:rPr>
          <w:rFonts w:hint="eastAsia"/>
          <w:i w:val="0"/>
          <w:iCs w:val="0"/>
          <w:sz w:val="24"/>
          <w:szCs w:val="24"/>
        </w:rPr>
        <w:t>三岔子镇</w:t>
      </w:r>
      <w:r>
        <w:rPr>
          <w:i w:val="0"/>
          <w:iCs w:val="0"/>
          <w:sz w:val="24"/>
          <w:szCs w:val="24"/>
        </w:rPr>
        <w:t>-</w:t>
      </w:r>
      <w:r>
        <w:rPr>
          <w:rFonts w:hint="eastAsia"/>
          <w:i w:val="0"/>
          <w:iCs w:val="0"/>
          <w:sz w:val="24"/>
          <w:szCs w:val="24"/>
        </w:rPr>
        <w:t>浑江大桥</w:t>
      </w:r>
      <w:r>
        <w:rPr>
          <w:i w:val="0"/>
          <w:iCs w:val="0"/>
          <w:sz w:val="24"/>
          <w:szCs w:val="24"/>
        </w:rPr>
        <w:t>水质功能为</w:t>
      </w:r>
      <w:r>
        <w:rPr>
          <w:rFonts w:hint="eastAsia" w:ascii="宋体" w:hAnsi="宋体" w:cs="宋体"/>
          <w:i w:val="0"/>
          <w:iCs w:val="0"/>
          <w:sz w:val="24"/>
          <w:szCs w:val="24"/>
        </w:rPr>
        <w:t>Ⅲ</w:t>
      </w:r>
      <w:r>
        <w:rPr>
          <w:i w:val="0"/>
          <w:iCs w:val="0"/>
          <w:sz w:val="24"/>
          <w:szCs w:val="24"/>
        </w:rPr>
        <w:t>类区，见表</w:t>
      </w:r>
      <w:r>
        <w:rPr>
          <w:rFonts w:hint="eastAsia"/>
          <w:i w:val="0"/>
          <w:iCs w:val="0"/>
          <w:sz w:val="24"/>
          <w:szCs w:val="24"/>
        </w:rPr>
        <w:t>2</w:t>
      </w:r>
      <w:r>
        <w:rPr>
          <w:i w:val="0"/>
          <w:iCs w:val="0"/>
          <w:sz w:val="24"/>
          <w:szCs w:val="24"/>
        </w:rPr>
        <w:t>-3。</w:t>
      </w:r>
    </w:p>
    <w:p>
      <w:pPr>
        <w:pStyle w:val="92"/>
        <w:spacing w:before="0" w:after="0" w:line="240" w:lineRule="auto"/>
        <w:ind w:firstLine="0"/>
        <w:jc w:val="center"/>
        <w:textAlignment w:val="baseline"/>
        <w:rPr>
          <w:rFonts w:hint="eastAsia" w:ascii="Times New Roman" w:eastAsia="宋体"/>
          <w:b/>
          <w:bCs/>
          <w:i w:val="0"/>
          <w:iCs w:val="0"/>
          <w:szCs w:val="24"/>
        </w:rPr>
      </w:pPr>
      <w:r>
        <w:rPr>
          <w:rFonts w:hint="eastAsia" w:ascii="Times New Roman" w:eastAsia="宋体"/>
          <w:b/>
          <w:bCs/>
          <w:i w:val="0"/>
          <w:iCs w:val="0"/>
          <w:szCs w:val="24"/>
        </w:rPr>
        <w:t>表2-3地表水环境质量标准               单位：mg/L</w:t>
      </w:r>
    </w:p>
    <w:tbl>
      <w:tblPr>
        <w:tblStyle w:val="5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84"/>
        <w:gridCol w:w="2884"/>
        <w:gridCol w:w="1417"/>
        <w:gridCol w:w="30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015" w:type="pct"/>
            <w:vMerge w:val="restart"/>
            <w:noWrap w:val="0"/>
            <w:vAlign w:val="center"/>
          </w:tcPr>
          <w:p>
            <w:pPr>
              <w:jc w:val="center"/>
              <w:rPr>
                <w:i w:val="0"/>
                <w:iCs w:val="0"/>
                <w:sz w:val="21"/>
                <w:szCs w:val="21"/>
              </w:rPr>
            </w:pPr>
            <w:r>
              <w:rPr>
                <w:i w:val="0"/>
                <w:iCs w:val="0"/>
                <w:sz w:val="21"/>
                <w:szCs w:val="21"/>
              </w:rPr>
              <w:t>序号</w:t>
            </w:r>
          </w:p>
        </w:tc>
        <w:tc>
          <w:tcPr>
            <w:tcW w:w="1553" w:type="pct"/>
            <w:vMerge w:val="restart"/>
            <w:noWrap w:val="0"/>
            <w:vAlign w:val="center"/>
          </w:tcPr>
          <w:p>
            <w:pPr>
              <w:jc w:val="center"/>
              <w:rPr>
                <w:i w:val="0"/>
                <w:iCs w:val="0"/>
                <w:sz w:val="21"/>
                <w:szCs w:val="21"/>
              </w:rPr>
            </w:pPr>
            <w:r>
              <w:rPr>
                <w:i w:val="0"/>
                <w:iCs w:val="0"/>
                <w:sz w:val="21"/>
                <w:szCs w:val="21"/>
              </w:rPr>
              <w:t>参数</w:t>
            </w:r>
          </w:p>
        </w:tc>
        <w:tc>
          <w:tcPr>
            <w:tcW w:w="763" w:type="pct"/>
            <w:noWrap w:val="0"/>
            <w:vAlign w:val="center"/>
          </w:tcPr>
          <w:p>
            <w:pPr>
              <w:jc w:val="center"/>
              <w:rPr>
                <w:i w:val="0"/>
                <w:iCs w:val="0"/>
                <w:sz w:val="21"/>
                <w:szCs w:val="21"/>
              </w:rPr>
            </w:pPr>
            <w:r>
              <w:rPr>
                <w:i w:val="0"/>
                <w:iCs w:val="0"/>
                <w:sz w:val="21"/>
                <w:szCs w:val="21"/>
              </w:rPr>
              <w:t>标准</w:t>
            </w:r>
          </w:p>
        </w:tc>
        <w:tc>
          <w:tcPr>
            <w:tcW w:w="1667" w:type="pct"/>
            <w:vMerge w:val="restart"/>
            <w:noWrap w:val="0"/>
            <w:vAlign w:val="center"/>
          </w:tcPr>
          <w:p>
            <w:pPr>
              <w:jc w:val="center"/>
              <w:rPr>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1015" w:type="pct"/>
            <w:vMerge w:val="continue"/>
            <w:noWrap w:val="0"/>
            <w:vAlign w:val="center"/>
          </w:tcPr>
          <w:p>
            <w:pPr>
              <w:jc w:val="center"/>
              <w:rPr>
                <w:i w:val="0"/>
                <w:iCs w:val="0"/>
                <w:sz w:val="21"/>
                <w:szCs w:val="21"/>
              </w:rPr>
            </w:pPr>
          </w:p>
        </w:tc>
        <w:tc>
          <w:tcPr>
            <w:tcW w:w="1553" w:type="pct"/>
            <w:vMerge w:val="continue"/>
            <w:noWrap w:val="0"/>
            <w:vAlign w:val="center"/>
          </w:tcPr>
          <w:p>
            <w:pPr>
              <w:jc w:val="center"/>
              <w:rPr>
                <w:i w:val="0"/>
                <w:iCs w:val="0"/>
                <w:sz w:val="21"/>
                <w:szCs w:val="21"/>
              </w:rPr>
            </w:pPr>
          </w:p>
        </w:tc>
        <w:tc>
          <w:tcPr>
            <w:tcW w:w="763" w:type="pct"/>
            <w:tcBorders>
              <w:right w:val="single" w:color="auto" w:sz="2" w:space="0"/>
            </w:tcBorders>
            <w:noWrap w:val="0"/>
            <w:vAlign w:val="center"/>
          </w:tcPr>
          <w:p>
            <w:pPr>
              <w:jc w:val="center"/>
              <w:rPr>
                <w:i w:val="0"/>
                <w:iCs w:val="0"/>
                <w:sz w:val="21"/>
                <w:szCs w:val="21"/>
              </w:rPr>
            </w:pPr>
            <w:r>
              <w:rPr>
                <w:rFonts w:hint="eastAsia"/>
                <w:i w:val="0"/>
                <w:iCs w:val="0"/>
                <w:sz w:val="21"/>
                <w:szCs w:val="21"/>
              </w:rPr>
              <w:t>Ⅲ</w:t>
            </w:r>
            <w:r>
              <w:rPr>
                <w:i w:val="0"/>
                <w:iCs w:val="0"/>
                <w:sz w:val="21"/>
                <w:szCs w:val="21"/>
              </w:rPr>
              <w:t>类</w:t>
            </w:r>
          </w:p>
        </w:tc>
        <w:tc>
          <w:tcPr>
            <w:tcW w:w="1667" w:type="pct"/>
            <w:vMerge w:val="continue"/>
            <w:noWrap w:val="0"/>
            <w:vAlign w:val="center"/>
          </w:tcPr>
          <w:p>
            <w:pPr>
              <w:jc w:val="center"/>
              <w:rPr>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015" w:type="pct"/>
            <w:noWrap w:val="0"/>
            <w:vAlign w:val="center"/>
          </w:tcPr>
          <w:p>
            <w:pPr>
              <w:jc w:val="center"/>
              <w:rPr>
                <w:i w:val="0"/>
                <w:iCs w:val="0"/>
                <w:sz w:val="21"/>
                <w:szCs w:val="21"/>
              </w:rPr>
            </w:pPr>
            <w:r>
              <w:rPr>
                <w:i w:val="0"/>
                <w:iCs w:val="0"/>
                <w:sz w:val="21"/>
                <w:szCs w:val="21"/>
              </w:rPr>
              <w:t>1</w:t>
            </w:r>
          </w:p>
        </w:tc>
        <w:tc>
          <w:tcPr>
            <w:tcW w:w="1553" w:type="pct"/>
            <w:noWrap w:val="0"/>
            <w:vAlign w:val="center"/>
          </w:tcPr>
          <w:p>
            <w:pPr>
              <w:adjustRightInd w:val="0"/>
              <w:snapToGrid w:val="0"/>
              <w:jc w:val="center"/>
              <w:rPr>
                <w:i w:val="0"/>
                <w:iCs w:val="0"/>
                <w:sz w:val="21"/>
                <w:szCs w:val="21"/>
              </w:rPr>
            </w:pPr>
            <w:r>
              <w:rPr>
                <w:i w:val="0"/>
                <w:iCs w:val="0"/>
                <w:sz w:val="21"/>
                <w:szCs w:val="21"/>
              </w:rPr>
              <w:t>pH，无量纲</w:t>
            </w:r>
          </w:p>
        </w:tc>
        <w:tc>
          <w:tcPr>
            <w:tcW w:w="763" w:type="pct"/>
            <w:tcBorders>
              <w:right w:val="single" w:color="auto" w:sz="2" w:space="0"/>
            </w:tcBorders>
            <w:noWrap w:val="0"/>
            <w:vAlign w:val="center"/>
          </w:tcPr>
          <w:p>
            <w:pPr>
              <w:adjustRightInd w:val="0"/>
              <w:snapToGrid w:val="0"/>
              <w:jc w:val="center"/>
              <w:rPr>
                <w:i w:val="0"/>
                <w:iCs w:val="0"/>
                <w:sz w:val="21"/>
                <w:szCs w:val="21"/>
              </w:rPr>
            </w:pPr>
            <w:r>
              <w:rPr>
                <w:i w:val="0"/>
                <w:iCs w:val="0"/>
                <w:sz w:val="21"/>
                <w:szCs w:val="21"/>
              </w:rPr>
              <w:t>6~9</w:t>
            </w:r>
          </w:p>
        </w:tc>
        <w:tc>
          <w:tcPr>
            <w:tcW w:w="1667" w:type="pct"/>
            <w:vMerge w:val="restart"/>
            <w:noWrap w:val="0"/>
            <w:vAlign w:val="center"/>
          </w:tcPr>
          <w:p>
            <w:pPr>
              <w:jc w:val="center"/>
              <w:rPr>
                <w:i w:val="0"/>
                <w:iCs w:val="0"/>
                <w:sz w:val="21"/>
                <w:szCs w:val="21"/>
              </w:rPr>
            </w:pPr>
            <w:r>
              <w:rPr>
                <w:rFonts w:hint="eastAsia"/>
                <w:i w:val="0"/>
                <w:iCs w:val="0"/>
                <w:sz w:val="21"/>
                <w:szCs w:val="21"/>
              </w:rPr>
              <w:t>《</w:t>
            </w:r>
            <w:r>
              <w:rPr>
                <w:i w:val="0"/>
                <w:iCs w:val="0"/>
                <w:sz w:val="21"/>
                <w:szCs w:val="21"/>
              </w:rPr>
              <w:t>地表水环境质量标准》</w:t>
            </w:r>
          </w:p>
          <w:p>
            <w:pPr>
              <w:jc w:val="center"/>
              <w:rPr>
                <w:i w:val="0"/>
                <w:iCs w:val="0"/>
                <w:sz w:val="21"/>
                <w:szCs w:val="21"/>
              </w:rPr>
            </w:pPr>
            <w:r>
              <w:rPr>
                <w:i w:val="0"/>
                <w:iCs w:val="0"/>
                <w:sz w:val="21"/>
                <w:szCs w:val="21"/>
              </w:rPr>
              <w:t>（GB3838-2002）</w:t>
            </w:r>
            <w:r>
              <w:rPr>
                <w:rFonts w:hint="eastAsia"/>
                <w:i w:val="0"/>
                <w:iCs w:val="0"/>
                <w:sz w:val="21"/>
                <w:szCs w:val="21"/>
              </w:rPr>
              <w:t>Ⅲ</w:t>
            </w:r>
            <w:r>
              <w:rPr>
                <w:i w:val="0"/>
                <w:iCs w:val="0"/>
                <w:sz w:val="21"/>
                <w:szCs w:val="21"/>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015" w:type="pct"/>
            <w:noWrap w:val="0"/>
            <w:vAlign w:val="center"/>
          </w:tcPr>
          <w:p>
            <w:pPr>
              <w:jc w:val="center"/>
              <w:rPr>
                <w:i w:val="0"/>
                <w:iCs w:val="0"/>
                <w:sz w:val="21"/>
                <w:szCs w:val="21"/>
              </w:rPr>
            </w:pPr>
            <w:r>
              <w:rPr>
                <w:i w:val="0"/>
                <w:iCs w:val="0"/>
                <w:sz w:val="21"/>
                <w:szCs w:val="21"/>
              </w:rPr>
              <w:t>2</w:t>
            </w:r>
          </w:p>
        </w:tc>
        <w:tc>
          <w:tcPr>
            <w:tcW w:w="1553" w:type="pct"/>
            <w:noWrap w:val="0"/>
            <w:vAlign w:val="center"/>
          </w:tcPr>
          <w:p>
            <w:pPr>
              <w:adjustRightInd w:val="0"/>
              <w:snapToGrid w:val="0"/>
              <w:jc w:val="center"/>
              <w:rPr>
                <w:i w:val="0"/>
                <w:iCs w:val="0"/>
                <w:sz w:val="21"/>
                <w:szCs w:val="21"/>
              </w:rPr>
            </w:pPr>
            <w:r>
              <w:rPr>
                <w:i w:val="0"/>
                <w:iCs w:val="0"/>
                <w:sz w:val="21"/>
                <w:szCs w:val="21"/>
              </w:rPr>
              <w:t>COD</w:t>
            </w:r>
          </w:p>
        </w:tc>
        <w:tc>
          <w:tcPr>
            <w:tcW w:w="763" w:type="pct"/>
            <w:tcBorders>
              <w:right w:val="single" w:color="auto" w:sz="2" w:space="0"/>
            </w:tcBorders>
            <w:noWrap w:val="0"/>
            <w:vAlign w:val="center"/>
          </w:tcPr>
          <w:p>
            <w:pPr>
              <w:adjustRightInd w:val="0"/>
              <w:snapToGrid w:val="0"/>
              <w:jc w:val="center"/>
              <w:rPr>
                <w:i w:val="0"/>
                <w:iCs w:val="0"/>
                <w:sz w:val="21"/>
                <w:szCs w:val="21"/>
              </w:rPr>
            </w:pPr>
            <w:r>
              <w:rPr>
                <w:rFonts w:hint="eastAsia"/>
                <w:i w:val="0"/>
                <w:iCs w:val="0"/>
                <w:sz w:val="21"/>
                <w:szCs w:val="21"/>
              </w:rPr>
              <w:t>20</w:t>
            </w:r>
          </w:p>
        </w:tc>
        <w:tc>
          <w:tcPr>
            <w:tcW w:w="1667" w:type="pct"/>
            <w:vMerge w:val="continue"/>
            <w:noWrap w:val="0"/>
            <w:vAlign w:val="center"/>
          </w:tcPr>
          <w:p>
            <w:pPr>
              <w:jc w:val="center"/>
              <w:rPr>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15" w:type="pct"/>
            <w:noWrap w:val="0"/>
            <w:vAlign w:val="center"/>
          </w:tcPr>
          <w:p>
            <w:pPr>
              <w:jc w:val="center"/>
              <w:rPr>
                <w:i w:val="0"/>
                <w:iCs w:val="0"/>
                <w:sz w:val="21"/>
                <w:szCs w:val="21"/>
              </w:rPr>
            </w:pPr>
            <w:r>
              <w:rPr>
                <w:i w:val="0"/>
                <w:iCs w:val="0"/>
                <w:sz w:val="21"/>
                <w:szCs w:val="21"/>
              </w:rPr>
              <w:t>3</w:t>
            </w:r>
          </w:p>
        </w:tc>
        <w:tc>
          <w:tcPr>
            <w:tcW w:w="1553" w:type="pct"/>
            <w:noWrap w:val="0"/>
            <w:vAlign w:val="center"/>
          </w:tcPr>
          <w:p>
            <w:pPr>
              <w:adjustRightInd w:val="0"/>
              <w:snapToGrid w:val="0"/>
              <w:jc w:val="center"/>
              <w:rPr>
                <w:i w:val="0"/>
                <w:iCs w:val="0"/>
                <w:sz w:val="21"/>
                <w:szCs w:val="21"/>
              </w:rPr>
            </w:pPr>
            <w:r>
              <w:rPr>
                <w:i w:val="0"/>
                <w:iCs w:val="0"/>
                <w:sz w:val="21"/>
                <w:szCs w:val="21"/>
              </w:rPr>
              <w:t>BOD</w:t>
            </w:r>
            <w:r>
              <w:rPr>
                <w:i w:val="0"/>
                <w:iCs w:val="0"/>
                <w:sz w:val="21"/>
                <w:szCs w:val="21"/>
                <w:vertAlign w:val="subscript"/>
              </w:rPr>
              <w:t>5</w:t>
            </w:r>
          </w:p>
        </w:tc>
        <w:tc>
          <w:tcPr>
            <w:tcW w:w="763" w:type="pct"/>
            <w:tcBorders>
              <w:right w:val="single" w:color="auto" w:sz="2" w:space="0"/>
            </w:tcBorders>
            <w:noWrap w:val="0"/>
            <w:vAlign w:val="center"/>
          </w:tcPr>
          <w:p>
            <w:pPr>
              <w:adjustRightInd w:val="0"/>
              <w:snapToGrid w:val="0"/>
              <w:jc w:val="center"/>
              <w:rPr>
                <w:rFonts w:hint="eastAsia"/>
                <w:i w:val="0"/>
                <w:iCs w:val="0"/>
                <w:sz w:val="21"/>
                <w:szCs w:val="21"/>
              </w:rPr>
            </w:pPr>
            <w:r>
              <w:rPr>
                <w:rFonts w:hint="eastAsia"/>
                <w:i w:val="0"/>
                <w:iCs w:val="0"/>
                <w:sz w:val="21"/>
                <w:szCs w:val="21"/>
              </w:rPr>
              <w:t>4</w:t>
            </w:r>
          </w:p>
        </w:tc>
        <w:tc>
          <w:tcPr>
            <w:tcW w:w="1667" w:type="pct"/>
            <w:vMerge w:val="continue"/>
            <w:noWrap w:val="0"/>
            <w:vAlign w:val="center"/>
          </w:tcPr>
          <w:p>
            <w:pPr>
              <w:jc w:val="center"/>
              <w:rPr>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015" w:type="pct"/>
            <w:noWrap w:val="0"/>
            <w:vAlign w:val="center"/>
          </w:tcPr>
          <w:p>
            <w:pPr>
              <w:jc w:val="center"/>
              <w:rPr>
                <w:rFonts w:hint="eastAsia"/>
                <w:i w:val="0"/>
                <w:iCs w:val="0"/>
                <w:sz w:val="21"/>
                <w:szCs w:val="21"/>
              </w:rPr>
            </w:pPr>
            <w:r>
              <w:rPr>
                <w:rFonts w:hint="eastAsia"/>
                <w:i w:val="0"/>
                <w:iCs w:val="0"/>
                <w:sz w:val="21"/>
                <w:szCs w:val="21"/>
              </w:rPr>
              <w:t>4</w:t>
            </w:r>
          </w:p>
        </w:tc>
        <w:tc>
          <w:tcPr>
            <w:tcW w:w="1553" w:type="pct"/>
            <w:noWrap w:val="0"/>
            <w:vAlign w:val="center"/>
          </w:tcPr>
          <w:p>
            <w:pPr>
              <w:pStyle w:val="48"/>
              <w:ind w:left="0"/>
              <w:jc w:val="center"/>
              <w:rPr>
                <w:i w:val="0"/>
                <w:iCs w:val="0"/>
                <w:sz w:val="21"/>
                <w:szCs w:val="21"/>
              </w:rPr>
            </w:pPr>
            <w:r>
              <w:rPr>
                <w:i w:val="0"/>
                <w:iCs w:val="0"/>
                <w:sz w:val="21"/>
                <w:szCs w:val="21"/>
              </w:rPr>
              <w:t>总磷</w:t>
            </w:r>
          </w:p>
        </w:tc>
        <w:tc>
          <w:tcPr>
            <w:tcW w:w="763" w:type="pct"/>
            <w:tcBorders>
              <w:right w:val="single" w:color="auto" w:sz="2" w:space="0"/>
            </w:tcBorders>
            <w:noWrap w:val="0"/>
            <w:vAlign w:val="center"/>
          </w:tcPr>
          <w:p>
            <w:pPr>
              <w:adjustRightInd w:val="0"/>
              <w:snapToGrid w:val="0"/>
              <w:jc w:val="center"/>
              <w:rPr>
                <w:i w:val="0"/>
                <w:iCs w:val="0"/>
                <w:sz w:val="21"/>
                <w:szCs w:val="21"/>
              </w:rPr>
            </w:pPr>
            <w:r>
              <w:rPr>
                <w:rFonts w:hint="eastAsia"/>
                <w:i w:val="0"/>
                <w:iCs w:val="0"/>
                <w:sz w:val="21"/>
                <w:szCs w:val="21"/>
              </w:rPr>
              <w:t>0.2</w:t>
            </w:r>
          </w:p>
        </w:tc>
        <w:tc>
          <w:tcPr>
            <w:tcW w:w="1667" w:type="pct"/>
            <w:vMerge w:val="continue"/>
            <w:noWrap w:val="0"/>
            <w:vAlign w:val="center"/>
          </w:tcPr>
          <w:p>
            <w:pPr>
              <w:jc w:val="center"/>
              <w:rPr>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5" w:type="pct"/>
            <w:noWrap w:val="0"/>
            <w:vAlign w:val="center"/>
          </w:tcPr>
          <w:p>
            <w:pPr>
              <w:jc w:val="center"/>
              <w:rPr>
                <w:rFonts w:hint="eastAsia"/>
                <w:i w:val="0"/>
                <w:iCs w:val="0"/>
                <w:sz w:val="21"/>
                <w:szCs w:val="21"/>
              </w:rPr>
            </w:pPr>
            <w:r>
              <w:rPr>
                <w:rFonts w:hint="eastAsia"/>
                <w:i w:val="0"/>
                <w:iCs w:val="0"/>
                <w:sz w:val="21"/>
                <w:szCs w:val="21"/>
              </w:rPr>
              <w:t>5</w:t>
            </w:r>
          </w:p>
        </w:tc>
        <w:tc>
          <w:tcPr>
            <w:tcW w:w="1553" w:type="pct"/>
            <w:noWrap w:val="0"/>
            <w:vAlign w:val="center"/>
          </w:tcPr>
          <w:p>
            <w:pPr>
              <w:pStyle w:val="48"/>
              <w:ind w:left="0"/>
              <w:jc w:val="center"/>
              <w:rPr>
                <w:i w:val="0"/>
                <w:iCs w:val="0"/>
                <w:sz w:val="21"/>
                <w:szCs w:val="21"/>
              </w:rPr>
            </w:pPr>
            <w:r>
              <w:rPr>
                <w:i w:val="0"/>
                <w:iCs w:val="0"/>
                <w:sz w:val="21"/>
                <w:szCs w:val="21"/>
              </w:rPr>
              <w:t>氨氮</w:t>
            </w:r>
          </w:p>
        </w:tc>
        <w:tc>
          <w:tcPr>
            <w:tcW w:w="763" w:type="pct"/>
            <w:tcBorders>
              <w:right w:val="single" w:color="auto" w:sz="2" w:space="0"/>
            </w:tcBorders>
            <w:noWrap w:val="0"/>
            <w:vAlign w:val="center"/>
          </w:tcPr>
          <w:p>
            <w:pPr>
              <w:adjustRightInd w:val="0"/>
              <w:snapToGrid w:val="0"/>
              <w:jc w:val="center"/>
              <w:rPr>
                <w:i w:val="0"/>
                <w:iCs w:val="0"/>
                <w:sz w:val="21"/>
                <w:szCs w:val="21"/>
              </w:rPr>
            </w:pPr>
            <w:r>
              <w:rPr>
                <w:rFonts w:hint="eastAsia"/>
                <w:i w:val="0"/>
                <w:iCs w:val="0"/>
                <w:sz w:val="21"/>
                <w:szCs w:val="21"/>
              </w:rPr>
              <w:t>1.0</w:t>
            </w:r>
          </w:p>
        </w:tc>
        <w:tc>
          <w:tcPr>
            <w:tcW w:w="1667" w:type="pct"/>
            <w:vMerge w:val="continue"/>
            <w:noWrap w:val="0"/>
            <w:vAlign w:val="center"/>
          </w:tcPr>
          <w:p>
            <w:pPr>
              <w:jc w:val="center"/>
              <w:rPr>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015" w:type="pct"/>
            <w:noWrap w:val="0"/>
            <w:vAlign w:val="center"/>
          </w:tcPr>
          <w:p>
            <w:pPr>
              <w:jc w:val="center"/>
              <w:rPr>
                <w:rFonts w:hint="eastAsia"/>
                <w:i w:val="0"/>
                <w:iCs w:val="0"/>
                <w:sz w:val="21"/>
                <w:szCs w:val="21"/>
              </w:rPr>
            </w:pPr>
            <w:r>
              <w:rPr>
                <w:rFonts w:hint="eastAsia"/>
                <w:i w:val="0"/>
                <w:iCs w:val="0"/>
                <w:sz w:val="21"/>
                <w:szCs w:val="21"/>
              </w:rPr>
              <w:t>6</w:t>
            </w:r>
          </w:p>
        </w:tc>
        <w:tc>
          <w:tcPr>
            <w:tcW w:w="1553" w:type="pct"/>
            <w:noWrap w:val="0"/>
            <w:vAlign w:val="center"/>
          </w:tcPr>
          <w:p>
            <w:pPr>
              <w:pStyle w:val="48"/>
              <w:ind w:left="0"/>
              <w:jc w:val="center"/>
              <w:rPr>
                <w:i w:val="0"/>
                <w:iCs w:val="0"/>
                <w:sz w:val="21"/>
                <w:szCs w:val="21"/>
              </w:rPr>
            </w:pPr>
            <w:r>
              <w:rPr>
                <w:rFonts w:hint="eastAsia"/>
                <w:i w:val="0"/>
                <w:iCs w:val="0"/>
                <w:sz w:val="21"/>
                <w:szCs w:val="21"/>
              </w:rPr>
              <w:t>粪大肠菌群（个/L）</w:t>
            </w:r>
          </w:p>
        </w:tc>
        <w:tc>
          <w:tcPr>
            <w:tcW w:w="763" w:type="pct"/>
            <w:tcBorders>
              <w:right w:val="single" w:color="auto" w:sz="2" w:space="0"/>
            </w:tcBorders>
            <w:noWrap w:val="0"/>
            <w:vAlign w:val="center"/>
          </w:tcPr>
          <w:p>
            <w:pPr>
              <w:adjustRightInd w:val="0"/>
              <w:snapToGrid w:val="0"/>
              <w:jc w:val="center"/>
              <w:rPr>
                <w:i w:val="0"/>
                <w:iCs w:val="0"/>
                <w:sz w:val="21"/>
                <w:szCs w:val="21"/>
              </w:rPr>
            </w:pPr>
            <w:r>
              <w:rPr>
                <w:rFonts w:hint="eastAsia"/>
                <w:i w:val="0"/>
                <w:iCs w:val="0"/>
                <w:sz w:val="21"/>
                <w:szCs w:val="21"/>
              </w:rPr>
              <w:t>10000</w:t>
            </w:r>
          </w:p>
        </w:tc>
        <w:tc>
          <w:tcPr>
            <w:tcW w:w="1667" w:type="pct"/>
            <w:vMerge w:val="continue"/>
            <w:noWrap w:val="0"/>
            <w:vAlign w:val="center"/>
          </w:tcPr>
          <w:p>
            <w:pPr>
              <w:jc w:val="center"/>
              <w:rPr>
                <w:i w:val="0"/>
                <w:iCs w:val="0"/>
                <w:sz w:val="21"/>
                <w:szCs w:val="21"/>
              </w:rPr>
            </w:pPr>
          </w:p>
        </w:tc>
      </w:tr>
    </w:tbl>
    <w:p>
      <w:pPr>
        <w:spacing w:line="360" w:lineRule="auto"/>
        <w:ind w:left="22" w:leftChars="9" w:firstLine="480" w:firstLineChars="200"/>
        <w:rPr>
          <w:i w:val="0"/>
          <w:iCs w:val="0"/>
        </w:rPr>
      </w:pPr>
      <w:r>
        <w:rPr>
          <w:rFonts w:hint="eastAsia"/>
          <w:i w:val="0"/>
          <w:iCs w:val="0"/>
        </w:rPr>
        <w:t>2、</w:t>
      </w:r>
      <w:r>
        <w:rPr>
          <w:i w:val="0"/>
          <w:iCs w:val="0"/>
        </w:rPr>
        <w:t>环境空气</w:t>
      </w:r>
    </w:p>
    <w:p>
      <w:pPr>
        <w:spacing w:line="360" w:lineRule="auto"/>
        <w:ind w:firstLine="480" w:firstLineChars="200"/>
        <w:rPr>
          <w:i w:val="0"/>
          <w:iCs w:val="0"/>
        </w:rPr>
      </w:pPr>
      <w:r>
        <w:rPr>
          <w:rFonts w:hAnsi="宋体"/>
          <w:i w:val="0"/>
          <w:iCs w:val="0"/>
        </w:rPr>
        <w:t>据</w:t>
      </w:r>
      <w:r>
        <w:rPr>
          <w:rFonts w:hint="eastAsia" w:hAnsi="宋体"/>
          <w:i w:val="0"/>
          <w:iCs w:val="0"/>
        </w:rPr>
        <w:t>项目排污特点及区域环境要求</w:t>
      </w:r>
      <w:r>
        <w:rPr>
          <w:rFonts w:hAnsi="宋体"/>
          <w:i w:val="0"/>
          <w:iCs w:val="0"/>
        </w:rPr>
        <w:t>，</w:t>
      </w:r>
      <w:r>
        <w:rPr>
          <w:rFonts w:hint="eastAsia" w:hAnsi="宋体"/>
          <w:i w:val="0"/>
          <w:iCs w:val="0"/>
        </w:rPr>
        <w:t>本</w:t>
      </w:r>
      <w:r>
        <w:rPr>
          <w:rFonts w:hAnsi="宋体"/>
          <w:i w:val="0"/>
          <w:iCs w:val="0"/>
        </w:rPr>
        <w:t>项目所在地为环境空气质量二类区</w:t>
      </w:r>
      <w:r>
        <w:rPr>
          <w:i w:val="0"/>
          <w:iCs w:val="0"/>
        </w:rPr>
        <w:t>，因此评价区污染物PM</w:t>
      </w:r>
      <w:r>
        <w:rPr>
          <w:i w:val="0"/>
          <w:iCs w:val="0"/>
          <w:vertAlign w:val="subscript"/>
        </w:rPr>
        <w:t>10</w:t>
      </w:r>
      <w:r>
        <w:rPr>
          <w:i w:val="0"/>
          <w:iCs w:val="0"/>
        </w:rPr>
        <w:t>、SO</w:t>
      </w:r>
      <w:r>
        <w:rPr>
          <w:i w:val="0"/>
          <w:iCs w:val="0"/>
          <w:vertAlign w:val="subscript"/>
        </w:rPr>
        <w:t>2</w:t>
      </w:r>
      <w:r>
        <w:rPr>
          <w:i w:val="0"/>
          <w:iCs w:val="0"/>
        </w:rPr>
        <w:t>、NO</w:t>
      </w:r>
      <w:r>
        <w:rPr>
          <w:i w:val="0"/>
          <w:iCs w:val="0"/>
          <w:vertAlign w:val="subscript"/>
        </w:rPr>
        <w:t>2</w:t>
      </w:r>
      <w:r>
        <w:rPr>
          <w:rFonts w:hint="eastAsia"/>
          <w:i w:val="0"/>
          <w:iCs w:val="0"/>
        </w:rPr>
        <w:t>、CO、PM</w:t>
      </w:r>
      <w:r>
        <w:rPr>
          <w:rFonts w:hint="eastAsia"/>
          <w:i w:val="0"/>
          <w:iCs w:val="0"/>
          <w:vertAlign w:val="subscript"/>
        </w:rPr>
        <w:t>2.5</w:t>
      </w:r>
      <w:r>
        <w:rPr>
          <w:rFonts w:hint="eastAsia"/>
          <w:i w:val="0"/>
          <w:iCs w:val="0"/>
        </w:rPr>
        <w:t>、O</w:t>
      </w:r>
      <w:r>
        <w:rPr>
          <w:rFonts w:hint="eastAsia"/>
          <w:i w:val="0"/>
          <w:iCs w:val="0"/>
          <w:vertAlign w:val="subscript"/>
        </w:rPr>
        <w:t>3</w:t>
      </w:r>
      <w:r>
        <w:rPr>
          <w:rFonts w:hint="eastAsia"/>
          <w:i w:val="0"/>
          <w:iCs w:val="0"/>
        </w:rPr>
        <w:t>、总悬浮颗粒物</w:t>
      </w:r>
      <w:r>
        <w:rPr>
          <w:i w:val="0"/>
          <w:iCs w:val="0"/>
        </w:rPr>
        <w:t>执行《环境空气质量标准》（GB3095-2012）中二级标准</w:t>
      </w:r>
      <w:r>
        <w:rPr>
          <w:rFonts w:hint="eastAsia"/>
          <w:i w:val="0"/>
          <w:iCs w:val="0"/>
        </w:rPr>
        <w:t>；</w:t>
      </w:r>
      <w:r>
        <w:rPr>
          <w:rFonts w:hint="eastAsia"/>
          <w:i w:val="0"/>
          <w:iCs w:val="0"/>
          <w:color w:val="000000"/>
        </w:rPr>
        <w:t>非甲烷总烃</w:t>
      </w:r>
      <w:r>
        <w:rPr>
          <w:i w:val="0"/>
          <w:iCs w:val="0"/>
          <w:color w:val="000000"/>
        </w:rPr>
        <w:t>参照《大气污染物综合排放标准详解》中的相关标准取值</w:t>
      </w:r>
      <w:r>
        <w:rPr>
          <w:rFonts w:hint="eastAsia"/>
          <w:i w:val="0"/>
          <w:iCs w:val="0"/>
          <w:color w:val="000000"/>
        </w:rPr>
        <w:t>；NH</w:t>
      </w:r>
      <w:r>
        <w:rPr>
          <w:rFonts w:hint="eastAsia"/>
          <w:i w:val="0"/>
          <w:iCs w:val="0"/>
          <w:color w:val="000000"/>
          <w:vertAlign w:val="subscript"/>
        </w:rPr>
        <w:t>3</w:t>
      </w:r>
      <w:r>
        <w:rPr>
          <w:rFonts w:hint="eastAsia"/>
          <w:i w:val="0"/>
          <w:iCs w:val="0"/>
          <w:color w:val="000000"/>
        </w:rPr>
        <w:t>、H</w:t>
      </w:r>
      <w:r>
        <w:rPr>
          <w:rFonts w:hint="eastAsia"/>
          <w:i w:val="0"/>
          <w:iCs w:val="0"/>
          <w:color w:val="000000"/>
          <w:vertAlign w:val="subscript"/>
        </w:rPr>
        <w:t>2</w:t>
      </w:r>
      <w:r>
        <w:rPr>
          <w:rFonts w:hint="eastAsia"/>
          <w:i w:val="0"/>
          <w:iCs w:val="0"/>
          <w:color w:val="000000"/>
        </w:rPr>
        <w:t>S采用</w:t>
      </w:r>
      <w:r>
        <w:rPr>
          <w:i w:val="0"/>
          <w:iCs w:val="0"/>
          <w:color w:val="000000"/>
        </w:rPr>
        <w:t>《环境影响评价技术导则</w:t>
      </w:r>
      <w:r>
        <w:rPr>
          <w:rFonts w:hint="eastAsia"/>
          <w:i w:val="0"/>
          <w:iCs w:val="0"/>
          <w:color w:val="000000"/>
        </w:rPr>
        <w:t xml:space="preserve"> </w:t>
      </w:r>
      <w:r>
        <w:rPr>
          <w:i w:val="0"/>
          <w:iCs w:val="0"/>
          <w:color w:val="000000"/>
        </w:rPr>
        <w:t>大气环境》（HJ2.2-2018）附录D中的浓度参考限值进行评价。</w:t>
      </w:r>
      <w:r>
        <w:rPr>
          <w:i w:val="0"/>
          <w:iCs w:val="0"/>
        </w:rPr>
        <w:t>见表</w:t>
      </w:r>
      <w:r>
        <w:rPr>
          <w:rFonts w:hint="eastAsia"/>
          <w:i w:val="0"/>
          <w:iCs w:val="0"/>
        </w:rPr>
        <w:t>2-4</w:t>
      </w:r>
      <w:r>
        <w:rPr>
          <w:i w:val="0"/>
          <w:iCs w:val="0"/>
        </w:rPr>
        <w:t>。</w:t>
      </w:r>
    </w:p>
    <w:p>
      <w:pPr>
        <w:pStyle w:val="92"/>
        <w:spacing w:before="0" w:after="0" w:line="240" w:lineRule="auto"/>
        <w:ind w:firstLine="0"/>
        <w:jc w:val="center"/>
        <w:textAlignment w:val="baseline"/>
        <w:rPr>
          <w:rFonts w:hint="eastAsia" w:ascii="Times New Roman" w:eastAsia="宋体"/>
          <w:b/>
          <w:bCs/>
          <w:i w:val="0"/>
          <w:iCs w:val="0"/>
          <w:szCs w:val="24"/>
        </w:rPr>
      </w:pPr>
      <w:r>
        <w:rPr>
          <w:rFonts w:hint="eastAsia" w:ascii="Times New Roman" w:eastAsia="宋体"/>
          <w:b/>
          <w:bCs/>
          <w:i w:val="0"/>
          <w:iCs w:val="0"/>
          <w:szCs w:val="24"/>
        </w:rPr>
        <w:t>表2-4环境空气质量标准</w:t>
      </w:r>
    </w:p>
    <w:tbl>
      <w:tblPr>
        <w:tblStyle w:val="5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272"/>
        <w:gridCol w:w="2225"/>
        <w:gridCol w:w="1483"/>
        <w:gridCol w:w="33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 w:hRule="atLeast"/>
          <w:tblHeader/>
          <w:jc w:val="center"/>
        </w:trPr>
        <w:tc>
          <w:tcPr>
            <w:tcW w:w="848" w:type="dxa"/>
            <w:noWrap w:val="0"/>
            <w:vAlign w:val="center"/>
          </w:tcPr>
          <w:p>
            <w:pPr>
              <w:pStyle w:val="202"/>
              <w:spacing w:line="240" w:lineRule="auto"/>
              <w:rPr>
                <w:rFonts w:hint="eastAsia"/>
                <w:i w:val="0"/>
                <w:iCs w:val="0"/>
                <w:sz w:val="21"/>
                <w:szCs w:val="21"/>
              </w:rPr>
            </w:pPr>
            <w:r>
              <w:rPr>
                <w:rFonts w:hint="eastAsia"/>
                <w:i w:val="0"/>
                <w:iCs w:val="0"/>
                <w:sz w:val="21"/>
                <w:szCs w:val="21"/>
              </w:rPr>
              <w:t>序号</w:t>
            </w:r>
          </w:p>
        </w:tc>
        <w:tc>
          <w:tcPr>
            <w:tcW w:w="1272" w:type="dxa"/>
            <w:noWrap w:val="0"/>
            <w:vAlign w:val="center"/>
          </w:tcPr>
          <w:p>
            <w:pPr>
              <w:pStyle w:val="202"/>
              <w:spacing w:line="240" w:lineRule="auto"/>
              <w:rPr>
                <w:rFonts w:eastAsia="Times New Roman"/>
                <w:i w:val="0"/>
                <w:iCs w:val="0"/>
                <w:sz w:val="21"/>
                <w:szCs w:val="21"/>
              </w:rPr>
            </w:pPr>
            <w:r>
              <w:rPr>
                <w:rFonts w:eastAsia="Times New Roman"/>
                <w:i w:val="0"/>
                <w:iCs w:val="0"/>
                <w:sz w:val="21"/>
                <w:szCs w:val="21"/>
              </w:rPr>
              <w:t>污染物</w:t>
            </w:r>
          </w:p>
        </w:tc>
        <w:tc>
          <w:tcPr>
            <w:tcW w:w="2225" w:type="dxa"/>
            <w:noWrap w:val="0"/>
            <w:vAlign w:val="center"/>
          </w:tcPr>
          <w:p>
            <w:pPr>
              <w:pStyle w:val="202"/>
              <w:spacing w:line="240" w:lineRule="auto"/>
              <w:rPr>
                <w:rFonts w:eastAsia="Times New Roman"/>
                <w:i w:val="0"/>
                <w:iCs w:val="0"/>
                <w:sz w:val="21"/>
                <w:szCs w:val="21"/>
              </w:rPr>
            </w:pPr>
            <w:r>
              <w:rPr>
                <w:rFonts w:eastAsia="Times New Roman"/>
                <w:i w:val="0"/>
                <w:iCs w:val="0"/>
                <w:sz w:val="21"/>
                <w:szCs w:val="21"/>
              </w:rPr>
              <w:t>取值时间</w:t>
            </w:r>
          </w:p>
        </w:tc>
        <w:tc>
          <w:tcPr>
            <w:tcW w:w="1483" w:type="dxa"/>
            <w:noWrap w:val="0"/>
            <w:vAlign w:val="center"/>
          </w:tcPr>
          <w:p>
            <w:pPr>
              <w:pStyle w:val="202"/>
              <w:spacing w:line="240" w:lineRule="auto"/>
              <w:rPr>
                <w:rFonts w:eastAsia="Times New Roman"/>
                <w:i w:val="0"/>
                <w:iCs w:val="0"/>
                <w:sz w:val="21"/>
                <w:szCs w:val="21"/>
              </w:rPr>
            </w:pPr>
            <w:r>
              <w:rPr>
                <w:rFonts w:eastAsia="Times New Roman"/>
                <w:i w:val="0"/>
                <w:iCs w:val="0"/>
                <w:sz w:val="21"/>
                <w:szCs w:val="21"/>
              </w:rPr>
              <w:t>浓度限值</w:t>
            </w:r>
          </w:p>
        </w:tc>
        <w:tc>
          <w:tcPr>
            <w:tcW w:w="3381" w:type="dxa"/>
            <w:noWrap w:val="0"/>
            <w:vAlign w:val="center"/>
          </w:tcPr>
          <w:p>
            <w:pPr>
              <w:pStyle w:val="202"/>
              <w:spacing w:line="240" w:lineRule="auto"/>
              <w:rPr>
                <w:rFonts w:eastAsia="Times New Roman"/>
                <w:i w:val="0"/>
                <w:iCs w:val="0"/>
                <w:sz w:val="21"/>
                <w:szCs w:val="21"/>
              </w:rPr>
            </w:pPr>
            <w:r>
              <w:rPr>
                <w:rFonts w:eastAsia="Times New Roman"/>
                <w:i w:val="0"/>
                <w:iCs w:val="0"/>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848" w:type="dxa"/>
            <w:vMerge w:val="restart"/>
            <w:noWrap w:val="0"/>
            <w:vAlign w:val="center"/>
          </w:tcPr>
          <w:p>
            <w:pPr>
              <w:pStyle w:val="202"/>
              <w:spacing w:line="240" w:lineRule="auto"/>
              <w:rPr>
                <w:rFonts w:hint="eastAsia"/>
                <w:i w:val="0"/>
                <w:iCs w:val="0"/>
                <w:sz w:val="21"/>
                <w:szCs w:val="21"/>
              </w:rPr>
            </w:pPr>
            <w:r>
              <w:rPr>
                <w:rFonts w:hint="eastAsia"/>
                <w:i w:val="0"/>
                <w:iCs w:val="0"/>
                <w:sz w:val="21"/>
                <w:szCs w:val="21"/>
              </w:rPr>
              <w:t>1</w:t>
            </w:r>
          </w:p>
        </w:tc>
        <w:tc>
          <w:tcPr>
            <w:tcW w:w="1272" w:type="dxa"/>
            <w:vMerge w:val="restart"/>
            <w:noWrap w:val="0"/>
            <w:vAlign w:val="center"/>
          </w:tcPr>
          <w:p>
            <w:pPr>
              <w:pStyle w:val="202"/>
              <w:spacing w:line="240" w:lineRule="auto"/>
              <w:rPr>
                <w:rFonts w:eastAsia="Times New Roman"/>
                <w:i w:val="0"/>
                <w:iCs w:val="0"/>
                <w:sz w:val="21"/>
                <w:szCs w:val="21"/>
              </w:rPr>
            </w:pPr>
            <w:r>
              <w:rPr>
                <w:rFonts w:eastAsia="Times New Roman"/>
                <w:i w:val="0"/>
                <w:iCs w:val="0"/>
                <w:sz w:val="21"/>
                <w:szCs w:val="21"/>
              </w:rPr>
              <w:t>PM</w:t>
            </w:r>
            <w:r>
              <w:rPr>
                <w:rFonts w:eastAsia="Times New Roman"/>
                <w:i w:val="0"/>
                <w:iCs w:val="0"/>
                <w:sz w:val="21"/>
                <w:szCs w:val="21"/>
                <w:vertAlign w:val="subscript"/>
              </w:rPr>
              <w:t>10</w:t>
            </w:r>
          </w:p>
        </w:tc>
        <w:tc>
          <w:tcPr>
            <w:tcW w:w="2225" w:type="dxa"/>
            <w:noWrap w:val="0"/>
            <w:vAlign w:val="center"/>
          </w:tcPr>
          <w:p>
            <w:pPr>
              <w:pStyle w:val="202"/>
              <w:spacing w:line="240" w:lineRule="auto"/>
              <w:rPr>
                <w:rFonts w:eastAsia="Times New Roman"/>
                <w:i w:val="0"/>
                <w:iCs w:val="0"/>
                <w:sz w:val="21"/>
                <w:szCs w:val="21"/>
              </w:rPr>
            </w:pPr>
            <w:r>
              <w:rPr>
                <w:i w:val="0"/>
                <w:iCs w:val="0"/>
                <w:sz w:val="21"/>
                <w:szCs w:val="21"/>
              </w:rPr>
              <w:t>24小时平均</w:t>
            </w:r>
          </w:p>
        </w:tc>
        <w:tc>
          <w:tcPr>
            <w:tcW w:w="1483" w:type="dxa"/>
            <w:noWrap w:val="0"/>
            <w:vAlign w:val="center"/>
          </w:tcPr>
          <w:p>
            <w:pPr>
              <w:pStyle w:val="202"/>
              <w:spacing w:line="240" w:lineRule="auto"/>
              <w:rPr>
                <w:i w:val="0"/>
                <w:iCs w:val="0"/>
                <w:sz w:val="21"/>
                <w:szCs w:val="21"/>
              </w:rPr>
            </w:pPr>
            <w:r>
              <w:rPr>
                <w:i w:val="0"/>
                <w:iCs w:val="0"/>
                <w:sz w:val="21"/>
                <w:szCs w:val="21"/>
              </w:rPr>
              <w:t>150μg/m</w:t>
            </w:r>
            <w:r>
              <w:rPr>
                <w:i w:val="0"/>
                <w:iCs w:val="0"/>
                <w:sz w:val="21"/>
                <w:szCs w:val="21"/>
                <w:vertAlign w:val="superscript"/>
              </w:rPr>
              <w:t>3</w:t>
            </w:r>
          </w:p>
        </w:tc>
        <w:tc>
          <w:tcPr>
            <w:tcW w:w="3381" w:type="dxa"/>
            <w:vMerge w:val="restart"/>
            <w:noWrap w:val="0"/>
            <w:vAlign w:val="center"/>
          </w:tcPr>
          <w:p>
            <w:pPr>
              <w:pStyle w:val="202"/>
              <w:spacing w:line="240" w:lineRule="auto"/>
              <w:rPr>
                <w:i w:val="0"/>
                <w:iCs w:val="0"/>
                <w:sz w:val="21"/>
                <w:szCs w:val="21"/>
              </w:rPr>
            </w:pPr>
            <w:r>
              <w:rPr>
                <w:rFonts w:eastAsia="Times New Roman"/>
                <w:i w:val="0"/>
                <w:iCs w:val="0"/>
                <w:sz w:val="21"/>
                <w:szCs w:val="21"/>
              </w:rPr>
              <w:t>《环境空气质量标准》</w:t>
            </w:r>
          </w:p>
          <w:p>
            <w:pPr>
              <w:pStyle w:val="202"/>
              <w:spacing w:line="240" w:lineRule="auto"/>
              <w:rPr>
                <w:rFonts w:eastAsia="Times New Roman"/>
                <w:i w:val="0"/>
                <w:iCs w:val="0"/>
                <w:sz w:val="21"/>
                <w:szCs w:val="21"/>
              </w:rPr>
            </w:pPr>
            <w:r>
              <w:rPr>
                <w:rFonts w:eastAsia="Times New Roman"/>
                <w:i w:val="0"/>
                <w:iCs w:val="0"/>
                <w:sz w:val="21"/>
                <w:szCs w:val="21"/>
              </w:rPr>
              <w:t>（GB3095-2012）</w:t>
            </w:r>
            <w:r>
              <w:rPr>
                <w:rFonts w:eastAsia="Times New Roman"/>
                <w:bCs/>
                <w:i w:val="0"/>
                <w:iCs w:val="0"/>
                <w:sz w:val="21"/>
                <w:szCs w:val="21"/>
              </w:rPr>
              <w:t>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848" w:type="dxa"/>
            <w:vMerge w:val="continue"/>
            <w:noWrap w:val="0"/>
            <w:vAlign w:val="center"/>
          </w:tcPr>
          <w:p>
            <w:pPr>
              <w:pStyle w:val="202"/>
              <w:spacing w:line="240" w:lineRule="auto"/>
              <w:rPr>
                <w:rFonts w:eastAsia="Times New Roman"/>
                <w:i w:val="0"/>
                <w:iCs w:val="0"/>
                <w:sz w:val="21"/>
                <w:szCs w:val="21"/>
              </w:rPr>
            </w:pPr>
          </w:p>
        </w:tc>
        <w:tc>
          <w:tcPr>
            <w:tcW w:w="1272" w:type="dxa"/>
            <w:vMerge w:val="continue"/>
            <w:noWrap w:val="0"/>
            <w:vAlign w:val="center"/>
          </w:tcPr>
          <w:p>
            <w:pPr>
              <w:pStyle w:val="202"/>
              <w:spacing w:line="240" w:lineRule="auto"/>
              <w:rPr>
                <w:rFonts w:eastAsia="Times New Roman"/>
                <w:i w:val="0"/>
                <w:iCs w:val="0"/>
                <w:sz w:val="21"/>
                <w:szCs w:val="21"/>
              </w:rPr>
            </w:pPr>
          </w:p>
        </w:tc>
        <w:tc>
          <w:tcPr>
            <w:tcW w:w="2225" w:type="dxa"/>
            <w:noWrap w:val="0"/>
            <w:vAlign w:val="center"/>
          </w:tcPr>
          <w:p>
            <w:pPr>
              <w:pStyle w:val="202"/>
              <w:spacing w:line="240" w:lineRule="auto"/>
              <w:rPr>
                <w:rFonts w:hint="eastAsia"/>
                <w:i w:val="0"/>
                <w:iCs w:val="0"/>
                <w:sz w:val="21"/>
                <w:szCs w:val="21"/>
              </w:rPr>
            </w:pPr>
            <w:r>
              <w:rPr>
                <w:rFonts w:hint="eastAsia"/>
                <w:i w:val="0"/>
                <w:iCs w:val="0"/>
                <w:sz w:val="21"/>
                <w:szCs w:val="21"/>
              </w:rPr>
              <w:t>年平均</w:t>
            </w:r>
          </w:p>
        </w:tc>
        <w:tc>
          <w:tcPr>
            <w:tcW w:w="1483" w:type="dxa"/>
            <w:noWrap w:val="0"/>
            <w:vAlign w:val="center"/>
          </w:tcPr>
          <w:p>
            <w:pPr>
              <w:pStyle w:val="202"/>
              <w:spacing w:line="240" w:lineRule="auto"/>
              <w:rPr>
                <w:rFonts w:hint="eastAsia"/>
                <w:i w:val="0"/>
                <w:iCs w:val="0"/>
                <w:sz w:val="21"/>
                <w:szCs w:val="21"/>
              </w:rPr>
            </w:pPr>
            <w:r>
              <w:rPr>
                <w:rFonts w:hint="eastAsia"/>
                <w:i w:val="0"/>
                <w:iCs w:val="0"/>
                <w:sz w:val="21"/>
                <w:szCs w:val="21"/>
              </w:rPr>
              <w:t>70</w:t>
            </w:r>
            <w:r>
              <w:rPr>
                <w:i w:val="0"/>
                <w:iCs w:val="0"/>
                <w:sz w:val="21"/>
                <w:szCs w:val="21"/>
              </w:rPr>
              <w:t>μg/m</w:t>
            </w:r>
            <w:r>
              <w:rPr>
                <w:i w:val="0"/>
                <w:iCs w:val="0"/>
                <w:sz w:val="21"/>
                <w:szCs w:val="21"/>
                <w:vertAlign w:val="superscript"/>
              </w:rPr>
              <w:t>3</w:t>
            </w:r>
          </w:p>
        </w:tc>
        <w:tc>
          <w:tcPr>
            <w:tcW w:w="3381" w:type="dxa"/>
            <w:vMerge w:val="continue"/>
            <w:noWrap w:val="0"/>
            <w:vAlign w:val="center"/>
          </w:tcPr>
          <w:p>
            <w:pPr>
              <w:pStyle w:val="202"/>
              <w:spacing w:line="240" w:lineRule="auto"/>
              <w:rPr>
                <w:rFonts w:eastAsia="Times New Roman"/>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 w:hRule="atLeast"/>
          <w:jc w:val="center"/>
        </w:trPr>
        <w:tc>
          <w:tcPr>
            <w:tcW w:w="848" w:type="dxa"/>
            <w:vMerge w:val="restart"/>
            <w:noWrap w:val="0"/>
            <w:vAlign w:val="center"/>
          </w:tcPr>
          <w:p>
            <w:pPr>
              <w:pStyle w:val="202"/>
              <w:spacing w:line="240" w:lineRule="auto"/>
              <w:rPr>
                <w:rFonts w:hint="eastAsia"/>
                <w:i w:val="0"/>
                <w:iCs w:val="0"/>
                <w:sz w:val="21"/>
                <w:szCs w:val="21"/>
              </w:rPr>
            </w:pPr>
            <w:r>
              <w:rPr>
                <w:rFonts w:hint="eastAsia"/>
                <w:i w:val="0"/>
                <w:iCs w:val="0"/>
                <w:sz w:val="21"/>
                <w:szCs w:val="21"/>
              </w:rPr>
              <w:t>2</w:t>
            </w:r>
          </w:p>
        </w:tc>
        <w:tc>
          <w:tcPr>
            <w:tcW w:w="1272" w:type="dxa"/>
            <w:vMerge w:val="restart"/>
            <w:noWrap w:val="0"/>
            <w:vAlign w:val="center"/>
          </w:tcPr>
          <w:p>
            <w:pPr>
              <w:pStyle w:val="202"/>
              <w:spacing w:line="240" w:lineRule="auto"/>
              <w:rPr>
                <w:rFonts w:eastAsia="Times New Roman"/>
                <w:i w:val="0"/>
                <w:iCs w:val="0"/>
                <w:sz w:val="21"/>
                <w:szCs w:val="21"/>
              </w:rPr>
            </w:pPr>
            <w:r>
              <w:rPr>
                <w:rFonts w:eastAsia="Times New Roman"/>
                <w:i w:val="0"/>
                <w:iCs w:val="0"/>
                <w:sz w:val="21"/>
                <w:szCs w:val="21"/>
              </w:rPr>
              <w:t>SO</w:t>
            </w:r>
            <w:r>
              <w:rPr>
                <w:rFonts w:eastAsia="Times New Roman"/>
                <w:i w:val="0"/>
                <w:iCs w:val="0"/>
                <w:sz w:val="21"/>
                <w:szCs w:val="21"/>
                <w:vertAlign w:val="subscript"/>
              </w:rPr>
              <w:t>2</w:t>
            </w:r>
          </w:p>
        </w:tc>
        <w:tc>
          <w:tcPr>
            <w:tcW w:w="2225" w:type="dxa"/>
            <w:noWrap w:val="0"/>
            <w:vAlign w:val="center"/>
          </w:tcPr>
          <w:p>
            <w:pPr>
              <w:pStyle w:val="202"/>
              <w:spacing w:line="240" w:lineRule="auto"/>
              <w:rPr>
                <w:rFonts w:eastAsia="Times New Roman"/>
                <w:i w:val="0"/>
                <w:iCs w:val="0"/>
                <w:sz w:val="21"/>
                <w:szCs w:val="21"/>
              </w:rPr>
            </w:pPr>
            <w:r>
              <w:rPr>
                <w:i w:val="0"/>
                <w:iCs w:val="0"/>
                <w:sz w:val="21"/>
                <w:szCs w:val="21"/>
              </w:rPr>
              <w:t>24小时平均</w:t>
            </w:r>
          </w:p>
        </w:tc>
        <w:tc>
          <w:tcPr>
            <w:tcW w:w="1483" w:type="dxa"/>
            <w:noWrap w:val="0"/>
            <w:vAlign w:val="center"/>
          </w:tcPr>
          <w:p>
            <w:pPr>
              <w:pStyle w:val="202"/>
              <w:spacing w:line="240" w:lineRule="auto"/>
              <w:rPr>
                <w:i w:val="0"/>
                <w:iCs w:val="0"/>
                <w:sz w:val="21"/>
                <w:szCs w:val="21"/>
              </w:rPr>
            </w:pPr>
            <w:r>
              <w:rPr>
                <w:i w:val="0"/>
                <w:iCs w:val="0"/>
                <w:sz w:val="21"/>
                <w:szCs w:val="21"/>
              </w:rPr>
              <w:t>150μg/m</w:t>
            </w:r>
            <w:r>
              <w:rPr>
                <w:i w:val="0"/>
                <w:iCs w:val="0"/>
                <w:sz w:val="21"/>
                <w:szCs w:val="21"/>
                <w:vertAlign w:val="superscript"/>
              </w:rPr>
              <w:t>3</w:t>
            </w:r>
          </w:p>
        </w:tc>
        <w:tc>
          <w:tcPr>
            <w:tcW w:w="3381" w:type="dxa"/>
            <w:vMerge w:val="continue"/>
            <w:noWrap w:val="0"/>
            <w:vAlign w:val="center"/>
          </w:tcPr>
          <w:p>
            <w:pPr>
              <w:pStyle w:val="202"/>
              <w:spacing w:line="240" w:lineRule="auto"/>
              <w:rPr>
                <w:rFonts w:eastAsia="Times New Roman"/>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 w:hRule="atLeast"/>
          <w:jc w:val="center"/>
        </w:trPr>
        <w:tc>
          <w:tcPr>
            <w:tcW w:w="848" w:type="dxa"/>
            <w:vMerge w:val="continue"/>
            <w:noWrap w:val="0"/>
            <w:vAlign w:val="center"/>
          </w:tcPr>
          <w:p>
            <w:pPr>
              <w:pStyle w:val="202"/>
              <w:spacing w:line="240" w:lineRule="auto"/>
              <w:rPr>
                <w:rFonts w:eastAsia="Times New Roman"/>
                <w:i w:val="0"/>
                <w:iCs w:val="0"/>
                <w:sz w:val="21"/>
                <w:szCs w:val="21"/>
              </w:rPr>
            </w:pPr>
          </w:p>
        </w:tc>
        <w:tc>
          <w:tcPr>
            <w:tcW w:w="1272" w:type="dxa"/>
            <w:vMerge w:val="continue"/>
            <w:noWrap w:val="0"/>
            <w:vAlign w:val="center"/>
          </w:tcPr>
          <w:p>
            <w:pPr>
              <w:pStyle w:val="202"/>
              <w:spacing w:line="240" w:lineRule="auto"/>
              <w:rPr>
                <w:rFonts w:eastAsia="Times New Roman"/>
                <w:i w:val="0"/>
                <w:iCs w:val="0"/>
                <w:sz w:val="21"/>
                <w:szCs w:val="21"/>
              </w:rPr>
            </w:pPr>
          </w:p>
        </w:tc>
        <w:tc>
          <w:tcPr>
            <w:tcW w:w="2225" w:type="dxa"/>
            <w:noWrap w:val="0"/>
            <w:vAlign w:val="center"/>
          </w:tcPr>
          <w:p>
            <w:pPr>
              <w:pStyle w:val="202"/>
              <w:spacing w:line="240" w:lineRule="auto"/>
              <w:rPr>
                <w:i w:val="0"/>
                <w:iCs w:val="0"/>
                <w:sz w:val="21"/>
                <w:szCs w:val="21"/>
              </w:rPr>
            </w:pPr>
            <w:r>
              <w:rPr>
                <w:i w:val="0"/>
                <w:iCs w:val="0"/>
                <w:sz w:val="21"/>
                <w:szCs w:val="21"/>
              </w:rPr>
              <w:t>1小时平均</w:t>
            </w:r>
          </w:p>
        </w:tc>
        <w:tc>
          <w:tcPr>
            <w:tcW w:w="1483" w:type="dxa"/>
            <w:noWrap w:val="0"/>
            <w:vAlign w:val="center"/>
          </w:tcPr>
          <w:p>
            <w:pPr>
              <w:pStyle w:val="202"/>
              <w:spacing w:line="240" w:lineRule="auto"/>
              <w:rPr>
                <w:i w:val="0"/>
                <w:iCs w:val="0"/>
                <w:sz w:val="21"/>
                <w:szCs w:val="21"/>
              </w:rPr>
            </w:pPr>
            <w:r>
              <w:rPr>
                <w:i w:val="0"/>
                <w:iCs w:val="0"/>
                <w:sz w:val="21"/>
                <w:szCs w:val="21"/>
              </w:rPr>
              <w:t>500μg/m</w:t>
            </w:r>
            <w:r>
              <w:rPr>
                <w:i w:val="0"/>
                <w:iCs w:val="0"/>
                <w:sz w:val="21"/>
                <w:szCs w:val="21"/>
                <w:vertAlign w:val="superscript"/>
              </w:rPr>
              <w:t>3</w:t>
            </w:r>
          </w:p>
        </w:tc>
        <w:tc>
          <w:tcPr>
            <w:tcW w:w="3381" w:type="dxa"/>
            <w:vMerge w:val="continue"/>
            <w:noWrap w:val="0"/>
            <w:vAlign w:val="center"/>
          </w:tcPr>
          <w:p>
            <w:pPr>
              <w:pStyle w:val="202"/>
              <w:spacing w:line="240" w:lineRule="auto"/>
              <w:rPr>
                <w:rFonts w:eastAsia="Times New Roman"/>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 w:hRule="atLeast"/>
          <w:jc w:val="center"/>
        </w:trPr>
        <w:tc>
          <w:tcPr>
            <w:tcW w:w="848" w:type="dxa"/>
            <w:vMerge w:val="restart"/>
            <w:noWrap w:val="0"/>
            <w:vAlign w:val="center"/>
          </w:tcPr>
          <w:p>
            <w:pPr>
              <w:pStyle w:val="202"/>
              <w:spacing w:line="240" w:lineRule="auto"/>
              <w:rPr>
                <w:rFonts w:hint="eastAsia"/>
                <w:i w:val="0"/>
                <w:iCs w:val="0"/>
                <w:sz w:val="21"/>
                <w:szCs w:val="21"/>
                <w:vertAlign w:val="subscript"/>
              </w:rPr>
            </w:pPr>
            <w:r>
              <w:rPr>
                <w:rFonts w:hint="eastAsia"/>
                <w:i w:val="0"/>
                <w:iCs w:val="0"/>
                <w:sz w:val="21"/>
                <w:szCs w:val="21"/>
              </w:rPr>
              <w:t>3</w:t>
            </w:r>
          </w:p>
        </w:tc>
        <w:tc>
          <w:tcPr>
            <w:tcW w:w="1272" w:type="dxa"/>
            <w:vMerge w:val="restart"/>
            <w:noWrap w:val="0"/>
            <w:vAlign w:val="center"/>
          </w:tcPr>
          <w:p>
            <w:pPr>
              <w:pStyle w:val="202"/>
              <w:spacing w:line="240" w:lineRule="auto"/>
              <w:rPr>
                <w:rFonts w:eastAsia="Times New Roman"/>
                <w:i w:val="0"/>
                <w:iCs w:val="0"/>
                <w:sz w:val="21"/>
                <w:szCs w:val="21"/>
              </w:rPr>
            </w:pPr>
            <w:r>
              <w:rPr>
                <w:rFonts w:eastAsia="Times New Roman"/>
                <w:i w:val="0"/>
                <w:iCs w:val="0"/>
                <w:sz w:val="21"/>
                <w:szCs w:val="21"/>
              </w:rPr>
              <w:t>NO</w:t>
            </w:r>
            <w:r>
              <w:rPr>
                <w:rFonts w:eastAsia="Times New Roman"/>
                <w:i w:val="0"/>
                <w:iCs w:val="0"/>
                <w:sz w:val="21"/>
                <w:szCs w:val="21"/>
                <w:vertAlign w:val="subscript"/>
              </w:rPr>
              <w:t>2</w:t>
            </w:r>
          </w:p>
        </w:tc>
        <w:tc>
          <w:tcPr>
            <w:tcW w:w="2225" w:type="dxa"/>
            <w:noWrap w:val="0"/>
            <w:vAlign w:val="center"/>
          </w:tcPr>
          <w:p>
            <w:pPr>
              <w:pStyle w:val="202"/>
              <w:spacing w:line="240" w:lineRule="auto"/>
              <w:rPr>
                <w:rFonts w:eastAsia="Times New Roman"/>
                <w:i w:val="0"/>
                <w:iCs w:val="0"/>
                <w:sz w:val="21"/>
                <w:szCs w:val="21"/>
              </w:rPr>
            </w:pPr>
            <w:r>
              <w:rPr>
                <w:i w:val="0"/>
                <w:iCs w:val="0"/>
                <w:sz w:val="21"/>
                <w:szCs w:val="21"/>
              </w:rPr>
              <w:t>24小时平均</w:t>
            </w:r>
          </w:p>
        </w:tc>
        <w:tc>
          <w:tcPr>
            <w:tcW w:w="1483" w:type="dxa"/>
            <w:noWrap w:val="0"/>
            <w:vAlign w:val="center"/>
          </w:tcPr>
          <w:p>
            <w:pPr>
              <w:pStyle w:val="202"/>
              <w:spacing w:line="240" w:lineRule="auto"/>
              <w:rPr>
                <w:i w:val="0"/>
                <w:iCs w:val="0"/>
                <w:sz w:val="21"/>
                <w:szCs w:val="21"/>
              </w:rPr>
            </w:pPr>
            <w:r>
              <w:rPr>
                <w:i w:val="0"/>
                <w:iCs w:val="0"/>
                <w:sz w:val="21"/>
                <w:szCs w:val="21"/>
              </w:rPr>
              <w:t>80μg/m</w:t>
            </w:r>
            <w:r>
              <w:rPr>
                <w:i w:val="0"/>
                <w:iCs w:val="0"/>
                <w:sz w:val="21"/>
                <w:szCs w:val="21"/>
                <w:vertAlign w:val="superscript"/>
              </w:rPr>
              <w:t>3</w:t>
            </w:r>
          </w:p>
        </w:tc>
        <w:tc>
          <w:tcPr>
            <w:tcW w:w="3381" w:type="dxa"/>
            <w:vMerge w:val="continue"/>
            <w:noWrap w:val="0"/>
            <w:vAlign w:val="center"/>
          </w:tcPr>
          <w:p>
            <w:pPr>
              <w:pStyle w:val="202"/>
              <w:spacing w:line="240" w:lineRule="auto"/>
              <w:rPr>
                <w:rFonts w:eastAsia="Times New Roman"/>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 w:hRule="atLeast"/>
          <w:jc w:val="center"/>
        </w:trPr>
        <w:tc>
          <w:tcPr>
            <w:tcW w:w="848" w:type="dxa"/>
            <w:vMerge w:val="continue"/>
            <w:noWrap w:val="0"/>
            <w:vAlign w:val="center"/>
          </w:tcPr>
          <w:p>
            <w:pPr>
              <w:pStyle w:val="202"/>
              <w:spacing w:line="240" w:lineRule="auto"/>
              <w:rPr>
                <w:rFonts w:eastAsia="Times New Roman"/>
                <w:i w:val="0"/>
                <w:iCs w:val="0"/>
                <w:sz w:val="21"/>
                <w:szCs w:val="21"/>
              </w:rPr>
            </w:pPr>
          </w:p>
        </w:tc>
        <w:tc>
          <w:tcPr>
            <w:tcW w:w="1272" w:type="dxa"/>
            <w:vMerge w:val="continue"/>
            <w:noWrap w:val="0"/>
            <w:vAlign w:val="center"/>
          </w:tcPr>
          <w:p>
            <w:pPr>
              <w:pStyle w:val="202"/>
              <w:spacing w:line="240" w:lineRule="auto"/>
              <w:rPr>
                <w:rFonts w:eastAsia="Times New Roman"/>
                <w:i w:val="0"/>
                <w:iCs w:val="0"/>
                <w:sz w:val="21"/>
                <w:szCs w:val="21"/>
                <w:vertAlign w:val="subscript"/>
              </w:rPr>
            </w:pPr>
          </w:p>
        </w:tc>
        <w:tc>
          <w:tcPr>
            <w:tcW w:w="2225" w:type="dxa"/>
            <w:noWrap w:val="0"/>
            <w:vAlign w:val="center"/>
          </w:tcPr>
          <w:p>
            <w:pPr>
              <w:pStyle w:val="202"/>
              <w:spacing w:line="240" w:lineRule="auto"/>
              <w:rPr>
                <w:i w:val="0"/>
                <w:iCs w:val="0"/>
                <w:sz w:val="21"/>
                <w:szCs w:val="21"/>
              </w:rPr>
            </w:pPr>
            <w:r>
              <w:rPr>
                <w:i w:val="0"/>
                <w:iCs w:val="0"/>
                <w:sz w:val="21"/>
                <w:szCs w:val="21"/>
              </w:rPr>
              <w:t>1小时平均</w:t>
            </w:r>
          </w:p>
        </w:tc>
        <w:tc>
          <w:tcPr>
            <w:tcW w:w="1483" w:type="dxa"/>
            <w:noWrap w:val="0"/>
            <w:vAlign w:val="center"/>
          </w:tcPr>
          <w:p>
            <w:pPr>
              <w:pStyle w:val="202"/>
              <w:spacing w:line="240" w:lineRule="auto"/>
              <w:rPr>
                <w:i w:val="0"/>
                <w:iCs w:val="0"/>
                <w:sz w:val="21"/>
                <w:szCs w:val="21"/>
              </w:rPr>
            </w:pPr>
            <w:r>
              <w:rPr>
                <w:i w:val="0"/>
                <w:iCs w:val="0"/>
                <w:sz w:val="21"/>
                <w:szCs w:val="21"/>
              </w:rPr>
              <w:t>200μg/m</w:t>
            </w:r>
            <w:r>
              <w:rPr>
                <w:i w:val="0"/>
                <w:iCs w:val="0"/>
                <w:sz w:val="21"/>
                <w:szCs w:val="21"/>
                <w:vertAlign w:val="superscript"/>
              </w:rPr>
              <w:t>3</w:t>
            </w:r>
          </w:p>
        </w:tc>
        <w:tc>
          <w:tcPr>
            <w:tcW w:w="3381" w:type="dxa"/>
            <w:vMerge w:val="continue"/>
            <w:noWrap w:val="0"/>
            <w:vAlign w:val="center"/>
          </w:tcPr>
          <w:p>
            <w:pPr>
              <w:pStyle w:val="202"/>
              <w:spacing w:line="240" w:lineRule="auto"/>
              <w:rPr>
                <w:rFonts w:eastAsia="Times New Roman"/>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 w:hRule="atLeast"/>
          <w:jc w:val="center"/>
        </w:trPr>
        <w:tc>
          <w:tcPr>
            <w:tcW w:w="848" w:type="dxa"/>
            <w:vMerge w:val="restart"/>
            <w:noWrap w:val="0"/>
            <w:vAlign w:val="center"/>
          </w:tcPr>
          <w:p>
            <w:pPr>
              <w:pStyle w:val="202"/>
              <w:spacing w:line="240" w:lineRule="auto"/>
              <w:rPr>
                <w:rFonts w:hint="eastAsia"/>
                <w:i w:val="0"/>
                <w:iCs w:val="0"/>
                <w:sz w:val="21"/>
                <w:szCs w:val="21"/>
              </w:rPr>
            </w:pPr>
            <w:r>
              <w:rPr>
                <w:rFonts w:hint="eastAsia"/>
                <w:i w:val="0"/>
                <w:iCs w:val="0"/>
                <w:sz w:val="21"/>
                <w:szCs w:val="21"/>
              </w:rPr>
              <w:t>4</w:t>
            </w:r>
          </w:p>
        </w:tc>
        <w:tc>
          <w:tcPr>
            <w:tcW w:w="1272" w:type="dxa"/>
            <w:vMerge w:val="restart"/>
            <w:noWrap w:val="0"/>
            <w:vAlign w:val="center"/>
          </w:tcPr>
          <w:p>
            <w:pPr>
              <w:pStyle w:val="202"/>
              <w:spacing w:line="240" w:lineRule="auto"/>
              <w:rPr>
                <w:rFonts w:hint="eastAsia"/>
                <w:i w:val="0"/>
                <w:iCs w:val="0"/>
                <w:sz w:val="21"/>
                <w:szCs w:val="21"/>
              </w:rPr>
            </w:pPr>
            <w:r>
              <w:rPr>
                <w:rFonts w:hint="eastAsia"/>
                <w:i w:val="0"/>
                <w:iCs w:val="0"/>
                <w:sz w:val="21"/>
                <w:szCs w:val="21"/>
              </w:rPr>
              <w:t>CO</w:t>
            </w:r>
          </w:p>
        </w:tc>
        <w:tc>
          <w:tcPr>
            <w:tcW w:w="2225" w:type="dxa"/>
            <w:noWrap w:val="0"/>
            <w:vAlign w:val="center"/>
          </w:tcPr>
          <w:p>
            <w:pPr>
              <w:pStyle w:val="202"/>
              <w:spacing w:line="240" w:lineRule="auto"/>
              <w:rPr>
                <w:i w:val="0"/>
                <w:iCs w:val="0"/>
                <w:sz w:val="21"/>
                <w:szCs w:val="21"/>
              </w:rPr>
            </w:pPr>
            <w:r>
              <w:rPr>
                <w:i w:val="0"/>
                <w:iCs w:val="0"/>
                <w:sz w:val="21"/>
                <w:szCs w:val="21"/>
              </w:rPr>
              <w:t>24小时平均</w:t>
            </w:r>
          </w:p>
        </w:tc>
        <w:tc>
          <w:tcPr>
            <w:tcW w:w="1483" w:type="dxa"/>
            <w:noWrap w:val="0"/>
            <w:vAlign w:val="center"/>
          </w:tcPr>
          <w:p>
            <w:pPr>
              <w:pStyle w:val="202"/>
              <w:spacing w:line="240" w:lineRule="auto"/>
              <w:rPr>
                <w:rFonts w:hint="eastAsia"/>
                <w:i w:val="0"/>
                <w:iCs w:val="0"/>
                <w:sz w:val="21"/>
                <w:szCs w:val="21"/>
              </w:rPr>
            </w:pPr>
            <w:r>
              <w:rPr>
                <w:rFonts w:hint="eastAsia"/>
                <w:i w:val="0"/>
                <w:iCs w:val="0"/>
                <w:sz w:val="21"/>
                <w:szCs w:val="21"/>
              </w:rPr>
              <w:t>4m</w:t>
            </w:r>
            <w:r>
              <w:rPr>
                <w:i w:val="0"/>
                <w:iCs w:val="0"/>
                <w:sz w:val="21"/>
                <w:szCs w:val="21"/>
              </w:rPr>
              <w:t>g/m</w:t>
            </w:r>
            <w:r>
              <w:rPr>
                <w:i w:val="0"/>
                <w:iCs w:val="0"/>
                <w:sz w:val="21"/>
                <w:szCs w:val="21"/>
                <w:vertAlign w:val="superscript"/>
              </w:rPr>
              <w:t>3</w:t>
            </w:r>
          </w:p>
        </w:tc>
        <w:tc>
          <w:tcPr>
            <w:tcW w:w="3381" w:type="dxa"/>
            <w:vMerge w:val="continue"/>
            <w:noWrap w:val="0"/>
            <w:vAlign w:val="center"/>
          </w:tcPr>
          <w:p>
            <w:pPr>
              <w:pStyle w:val="202"/>
              <w:spacing w:line="240" w:lineRule="auto"/>
              <w:rPr>
                <w:rFonts w:eastAsia="Times New Roman"/>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 w:hRule="atLeast"/>
          <w:jc w:val="center"/>
        </w:trPr>
        <w:tc>
          <w:tcPr>
            <w:tcW w:w="848" w:type="dxa"/>
            <w:vMerge w:val="continue"/>
            <w:noWrap w:val="0"/>
            <w:vAlign w:val="center"/>
          </w:tcPr>
          <w:p>
            <w:pPr>
              <w:pStyle w:val="202"/>
              <w:spacing w:line="240" w:lineRule="auto"/>
              <w:rPr>
                <w:rFonts w:eastAsia="Times New Roman"/>
                <w:i w:val="0"/>
                <w:iCs w:val="0"/>
                <w:sz w:val="21"/>
                <w:szCs w:val="21"/>
              </w:rPr>
            </w:pPr>
          </w:p>
        </w:tc>
        <w:tc>
          <w:tcPr>
            <w:tcW w:w="1272" w:type="dxa"/>
            <w:vMerge w:val="continue"/>
            <w:noWrap w:val="0"/>
            <w:vAlign w:val="center"/>
          </w:tcPr>
          <w:p>
            <w:pPr>
              <w:pStyle w:val="202"/>
              <w:spacing w:line="240" w:lineRule="auto"/>
              <w:rPr>
                <w:rFonts w:hint="eastAsia"/>
                <w:i w:val="0"/>
                <w:iCs w:val="0"/>
                <w:sz w:val="21"/>
                <w:szCs w:val="21"/>
              </w:rPr>
            </w:pPr>
          </w:p>
        </w:tc>
        <w:tc>
          <w:tcPr>
            <w:tcW w:w="2225" w:type="dxa"/>
            <w:noWrap w:val="0"/>
            <w:vAlign w:val="center"/>
          </w:tcPr>
          <w:p>
            <w:pPr>
              <w:pStyle w:val="202"/>
              <w:spacing w:line="240" w:lineRule="auto"/>
              <w:rPr>
                <w:i w:val="0"/>
                <w:iCs w:val="0"/>
                <w:sz w:val="21"/>
                <w:szCs w:val="21"/>
              </w:rPr>
            </w:pPr>
            <w:r>
              <w:rPr>
                <w:i w:val="0"/>
                <w:iCs w:val="0"/>
                <w:sz w:val="21"/>
                <w:szCs w:val="21"/>
              </w:rPr>
              <w:t>1小时平均</w:t>
            </w:r>
          </w:p>
        </w:tc>
        <w:tc>
          <w:tcPr>
            <w:tcW w:w="1483" w:type="dxa"/>
            <w:noWrap w:val="0"/>
            <w:vAlign w:val="center"/>
          </w:tcPr>
          <w:p>
            <w:pPr>
              <w:pStyle w:val="202"/>
              <w:spacing w:line="240" w:lineRule="auto"/>
              <w:rPr>
                <w:rFonts w:hint="eastAsia"/>
                <w:i w:val="0"/>
                <w:iCs w:val="0"/>
                <w:sz w:val="21"/>
                <w:szCs w:val="21"/>
              </w:rPr>
            </w:pPr>
            <w:r>
              <w:rPr>
                <w:rFonts w:hint="eastAsia"/>
                <w:i w:val="0"/>
                <w:iCs w:val="0"/>
                <w:sz w:val="21"/>
                <w:szCs w:val="21"/>
              </w:rPr>
              <w:t>10m</w:t>
            </w:r>
            <w:r>
              <w:rPr>
                <w:i w:val="0"/>
                <w:iCs w:val="0"/>
                <w:sz w:val="21"/>
                <w:szCs w:val="21"/>
              </w:rPr>
              <w:t>g/m</w:t>
            </w:r>
            <w:r>
              <w:rPr>
                <w:i w:val="0"/>
                <w:iCs w:val="0"/>
                <w:sz w:val="21"/>
                <w:szCs w:val="21"/>
                <w:vertAlign w:val="superscript"/>
              </w:rPr>
              <w:t>3</w:t>
            </w:r>
          </w:p>
        </w:tc>
        <w:tc>
          <w:tcPr>
            <w:tcW w:w="3381" w:type="dxa"/>
            <w:vMerge w:val="continue"/>
            <w:noWrap w:val="0"/>
            <w:vAlign w:val="center"/>
          </w:tcPr>
          <w:p>
            <w:pPr>
              <w:pStyle w:val="202"/>
              <w:spacing w:line="240" w:lineRule="auto"/>
              <w:rPr>
                <w:rFonts w:eastAsia="Times New Roman"/>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 w:hRule="atLeast"/>
          <w:jc w:val="center"/>
        </w:trPr>
        <w:tc>
          <w:tcPr>
            <w:tcW w:w="848" w:type="dxa"/>
            <w:vMerge w:val="restart"/>
            <w:noWrap w:val="0"/>
            <w:vAlign w:val="center"/>
          </w:tcPr>
          <w:p>
            <w:pPr>
              <w:pStyle w:val="202"/>
              <w:spacing w:line="240" w:lineRule="auto"/>
              <w:rPr>
                <w:rFonts w:hint="eastAsia"/>
                <w:i w:val="0"/>
                <w:iCs w:val="0"/>
                <w:sz w:val="21"/>
                <w:szCs w:val="21"/>
              </w:rPr>
            </w:pPr>
            <w:r>
              <w:rPr>
                <w:rFonts w:hint="eastAsia"/>
                <w:i w:val="0"/>
                <w:iCs w:val="0"/>
                <w:sz w:val="21"/>
                <w:szCs w:val="21"/>
              </w:rPr>
              <w:t>5</w:t>
            </w:r>
          </w:p>
        </w:tc>
        <w:tc>
          <w:tcPr>
            <w:tcW w:w="1272" w:type="dxa"/>
            <w:vMerge w:val="restart"/>
            <w:noWrap w:val="0"/>
            <w:vAlign w:val="center"/>
          </w:tcPr>
          <w:p>
            <w:pPr>
              <w:pStyle w:val="202"/>
              <w:spacing w:line="240" w:lineRule="auto"/>
              <w:rPr>
                <w:rFonts w:hint="eastAsia"/>
                <w:i w:val="0"/>
                <w:iCs w:val="0"/>
                <w:sz w:val="21"/>
                <w:szCs w:val="21"/>
              </w:rPr>
            </w:pPr>
            <w:r>
              <w:rPr>
                <w:rFonts w:hint="eastAsia"/>
                <w:i w:val="0"/>
                <w:iCs w:val="0"/>
                <w:sz w:val="21"/>
                <w:szCs w:val="21"/>
              </w:rPr>
              <w:t>PM</w:t>
            </w:r>
            <w:r>
              <w:rPr>
                <w:rFonts w:hint="eastAsia"/>
                <w:i w:val="0"/>
                <w:iCs w:val="0"/>
                <w:sz w:val="21"/>
                <w:szCs w:val="21"/>
                <w:vertAlign w:val="subscript"/>
              </w:rPr>
              <w:t>2.5</w:t>
            </w:r>
          </w:p>
        </w:tc>
        <w:tc>
          <w:tcPr>
            <w:tcW w:w="2225" w:type="dxa"/>
            <w:noWrap w:val="0"/>
            <w:vAlign w:val="center"/>
          </w:tcPr>
          <w:p>
            <w:pPr>
              <w:pStyle w:val="202"/>
              <w:spacing w:line="240" w:lineRule="auto"/>
              <w:rPr>
                <w:i w:val="0"/>
                <w:iCs w:val="0"/>
                <w:sz w:val="21"/>
                <w:szCs w:val="21"/>
              </w:rPr>
            </w:pPr>
            <w:r>
              <w:rPr>
                <w:i w:val="0"/>
                <w:iCs w:val="0"/>
                <w:sz w:val="21"/>
                <w:szCs w:val="21"/>
              </w:rPr>
              <w:t>24小时平均</w:t>
            </w:r>
          </w:p>
        </w:tc>
        <w:tc>
          <w:tcPr>
            <w:tcW w:w="1483" w:type="dxa"/>
            <w:noWrap w:val="0"/>
            <w:vAlign w:val="center"/>
          </w:tcPr>
          <w:p>
            <w:pPr>
              <w:pStyle w:val="202"/>
              <w:spacing w:line="240" w:lineRule="auto"/>
              <w:rPr>
                <w:rFonts w:hint="eastAsia"/>
                <w:i w:val="0"/>
                <w:iCs w:val="0"/>
                <w:sz w:val="21"/>
                <w:szCs w:val="21"/>
              </w:rPr>
            </w:pPr>
            <w:r>
              <w:rPr>
                <w:rFonts w:hint="eastAsia"/>
                <w:i w:val="0"/>
                <w:iCs w:val="0"/>
                <w:sz w:val="21"/>
                <w:szCs w:val="21"/>
              </w:rPr>
              <w:t>75</w:t>
            </w:r>
            <w:r>
              <w:rPr>
                <w:i w:val="0"/>
                <w:iCs w:val="0"/>
                <w:sz w:val="21"/>
                <w:szCs w:val="21"/>
              </w:rPr>
              <w:t>μg/m</w:t>
            </w:r>
            <w:r>
              <w:rPr>
                <w:i w:val="0"/>
                <w:iCs w:val="0"/>
                <w:sz w:val="21"/>
                <w:szCs w:val="21"/>
                <w:vertAlign w:val="superscript"/>
              </w:rPr>
              <w:t>3</w:t>
            </w:r>
          </w:p>
        </w:tc>
        <w:tc>
          <w:tcPr>
            <w:tcW w:w="3381" w:type="dxa"/>
            <w:vMerge w:val="continue"/>
            <w:noWrap w:val="0"/>
            <w:vAlign w:val="center"/>
          </w:tcPr>
          <w:p>
            <w:pPr>
              <w:pStyle w:val="202"/>
              <w:spacing w:line="240" w:lineRule="auto"/>
              <w:rPr>
                <w:rFonts w:eastAsia="Times New Roman"/>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 w:hRule="atLeast"/>
          <w:jc w:val="center"/>
        </w:trPr>
        <w:tc>
          <w:tcPr>
            <w:tcW w:w="848" w:type="dxa"/>
            <w:vMerge w:val="continue"/>
            <w:noWrap w:val="0"/>
            <w:vAlign w:val="center"/>
          </w:tcPr>
          <w:p>
            <w:pPr>
              <w:pStyle w:val="202"/>
              <w:spacing w:line="240" w:lineRule="auto"/>
              <w:rPr>
                <w:rFonts w:eastAsia="Times New Roman"/>
                <w:i w:val="0"/>
                <w:iCs w:val="0"/>
                <w:sz w:val="21"/>
                <w:szCs w:val="21"/>
              </w:rPr>
            </w:pPr>
          </w:p>
        </w:tc>
        <w:tc>
          <w:tcPr>
            <w:tcW w:w="1272" w:type="dxa"/>
            <w:vMerge w:val="continue"/>
            <w:noWrap w:val="0"/>
            <w:vAlign w:val="center"/>
          </w:tcPr>
          <w:p>
            <w:pPr>
              <w:pStyle w:val="202"/>
              <w:spacing w:line="240" w:lineRule="auto"/>
              <w:rPr>
                <w:rFonts w:hint="eastAsia"/>
                <w:i w:val="0"/>
                <w:iCs w:val="0"/>
                <w:sz w:val="21"/>
                <w:szCs w:val="21"/>
              </w:rPr>
            </w:pPr>
          </w:p>
        </w:tc>
        <w:tc>
          <w:tcPr>
            <w:tcW w:w="2225" w:type="dxa"/>
            <w:noWrap w:val="0"/>
            <w:vAlign w:val="center"/>
          </w:tcPr>
          <w:p>
            <w:pPr>
              <w:pStyle w:val="202"/>
              <w:spacing w:line="240" w:lineRule="auto"/>
              <w:rPr>
                <w:i w:val="0"/>
                <w:iCs w:val="0"/>
                <w:sz w:val="21"/>
                <w:szCs w:val="21"/>
              </w:rPr>
            </w:pPr>
            <w:r>
              <w:rPr>
                <w:rFonts w:hint="eastAsia"/>
                <w:i w:val="0"/>
                <w:iCs w:val="0"/>
                <w:sz w:val="21"/>
                <w:szCs w:val="21"/>
              </w:rPr>
              <w:t>年平均</w:t>
            </w:r>
          </w:p>
        </w:tc>
        <w:tc>
          <w:tcPr>
            <w:tcW w:w="1483" w:type="dxa"/>
            <w:noWrap w:val="0"/>
            <w:vAlign w:val="center"/>
          </w:tcPr>
          <w:p>
            <w:pPr>
              <w:pStyle w:val="202"/>
              <w:spacing w:line="240" w:lineRule="auto"/>
              <w:rPr>
                <w:rFonts w:hint="eastAsia"/>
                <w:i w:val="0"/>
                <w:iCs w:val="0"/>
                <w:sz w:val="21"/>
                <w:szCs w:val="21"/>
              </w:rPr>
            </w:pPr>
            <w:r>
              <w:rPr>
                <w:rFonts w:hint="eastAsia"/>
                <w:i w:val="0"/>
                <w:iCs w:val="0"/>
                <w:sz w:val="21"/>
                <w:szCs w:val="21"/>
              </w:rPr>
              <w:t>35</w:t>
            </w:r>
            <w:r>
              <w:rPr>
                <w:i w:val="0"/>
                <w:iCs w:val="0"/>
                <w:sz w:val="21"/>
                <w:szCs w:val="21"/>
              </w:rPr>
              <w:t>μg/m</w:t>
            </w:r>
            <w:r>
              <w:rPr>
                <w:i w:val="0"/>
                <w:iCs w:val="0"/>
                <w:sz w:val="21"/>
                <w:szCs w:val="21"/>
                <w:vertAlign w:val="superscript"/>
              </w:rPr>
              <w:t>3</w:t>
            </w:r>
          </w:p>
        </w:tc>
        <w:tc>
          <w:tcPr>
            <w:tcW w:w="3381" w:type="dxa"/>
            <w:vMerge w:val="continue"/>
            <w:noWrap w:val="0"/>
            <w:vAlign w:val="center"/>
          </w:tcPr>
          <w:p>
            <w:pPr>
              <w:pStyle w:val="202"/>
              <w:spacing w:line="240" w:lineRule="auto"/>
              <w:rPr>
                <w:rFonts w:eastAsia="Times New Roman"/>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 w:hRule="atLeast"/>
          <w:jc w:val="center"/>
        </w:trPr>
        <w:tc>
          <w:tcPr>
            <w:tcW w:w="848" w:type="dxa"/>
            <w:vMerge w:val="restart"/>
            <w:noWrap w:val="0"/>
            <w:vAlign w:val="center"/>
          </w:tcPr>
          <w:p>
            <w:pPr>
              <w:pStyle w:val="202"/>
              <w:spacing w:line="240" w:lineRule="auto"/>
              <w:rPr>
                <w:rFonts w:hint="eastAsia"/>
                <w:i w:val="0"/>
                <w:iCs w:val="0"/>
                <w:sz w:val="21"/>
                <w:szCs w:val="21"/>
              </w:rPr>
            </w:pPr>
            <w:r>
              <w:rPr>
                <w:rFonts w:hint="eastAsia"/>
                <w:i w:val="0"/>
                <w:iCs w:val="0"/>
                <w:sz w:val="21"/>
                <w:szCs w:val="21"/>
              </w:rPr>
              <w:t>6</w:t>
            </w:r>
          </w:p>
        </w:tc>
        <w:tc>
          <w:tcPr>
            <w:tcW w:w="1272" w:type="dxa"/>
            <w:vMerge w:val="restart"/>
            <w:noWrap w:val="0"/>
            <w:vAlign w:val="center"/>
          </w:tcPr>
          <w:p>
            <w:pPr>
              <w:pStyle w:val="202"/>
              <w:spacing w:line="240" w:lineRule="auto"/>
              <w:rPr>
                <w:rFonts w:hint="eastAsia"/>
                <w:i w:val="0"/>
                <w:iCs w:val="0"/>
                <w:sz w:val="21"/>
                <w:szCs w:val="21"/>
              </w:rPr>
            </w:pPr>
            <w:r>
              <w:rPr>
                <w:rFonts w:hint="eastAsia"/>
                <w:i w:val="0"/>
                <w:iCs w:val="0"/>
                <w:sz w:val="21"/>
                <w:szCs w:val="21"/>
              </w:rPr>
              <w:t>O</w:t>
            </w:r>
            <w:r>
              <w:rPr>
                <w:rFonts w:hint="eastAsia"/>
                <w:i w:val="0"/>
                <w:iCs w:val="0"/>
                <w:sz w:val="21"/>
                <w:szCs w:val="21"/>
                <w:vertAlign w:val="subscript"/>
              </w:rPr>
              <w:t>3</w:t>
            </w:r>
          </w:p>
        </w:tc>
        <w:tc>
          <w:tcPr>
            <w:tcW w:w="2225" w:type="dxa"/>
            <w:noWrap w:val="0"/>
            <w:vAlign w:val="center"/>
          </w:tcPr>
          <w:p>
            <w:pPr>
              <w:pStyle w:val="202"/>
              <w:spacing w:line="240" w:lineRule="auto"/>
              <w:rPr>
                <w:i w:val="0"/>
                <w:iCs w:val="0"/>
                <w:sz w:val="21"/>
                <w:szCs w:val="21"/>
              </w:rPr>
            </w:pPr>
            <w:r>
              <w:rPr>
                <w:i w:val="0"/>
                <w:iCs w:val="0"/>
                <w:sz w:val="21"/>
                <w:szCs w:val="21"/>
              </w:rPr>
              <w:t>1小时平均浓度限值</w:t>
            </w:r>
          </w:p>
        </w:tc>
        <w:tc>
          <w:tcPr>
            <w:tcW w:w="1483" w:type="dxa"/>
            <w:noWrap w:val="0"/>
            <w:vAlign w:val="center"/>
          </w:tcPr>
          <w:p>
            <w:pPr>
              <w:pStyle w:val="202"/>
              <w:spacing w:line="240" w:lineRule="auto"/>
              <w:rPr>
                <w:rFonts w:hint="eastAsia"/>
                <w:i w:val="0"/>
                <w:iCs w:val="0"/>
                <w:sz w:val="21"/>
                <w:szCs w:val="21"/>
              </w:rPr>
            </w:pPr>
            <w:r>
              <w:rPr>
                <w:rFonts w:hint="eastAsia"/>
                <w:i w:val="0"/>
                <w:iCs w:val="0"/>
                <w:sz w:val="21"/>
                <w:szCs w:val="21"/>
              </w:rPr>
              <w:t>200</w:t>
            </w:r>
            <w:r>
              <w:rPr>
                <w:i w:val="0"/>
                <w:iCs w:val="0"/>
                <w:sz w:val="21"/>
                <w:szCs w:val="21"/>
              </w:rPr>
              <w:t>μg/m</w:t>
            </w:r>
            <w:r>
              <w:rPr>
                <w:i w:val="0"/>
                <w:iCs w:val="0"/>
                <w:sz w:val="21"/>
                <w:szCs w:val="21"/>
                <w:vertAlign w:val="superscript"/>
              </w:rPr>
              <w:t>3</w:t>
            </w:r>
          </w:p>
        </w:tc>
        <w:tc>
          <w:tcPr>
            <w:tcW w:w="3381" w:type="dxa"/>
            <w:vMerge w:val="continue"/>
            <w:noWrap w:val="0"/>
            <w:vAlign w:val="center"/>
          </w:tcPr>
          <w:p>
            <w:pPr>
              <w:pStyle w:val="202"/>
              <w:spacing w:line="240" w:lineRule="auto"/>
              <w:rPr>
                <w:rFonts w:eastAsia="Times New Roman"/>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 w:hRule="atLeast"/>
          <w:jc w:val="center"/>
        </w:trPr>
        <w:tc>
          <w:tcPr>
            <w:tcW w:w="848" w:type="dxa"/>
            <w:vMerge w:val="continue"/>
            <w:noWrap w:val="0"/>
            <w:vAlign w:val="center"/>
          </w:tcPr>
          <w:p>
            <w:pPr>
              <w:pStyle w:val="202"/>
              <w:spacing w:line="240" w:lineRule="auto"/>
              <w:rPr>
                <w:rFonts w:eastAsia="Times New Roman"/>
                <w:i w:val="0"/>
                <w:iCs w:val="0"/>
                <w:sz w:val="21"/>
                <w:szCs w:val="21"/>
              </w:rPr>
            </w:pPr>
          </w:p>
        </w:tc>
        <w:tc>
          <w:tcPr>
            <w:tcW w:w="1272" w:type="dxa"/>
            <w:vMerge w:val="continue"/>
            <w:noWrap w:val="0"/>
            <w:vAlign w:val="center"/>
          </w:tcPr>
          <w:p>
            <w:pPr>
              <w:pStyle w:val="202"/>
              <w:spacing w:line="240" w:lineRule="auto"/>
              <w:rPr>
                <w:rFonts w:hint="eastAsia"/>
                <w:i w:val="0"/>
                <w:iCs w:val="0"/>
                <w:sz w:val="21"/>
                <w:szCs w:val="21"/>
              </w:rPr>
            </w:pPr>
          </w:p>
        </w:tc>
        <w:tc>
          <w:tcPr>
            <w:tcW w:w="2225" w:type="dxa"/>
            <w:noWrap w:val="0"/>
            <w:vAlign w:val="center"/>
          </w:tcPr>
          <w:p>
            <w:pPr>
              <w:pStyle w:val="202"/>
              <w:spacing w:line="240" w:lineRule="auto"/>
              <w:rPr>
                <w:rFonts w:hint="eastAsia"/>
                <w:i w:val="0"/>
                <w:iCs w:val="0"/>
                <w:sz w:val="21"/>
                <w:szCs w:val="21"/>
              </w:rPr>
            </w:pPr>
            <w:r>
              <w:rPr>
                <w:rFonts w:hint="eastAsia"/>
                <w:i w:val="0"/>
                <w:iCs w:val="0"/>
                <w:sz w:val="21"/>
                <w:szCs w:val="21"/>
              </w:rPr>
              <w:t>日最大8小时平均</w:t>
            </w:r>
          </w:p>
        </w:tc>
        <w:tc>
          <w:tcPr>
            <w:tcW w:w="1483" w:type="dxa"/>
            <w:noWrap w:val="0"/>
            <w:vAlign w:val="center"/>
          </w:tcPr>
          <w:p>
            <w:pPr>
              <w:pStyle w:val="202"/>
              <w:spacing w:line="240" w:lineRule="auto"/>
              <w:rPr>
                <w:rFonts w:hint="eastAsia"/>
                <w:i w:val="0"/>
                <w:iCs w:val="0"/>
                <w:sz w:val="21"/>
                <w:szCs w:val="21"/>
              </w:rPr>
            </w:pPr>
            <w:r>
              <w:rPr>
                <w:rFonts w:hint="eastAsia"/>
                <w:i w:val="0"/>
                <w:iCs w:val="0"/>
                <w:sz w:val="21"/>
                <w:szCs w:val="21"/>
              </w:rPr>
              <w:t>160</w:t>
            </w:r>
            <w:r>
              <w:rPr>
                <w:i w:val="0"/>
                <w:iCs w:val="0"/>
                <w:sz w:val="21"/>
                <w:szCs w:val="21"/>
              </w:rPr>
              <w:t>μg/m</w:t>
            </w:r>
            <w:r>
              <w:rPr>
                <w:i w:val="0"/>
                <w:iCs w:val="0"/>
                <w:sz w:val="21"/>
                <w:szCs w:val="21"/>
                <w:vertAlign w:val="superscript"/>
              </w:rPr>
              <w:t>3</w:t>
            </w:r>
          </w:p>
        </w:tc>
        <w:tc>
          <w:tcPr>
            <w:tcW w:w="3381" w:type="dxa"/>
            <w:vMerge w:val="continue"/>
            <w:noWrap w:val="0"/>
            <w:vAlign w:val="center"/>
          </w:tcPr>
          <w:p>
            <w:pPr>
              <w:pStyle w:val="202"/>
              <w:spacing w:line="240" w:lineRule="auto"/>
              <w:rPr>
                <w:rFonts w:eastAsia="Times New Roman"/>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3" w:hRule="atLeast"/>
          <w:jc w:val="center"/>
        </w:trPr>
        <w:tc>
          <w:tcPr>
            <w:tcW w:w="848" w:type="dxa"/>
            <w:vMerge w:val="restart"/>
            <w:noWrap w:val="0"/>
            <w:vAlign w:val="center"/>
          </w:tcPr>
          <w:p>
            <w:pPr>
              <w:pStyle w:val="202"/>
              <w:spacing w:line="240" w:lineRule="auto"/>
              <w:rPr>
                <w:rFonts w:hint="eastAsia"/>
                <w:i w:val="0"/>
                <w:iCs w:val="0"/>
                <w:sz w:val="21"/>
                <w:szCs w:val="21"/>
              </w:rPr>
            </w:pPr>
            <w:r>
              <w:rPr>
                <w:rFonts w:hint="eastAsia"/>
                <w:i w:val="0"/>
                <w:iCs w:val="0"/>
                <w:sz w:val="21"/>
                <w:szCs w:val="21"/>
              </w:rPr>
              <w:t>7</w:t>
            </w:r>
          </w:p>
        </w:tc>
        <w:tc>
          <w:tcPr>
            <w:tcW w:w="1272" w:type="dxa"/>
            <w:vMerge w:val="restart"/>
            <w:noWrap w:val="0"/>
            <w:vAlign w:val="center"/>
          </w:tcPr>
          <w:p>
            <w:pPr>
              <w:pStyle w:val="202"/>
              <w:spacing w:line="240" w:lineRule="auto"/>
              <w:rPr>
                <w:rFonts w:hint="eastAsia"/>
                <w:i w:val="0"/>
                <w:iCs w:val="0"/>
                <w:sz w:val="21"/>
                <w:szCs w:val="21"/>
              </w:rPr>
            </w:pPr>
            <w:r>
              <w:rPr>
                <w:rFonts w:hint="eastAsia"/>
                <w:i w:val="0"/>
                <w:iCs w:val="0"/>
                <w:sz w:val="21"/>
                <w:szCs w:val="21"/>
              </w:rPr>
              <w:t>总悬浮颗粒物（TSP）</w:t>
            </w:r>
          </w:p>
        </w:tc>
        <w:tc>
          <w:tcPr>
            <w:tcW w:w="2225" w:type="dxa"/>
            <w:noWrap w:val="0"/>
            <w:vAlign w:val="center"/>
          </w:tcPr>
          <w:p>
            <w:pPr>
              <w:pStyle w:val="202"/>
              <w:spacing w:line="240" w:lineRule="auto"/>
              <w:rPr>
                <w:rFonts w:hint="eastAsia"/>
                <w:i w:val="0"/>
                <w:iCs w:val="0"/>
                <w:sz w:val="21"/>
                <w:szCs w:val="21"/>
              </w:rPr>
            </w:pPr>
            <w:r>
              <w:rPr>
                <w:rFonts w:hint="eastAsia"/>
                <w:i w:val="0"/>
                <w:iCs w:val="0"/>
                <w:sz w:val="21"/>
                <w:szCs w:val="21"/>
              </w:rPr>
              <w:t>年平均</w:t>
            </w:r>
          </w:p>
        </w:tc>
        <w:tc>
          <w:tcPr>
            <w:tcW w:w="1483" w:type="dxa"/>
            <w:noWrap w:val="0"/>
            <w:vAlign w:val="center"/>
          </w:tcPr>
          <w:p>
            <w:pPr>
              <w:pStyle w:val="202"/>
              <w:spacing w:line="240" w:lineRule="auto"/>
              <w:rPr>
                <w:i w:val="0"/>
                <w:iCs w:val="0"/>
                <w:sz w:val="21"/>
                <w:szCs w:val="21"/>
              </w:rPr>
            </w:pPr>
            <w:r>
              <w:rPr>
                <w:rFonts w:hint="eastAsia"/>
                <w:i w:val="0"/>
                <w:iCs w:val="0"/>
                <w:sz w:val="21"/>
                <w:szCs w:val="21"/>
              </w:rPr>
              <w:t>200</w:t>
            </w:r>
            <w:r>
              <w:rPr>
                <w:i w:val="0"/>
                <w:iCs w:val="0"/>
                <w:sz w:val="21"/>
                <w:szCs w:val="21"/>
              </w:rPr>
              <w:t>μg/m</w:t>
            </w:r>
            <w:r>
              <w:rPr>
                <w:i w:val="0"/>
                <w:iCs w:val="0"/>
                <w:sz w:val="21"/>
                <w:szCs w:val="21"/>
                <w:vertAlign w:val="superscript"/>
              </w:rPr>
              <w:t>3</w:t>
            </w:r>
          </w:p>
        </w:tc>
        <w:tc>
          <w:tcPr>
            <w:tcW w:w="3381" w:type="dxa"/>
            <w:vMerge w:val="continue"/>
            <w:noWrap w:val="0"/>
            <w:vAlign w:val="center"/>
          </w:tcPr>
          <w:p>
            <w:pPr>
              <w:pStyle w:val="202"/>
              <w:spacing w:line="240" w:lineRule="auto"/>
              <w:rPr>
                <w:rFonts w:eastAsia="Times New Roman"/>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848" w:type="dxa"/>
            <w:vMerge w:val="continue"/>
            <w:noWrap w:val="0"/>
            <w:vAlign w:val="center"/>
          </w:tcPr>
          <w:p>
            <w:pPr>
              <w:pStyle w:val="202"/>
              <w:spacing w:line="240" w:lineRule="auto"/>
              <w:rPr>
                <w:rFonts w:hint="eastAsia"/>
                <w:i w:val="0"/>
                <w:iCs w:val="0"/>
                <w:sz w:val="21"/>
                <w:szCs w:val="21"/>
              </w:rPr>
            </w:pPr>
          </w:p>
        </w:tc>
        <w:tc>
          <w:tcPr>
            <w:tcW w:w="1272" w:type="dxa"/>
            <w:vMerge w:val="continue"/>
            <w:noWrap w:val="0"/>
            <w:vAlign w:val="center"/>
          </w:tcPr>
          <w:p>
            <w:pPr>
              <w:pStyle w:val="202"/>
              <w:spacing w:line="240" w:lineRule="auto"/>
              <w:rPr>
                <w:rFonts w:hint="eastAsia"/>
                <w:i w:val="0"/>
                <w:iCs w:val="0"/>
                <w:sz w:val="21"/>
                <w:szCs w:val="21"/>
              </w:rPr>
            </w:pPr>
          </w:p>
        </w:tc>
        <w:tc>
          <w:tcPr>
            <w:tcW w:w="2225" w:type="dxa"/>
            <w:noWrap w:val="0"/>
            <w:vAlign w:val="center"/>
          </w:tcPr>
          <w:p>
            <w:pPr>
              <w:pStyle w:val="202"/>
              <w:spacing w:line="240" w:lineRule="auto"/>
              <w:rPr>
                <w:rFonts w:hint="eastAsia"/>
                <w:i w:val="0"/>
                <w:iCs w:val="0"/>
                <w:sz w:val="21"/>
                <w:szCs w:val="21"/>
              </w:rPr>
            </w:pPr>
            <w:r>
              <w:rPr>
                <w:i w:val="0"/>
                <w:iCs w:val="0"/>
                <w:sz w:val="21"/>
                <w:szCs w:val="21"/>
              </w:rPr>
              <w:t>24小时平均</w:t>
            </w:r>
          </w:p>
        </w:tc>
        <w:tc>
          <w:tcPr>
            <w:tcW w:w="1483" w:type="dxa"/>
            <w:noWrap w:val="0"/>
            <w:vAlign w:val="center"/>
          </w:tcPr>
          <w:p>
            <w:pPr>
              <w:pStyle w:val="202"/>
              <w:spacing w:line="240" w:lineRule="auto"/>
              <w:rPr>
                <w:i w:val="0"/>
                <w:iCs w:val="0"/>
                <w:sz w:val="21"/>
                <w:szCs w:val="21"/>
              </w:rPr>
            </w:pPr>
            <w:r>
              <w:rPr>
                <w:rFonts w:hint="eastAsia"/>
                <w:i w:val="0"/>
                <w:iCs w:val="0"/>
                <w:sz w:val="21"/>
                <w:szCs w:val="21"/>
              </w:rPr>
              <w:t>300</w:t>
            </w:r>
            <w:r>
              <w:rPr>
                <w:i w:val="0"/>
                <w:iCs w:val="0"/>
                <w:sz w:val="21"/>
                <w:szCs w:val="21"/>
              </w:rPr>
              <w:t>μg/m</w:t>
            </w:r>
            <w:r>
              <w:rPr>
                <w:i w:val="0"/>
                <w:iCs w:val="0"/>
                <w:sz w:val="21"/>
                <w:szCs w:val="21"/>
                <w:vertAlign w:val="superscript"/>
              </w:rPr>
              <w:t>3</w:t>
            </w:r>
          </w:p>
        </w:tc>
        <w:tc>
          <w:tcPr>
            <w:tcW w:w="3381" w:type="dxa"/>
            <w:vMerge w:val="continue"/>
            <w:noWrap w:val="0"/>
            <w:vAlign w:val="center"/>
          </w:tcPr>
          <w:p>
            <w:pPr>
              <w:pStyle w:val="202"/>
              <w:spacing w:line="240" w:lineRule="auto"/>
              <w:rPr>
                <w:rFonts w:eastAsia="Times New Roman"/>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848" w:type="dxa"/>
            <w:vMerge w:val="restart"/>
            <w:noWrap w:val="0"/>
            <w:vAlign w:val="center"/>
          </w:tcPr>
          <w:p>
            <w:pPr>
              <w:pStyle w:val="202"/>
              <w:spacing w:line="240" w:lineRule="auto"/>
              <w:rPr>
                <w:rFonts w:hint="eastAsia" w:eastAsia="宋体"/>
                <w:i w:val="0"/>
                <w:iCs w:val="0"/>
                <w:sz w:val="21"/>
                <w:szCs w:val="21"/>
                <w:lang w:val="en-US" w:eastAsia="zh-CN"/>
              </w:rPr>
            </w:pPr>
            <w:r>
              <w:rPr>
                <w:rFonts w:hint="eastAsia"/>
                <w:i w:val="0"/>
                <w:iCs w:val="0"/>
                <w:sz w:val="21"/>
                <w:szCs w:val="21"/>
                <w:lang w:val="en-US" w:eastAsia="zh-CN"/>
              </w:rPr>
              <w:t>8</w:t>
            </w:r>
          </w:p>
        </w:tc>
        <w:tc>
          <w:tcPr>
            <w:tcW w:w="1272" w:type="dxa"/>
            <w:vMerge w:val="restart"/>
            <w:noWrap w:val="0"/>
            <w:vAlign w:val="center"/>
          </w:tcPr>
          <w:p>
            <w:pPr>
              <w:pStyle w:val="202"/>
              <w:spacing w:line="240" w:lineRule="auto"/>
              <w:rPr>
                <w:rFonts w:hint="eastAsia" w:eastAsia="宋体"/>
                <w:i w:val="0"/>
                <w:iCs w:val="0"/>
                <w:sz w:val="21"/>
                <w:szCs w:val="21"/>
                <w:lang w:eastAsia="zh-CN"/>
              </w:rPr>
            </w:pPr>
            <w:r>
              <w:rPr>
                <w:rFonts w:hint="eastAsia"/>
                <w:i w:val="0"/>
                <w:iCs w:val="0"/>
                <w:sz w:val="21"/>
                <w:szCs w:val="21"/>
                <w:lang w:eastAsia="zh-CN"/>
              </w:rPr>
              <w:t>氮氧化物</w:t>
            </w:r>
          </w:p>
        </w:tc>
        <w:tc>
          <w:tcPr>
            <w:tcW w:w="2225" w:type="dxa"/>
            <w:noWrap w:val="0"/>
            <w:vAlign w:val="center"/>
          </w:tcPr>
          <w:p>
            <w:pPr>
              <w:pStyle w:val="202"/>
              <w:spacing w:line="240" w:lineRule="auto"/>
              <w:rPr>
                <w:rFonts w:hint="eastAsia" w:eastAsia="宋体"/>
                <w:i w:val="0"/>
                <w:iCs w:val="0"/>
                <w:sz w:val="21"/>
                <w:szCs w:val="21"/>
                <w:lang w:eastAsia="zh-CN"/>
              </w:rPr>
            </w:pPr>
            <w:r>
              <w:rPr>
                <w:rFonts w:hint="eastAsia"/>
                <w:i w:val="0"/>
                <w:iCs w:val="0"/>
                <w:sz w:val="21"/>
                <w:szCs w:val="21"/>
                <w:lang w:eastAsia="zh-CN"/>
              </w:rPr>
              <w:t>年平均</w:t>
            </w:r>
          </w:p>
        </w:tc>
        <w:tc>
          <w:tcPr>
            <w:tcW w:w="1483" w:type="dxa"/>
            <w:noWrap w:val="0"/>
            <w:vAlign w:val="center"/>
          </w:tcPr>
          <w:p>
            <w:pPr>
              <w:pStyle w:val="202"/>
              <w:spacing w:line="240" w:lineRule="auto"/>
              <w:rPr>
                <w:rFonts w:hint="default" w:eastAsia="宋体"/>
                <w:i w:val="0"/>
                <w:iCs w:val="0"/>
                <w:sz w:val="21"/>
                <w:szCs w:val="21"/>
                <w:lang w:val="en-US" w:eastAsia="zh-CN"/>
              </w:rPr>
            </w:pPr>
            <w:r>
              <w:rPr>
                <w:rFonts w:hint="eastAsia"/>
                <w:i w:val="0"/>
                <w:iCs w:val="0"/>
                <w:sz w:val="21"/>
                <w:szCs w:val="21"/>
                <w:lang w:val="en-US" w:eastAsia="zh-CN"/>
              </w:rPr>
              <w:t>50</w:t>
            </w:r>
            <w:r>
              <w:rPr>
                <w:i w:val="0"/>
                <w:iCs w:val="0"/>
                <w:sz w:val="21"/>
                <w:szCs w:val="21"/>
              </w:rPr>
              <w:t>μg/m</w:t>
            </w:r>
            <w:r>
              <w:rPr>
                <w:i w:val="0"/>
                <w:iCs w:val="0"/>
                <w:sz w:val="21"/>
                <w:szCs w:val="21"/>
                <w:vertAlign w:val="superscript"/>
              </w:rPr>
              <w:t>3</w:t>
            </w:r>
          </w:p>
        </w:tc>
        <w:tc>
          <w:tcPr>
            <w:tcW w:w="3381" w:type="dxa"/>
            <w:vMerge w:val="continue"/>
            <w:noWrap w:val="0"/>
            <w:vAlign w:val="center"/>
          </w:tcPr>
          <w:p>
            <w:pPr>
              <w:pStyle w:val="202"/>
              <w:spacing w:line="240" w:lineRule="auto"/>
              <w:rPr>
                <w:rFonts w:eastAsia="Times New Roman"/>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7" w:hRule="atLeast"/>
          <w:jc w:val="center"/>
        </w:trPr>
        <w:tc>
          <w:tcPr>
            <w:tcW w:w="848" w:type="dxa"/>
            <w:vMerge w:val="continue"/>
            <w:noWrap w:val="0"/>
            <w:vAlign w:val="center"/>
          </w:tcPr>
          <w:p>
            <w:pPr>
              <w:pStyle w:val="202"/>
              <w:spacing w:line="240" w:lineRule="auto"/>
              <w:rPr>
                <w:rFonts w:hint="eastAsia"/>
                <w:i w:val="0"/>
                <w:iCs w:val="0"/>
                <w:sz w:val="21"/>
                <w:szCs w:val="21"/>
              </w:rPr>
            </w:pPr>
          </w:p>
        </w:tc>
        <w:tc>
          <w:tcPr>
            <w:tcW w:w="1272" w:type="dxa"/>
            <w:vMerge w:val="continue"/>
            <w:noWrap w:val="0"/>
            <w:vAlign w:val="center"/>
          </w:tcPr>
          <w:p>
            <w:pPr>
              <w:pStyle w:val="202"/>
              <w:spacing w:line="240" w:lineRule="auto"/>
              <w:rPr>
                <w:rFonts w:hint="eastAsia"/>
                <w:i w:val="0"/>
                <w:iCs w:val="0"/>
                <w:sz w:val="21"/>
                <w:szCs w:val="21"/>
              </w:rPr>
            </w:pPr>
          </w:p>
        </w:tc>
        <w:tc>
          <w:tcPr>
            <w:tcW w:w="2225" w:type="dxa"/>
            <w:noWrap w:val="0"/>
            <w:vAlign w:val="center"/>
          </w:tcPr>
          <w:p>
            <w:pPr>
              <w:pStyle w:val="202"/>
              <w:spacing w:line="240" w:lineRule="auto"/>
              <w:rPr>
                <w:i w:val="0"/>
                <w:iCs w:val="0"/>
                <w:sz w:val="21"/>
                <w:szCs w:val="21"/>
              </w:rPr>
            </w:pPr>
            <w:r>
              <w:rPr>
                <w:i w:val="0"/>
                <w:iCs w:val="0"/>
                <w:sz w:val="21"/>
                <w:szCs w:val="21"/>
              </w:rPr>
              <w:t>24小时平均</w:t>
            </w:r>
          </w:p>
        </w:tc>
        <w:tc>
          <w:tcPr>
            <w:tcW w:w="1483" w:type="dxa"/>
            <w:noWrap w:val="0"/>
            <w:vAlign w:val="center"/>
          </w:tcPr>
          <w:p>
            <w:pPr>
              <w:pStyle w:val="202"/>
              <w:spacing w:line="240" w:lineRule="auto"/>
              <w:rPr>
                <w:rFonts w:hint="default" w:eastAsia="宋体"/>
                <w:i w:val="0"/>
                <w:iCs w:val="0"/>
                <w:sz w:val="21"/>
                <w:szCs w:val="21"/>
                <w:lang w:val="en-US" w:eastAsia="zh-CN"/>
              </w:rPr>
            </w:pPr>
            <w:r>
              <w:rPr>
                <w:rFonts w:hint="eastAsia"/>
                <w:i w:val="0"/>
                <w:iCs w:val="0"/>
                <w:sz w:val="21"/>
                <w:szCs w:val="21"/>
                <w:lang w:val="en-US" w:eastAsia="zh-CN"/>
              </w:rPr>
              <w:t>100</w:t>
            </w:r>
            <w:r>
              <w:rPr>
                <w:i w:val="0"/>
                <w:iCs w:val="0"/>
                <w:sz w:val="21"/>
                <w:szCs w:val="21"/>
              </w:rPr>
              <w:t>μg/m</w:t>
            </w:r>
            <w:r>
              <w:rPr>
                <w:i w:val="0"/>
                <w:iCs w:val="0"/>
                <w:sz w:val="21"/>
                <w:szCs w:val="21"/>
                <w:vertAlign w:val="superscript"/>
              </w:rPr>
              <w:t>3</w:t>
            </w:r>
          </w:p>
        </w:tc>
        <w:tc>
          <w:tcPr>
            <w:tcW w:w="3381" w:type="dxa"/>
            <w:vMerge w:val="continue"/>
            <w:noWrap w:val="0"/>
            <w:vAlign w:val="center"/>
          </w:tcPr>
          <w:p>
            <w:pPr>
              <w:pStyle w:val="202"/>
              <w:spacing w:line="240" w:lineRule="auto"/>
              <w:rPr>
                <w:rFonts w:eastAsia="Times New Roman"/>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7" w:hRule="atLeast"/>
          <w:jc w:val="center"/>
        </w:trPr>
        <w:tc>
          <w:tcPr>
            <w:tcW w:w="848" w:type="dxa"/>
            <w:vMerge w:val="continue"/>
            <w:noWrap w:val="0"/>
            <w:vAlign w:val="center"/>
          </w:tcPr>
          <w:p>
            <w:pPr>
              <w:pStyle w:val="202"/>
              <w:spacing w:line="240" w:lineRule="auto"/>
              <w:rPr>
                <w:rFonts w:hint="eastAsia"/>
                <w:i w:val="0"/>
                <w:iCs w:val="0"/>
                <w:sz w:val="21"/>
                <w:szCs w:val="21"/>
              </w:rPr>
            </w:pPr>
          </w:p>
        </w:tc>
        <w:tc>
          <w:tcPr>
            <w:tcW w:w="1272" w:type="dxa"/>
            <w:vMerge w:val="continue"/>
            <w:noWrap w:val="0"/>
            <w:vAlign w:val="center"/>
          </w:tcPr>
          <w:p>
            <w:pPr>
              <w:pStyle w:val="202"/>
              <w:spacing w:line="240" w:lineRule="auto"/>
              <w:rPr>
                <w:rFonts w:hint="eastAsia"/>
                <w:i w:val="0"/>
                <w:iCs w:val="0"/>
                <w:sz w:val="21"/>
                <w:szCs w:val="21"/>
              </w:rPr>
            </w:pPr>
          </w:p>
        </w:tc>
        <w:tc>
          <w:tcPr>
            <w:tcW w:w="2225" w:type="dxa"/>
            <w:noWrap w:val="0"/>
            <w:vAlign w:val="center"/>
          </w:tcPr>
          <w:p>
            <w:pPr>
              <w:pStyle w:val="202"/>
              <w:spacing w:line="240" w:lineRule="auto"/>
              <w:rPr>
                <w:i w:val="0"/>
                <w:iCs w:val="0"/>
                <w:sz w:val="21"/>
                <w:szCs w:val="21"/>
              </w:rPr>
            </w:pPr>
            <w:r>
              <w:rPr>
                <w:rFonts w:hint="eastAsia"/>
                <w:i w:val="0"/>
                <w:iCs w:val="0"/>
                <w:sz w:val="21"/>
                <w:szCs w:val="21"/>
              </w:rPr>
              <w:t>1h平均</w:t>
            </w:r>
          </w:p>
        </w:tc>
        <w:tc>
          <w:tcPr>
            <w:tcW w:w="1483" w:type="dxa"/>
            <w:noWrap w:val="0"/>
            <w:vAlign w:val="center"/>
          </w:tcPr>
          <w:p>
            <w:pPr>
              <w:pStyle w:val="202"/>
              <w:spacing w:line="240" w:lineRule="auto"/>
              <w:rPr>
                <w:rFonts w:hint="default" w:eastAsia="宋体"/>
                <w:i w:val="0"/>
                <w:iCs w:val="0"/>
                <w:sz w:val="21"/>
                <w:szCs w:val="21"/>
                <w:lang w:val="en-US" w:eastAsia="zh-CN"/>
              </w:rPr>
            </w:pPr>
            <w:r>
              <w:rPr>
                <w:rFonts w:hint="eastAsia"/>
                <w:i w:val="0"/>
                <w:iCs w:val="0"/>
                <w:sz w:val="21"/>
                <w:szCs w:val="21"/>
                <w:lang w:val="en-US" w:eastAsia="zh-CN"/>
              </w:rPr>
              <w:t>250</w:t>
            </w:r>
            <w:r>
              <w:rPr>
                <w:i w:val="0"/>
                <w:iCs w:val="0"/>
                <w:sz w:val="21"/>
                <w:szCs w:val="21"/>
              </w:rPr>
              <w:t>μg/m</w:t>
            </w:r>
            <w:r>
              <w:rPr>
                <w:i w:val="0"/>
                <w:iCs w:val="0"/>
                <w:sz w:val="21"/>
                <w:szCs w:val="21"/>
                <w:vertAlign w:val="superscript"/>
              </w:rPr>
              <w:t>3</w:t>
            </w:r>
          </w:p>
        </w:tc>
        <w:tc>
          <w:tcPr>
            <w:tcW w:w="3381" w:type="dxa"/>
            <w:vMerge w:val="continue"/>
            <w:noWrap w:val="0"/>
            <w:vAlign w:val="center"/>
          </w:tcPr>
          <w:p>
            <w:pPr>
              <w:pStyle w:val="202"/>
              <w:spacing w:line="240" w:lineRule="auto"/>
              <w:rPr>
                <w:rFonts w:eastAsia="Times New Roman"/>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 w:hRule="atLeast"/>
          <w:jc w:val="center"/>
        </w:trPr>
        <w:tc>
          <w:tcPr>
            <w:tcW w:w="848" w:type="dxa"/>
            <w:noWrap w:val="0"/>
            <w:vAlign w:val="center"/>
          </w:tcPr>
          <w:p>
            <w:pPr>
              <w:jc w:val="center"/>
              <w:rPr>
                <w:rFonts w:hint="eastAsia" w:eastAsia="宋体"/>
                <w:i w:val="0"/>
                <w:iCs w:val="0"/>
                <w:sz w:val="21"/>
                <w:szCs w:val="21"/>
                <w:lang w:eastAsia="zh-CN"/>
              </w:rPr>
            </w:pPr>
            <w:r>
              <w:rPr>
                <w:rFonts w:hint="eastAsia"/>
                <w:i w:val="0"/>
                <w:iCs w:val="0"/>
                <w:sz w:val="21"/>
                <w:szCs w:val="21"/>
                <w:lang w:val="en-US" w:eastAsia="zh-CN"/>
              </w:rPr>
              <w:t>9</w:t>
            </w:r>
          </w:p>
        </w:tc>
        <w:tc>
          <w:tcPr>
            <w:tcW w:w="1272" w:type="dxa"/>
            <w:noWrap w:val="0"/>
            <w:vAlign w:val="center"/>
          </w:tcPr>
          <w:p>
            <w:pPr>
              <w:jc w:val="center"/>
              <w:rPr>
                <w:i w:val="0"/>
                <w:iCs w:val="0"/>
                <w:sz w:val="21"/>
                <w:szCs w:val="21"/>
              </w:rPr>
            </w:pPr>
            <w:r>
              <w:rPr>
                <w:i w:val="0"/>
                <w:iCs w:val="0"/>
                <w:sz w:val="21"/>
                <w:szCs w:val="21"/>
              </w:rPr>
              <w:t>硫化氢</w:t>
            </w:r>
          </w:p>
        </w:tc>
        <w:tc>
          <w:tcPr>
            <w:tcW w:w="2225" w:type="dxa"/>
            <w:noWrap w:val="0"/>
            <w:vAlign w:val="center"/>
          </w:tcPr>
          <w:p>
            <w:pPr>
              <w:jc w:val="center"/>
              <w:rPr>
                <w:rFonts w:hint="eastAsia"/>
                <w:i w:val="0"/>
                <w:iCs w:val="0"/>
                <w:sz w:val="21"/>
                <w:szCs w:val="21"/>
              </w:rPr>
            </w:pPr>
            <w:r>
              <w:rPr>
                <w:rFonts w:hint="eastAsia"/>
                <w:i w:val="0"/>
                <w:iCs w:val="0"/>
                <w:sz w:val="21"/>
                <w:szCs w:val="21"/>
              </w:rPr>
              <w:t>1h平均</w:t>
            </w:r>
          </w:p>
        </w:tc>
        <w:tc>
          <w:tcPr>
            <w:tcW w:w="1483" w:type="dxa"/>
            <w:noWrap w:val="0"/>
            <w:vAlign w:val="center"/>
          </w:tcPr>
          <w:p>
            <w:pPr>
              <w:jc w:val="center"/>
              <w:rPr>
                <w:rFonts w:hint="eastAsia"/>
                <w:i w:val="0"/>
                <w:iCs w:val="0"/>
                <w:sz w:val="21"/>
                <w:szCs w:val="21"/>
              </w:rPr>
            </w:pPr>
            <w:r>
              <w:rPr>
                <w:rFonts w:hint="eastAsia"/>
                <w:i w:val="0"/>
                <w:iCs w:val="0"/>
                <w:sz w:val="21"/>
                <w:szCs w:val="21"/>
              </w:rPr>
              <w:t>10</w:t>
            </w:r>
            <w:r>
              <w:rPr>
                <w:i w:val="0"/>
                <w:iCs w:val="0"/>
                <w:sz w:val="21"/>
                <w:szCs w:val="21"/>
              </w:rPr>
              <w:t>μg/m</w:t>
            </w:r>
            <w:r>
              <w:rPr>
                <w:i w:val="0"/>
                <w:iCs w:val="0"/>
                <w:sz w:val="21"/>
                <w:szCs w:val="21"/>
                <w:vertAlign w:val="superscript"/>
              </w:rPr>
              <w:t>3</w:t>
            </w:r>
          </w:p>
        </w:tc>
        <w:tc>
          <w:tcPr>
            <w:tcW w:w="3381" w:type="dxa"/>
            <w:vMerge w:val="restart"/>
            <w:noWrap w:val="0"/>
            <w:vAlign w:val="center"/>
          </w:tcPr>
          <w:p>
            <w:pPr>
              <w:jc w:val="center"/>
              <w:rPr>
                <w:rFonts w:hint="eastAsia"/>
                <w:i w:val="0"/>
                <w:iCs w:val="0"/>
                <w:sz w:val="21"/>
                <w:szCs w:val="21"/>
              </w:rPr>
            </w:pPr>
            <w:r>
              <w:rPr>
                <w:i w:val="0"/>
                <w:iCs w:val="0"/>
                <w:sz w:val="21"/>
                <w:szCs w:val="21"/>
              </w:rPr>
              <w:t>《环境影响评价技术导则大气环境》（HJ2.2-2018）附录D其他污染物空气质量浓度参考限值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 w:hRule="atLeast"/>
          <w:jc w:val="center"/>
        </w:trPr>
        <w:tc>
          <w:tcPr>
            <w:tcW w:w="848" w:type="dxa"/>
            <w:noWrap w:val="0"/>
            <w:vAlign w:val="center"/>
          </w:tcPr>
          <w:p>
            <w:pPr>
              <w:jc w:val="center"/>
              <w:rPr>
                <w:rFonts w:hint="default" w:eastAsia="宋体"/>
                <w:i w:val="0"/>
                <w:iCs w:val="0"/>
                <w:sz w:val="21"/>
                <w:szCs w:val="21"/>
                <w:lang w:val="en-US" w:eastAsia="zh-CN"/>
              </w:rPr>
            </w:pPr>
            <w:r>
              <w:rPr>
                <w:rFonts w:hint="eastAsia"/>
                <w:i w:val="0"/>
                <w:iCs w:val="0"/>
                <w:sz w:val="21"/>
                <w:szCs w:val="21"/>
                <w:lang w:val="en-US" w:eastAsia="zh-CN"/>
              </w:rPr>
              <w:t>10</w:t>
            </w:r>
          </w:p>
        </w:tc>
        <w:tc>
          <w:tcPr>
            <w:tcW w:w="1272" w:type="dxa"/>
            <w:noWrap w:val="0"/>
            <w:vAlign w:val="center"/>
          </w:tcPr>
          <w:p>
            <w:pPr>
              <w:jc w:val="center"/>
              <w:rPr>
                <w:rFonts w:hint="eastAsia"/>
                <w:i w:val="0"/>
                <w:iCs w:val="0"/>
                <w:sz w:val="21"/>
                <w:szCs w:val="21"/>
              </w:rPr>
            </w:pPr>
            <w:r>
              <w:rPr>
                <w:i w:val="0"/>
                <w:iCs w:val="0"/>
                <w:sz w:val="21"/>
                <w:szCs w:val="21"/>
              </w:rPr>
              <w:t>氨</w:t>
            </w:r>
          </w:p>
        </w:tc>
        <w:tc>
          <w:tcPr>
            <w:tcW w:w="2225" w:type="dxa"/>
            <w:noWrap w:val="0"/>
            <w:vAlign w:val="center"/>
          </w:tcPr>
          <w:p>
            <w:pPr>
              <w:jc w:val="center"/>
              <w:rPr>
                <w:rFonts w:hint="eastAsia"/>
                <w:i w:val="0"/>
                <w:iCs w:val="0"/>
                <w:sz w:val="21"/>
                <w:szCs w:val="21"/>
              </w:rPr>
            </w:pPr>
            <w:r>
              <w:rPr>
                <w:rFonts w:hint="eastAsia"/>
                <w:i w:val="0"/>
                <w:iCs w:val="0"/>
                <w:sz w:val="21"/>
                <w:szCs w:val="21"/>
              </w:rPr>
              <w:t>1h平均</w:t>
            </w:r>
          </w:p>
        </w:tc>
        <w:tc>
          <w:tcPr>
            <w:tcW w:w="1483" w:type="dxa"/>
            <w:noWrap w:val="0"/>
            <w:vAlign w:val="center"/>
          </w:tcPr>
          <w:p>
            <w:pPr>
              <w:jc w:val="center"/>
              <w:rPr>
                <w:rFonts w:hint="eastAsia"/>
                <w:i w:val="0"/>
                <w:iCs w:val="0"/>
                <w:sz w:val="21"/>
                <w:szCs w:val="21"/>
              </w:rPr>
            </w:pPr>
            <w:r>
              <w:rPr>
                <w:rFonts w:hint="eastAsia"/>
                <w:i w:val="0"/>
                <w:iCs w:val="0"/>
                <w:sz w:val="21"/>
                <w:szCs w:val="21"/>
              </w:rPr>
              <w:t>200</w:t>
            </w:r>
            <w:r>
              <w:rPr>
                <w:i w:val="0"/>
                <w:iCs w:val="0"/>
                <w:sz w:val="21"/>
                <w:szCs w:val="21"/>
              </w:rPr>
              <w:t>μg/m</w:t>
            </w:r>
            <w:r>
              <w:rPr>
                <w:i w:val="0"/>
                <w:iCs w:val="0"/>
                <w:sz w:val="21"/>
                <w:szCs w:val="21"/>
                <w:vertAlign w:val="superscript"/>
              </w:rPr>
              <w:t>3</w:t>
            </w:r>
          </w:p>
        </w:tc>
        <w:tc>
          <w:tcPr>
            <w:tcW w:w="3381" w:type="dxa"/>
            <w:vMerge w:val="continue"/>
            <w:noWrap w:val="0"/>
            <w:vAlign w:val="center"/>
          </w:tcPr>
          <w:p>
            <w:pPr>
              <w:jc w:val="center"/>
              <w:rPr>
                <w:rFonts w:hint="eastAsia"/>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 w:hRule="atLeast"/>
          <w:jc w:val="center"/>
        </w:trPr>
        <w:tc>
          <w:tcPr>
            <w:tcW w:w="848" w:type="dxa"/>
            <w:noWrap w:val="0"/>
            <w:vAlign w:val="center"/>
          </w:tcPr>
          <w:p>
            <w:pPr>
              <w:jc w:val="center"/>
              <w:rPr>
                <w:rFonts w:hint="default" w:eastAsia="宋体"/>
                <w:i w:val="0"/>
                <w:iCs w:val="0"/>
                <w:sz w:val="21"/>
                <w:szCs w:val="21"/>
                <w:lang w:val="en-US" w:eastAsia="zh-CN"/>
              </w:rPr>
            </w:pPr>
            <w:r>
              <w:rPr>
                <w:rFonts w:hint="eastAsia"/>
                <w:i w:val="0"/>
                <w:iCs w:val="0"/>
                <w:sz w:val="21"/>
                <w:szCs w:val="21"/>
                <w:lang w:val="en-US" w:eastAsia="zh-CN"/>
              </w:rPr>
              <w:t>11</w:t>
            </w:r>
          </w:p>
        </w:tc>
        <w:tc>
          <w:tcPr>
            <w:tcW w:w="1272" w:type="dxa"/>
            <w:noWrap w:val="0"/>
            <w:vAlign w:val="center"/>
          </w:tcPr>
          <w:p>
            <w:pPr>
              <w:jc w:val="center"/>
              <w:rPr>
                <w:rFonts w:hint="eastAsia"/>
                <w:i w:val="0"/>
                <w:iCs w:val="0"/>
                <w:sz w:val="21"/>
                <w:szCs w:val="21"/>
              </w:rPr>
            </w:pPr>
            <w:r>
              <w:rPr>
                <w:rFonts w:hint="eastAsia"/>
                <w:i w:val="0"/>
                <w:iCs w:val="0"/>
                <w:sz w:val="21"/>
                <w:szCs w:val="21"/>
              </w:rPr>
              <w:t>非甲烷总烃</w:t>
            </w:r>
          </w:p>
        </w:tc>
        <w:tc>
          <w:tcPr>
            <w:tcW w:w="2225" w:type="dxa"/>
            <w:noWrap w:val="0"/>
            <w:vAlign w:val="center"/>
          </w:tcPr>
          <w:p>
            <w:pPr>
              <w:jc w:val="center"/>
              <w:rPr>
                <w:rFonts w:hint="eastAsia"/>
                <w:i w:val="0"/>
                <w:iCs w:val="0"/>
                <w:sz w:val="21"/>
                <w:szCs w:val="21"/>
              </w:rPr>
            </w:pPr>
            <w:r>
              <w:rPr>
                <w:rFonts w:hint="eastAsia"/>
                <w:i w:val="0"/>
                <w:iCs w:val="0"/>
                <w:sz w:val="21"/>
                <w:szCs w:val="21"/>
              </w:rPr>
              <w:t>一次值</w:t>
            </w:r>
          </w:p>
        </w:tc>
        <w:tc>
          <w:tcPr>
            <w:tcW w:w="1483" w:type="dxa"/>
            <w:noWrap w:val="0"/>
            <w:vAlign w:val="center"/>
          </w:tcPr>
          <w:p>
            <w:pPr>
              <w:jc w:val="center"/>
              <w:rPr>
                <w:i w:val="0"/>
                <w:iCs w:val="0"/>
                <w:sz w:val="21"/>
                <w:szCs w:val="21"/>
              </w:rPr>
            </w:pPr>
            <w:r>
              <w:rPr>
                <w:rFonts w:hint="eastAsia"/>
                <w:i w:val="0"/>
                <w:iCs w:val="0"/>
                <w:sz w:val="21"/>
                <w:szCs w:val="21"/>
              </w:rPr>
              <w:t>2000</w:t>
            </w:r>
            <w:r>
              <w:rPr>
                <w:i w:val="0"/>
                <w:iCs w:val="0"/>
                <w:sz w:val="21"/>
                <w:szCs w:val="21"/>
              </w:rPr>
              <w:t>μg/m</w:t>
            </w:r>
            <w:r>
              <w:rPr>
                <w:i w:val="0"/>
                <w:iCs w:val="0"/>
                <w:sz w:val="21"/>
                <w:szCs w:val="21"/>
                <w:vertAlign w:val="superscript"/>
              </w:rPr>
              <w:t>3</w:t>
            </w:r>
          </w:p>
        </w:tc>
        <w:tc>
          <w:tcPr>
            <w:tcW w:w="3381" w:type="dxa"/>
            <w:noWrap w:val="0"/>
            <w:vAlign w:val="center"/>
          </w:tcPr>
          <w:p>
            <w:pPr>
              <w:jc w:val="center"/>
              <w:rPr>
                <w:rFonts w:hint="eastAsia"/>
                <w:i w:val="0"/>
                <w:iCs w:val="0"/>
                <w:sz w:val="21"/>
                <w:szCs w:val="21"/>
              </w:rPr>
            </w:pPr>
            <w:r>
              <w:rPr>
                <w:rFonts w:hint="eastAsia"/>
                <w:i w:val="0"/>
                <w:iCs w:val="0"/>
                <w:sz w:val="21"/>
                <w:szCs w:val="21"/>
              </w:rPr>
              <w:t>大气污染物综合排放标准详解</w:t>
            </w:r>
          </w:p>
        </w:tc>
      </w:tr>
    </w:tbl>
    <w:p>
      <w:pPr>
        <w:spacing w:line="360" w:lineRule="auto"/>
        <w:ind w:left="22" w:leftChars="9" w:firstLine="480" w:firstLineChars="200"/>
        <w:rPr>
          <w:i w:val="0"/>
          <w:iCs w:val="0"/>
        </w:rPr>
      </w:pPr>
      <w:r>
        <w:rPr>
          <w:rFonts w:hint="eastAsia"/>
          <w:i w:val="0"/>
          <w:iCs w:val="0"/>
        </w:rPr>
        <w:t>3</w:t>
      </w:r>
      <w:r>
        <w:rPr>
          <w:i w:val="0"/>
          <w:iCs w:val="0"/>
        </w:rPr>
        <w:t>、声环境</w:t>
      </w:r>
      <w:bookmarkStart w:id="62" w:name="_Hlt198709823"/>
      <w:bookmarkEnd w:id="62"/>
      <w:bookmarkStart w:id="63" w:name="_Hlt196892204"/>
      <w:bookmarkEnd w:id="63"/>
    </w:p>
    <w:p>
      <w:pPr>
        <w:spacing w:line="360" w:lineRule="auto"/>
        <w:ind w:firstLine="480" w:firstLineChars="200"/>
        <w:rPr>
          <w:i w:val="0"/>
          <w:iCs w:val="0"/>
        </w:rPr>
      </w:pPr>
      <w:r>
        <w:rPr>
          <w:i w:val="0"/>
          <w:iCs w:val="0"/>
        </w:rPr>
        <w:t>施工期场界噪声执行《建筑施工场界环境噪声排放标准》（GB12523-2011）中标准限值要求；营运期厂界噪声执行《工业企业厂界环境噪声排放标准》（GB12348-2008）中</w:t>
      </w:r>
      <w:r>
        <w:rPr>
          <w:rFonts w:hint="eastAsia"/>
          <w:i w:val="0"/>
          <w:iCs w:val="0"/>
        </w:rPr>
        <w:t>3</w:t>
      </w:r>
      <w:r>
        <w:rPr>
          <w:i w:val="0"/>
          <w:iCs w:val="0"/>
        </w:rPr>
        <w:t>类区标准，详见下表。</w:t>
      </w:r>
    </w:p>
    <w:p>
      <w:pPr>
        <w:contextualSpacing/>
        <w:jc w:val="center"/>
        <w:rPr>
          <w:i w:val="0"/>
          <w:iCs w:val="0"/>
        </w:rPr>
      </w:pPr>
      <w:r>
        <w:rPr>
          <w:rFonts w:hint="eastAsia"/>
          <w:b/>
          <w:bCs/>
          <w:i w:val="0"/>
          <w:iCs w:val="0"/>
          <w:kern w:val="0"/>
        </w:rPr>
        <w:t>表2-5  噪声排放标准</w:t>
      </w:r>
    </w:p>
    <w:tbl>
      <w:tblPr>
        <w:tblStyle w:val="5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7"/>
        <w:gridCol w:w="1620"/>
        <w:gridCol w:w="1620"/>
        <w:gridCol w:w="40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70" w:type="pct"/>
            <w:vMerge w:val="restart"/>
            <w:noWrap w:val="0"/>
            <w:vAlign w:val="center"/>
          </w:tcPr>
          <w:p>
            <w:pPr>
              <w:jc w:val="center"/>
              <w:rPr>
                <w:rFonts w:hint="eastAsia"/>
                <w:i w:val="0"/>
                <w:iCs w:val="0"/>
                <w:sz w:val="21"/>
                <w:szCs w:val="21"/>
              </w:rPr>
            </w:pPr>
            <w:r>
              <w:rPr>
                <w:rFonts w:hint="eastAsia"/>
                <w:i w:val="0"/>
                <w:iCs w:val="0"/>
                <w:sz w:val="21"/>
                <w:szCs w:val="21"/>
              </w:rPr>
              <w:t>时段</w:t>
            </w:r>
          </w:p>
        </w:tc>
        <w:tc>
          <w:tcPr>
            <w:tcW w:w="1743" w:type="pct"/>
            <w:gridSpan w:val="2"/>
            <w:noWrap w:val="0"/>
            <w:vAlign w:val="center"/>
          </w:tcPr>
          <w:p>
            <w:pPr>
              <w:jc w:val="center"/>
              <w:rPr>
                <w:rFonts w:hint="eastAsia"/>
                <w:i w:val="0"/>
                <w:iCs w:val="0"/>
                <w:sz w:val="21"/>
                <w:szCs w:val="21"/>
              </w:rPr>
            </w:pPr>
            <w:r>
              <w:rPr>
                <w:rFonts w:hint="eastAsia"/>
                <w:i w:val="0"/>
                <w:iCs w:val="0"/>
                <w:sz w:val="21"/>
                <w:szCs w:val="21"/>
              </w:rPr>
              <w:t>标准值dB（A）</w:t>
            </w:r>
          </w:p>
        </w:tc>
        <w:tc>
          <w:tcPr>
            <w:tcW w:w="2186" w:type="pct"/>
            <w:vMerge w:val="restart"/>
            <w:noWrap w:val="0"/>
            <w:vAlign w:val="center"/>
          </w:tcPr>
          <w:p>
            <w:pPr>
              <w:jc w:val="center"/>
              <w:rPr>
                <w:rFonts w:hint="eastAsia"/>
                <w:i w:val="0"/>
                <w:iCs w:val="0"/>
                <w:sz w:val="21"/>
                <w:szCs w:val="21"/>
              </w:rPr>
            </w:pPr>
            <w:r>
              <w:rPr>
                <w:rFonts w:hint="eastAsia"/>
                <w:i w:val="0"/>
                <w:iCs w:val="0"/>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70" w:type="pct"/>
            <w:vMerge w:val="continue"/>
            <w:noWrap w:val="0"/>
            <w:vAlign w:val="center"/>
          </w:tcPr>
          <w:p>
            <w:pPr>
              <w:jc w:val="center"/>
              <w:rPr>
                <w:rFonts w:hint="eastAsia"/>
                <w:i w:val="0"/>
                <w:iCs w:val="0"/>
                <w:sz w:val="21"/>
                <w:szCs w:val="21"/>
              </w:rPr>
            </w:pPr>
          </w:p>
        </w:tc>
        <w:tc>
          <w:tcPr>
            <w:tcW w:w="872" w:type="pct"/>
            <w:noWrap w:val="0"/>
            <w:vAlign w:val="center"/>
          </w:tcPr>
          <w:p>
            <w:pPr>
              <w:jc w:val="center"/>
              <w:rPr>
                <w:rFonts w:hint="eastAsia"/>
                <w:i w:val="0"/>
                <w:iCs w:val="0"/>
                <w:sz w:val="21"/>
                <w:szCs w:val="21"/>
              </w:rPr>
            </w:pPr>
            <w:r>
              <w:rPr>
                <w:rFonts w:hint="eastAsia"/>
                <w:i w:val="0"/>
                <w:iCs w:val="0"/>
                <w:sz w:val="21"/>
                <w:szCs w:val="21"/>
              </w:rPr>
              <w:t>昼间</w:t>
            </w:r>
          </w:p>
        </w:tc>
        <w:tc>
          <w:tcPr>
            <w:tcW w:w="872" w:type="pct"/>
            <w:noWrap w:val="0"/>
            <w:vAlign w:val="center"/>
          </w:tcPr>
          <w:p>
            <w:pPr>
              <w:jc w:val="center"/>
              <w:rPr>
                <w:rFonts w:hint="eastAsia"/>
                <w:i w:val="0"/>
                <w:iCs w:val="0"/>
                <w:sz w:val="21"/>
                <w:szCs w:val="21"/>
              </w:rPr>
            </w:pPr>
            <w:r>
              <w:rPr>
                <w:rFonts w:hint="eastAsia"/>
                <w:i w:val="0"/>
                <w:iCs w:val="0"/>
                <w:sz w:val="21"/>
                <w:szCs w:val="21"/>
              </w:rPr>
              <w:t>夜间</w:t>
            </w:r>
          </w:p>
        </w:tc>
        <w:tc>
          <w:tcPr>
            <w:tcW w:w="2186" w:type="pct"/>
            <w:vMerge w:val="continue"/>
            <w:noWrap w:val="0"/>
            <w:vAlign w:val="center"/>
          </w:tcPr>
          <w:p>
            <w:pPr>
              <w:jc w:val="center"/>
              <w:rPr>
                <w:rFonts w:hint="eastAsia"/>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070" w:type="pct"/>
            <w:noWrap w:val="0"/>
            <w:vAlign w:val="center"/>
          </w:tcPr>
          <w:p>
            <w:pPr>
              <w:jc w:val="center"/>
              <w:rPr>
                <w:rFonts w:hint="eastAsia"/>
                <w:i w:val="0"/>
                <w:iCs w:val="0"/>
                <w:sz w:val="21"/>
                <w:szCs w:val="21"/>
              </w:rPr>
            </w:pPr>
            <w:r>
              <w:rPr>
                <w:rFonts w:hint="eastAsia"/>
                <w:i w:val="0"/>
                <w:iCs w:val="0"/>
                <w:sz w:val="21"/>
                <w:szCs w:val="21"/>
              </w:rPr>
              <w:t>施工期</w:t>
            </w:r>
          </w:p>
        </w:tc>
        <w:tc>
          <w:tcPr>
            <w:tcW w:w="872" w:type="pct"/>
            <w:noWrap w:val="0"/>
            <w:vAlign w:val="center"/>
          </w:tcPr>
          <w:p>
            <w:pPr>
              <w:jc w:val="center"/>
              <w:rPr>
                <w:rFonts w:hint="eastAsia"/>
                <w:i w:val="0"/>
                <w:iCs w:val="0"/>
                <w:sz w:val="21"/>
                <w:szCs w:val="21"/>
              </w:rPr>
            </w:pPr>
            <w:r>
              <w:rPr>
                <w:rFonts w:hint="eastAsia"/>
                <w:i w:val="0"/>
                <w:iCs w:val="0"/>
                <w:sz w:val="21"/>
                <w:szCs w:val="21"/>
              </w:rPr>
              <w:t>70</w:t>
            </w:r>
          </w:p>
        </w:tc>
        <w:tc>
          <w:tcPr>
            <w:tcW w:w="872" w:type="pct"/>
            <w:noWrap w:val="0"/>
            <w:vAlign w:val="center"/>
          </w:tcPr>
          <w:p>
            <w:pPr>
              <w:jc w:val="center"/>
              <w:rPr>
                <w:rFonts w:hint="eastAsia"/>
                <w:i w:val="0"/>
                <w:iCs w:val="0"/>
                <w:sz w:val="21"/>
                <w:szCs w:val="21"/>
              </w:rPr>
            </w:pPr>
            <w:r>
              <w:rPr>
                <w:rFonts w:hint="eastAsia"/>
                <w:i w:val="0"/>
                <w:iCs w:val="0"/>
                <w:sz w:val="21"/>
                <w:szCs w:val="21"/>
              </w:rPr>
              <w:t>55</w:t>
            </w:r>
          </w:p>
        </w:tc>
        <w:tc>
          <w:tcPr>
            <w:tcW w:w="2186" w:type="pct"/>
            <w:noWrap w:val="0"/>
            <w:vAlign w:val="center"/>
          </w:tcPr>
          <w:p>
            <w:pPr>
              <w:jc w:val="center"/>
              <w:rPr>
                <w:rFonts w:hint="eastAsia"/>
                <w:i w:val="0"/>
                <w:iCs w:val="0"/>
                <w:sz w:val="21"/>
                <w:szCs w:val="21"/>
              </w:rPr>
            </w:pPr>
            <w:r>
              <w:rPr>
                <w:rFonts w:hint="eastAsia"/>
                <w:i w:val="0"/>
                <w:iCs w:val="0"/>
                <w:sz w:val="21"/>
                <w:szCs w:val="21"/>
              </w:rPr>
              <w:t>GB12523-2011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70" w:type="pct"/>
            <w:noWrap w:val="0"/>
            <w:vAlign w:val="center"/>
          </w:tcPr>
          <w:p>
            <w:pPr>
              <w:jc w:val="center"/>
              <w:rPr>
                <w:rFonts w:hint="eastAsia"/>
                <w:i w:val="0"/>
                <w:iCs w:val="0"/>
                <w:sz w:val="21"/>
                <w:szCs w:val="21"/>
              </w:rPr>
            </w:pPr>
            <w:r>
              <w:rPr>
                <w:rFonts w:hint="eastAsia"/>
                <w:i w:val="0"/>
                <w:iCs w:val="0"/>
                <w:sz w:val="21"/>
                <w:szCs w:val="21"/>
              </w:rPr>
              <w:t>营运期</w:t>
            </w:r>
          </w:p>
        </w:tc>
        <w:tc>
          <w:tcPr>
            <w:tcW w:w="872" w:type="pct"/>
            <w:noWrap w:val="0"/>
            <w:vAlign w:val="center"/>
          </w:tcPr>
          <w:p>
            <w:pPr>
              <w:jc w:val="center"/>
              <w:rPr>
                <w:rFonts w:hint="default" w:eastAsia="宋体"/>
                <w:i w:val="0"/>
                <w:iCs w:val="0"/>
                <w:sz w:val="21"/>
                <w:szCs w:val="21"/>
                <w:lang w:val="en-US" w:eastAsia="zh-CN"/>
              </w:rPr>
            </w:pPr>
            <w:r>
              <w:rPr>
                <w:rFonts w:hint="eastAsia"/>
                <w:i w:val="0"/>
                <w:iCs w:val="0"/>
                <w:sz w:val="21"/>
                <w:szCs w:val="21"/>
                <w:lang w:val="en-US" w:eastAsia="zh-CN"/>
              </w:rPr>
              <w:t>60</w:t>
            </w:r>
          </w:p>
        </w:tc>
        <w:tc>
          <w:tcPr>
            <w:tcW w:w="872" w:type="pct"/>
            <w:noWrap w:val="0"/>
            <w:vAlign w:val="center"/>
          </w:tcPr>
          <w:p>
            <w:pPr>
              <w:jc w:val="center"/>
              <w:rPr>
                <w:rFonts w:hint="default" w:eastAsia="宋体"/>
                <w:i w:val="0"/>
                <w:iCs w:val="0"/>
                <w:sz w:val="21"/>
                <w:szCs w:val="21"/>
                <w:lang w:val="en-US" w:eastAsia="zh-CN"/>
              </w:rPr>
            </w:pPr>
            <w:r>
              <w:rPr>
                <w:rFonts w:hint="eastAsia"/>
                <w:i w:val="0"/>
                <w:iCs w:val="0"/>
                <w:sz w:val="21"/>
                <w:szCs w:val="21"/>
                <w:lang w:val="en-US" w:eastAsia="zh-CN"/>
              </w:rPr>
              <w:t>50</w:t>
            </w:r>
          </w:p>
        </w:tc>
        <w:tc>
          <w:tcPr>
            <w:tcW w:w="2186" w:type="pct"/>
            <w:noWrap w:val="0"/>
            <w:vAlign w:val="center"/>
          </w:tcPr>
          <w:p>
            <w:pPr>
              <w:jc w:val="center"/>
              <w:rPr>
                <w:rFonts w:hint="eastAsia"/>
                <w:i w:val="0"/>
                <w:iCs w:val="0"/>
                <w:sz w:val="21"/>
                <w:szCs w:val="21"/>
              </w:rPr>
            </w:pPr>
            <w:r>
              <w:rPr>
                <w:rFonts w:hint="eastAsia"/>
                <w:i w:val="0"/>
                <w:iCs w:val="0"/>
                <w:sz w:val="21"/>
                <w:szCs w:val="21"/>
              </w:rPr>
              <w:t>GB12348-2008中</w:t>
            </w:r>
            <w:r>
              <w:rPr>
                <w:rFonts w:hint="eastAsia"/>
                <w:i w:val="0"/>
                <w:iCs w:val="0"/>
                <w:sz w:val="21"/>
                <w:szCs w:val="21"/>
                <w:lang w:val="en-US" w:eastAsia="zh-CN"/>
              </w:rPr>
              <w:t>2</w:t>
            </w:r>
            <w:r>
              <w:rPr>
                <w:rFonts w:hint="eastAsia"/>
                <w:i w:val="0"/>
                <w:iCs w:val="0"/>
                <w:sz w:val="21"/>
                <w:szCs w:val="21"/>
              </w:rPr>
              <w:t>类</w:t>
            </w:r>
          </w:p>
        </w:tc>
      </w:tr>
    </w:tbl>
    <w:p>
      <w:pPr>
        <w:spacing w:line="360" w:lineRule="auto"/>
        <w:ind w:left="22" w:leftChars="9" w:firstLine="480" w:firstLineChars="200"/>
        <w:rPr>
          <w:i w:val="0"/>
          <w:iCs w:val="0"/>
        </w:rPr>
      </w:pPr>
      <w:r>
        <w:rPr>
          <w:rFonts w:hint="eastAsia"/>
          <w:i w:val="0"/>
          <w:iCs w:val="0"/>
        </w:rPr>
        <w:t>4</w:t>
      </w:r>
      <w:r>
        <w:rPr>
          <w:i w:val="0"/>
          <w:iCs w:val="0"/>
        </w:rPr>
        <w:t>、地下水</w:t>
      </w:r>
    </w:p>
    <w:p>
      <w:pPr>
        <w:spacing w:line="360" w:lineRule="auto"/>
        <w:ind w:firstLine="480" w:firstLineChars="200"/>
        <w:rPr>
          <w:i w:val="0"/>
          <w:iCs w:val="0"/>
        </w:rPr>
      </w:pPr>
      <w:r>
        <w:rPr>
          <w:i w:val="0"/>
          <w:iCs w:val="0"/>
        </w:rPr>
        <w:t>评价区域地下水使用功能为农业用水及生活饮用水，相应执行《地下水质量标准》（GB/T14848-2017）中Ⅲ类标准，详见表</w:t>
      </w:r>
      <w:r>
        <w:rPr>
          <w:rFonts w:hint="eastAsia"/>
          <w:i w:val="0"/>
          <w:iCs w:val="0"/>
        </w:rPr>
        <w:t>2-6</w:t>
      </w:r>
      <w:r>
        <w:rPr>
          <w:i w:val="0"/>
          <w:iCs w:val="0"/>
        </w:rPr>
        <w:t>。</w:t>
      </w:r>
    </w:p>
    <w:p>
      <w:pPr>
        <w:pStyle w:val="92"/>
        <w:spacing w:before="0" w:after="0" w:line="240" w:lineRule="auto"/>
        <w:ind w:firstLine="0"/>
        <w:jc w:val="center"/>
        <w:textAlignment w:val="baseline"/>
        <w:rPr>
          <w:rFonts w:hint="eastAsia" w:ascii="Times New Roman" w:eastAsia="宋体"/>
          <w:b/>
          <w:bCs/>
          <w:i w:val="0"/>
          <w:iCs w:val="0"/>
          <w:szCs w:val="24"/>
        </w:rPr>
      </w:pPr>
      <w:r>
        <w:rPr>
          <w:rFonts w:hint="eastAsia" w:ascii="Times New Roman" w:eastAsia="宋体"/>
          <w:b/>
          <w:bCs/>
          <w:i w:val="0"/>
          <w:iCs w:val="0"/>
          <w:szCs w:val="24"/>
        </w:rPr>
        <w:t>表2-6地下水质量标准</w:t>
      </w:r>
    </w:p>
    <w:tbl>
      <w:tblPr>
        <w:tblStyle w:val="5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17"/>
        <w:gridCol w:w="41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755" w:type="pct"/>
            <w:noWrap w:val="0"/>
            <w:vAlign w:val="center"/>
          </w:tcPr>
          <w:p>
            <w:pPr>
              <w:pStyle w:val="97"/>
              <w:adjustRightInd w:val="0"/>
              <w:snapToGrid w:val="0"/>
              <w:spacing w:line="240" w:lineRule="auto"/>
              <w:rPr>
                <w:rFonts w:ascii="Times New Roman" w:hAnsi="Times New Roman"/>
                <w:i w:val="0"/>
                <w:iCs w:val="0"/>
                <w:color w:val="auto"/>
                <w:sz w:val="21"/>
                <w:szCs w:val="21"/>
              </w:rPr>
            </w:pPr>
            <w:r>
              <w:rPr>
                <w:rFonts w:ascii="Times New Roman" w:hAnsi="Times New Roman"/>
                <w:i w:val="0"/>
                <w:iCs w:val="0"/>
                <w:color w:val="auto"/>
                <w:sz w:val="21"/>
                <w:szCs w:val="21"/>
              </w:rPr>
              <w:t>污染物名称</w:t>
            </w:r>
          </w:p>
        </w:tc>
        <w:tc>
          <w:tcPr>
            <w:tcW w:w="2244" w:type="pct"/>
            <w:noWrap w:val="0"/>
            <w:vAlign w:val="center"/>
          </w:tcPr>
          <w:p>
            <w:pPr>
              <w:pStyle w:val="97"/>
              <w:adjustRightInd w:val="0"/>
              <w:snapToGrid w:val="0"/>
              <w:spacing w:line="240" w:lineRule="auto"/>
              <w:rPr>
                <w:rFonts w:ascii="Times New Roman" w:hAnsi="Times New Roman"/>
                <w:i w:val="0"/>
                <w:iCs w:val="0"/>
                <w:color w:val="auto"/>
                <w:sz w:val="21"/>
                <w:szCs w:val="21"/>
              </w:rPr>
            </w:pPr>
            <w:r>
              <w:rPr>
                <w:rFonts w:ascii="Times New Roman" w:hAnsi="Times New Roman"/>
                <w:i w:val="0"/>
                <w:iCs w:val="0"/>
                <w:color w:val="auto"/>
                <w:sz w:val="21"/>
                <w:szCs w:val="21"/>
              </w:rPr>
              <w:t>Ⅲ类标准值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755" w:type="pct"/>
            <w:noWrap w:val="0"/>
            <w:vAlign w:val="center"/>
          </w:tcPr>
          <w:p>
            <w:pPr>
              <w:pStyle w:val="210"/>
              <w:spacing w:line="240" w:lineRule="auto"/>
              <w:rPr>
                <w:i w:val="0"/>
                <w:iCs w:val="0"/>
                <w:color w:val="auto"/>
                <w:sz w:val="21"/>
              </w:rPr>
            </w:pPr>
            <w:r>
              <w:rPr>
                <w:i w:val="0"/>
                <w:iCs w:val="0"/>
                <w:color w:val="auto"/>
                <w:sz w:val="21"/>
              </w:rPr>
              <w:t>pH</w:t>
            </w:r>
          </w:p>
        </w:tc>
        <w:tc>
          <w:tcPr>
            <w:tcW w:w="2244" w:type="pct"/>
            <w:noWrap w:val="0"/>
            <w:vAlign w:val="center"/>
          </w:tcPr>
          <w:p>
            <w:pPr>
              <w:pStyle w:val="210"/>
              <w:spacing w:line="240" w:lineRule="auto"/>
              <w:rPr>
                <w:i w:val="0"/>
                <w:iCs w:val="0"/>
                <w:color w:val="auto"/>
                <w:sz w:val="21"/>
              </w:rPr>
            </w:pPr>
            <w:r>
              <w:rPr>
                <w:i w:val="0"/>
                <w:iCs w:val="0"/>
                <w:color w:val="auto"/>
                <w:sz w:val="21"/>
              </w:rPr>
              <w:t>6.5-8.5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55" w:type="pct"/>
            <w:noWrap w:val="0"/>
            <w:vAlign w:val="center"/>
          </w:tcPr>
          <w:p>
            <w:pPr>
              <w:pStyle w:val="210"/>
              <w:spacing w:line="240" w:lineRule="auto"/>
              <w:rPr>
                <w:i w:val="0"/>
                <w:iCs w:val="0"/>
                <w:color w:val="auto"/>
                <w:sz w:val="21"/>
              </w:rPr>
            </w:pPr>
            <w:r>
              <w:rPr>
                <w:i w:val="0"/>
                <w:iCs w:val="0"/>
                <w:color w:val="auto"/>
                <w:sz w:val="21"/>
              </w:rPr>
              <w:t>总硬度</w:t>
            </w:r>
          </w:p>
        </w:tc>
        <w:tc>
          <w:tcPr>
            <w:tcW w:w="2244" w:type="pct"/>
            <w:noWrap w:val="0"/>
            <w:vAlign w:val="center"/>
          </w:tcPr>
          <w:p>
            <w:pPr>
              <w:pStyle w:val="210"/>
              <w:spacing w:line="240" w:lineRule="auto"/>
              <w:rPr>
                <w:i w:val="0"/>
                <w:iCs w:val="0"/>
                <w:color w:val="auto"/>
                <w:sz w:val="21"/>
              </w:rPr>
            </w:pPr>
            <w:r>
              <w:rPr>
                <w:i w:val="0"/>
                <w:iCs w:val="0"/>
                <w:color w:val="auto"/>
                <w:sz w:val="21"/>
              </w:rPr>
              <w:t>≤450(mg/L)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55" w:type="pct"/>
            <w:noWrap w:val="0"/>
            <w:vAlign w:val="center"/>
          </w:tcPr>
          <w:p>
            <w:pPr>
              <w:pStyle w:val="210"/>
              <w:spacing w:line="240" w:lineRule="auto"/>
              <w:rPr>
                <w:i w:val="0"/>
                <w:iCs w:val="0"/>
                <w:color w:val="auto"/>
                <w:sz w:val="21"/>
              </w:rPr>
            </w:pPr>
            <w:r>
              <w:rPr>
                <w:i w:val="0"/>
                <w:iCs w:val="0"/>
                <w:color w:val="auto"/>
                <w:sz w:val="21"/>
              </w:rPr>
              <w:t>溶解性总固体</w:t>
            </w:r>
          </w:p>
        </w:tc>
        <w:tc>
          <w:tcPr>
            <w:tcW w:w="2244" w:type="pct"/>
            <w:noWrap w:val="0"/>
            <w:vAlign w:val="center"/>
          </w:tcPr>
          <w:p>
            <w:pPr>
              <w:pStyle w:val="210"/>
              <w:spacing w:line="240" w:lineRule="auto"/>
              <w:rPr>
                <w:i w:val="0"/>
                <w:iCs w:val="0"/>
                <w:color w:val="auto"/>
                <w:sz w:val="21"/>
              </w:rPr>
            </w:pPr>
            <w:r>
              <w:rPr>
                <w:i w:val="0"/>
                <w:iCs w:val="0"/>
                <w:color w:val="auto"/>
                <w:sz w:val="21"/>
              </w:rPr>
              <w:t>≤1000(mg/L)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55" w:type="pct"/>
            <w:noWrap w:val="0"/>
            <w:vAlign w:val="center"/>
          </w:tcPr>
          <w:p>
            <w:pPr>
              <w:pStyle w:val="210"/>
              <w:spacing w:line="240" w:lineRule="auto"/>
              <w:rPr>
                <w:i w:val="0"/>
                <w:iCs w:val="0"/>
                <w:color w:val="auto"/>
                <w:sz w:val="21"/>
              </w:rPr>
            </w:pPr>
            <w:r>
              <w:rPr>
                <w:i w:val="0"/>
                <w:iCs w:val="0"/>
                <w:color w:val="auto"/>
                <w:sz w:val="21"/>
              </w:rPr>
              <w:t>硫酸盐</w:t>
            </w:r>
          </w:p>
        </w:tc>
        <w:tc>
          <w:tcPr>
            <w:tcW w:w="2244" w:type="pct"/>
            <w:noWrap w:val="0"/>
            <w:vAlign w:val="center"/>
          </w:tcPr>
          <w:p>
            <w:pPr>
              <w:pStyle w:val="210"/>
              <w:spacing w:line="240" w:lineRule="auto"/>
              <w:rPr>
                <w:i w:val="0"/>
                <w:iCs w:val="0"/>
                <w:color w:val="auto"/>
                <w:sz w:val="21"/>
              </w:rPr>
            </w:pPr>
            <w:r>
              <w:rPr>
                <w:i w:val="0"/>
                <w:iCs w:val="0"/>
                <w:color w:val="auto"/>
                <w:sz w:val="21"/>
              </w:rPr>
              <w:t>≤250(mg/L)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55" w:type="pct"/>
            <w:noWrap w:val="0"/>
            <w:vAlign w:val="center"/>
          </w:tcPr>
          <w:p>
            <w:pPr>
              <w:pStyle w:val="210"/>
              <w:spacing w:line="240" w:lineRule="auto"/>
              <w:rPr>
                <w:i w:val="0"/>
                <w:iCs w:val="0"/>
                <w:color w:val="auto"/>
                <w:sz w:val="21"/>
              </w:rPr>
            </w:pPr>
            <w:r>
              <w:rPr>
                <w:i w:val="0"/>
                <w:iCs w:val="0"/>
                <w:color w:val="auto"/>
                <w:sz w:val="21"/>
              </w:rPr>
              <w:t>氯化物</w:t>
            </w:r>
          </w:p>
        </w:tc>
        <w:tc>
          <w:tcPr>
            <w:tcW w:w="2244" w:type="pct"/>
            <w:noWrap w:val="0"/>
            <w:vAlign w:val="center"/>
          </w:tcPr>
          <w:p>
            <w:pPr>
              <w:pStyle w:val="210"/>
              <w:spacing w:line="240" w:lineRule="auto"/>
              <w:rPr>
                <w:i w:val="0"/>
                <w:iCs w:val="0"/>
                <w:color w:val="auto"/>
                <w:sz w:val="21"/>
              </w:rPr>
            </w:pPr>
            <w:r>
              <w:rPr>
                <w:i w:val="0"/>
                <w:iCs w:val="0"/>
                <w:color w:val="auto"/>
                <w:sz w:val="21"/>
              </w:rPr>
              <w:t>≤250(mg/L)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55" w:type="pct"/>
            <w:noWrap w:val="0"/>
            <w:vAlign w:val="center"/>
          </w:tcPr>
          <w:p>
            <w:pPr>
              <w:pStyle w:val="210"/>
              <w:spacing w:line="240" w:lineRule="auto"/>
              <w:rPr>
                <w:i w:val="0"/>
                <w:iCs w:val="0"/>
                <w:color w:val="auto"/>
                <w:sz w:val="21"/>
              </w:rPr>
            </w:pPr>
            <w:r>
              <w:rPr>
                <w:i w:val="0"/>
                <w:iCs w:val="0"/>
                <w:color w:val="auto"/>
                <w:sz w:val="21"/>
              </w:rPr>
              <w:t>挥发性酚类</w:t>
            </w:r>
          </w:p>
        </w:tc>
        <w:tc>
          <w:tcPr>
            <w:tcW w:w="2244" w:type="pct"/>
            <w:noWrap w:val="0"/>
            <w:vAlign w:val="center"/>
          </w:tcPr>
          <w:p>
            <w:pPr>
              <w:pStyle w:val="210"/>
              <w:spacing w:line="240" w:lineRule="auto"/>
              <w:rPr>
                <w:i w:val="0"/>
                <w:iCs w:val="0"/>
                <w:color w:val="auto"/>
                <w:sz w:val="21"/>
              </w:rPr>
            </w:pPr>
            <w:r>
              <w:rPr>
                <w:i w:val="0"/>
                <w:iCs w:val="0"/>
                <w:color w:val="auto"/>
                <w:sz w:val="21"/>
              </w:rPr>
              <w:t>≤0.002(mg/L)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55" w:type="pct"/>
            <w:noWrap w:val="0"/>
            <w:vAlign w:val="center"/>
          </w:tcPr>
          <w:p>
            <w:pPr>
              <w:pStyle w:val="210"/>
              <w:spacing w:line="240" w:lineRule="auto"/>
              <w:rPr>
                <w:i w:val="0"/>
                <w:iCs w:val="0"/>
                <w:color w:val="auto"/>
                <w:sz w:val="21"/>
              </w:rPr>
            </w:pPr>
            <w:r>
              <w:rPr>
                <w:i w:val="0"/>
                <w:iCs w:val="0"/>
                <w:color w:val="auto"/>
                <w:sz w:val="21"/>
              </w:rPr>
              <w:t>阴离子表面活性剂</w:t>
            </w:r>
          </w:p>
        </w:tc>
        <w:tc>
          <w:tcPr>
            <w:tcW w:w="2244" w:type="pct"/>
            <w:noWrap w:val="0"/>
            <w:vAlign w:val="center"/>
          </w:tcPr>
          <w:p>
            <w:pPr>
              <w:pStyle w:val="210"/>
              <w:spacing w:line="240" w:lineRule="auto"/>
              <w:rPr>
                <w:i w:val="0"/>
                <w:iCs w:val="0"/>
                <w:color w:val="auto"/>
                <w:sz w:val="21"/>
              </w:rPr>
            </w:pPr>
            <w:r>
              <w:rPr>
                <w:i w:val="0"/>
                <w:iCs w:val="0"/>
                <w:color w:val="auto"/>
                <w:sz w:val="21"/>
              </w:rPr>
              <w:t>≤0.3(mg/L)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55" w:type="pct"/>
            <w:noWrap w:val="0"/>
            <w:vAlign w:val="center"/>
          </w:tcPr>
          <w:p>
            <w:pPr>
              <w:pStyle w:val="210"/>
              <w:spacing w:line="240" w:lineRule="auto"/>
              <w:rPr>
                <w:i w:val="0"/>
                <w:iCs w:val="0"/>
                <w:color w:val="auto"/>
                <w:sz w:val="21"/>
              </w:rPr>
            </w:pPr>
            <w:r>
              <w:rPr>
                <w:i w:val="0"/>
                <w:iCs w:val="0"/>
                <w:color w:val="auto"/>
                <w:sz w:val="21"/>
              </w:rPr>
              <w:t>耗氧量（COD</w:t>
            </w:r>
            <w:r>
              <w:rPr>
                <w:i w:val="0"/>
                <w:iCs w:val="0"/>
                <w:color w:val="auto"/>
                <w:sz w:val="21"/>
                <w:vertAlign w:val="subscript"/>
              </w:rPr>
              <w:t>Mn</w:t>
            </w:r>
            <w:r>
              <w:rPr>
                <w:i w:val="0"/>
                <w:iCs w:val="0"/>
                <w:color w:val="auto"/>
                <w:sz w:val="21"/>
              </w:rPr>
              <w:t>）</w:t>
            </w:r>
          </w:p>
        </w:tc>
        <w:tc>
          <w:tcPr>
            <w:tcW w:w="2244" w:type="pct"/>
            <w:noWrap w:val="0"/>
            <w:vAlign w:val="center"/>
          </w:tcPr>
          <w:p>
            <w:pPr>
              <w:pStyle w:val="210"/>
              <w:spacing w:line="240" w:lineRule="auto"/>
              <w:rPr>
                <w:i w:val="0"/>
                <w:iCs w:val="0"/>
                <w:color w:val="auto"/>
                <w:sz w:val="21"/>
              </w:rPr>
            </w:pPr>
            <w:r>
              <w:rPr>
                <w:i w:val="0"/>
                <w:iCs w:val="0"/>
                <w:color w:val="auto"/>
                <w:sz w:val="21"/>
              </w:rPr>
              <w:t>≤3.0(mg/L)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55" w:type="pct"/>
            <w:noWrap w:val="0"/>
            <w:vAlign w:val="center"/>
          </w:tcPr>
          <w:p>
            <w:pPr>
              <w:pStyle w:val="97"/>
              <w:adjustRightInd w:val="0"/>
              <w:snapToGrid w:val="0"/>
              <w:spacing w:line="240" w:lineRule="auto"/>
              <w:rPr>
                <w:i w:val="0"/>
                <w:iCs w:val="0"/>
                <w:color w:val="auto"/>
                <w:sz w:val="21"/>
              </w:rPr>
            </w:pPr>
            <w:r>
              <w:rPr>
                <w:rFonts w:ascii="Times New Roman" w:hAnsi="Times New Roman"/>
                <w:i w:val="0"/>
                <w:iCs w:val="0"/>
                <w:color w:val="auto"/>
                <w:sz w:val="21"/>
                <w:szCs w:val="21"/>
              </w:rPr>
              <w:t>氨氮</w:t>
            </w:r>
          </w:p>
        </w:tc>
        <w:tc>
          <w:tcPr>
            <w:tcW w:w="2244" w:type="pct"/>
            <w:noWrap w:val="0"/>
            <w:vAlign w:val="center"/>
          </w:tcPr>
          <w:p>
            <w:pPr>
              <w:pStyle w:val="97"/>
              <w:adjustRightInd w:val="0"/>
              <w:snapToGrid w:val="0"/>
              <w:spacing w:line="240" w:lineRule="auto"/>
              <w:rPr>
                <w:i w:val="0"/>
                <w:iCs w:val="0"/>
                <w:color w:val="auto"/>
                <w:sz w:val="21"/>
              </w:rPr>
            </w:pPr>
            <w:r>
              <w:rPr>
                <w:rFonts w:ascii="Times New Roman" w:hAnsi="Times New Roman"/>
                <w:i w:val="0"/>
                <w:iCs w:val="0"/>
                <w:color w:val="auto"/>
                <w:sz w:val="21"/>
                <w:szCs w:val="21"/>
              </w:rPr>
              <w:t>≤0.50(mg/L)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55" w:type="pct"/>
            <w:noWrap w:val="0"/>
            <w:vAlign w:val="center"/>
          </w:tcPr>
          <w:p>
            <w:pPr>
              <w:pStyle w:val="210"/>
              <w:spacing w:line="240" w:lineRule="auto"/>
              <w:rPr>
                <w:i w:val="0"/>
                <w:iCs w:val="0"/>
                <w:color w:val="auto"/>
                <w:sz w:val="21"/>
              </w:rPr>
            </w:pPr>
            <w:r>
              <w:rPr>
                <w:i w:val="0"/>
                <w:iCs w:val="0"/>
                <w:color w:val="auto"/>
                <w:sz w:val="21"/>
              </w:rPr>
              <w:t>总大肠菌群</w:t>
            </w:r>
          </w:p>
        </w:tc>
        <w:tc>
          <w:tcPr>
            <w:tcW w:w="2244" w:type="pct"/>
            <w:noWrap w:val="0"/>
            <w:vAlign w:val="center"/>
          </w:tcPr>
          <w:p>
            <w:pPr>
              <w:pStyle w:val="210"/>
              <w:spacing w:line="240" w:lineRule="auto"/>
              <w:rPr>
                <w:i w:val="0"/>
                <w:iCs w:val="0"/>
                <w:color w:val="auto"/>
                <w:sz w:val="21"/>
              </w:rPr>
            </w:pPr>
            <w:r>
              <w:rPr>
                <w:i w:val="0"/>
                <w:iCs w:val="0"/>
                <w:color w:val="auto"/>
                <w:sz w:val="21"/>
              </w:rPr>
              <w:t>≤3.0(mg/L)</w:t>
            </w:r>
          </w:p>
        </w:tc>
      </w:tr>
    </w:tbl>
    <w:p>
      <w:pPr>
        <w:spacing w:line="360" w:lineRule="auto"/>
        <w:ind w:firstLine="482" w:firstLineChars="200"/>
        <w:rPr>
          <w:b/>
          <w:bCs/>
          <w:i w:val="0"/>
          <w:iCs w:val="0"/>
        </w:rPr>
      </w:pPr>
      <w:r>
        <w:rPr>
          <w:rFonts w:hint="eastAsia"/>
          <w:b/>
          <w:i w:val="0"/>
          <w:iCs w:val="0"/>
        </w:rPr>
        <w:t>2.</w:t>
      </w:r>
      <w:r>
        <w:rPr>
          <w:b/>
          <w:i w:val="0"/>
          <w:iCs w:val="0"/>
        </w:rPr>
        <w:t>3.</w:t>
      </w:r>
      <w:r>
        <w:rPr>
          <w:rFonts w:hint="eastAsia"/>
          <w:b/>
          <w:i w:val="0"/>
          <w:iCs w:val="0"/>
        </w:rPr>
        <w:t>3</w:t>
      </w:r>
      <w:r>
        <w:rPr>
          <w:b/>
          <w:i w:val="0"/>
          <w:iCs w:val="0"/>
        </w:rPr>
        <w:t>污染物排放标准</w:t>
      </w:r>
    </w:p>
    <w:p>
      <w:pPr>
        <w:spacing w:line="360" w:lineRule="auto"/>
        <w:ind w:firstLine="480" w:firstLineChars="200"/>
        <w:rPr>
          <w:i w:val="0"/>
          <w:iCs w:val="0"/>
        </w:rPr>
      </w:pPr>
      <w:r>
        <w:rPr>
          <w:i w:val="0"/>
          <w:iCs w:val="0"/>
        </w:rPr>
        <w:t>1、废水</w:t>
      </w:r>
    </w:p>
    <w:p>
      <w:pPr>
        <w:spacing w:line="360" w:lineRule="auto"/>
        <w:ind w:firstLine="480" w:firstLineChars="200"/>
        <w:rPr>
          <w:i w:val="0"/>
          <w:iCs w:val="0"/>
        </w:rPr>
      </w:pPr>
      <w:r>
        <w:rPr>
          <w:rFonts w:hint="eastAsia"/>
          <w:i w:val="0"/>
          <w:iCs w:val="0"/>
        </w:rPr>
        <w:t>本项目生产废水、生活污水由厂区自建废水处理站处理达到《污水综合排放标准》GB8978-1996表2三级标准排放限值及园区污水处理厂进水指标后排入污水管网内，进入园区污水处理厂处理达到《城镇污水处理厂污染物排放标准》（GB18918-2002）一级A标准达标后排入浑江，具体</w:t>
      </w:r>
      <w:r>
        <w:rPr>
          <w:i w:val="0"/>
          <w:iCs w:val="0"/>
        </w:rPr>
        <w:t>见表</w:t>
      </w:r>
      <w:r>
        <w:rPr>
          <w:rFonts w:hint="eastAsia"/>
          <w:i w:val="0"/>
          <w:iCs w:val="0"/>
        </w:rPr>
        <w:t>2</w:t>
      </w:r>
      <w:r>
        <w:rPr>
          <w:i w:val="0"/>
          <w:iCs w:val="0"/>
        </w:rPr>
        <w:t>-</w:t>
      </w:r>
      <w:r>
        <w:rPr>
          <w:rFonts w:hint="eastAsia"/>
          <w:i w:val="0"/>
          <w:iCs w:val="0"/>
          <w:lang w:val="en-US" w:eastAsia="zh-CN"/>
        </w:rPr>
        <w:t>7</w:t>
      </w:r>
      <w:r>
        <w:rPr>
          <w:i w:val="0"/>
          <w:iCs w:val="0"/>
        </w:rPr>
        <w:t>。</w:t>
      </w:r>
    </w:p>
    <w:p>
      <w:pPr>
        <w:pStyle w:val="92"/>
        <w:spacing w:before="0" w:after="0" w:line="240" w:lineRule="auto"/>
        <w:ind w:firstLine="0"/>
        <w:jc w:val="center"/>
        <w:textAlignment w:val="baseline"/>
        <w:rPr>
          <w:rFonts w:hint="eastAsia" w:ascii="Times New Roman" w:eastAsia="宋体"/>
          <w:b/>
          <w:bCs/>
          <w:i w:val="0"/>
          <w:iCs w:val="0"/>
          <w:szCs w:val="24"/>
          <w:u w:val="single"/>
        </w:rPr>
      </w:pPr>
      <w:r>
        <w:rPr>
          <w:rFonts w:hint="eastAsia" w:ascii="Times New Roman" w:eastAsia="宋体"/>
          <w:b/>
          <w:bCs/>
          <w:i w:val="0"/>
          <w:iCs w:val="0"/>
          <w:szCs w:val="24"/>
          <w:u w:val="single"/>
        </w:rPr>
        <w:t>表2-</w:t>
      </w:r>
      <w:r>
        <w:rPr>
          <w:rFonts w:hint="eastAsia" w:ascii="Times New Roman" w:eastAsia="宋体"/>
          <w:b/>
          <w:bCs/>
          <w:i w:val="0"/>
          <w:iCs w:val="0"/>
          <w:szCs w:val="24"/>
          <w:u w:val="single"/>
          <w:lang w:val="en-US" w:eastAsia="zh-CN"/>
        </w:rPr>
        <w:t>7</w:t>
      </w:r>
      <w:r>
        <w:rPr>
          <w:rFonts w:hint="eastAsia" w:ascii="Times New Roman" w:eastAsia="宋体"/>
          <w:b/>
          <w:bCs/>
          <w:i w:val="0"/>
          <w:iCs w:val="0"/>
          <w:szCs w:val="24"/>
          <w:u w:val="single"/>
        </w:rPr>
        <w:t>水污染物排放标准           单位：mg/L，pH除外</w:t>
      </w:r>
    </w:p>
    <w:tbl>
      <w:tblPr>
        <w:tblStyle w:val="5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3"/>
        <w:gridCol w:w="661"/>
        <w:gridCol w:w="826"/>
        <w:gridCol w:w="828"/>
        <w:gridCol w:w="643"/>
        <w:gridCol w:w="531"/>
        <w:gridCol w:w="826"/>
        <w:gridCol w:w="826"/>
        <w:gridCol w:w="495"/>
        <w:gridCol w:w="662"/>
        <w:gridCol w:w="18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noWrap w:val="0"/>
            <w:vAlign w:val="center"/>
          </w:tcPr>
          <w:p>
            <w:pPr>
              <w:pStyle w:val="399"/>
              <w:rPr>
                <w:i w:val="0"/>
                <w:iCs w:val="0"/>
                <w:sz w:val="21"/>
                <w:szCs w:val="21"/>
                <w:u w:val="single"/>
              </w:rPr>
            </w:pPr>
            <w:r>
              <w:rPr>
                <w:i w:val="0"/>
                <w:iCs w:val="0"/>
                <w:sz w:val="21"/>
                <w:szCs w:val="21"/>
                <w:u w:val="single"/>
              </w:rPr>
              <w:t>项目</w:t>
            </w:r>
          </w:p>
        </w:tc>
        <w:tc>
          <w:tcPr>
            <w:tcW w:w="357" w:type="pct"/>
            <w:noWrap w:val="0"/>
            <w:vAlign w:val="center"/>
          </w:tcPr>
          <w:p>
            <w:pPr>
              <w:pStyle w:val="399"/>
              <w:rPr>
                <w:i w:val="0"/>
                <w:iCs w:val="0"/>
                <w:sz w:val="21"/>
                <w:szCs w:val="21"/>
                <w:u w:val="single"/>
              </w:rPr>
            </w:pPr>
            <w:r>
              <w:rPr>
                <w:i w:val="0"/>
                <w:iCs w:val="0"/>
                <w:sz w:val="21"/>
                <w:szCs w:val="21"/>
                <w:u w:val="single"/>
              </w:rPr>
              <w:t>pH</w:t>
            </w:r>
          </w:p>
        </w:tc>
        <w:tc>
          <w:tcPr>
            <w:tcW w:w="446" w:type="pct"/>
            <w:noWrap w:val="0"/>
            <w:vAlign w:val="center"/>
          </w:tcPr>
          <w:p>
            <w:pPr>
              <w:pStyle w:val="399"/>
              <w:rPr>
                <w:rFonts w:hint="eastAsia"/>
                <w:i w:val="0"/>
                <w:iCs w:val="0"/>
                <w:sz w:val="21"/>
                <w:szCs w:val="21"/>
                <w:u w:val="single"/>
              </w:rPr>
            </w:pPr>
            <w:r>
              <w:rPr>
                <w:i w:val="0"/>
                <w:iCs w:val="0"/>
                <w:sz w:val="21"/>
                <w:szCs w:val="21"/>
                <w:u w:val="single"/>
              </w:rPr>
              <w:t>COD</w:t>
            </w:r>
          </w:p>
        </w:tc>
        <w:tc>
          <w:tcPr>
            <w:tcW w:w="447" w:type="pct"/>
            <w:noWrap w:val="0"/>
            <w:vAlign w:val="center"/>
          </w:tcPr>
          <w:p>
            <w:pPr>
              <w:pStyle w:val="399"/>
              <w:rPr>
                <w:i w:val="0"/>
                <w:iCs w:val="0"/>
                <w:sz w:val="21"/>
                <w:szCs w:val="21"/>
                <w:u w:val="single"/>
              </w:rPr>
            </w:pPr>
            <w:r>
              <w:rPr>
                <w:i w:val="0"/>
                <w:iCs w:val="0"/>
                <w:sz w:val="21"/>
                <w:szCs w:val="21"/>
                <w:u w:val="single"/>
              </w:rPr>
              <w:t>BOD</w:t>
            </w:r>
            <w:r>
              <w:rPr>
                <w:i w:val="0"/>
                <w:iCs w:val="0"/>
                <w:sz w:val="21"/>
                <w:szCs w:val="21"/>
                <w:u w:val="single"/>
                <w:vertAlign w:val="subscript"/>
              </w:rPr>
              <w:t>5</w:t>
            </w:r>
          </w:p>
        </w:tc>
        <w:tc>
          <w:tcPr>
            <w:tcW w:w="347" w:type="pct"/>
            <w:noWrap w:val="0"/>
            <w:vAlign w:val="center"/>
          </w:tcPr>
          <w:p>
            <w:pPr>
              <w:pStyle w:val="399"/>
              <w:rPr>
                <w:i w:val="0"/>
                <w:iCs w:val="0"/>
                <w:sz w:val="21"/>
                <w:szCs w:val="21"/>
                <w:u w:val="single"/>
              </w:rPr>
            </w:pPr>
            <w:r>
              <w:rPr>
                <w:rFonts w:hint="eastAsia"/>
                <w:i w:val="0"/>
                <w:iCs w:val="0"/>
                <w:sz w:val="21"/>
                <w:szCs w:val="21"/>
                <w:u w:val="single"/>
              </w:rPr>
              <w:t>氨氮</w:t>
            </w:r>
          </w:p>
        </w:tc>
        <w:tc>
          <w:tcPr>
            <w:tcW w:w="276" w:type="pct"/>
            <w:noWrap w:val="0"/>
            <w:vAlign w:val="center"/>
          </w:tcPr>
          <w:p>
            <w:pPr>
              <w:pStyle w:val="399"/>
              <w:rPr>
                <w:i w:val="0"/>
                <w:iCs w:val="0"/>
                <w:sz w:val="21"/>
                <w:szCs w:val="21"/>
                <w:u w:val="single"/>
              </w:rPr>
            </w:pPr>
            <w:r>
              <w:rPr>
                <w:i w:val="0"/>
                <w:iCs w:val="0"/>
                <w:sz w:val="21"/>
                <w:szCs w:val="21"/>
                <w:u w:val="single"/>
              </w:rPr>
              <w:t>SS</w:t>
            </w:r>
          </w:p>
        </w:tc>
        <w:tc>
          <w:tcPr>
            <w:tcW w:w="446" w:type="pct"/>
            <w:noWrap w:val="0"/>
            <w:vAlign w:val="center"/>
          </w:tcPr>
          <w:p>
            <w:pPr>
              <w:pStyle w:val="399"/>
              <w:rPr>
                <w:rFonts w:hint="eastAsia"/>
                <w:i w:val="0"/>
                <w:iCs w:val="0"/>
                <w:sz w:val="21"/>
                <w:szCs w:val="21"/>
                <w:u w:val="single"/>
              </w:rPr>
            </w:pPr>
            <w:r>
              <w:rPr>
                <w:rFonts w:hint="eastAsia"/>
                <w:i w:val="0"/>
                <w:iCs w:val="0"/>
                <w:sz w:val="21"/>
                <w:szCs w:val="21"/>
                <w:u w:val="single"/>
              </w:rPr>
              <w:t>石油类</w:t>
            </w:r>
          </w:p>
        </w:tc>
        <w:tc>
          <w:tcPr>
            <w:tcW w:w="446" w:type="pct"/>
            <w:noWrap w:val="0"/>
            <w:vAlign w:val="center"/>
          </w:tcPr>
          <w:p>
            <w:pPr>
              <w:pStyle w:val="399"/>
              <w:rPr>
                <w:rFonts w:hint="eastAsia"/>
                <w:i w:val="0"/>
                <w:iCs w:val="0"/>
                <w:kern w:val="0"/>
                <w:sz w:val="21"/>
                <w:szCs w:val="21"/>
                <w:u w:val="single"/>
              </w:rPr>
            </w:pPr>
            <w:r>
              <w:rPr>
                <w:rFonts w:hint="eastAsia"/>
                <w:i w:val="0"/>
                <w:iCs w:val="0"/>
                <w:kern w:val="0"/>
                <w:sz w:val="21"/>
                <w:szCs w:val="21"/>
                <w:u w:val="single"/>
              </w:rPr>
              <w:t>动植物油</w:t>
            </w:r>
          </w:p>
        </w:tc>
        <w:tc>
          <w:tcPr>
            <w:tcW w:w="267" w:type="pct"/>
            <w:noWrap w:val="0"/>
            <w:vAlign w:val="center"/>
          </w:tcPr>
          <w:p>
            <w:pPr>
              <w:pStyle w:val="399"/>
              <w:rPr>
                <w:rFonts w:hint="eastAsia"/>
                <w:i w:val="0"/>
                <w:iCs w:val="0"/>
                <w:sz w:val="21"/>
                <w:szCs w:val="21"/>
                <w:u w:val="single"/>
              </w:rPr>
            </w:pPr>
            <w:r>
              <w:rPr>
                <w:rFonts w:hint="eastAsia"/>
                <w:i w:val="0"/>
                <w:iCs w:val="0"/>
                <w:kern w:val="0"/>
                <w:sz w:val="21"/>
                <w:szCs w:val="21"/>
                <w:u w:val="single"/>
              </w:rPr>
              <w:t>总磷</w:t>
            </w:r>
          </w:p>
        </w:tc>
        <w:tc>
          <w:tcPr>
            <w:tcW w:w="357" w:type="pct"/>
            <w:noWrap w:val="0"/>
            <w:vAlign w:val="center"/>
          </w:tcPr>
          <w:p>
            <w:pPr>
              <w:pStyle w:val="399"/>
              <w:rPr>
                <w:rFonts w:hint="eastAsia"/>
                <w:i w:val="0"/>
                <w:iCs w:val="0"/>
                <w:sz w:val="21"/>
                <w:szCs w:val="21"/>
                <w:u w:val="single"/>
              </w:rPr>
            </w:pPr>
            <w:r>
              <w:rPr>
                <w:rFonts w:hint="eastAsia"/>
                <w:i w:val="0"/>
                <w:iCs w:val="0"/>
                <w:sz w:val="21"/>
                <w:szCs w:val="21"/>
                <w:u w:val="single"/>
              </w:rPr>
              <w:t>总氮</w:t>
            </w:r>
          </w:p>
        </w:tc>
        <w:tc>
          <w:tcPr>
            <w:tcW w:w="985" w:type="pct"/>
            <w:noWrap w:val="0"/>
            <w:vAlign w:val="center"/>
          </w:tcPr>
          <w:p>
            <w:pPr>
              <w:pStyle w:val="399"/>
              <w:rPr>
                <w:rFonts w:hint="eastAsia"/>
                <w:i w:val="0"/>
                <w:iCs w:val="0"/>
                <w:sz w:val="21"/>
                <w:szCs w:val="21"/>
                <w:u w:val="single"/>
              </w:rPr>
            </w:pPr>
            <w:r>
              <w:rPr>
                <w:rFonts w:hint="eastAsia"/>
                <w:i w:val="0"/>
                <w:iCs w:val="0"/>
                <w:sz w:val="21"/>
                <w:szCs w:val="21"/>
                <w:u w:val="single"/>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noWrap w:val="0"/>
            <w:vAlign w:val="center"/>
          </w:tcPr>
          <w:p>
            <w:pPr>
              <w:pStyle w:val="399"/>
              <w:rPr>
                <w:rFonts w:hint="eastAsia"/>
                <w:i w:val="0"/>
                <w:iCs w:val="0"/>
                <w:sz w:val="21"/>
                <w:szCs w:val="21"/>
                <w:u w:val="single"/>
              </w:rPr>
            </w:pPr>
            <w:r>
              <w:rPr>
                <w:rFonts w:hint="eastAsia"/>
                <w:i w:val="0"/>
                <w:iCs w:val="0"/>
                <w:sz w:val="21"/>
                <w:szCs w:val="21"/>
                <w:u w:val="single"/>
              </w:rPr>
              <w:t>园区污水处理厂进水水质标准</w:t>
            </w:r>
          </w:p>
        </w:tc>
        <w:tc>
          <w:tcPr>
            <w:tcW w:w="357" w:type="pct"/>
            <w:noWrap w:val="0"/>
            <w:vAlign w:val="center"/>
          </w:tcPr>
          <w:p>
            <w:pPr>
              <w:pStyle w:val="399"/>
              <w:rPr>
                <w:i w:val="0"/>
                <w:iCs w:val="0"/>
                <w:sz w:val="21"/>
                <w:szCs w:val="21"/>
                <w:u w:val="single"/>
              </w:rPr>
            </w:pPr>
            <w:r>
              <w:rPr>
                <w:rFonts w:hint="eastAsia"/>
                <w:i w:val="0"/>
                <w:iCs w:val="0"/>
                <w:sz w:val="21"/>
                <w:szCs w:val="21"/>
                <w:u w:val="single"/>
              </w:rPr>
              <w:t>6~9</w:t>
            </w:r>
          </w:p>
        </w:tc>
        <w:tc>
          <w:tcPr>
            <w:tcW w:w="446" w:type="pct"/>
            <w:noWrap w:val="0"/>
            <w:vAlign w:val="center"/>
          </w:tcPr>
          <w:p>
            <w:pPr>
              <w:pStyle w:val="399"/>
              <w:rPr>
                <w:i w:val="0"/>
                <w:iCs w:val="0"/>
                <w:sz w:val="21"/>
                <w:szCs w:val="21"/>
                <w:u w:val="single"/>
              </w:rPr>
            </w:pPr>
            <w:r>
              <w:rPr>
                <w:rFonts w:hint="eastAsia"/>
                <w:i w:val="0"/>
                <w:iCs w:val="0"/>
                <w:sz w:val="21"/>
                <w:szCs w:val="21"/>
                <w:u w:val="single"/>
              </w:rPr>
              <w:t>4</w:t>
            </w:r>
            <w:r>
              <w:rPr>
                <w:i w:val="0"/>
                <w:iCs w:val="0"/>
                <w:sz w:val="21"/>
                <w:szCs w:val="21"/>
                <w:u w:val="single"/>
              </w:rPr>
              <w:t>20</w:t>
            </w:r>
          </w:p>
        </w:tc>
        <w:tc>
          <w:tcPr>
            <w:tcW w:w="447" w:type="pct"/>
            <w:noWrap w:val="0"/>
            <w:vAlign w:val="center"/>
          </w:tcPr>
          <w:p>
            <w:pPr>
              <w:pStyle w:val="399"/>
              <w:rPr>
                <w:i w:val="0"/>
                <w:iCs w:val="0"/>
                <w:sz w:val="21"/>
                <w:szCs w:val="21"/>
                <w:u w:val="single"/>
              </w:rPr>
            </w:pPr>
            <w:r>
              <w:rPr>
                <w:rFonts w:hint="eastAsia"/>
                <w:i w:val="0"/>
                <w:iCs w:val="0"/>
                <w:sz w:val="21"/>
                <w:szCs w:val="21"/>
                <w:u w:val="single"/>
              </w:rPr>
              <w:t>1</w:t>
            </w:r>
            <w:r>
              <w:rPr>
                <w:i w:val="0"/>
                <w:iCs w:val="0"/>
                <w:sz w:val="21"/>
                <w:szCs w:val="21"/>
                <w:u w:val="single"/>
              </w:rPr>
              <w:t>80</w:t>
            </w:r>
          </w:p>
        </w:tc>
        <w:tc>
          <w:tcPr>
            <w:tcW w:w="347" w:type="pct"/>
            <w:noWrap w:val="0"/>
            <w:vAlign w:val="center"/>
          </w:tcPr>
          <w:p>
            <w:pPr>
              <w:pStyle w:val="399"/>
              <w:rPr>
                <w:rFonts w:hint="eastAsia"/>
                <w:i w:val="0"/>
                <w:iCs w:val="0"/>
                <w:sz w:val="21"/>
                <w:szCs w:val="21"/>
                <w:u w:val="single"/>
              </w:rPr>
            </w:pPr>
            <w:r>
              <w:rPr>
                <w:i w:val="0"/>
                <w:iCs w:val="0"/>
                <w:sz w:val="21"/>
                <w:szCs w:val="21"/>
                <w:u w:val="single"/>
              </w:rPr>
              <w:t>30</w:t>
            </w:r>
          </w:p>
        </w:tc>
        <w:tc>
          <w:tcPr>
            <w:tcW w:w="276" w:type="pct"/>
            <w:noWrap w:val="0"/>
            <w:vAlign w:val="center"/>
          </w:tcPr>
          <w:p>
            <w:pPr>
              <w:pStyle w:val="399"/>
              <w:rPr>
                <w:i w:val="0"/>
                <w:iCs w:val="0"/>
                <w:sz w:val="21"/>
                <w:szCs w:val="21"/>
                <w:u w:val="single"/>
              </w:rPr>
            </w:pPr>
            <w:r>
              <w:rPr>
                <w:rFonts w:hint="eastAsia"/>
                <w:i w:val="0"/>
                <w:iCs w:val="0"/>
                <w:sz w:val="21"/>
                <w:szCs w:val="21"/>
                <w:u w:val="single"/>
              </w:rPr>
              <w:t>2</w:t>
            </w:r>
            <w:r>
              <w:rPr>
                <w:i w:val="0"/>
                <w:iCs w:val="0"/>
                <w:sz w:val="21"/>
                <w:szCs w:val="21"/>
                <w:u w:val="single"/>
              </w:rPr>
              <w:t>40</w:t>
            </w:r>
          </w:p>
        </w:tc>
        <w:tc>
          <w:tcPr>
            <w:tcW w:w="446" w:type="pct"/>
            <w:noWrap w:val="0"/>
            <w:vAlign w:val="center"/>
          </w:tcPr>
          <w:p>
            <w:pPr>
              <w:pStyle w:val="399"/>
              <w:rPr>
                <w:rFonts w:hint="eastAsia"/>
                <w:i w:val="0"/>
                <w:iCs w:val="0"/>
                <w:sz w:val="21"/>
                <w:szCs w:val="21"/>
                <w:u w:val="single"/>
              </w:rPr>
            </w:pPr>
            <w:r>
              <w:rPr>
                <w:i w:val="0"/>
                <w:iCs w:val="0"/>
                <w:sz w:val="21"/>
                <w:szCs w:val="21"/>
                <w:u w:val="single"/>
              </w:rPr>
              <w:t>--</w:t>
            </w:r>
          </w:p>
        </w:tc>
        <w:tc>
          <w:tcPr>
            <w:tcW w:w="446" w:type="pct"/>
            <w:noWrap w:val="0"/>
            <w:vAlign w:val="center"/>
          </w:tcPr>
          <w:p>
            <w:pPr>
              <w:pStyle w:val="399"/>
              <w:rPr>
                <w:rFonts w:hint="eastAsia"/>
                <w:i w:val="0"/>
                <w:iCs w:val="0"/>
                <w:sz w:val="21"/>
                <w:szCs w:val="21"/>
                <w:u w:val="single"/>
              </w:rPr>
            </w:pPr>
            <w:r>
              <w:rPr>
                <w:rFonts w:hint="eastAsia"/>
                <w:i w:val="0"/>
                <w:iCs w:val="0"/>
                <w:sz w:val="21"/>
                <w:szCs w:val="21"/>
                <w:u w:val="single"/>
              </w:rPr>
              <w:t>-</w:t>
            </w:r>
            <w:r>
              <w:rPr>
                <w:i w:val="0"/>
                <w:iCs w:val="0"/>
                <w:sz w:val="21"/>
                <w:szCs w:val="21"/>
                <w:u w:val="single"/>
              </w:rPr>
              <w:t>-</w:t>
            </w:r>
          </w:p>
        </w:tc>
        <w:tc>
          <w:tcPr>
            <w:tcW w:w="267" w:type="pct"/>
            <w:noWrap w:val="0"/>
            <w:vAlign w:val="center"/>
          </w:tcPr>
          <w:p>
            <w:pPr>
              <w:pStyle w:val="399"/>
              <w:rPr>
                <w:rFonts w:hint="eastAsia"/>
                <w:i w:val="0"/>
                <w:iCs w:val="0"/>
                <w:sz w:val="21"/>
                <w:szCs w:val="21"/>
                <w:u w:val="single"/>
              </w:rPr>
            </w:pPr>
            <w:r>
              <w:rPr>
                <w:rFonts w:hint="eastAsia"/>
                <w:i w:val="0"/>
                <w:iCs w:val="0"/>
                <w:sz w:val="21"/>
                <w:szCs w:val="21"/>
                <w:u w:val="single"/>
              </w:rPr>
              <w:t>-</w:t>
            </w:r>
            <w:r>
              <w:rPr>
                <w:i w:val="0"/>
                <w:iCs w:val="0"/>
                <w:sz w:val="21"/>
                <w:szCs w:val="21"/>
                <w:u w:val="single"/>
              </w:rPr>
              <w:t>-</w:t>
            </w:r>
          </w:p>
        </w:tc>
        <w:tc>
          <w:tcPr>
            <w:tcW w:w="357" w:type="pct"/>
            <w:noWrap w:val="0"/>
            <w:vAlign w:val="center"/>
          </w:tcPr>
          <w:p>
            <w:pPr>
              <w:pStyle w:val="399"/>
              <w:rPr>
                <w:rFonts w:hint="eastAsia"/>
                <w:i w:val="0"/>
                <w:iCs w:val="0"/>
                <w:sz w:val="21"/>
                <w:szCs w:val="21"/>
                <w:u w:val="single"/>
              </w:rPr>
            </w:pPr>
            <w:r>
              <w:rPr>
                <w:i w:val="0"/>
                <w:iCs w:val="0"/>
                <w:sz w:val="21"/>
                <w:szCs w:val="21"/>
                <w:u w:val="single"/>
              </w:rPr>
              <w:t>--</w:t>
            </w:r>
          </w:p>
        </w:tc>
        <w:tc>
          <w:tcPr>
            <w:tcW w:w="985" w:type="pct"/>
            <w:noWrap w:val="0"/>
            <w:vAlign w:val="center"/>
          </w:tcPr>
          <w:p>
            <w:pPr>
              <w:pStyle w:val="399"/>
              <w:rPr>
                <w:rFonts w:hint="eastAsia"/>
                <w:i w:val="0"/>
                <w:iCs w:val="0"/>
                <w:sz w:val="21"/>
                <w:szCs w:val="21"/>
                <w:u w:val="single"/>
              </w:rPr>
            </w:pPr>
            <w:r>
              <w:rPr>
                <w:rFonts w:hint="eastAsia"/>
                <w:i w:val="0"/>
                <w:iCs w:val="0"/>
                <w:sz w:val="21"/>
                <w:szCs w:val="21"/>
                <w:u w:val="single"/>
              </w:rPr>
              <w:t>园区污水处理厂进水水质标准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noWrap w:val="0"/>
            <w:vAlign w:val="center"/>
          </w:tcPr>
          <w:p>
            <w:pPr>
              <w:pStyle w:val="21"/>
              <w:wordWrap w:val="0"/>
              <w:spacing w:line="240" w:lineRule="auto"/>
              <w:ind w:firstLine="0"/>
              <w:rPr>
                <w:rFonts w:hint="eastAsia"/>
                <w:i w:val="0"/>
                <w:iCs w:val="0"/>
                <w:sz w:val="21"/>
                <w:szCs w:val="21"/>
                <w:u w:val="single"/>
              </w:rPr>
            </w:pPr>
            <w:r>
              <w:rPr>
                <w:rFonts w:hint="eastAsia"/>
                <w:i w:val="0"/>
                <w:iCs w:val="0"/>
                <w:sz w:val="21"/>
                <w:szCs w:val="21"/>
                <w:u w:val="single"/>
              </w:rPr>
              <w:t>《污水综合排放标准》GB8978-1996表2三级标准排放限值</w:t>
            </w:r>
          </w:p>
        </w:tc>
        <w:tc>
          <w:tcPr>
            <w:tcW w:w="357" w:type="pct"/>
            <w:noWrap w:val="0"/>
            <w:vAlign w:val="center"/>
          </w:tcPr>
          <w:p>
            <w:pPr>
              <w:pStyle w:val="399"/>
              <w:rPr>
                <w:rFonts w:hint="eastAsia"/>
                <w:i w:val="0"/>
                <w:iCs w:val="0"/>
                <w:sz w:val="21"/>
                <w:szCs w:val="21"/>
                <w:u w:val="single"/>
              </w:rPr>
            </w:pPr>
            <w:r>
              <w:rPr>
                <w:rFonts w:hint="eastAsia"/>
                <w:i w:val="0"/>
                <w:iCs w:val="0"/>
                <w:sz w:val="21"/>
                <w:szCs w:val="21"/>
                <w:u w:val="single"/>
              </w:rPr>
              <w:t>6~9</w:t>
            </w:r>
          </w:p>
        </w:tc>
        <w:tc>
          <w:tcPr>
            <w:tcW w:w="446" w:type="pct"/>
            <w:noWrap w:val="0"/>
            <w:vAlign w:val="center"/>
          </w:tcPr>
          <w:p>
            <w:pPr>
              <w:pStyle w:val="399"/>
              <w:rPr>
                <w:rFonts w:hint="default" w:eastAsia="宋体"/>
                <w:i w:val="0"/>
                <w:iCs w:val="0"/>
                <w:sz w:val="21"/>
                <w:szCs w:val="21"/>
                <w:u w:val="single"/>
                <w:lang w:val="en-US" w:eastAsia="zh-CN"/>
              </w:rPr>
            </w:pPr>
            <w:r>
              <w:rPr>
                <w:rFonts w:hint="eastAsia"/>
                <w:i w:val="0"/>
                <w:iCs w:val="0"/>
                <w:sz w:val="21"/>
                <w:szCs w:val="21"/>
                <w:u w:val="single"/>
                <w:lang w:val="en-US" w:eastAsia="zh-CN"/>
              </w:rPr>
              <w:t>500</w:t>
            </w:r>
          </w:p>
        </w:tc>
        <w:tc>
          <w:tcPr>
            <w:tcW w:w="447" w:type="pct"/>
            <w:noWrap w:val="0"/>
            <w:vAlign w:val="center"/>
          </w:tcPr>
          <w:p>
            <w:pPr>
              <w:pStyle w:val="399"/>
              <w:rPr>
                <w:rFonts w:hint="default" w:eastAsia="宋体"/>
                <w:i w:val="0"/>
                <w:iCs w:val="0"/>
                <w:sz w:val="21"/>
                <w:szCs w:val="21"/>
                <w:u w:val="single"/>
                <w:lang w:val="en-US" w:eastAsia="zh-CN"/>
              </w:rPr>
            </w:pPr>
            <w:r>
              <w:rPr>
                <w:rFonts w:hint="eastAsia"/>
                <w:i w:val="0"/>
                <w:iCs w:val="0"/>
                <w:sz w:val="21"/>
                <w:szCs w:val="21"/>
                <w:u w:val="single"/>
                <w:lang w:val="en-US" w:eastAsia="zh-CN"/>
              </w:rPr>
              <w:t>300</w:t>
            </w:r>
          </w:p>
        </w:tc>
        <w:tc>
          <w:tcPr>
            <w:tcW w:w="347" w:type="pct"/>
            <w:noWrap w:val="0"/>
            <w:vAlign w:val="center"/>
          </w:tcPr>
          <w:p>
            <w:pPr>
              <w:pStyle w:val="399"/>
              <w:rPr>
                <w:rFonts w:hint="eastAsia" w:eastAsia="宋体"/>
                <w:i w:val="0"/>
                <w:iCs w:val="0"/>
                <w:sz w:val="21"/>
                <w:szCs w:val="21"/>
                <w:u w:val="single"/>
                <w:lang w:eastAsia="zh-CN"/>
              </w:rPr>
            </w:pPr>
            <w:r>
              <w:rPr>
                <w:rFonts w:hint="eastAsia"/>
                <w:i w:val="0"/>
                <w:iCs w:val="0"/>
                <w:sz w:val="21"/>
                <w:szCs w:val="21"/>
                <w:u w:val="single"/>
                <w:lang w:val="en-US" w:eastAsia="zh-CN"/>
              </w:rPr>
              <w:t>-</w:t>
            </w:r>
          </w:p>
        </w:tc>
        <w:tc>
          <w:tcPr>
            <w:tcW w:w="276" w:type="pct"/>
            <w:noWrap w:val="0"/>
            <w:vAlign w:val="center"/>
          </w:tcPr>
          <w:p>
            <w:pPr>
              <w:pStyle w:val="399"/>
              <w:rPr>
                <w:rFonts w:hint="default" w:eastAsia="宋体"/>
                <w:i w:val="0"/>
                <w:iCs w:val="0"/>
                <w:sz w:val="21"/>
                <w:szCs w:val="21"/>
                <w:u w:val="single"/>
                <w:lang w:val="en-US" w:eastAsia="zh-CN"/>
              </w:rPr>
            </w:pPr>
            <w:r>
              <w:rPr>
                <w:rFonts w:hint="eastAsia"/>
                <w:i w:val="0"/>
                <w:iCs w:val="0"/>
                <w:sz w:val="21"/>
                <w:szCs w:val="21"/>
                <w:u w:val="single"/>
                <w:lang w:val="en-US" w:eastAsia="zh-CN"/>
              </w:rPr>
              <w:t>400</w:t>
            </w:r>
          </w:p>
        </w:tc>
        <w:tc>
          <w:tcPr>
            <w:tcW w:w="446" w:type="pct"/>
            <w:noWrap w:val="0"/>
            <w:vAlign w:val="center"/>
          </w:tcPr>
          <w:p>
            <w:pPr>
              <w:pStyle w:val="399"/>
              <w:rPr>
                <w:rFonts w:hint="default" w:eastAsia="宋体"/>
                <w:i w:val="0"/>
                <w:iCs w:val="0"/>
                <w:sz w:val="21"/>
                <w:szCs w:val="21"/>
                <w:u w:val="single"/>
                <w:lang w:val="en-US" w:eastAsia="zh-CN"/>
              </w:rPr>
            </w:pPr>
            <w:r>
              <w:rPr>
                <w:rFonts w:hint="eastAsia"/>
                <w:i w:val="0"/>
                <w:iCs w:val="0"/>
                <w:sz w:val="21"/>
                <w:szCs w:val="21"/>
                <w:u w:val="single"/>
                <w:lang w:val="en-US" w:eastAsia="zh-CN"/>
              </w:rPr>
              <w:t>30</w:t>
            </w:r>
          </w:p>
        </w:tc>
        <w:tc>
          <w:tcPr>
            <w:tcW w:w="446" w:type="pct"/>
            <w:noWrap w:val="0"/>
            <w:vAlign w:val="center"/>
          </w:tcPr>
          <w:p>
            <w:pPr>
              <w:pStyle w:val="399"/>
              <w:rPr>
                <w:rFonts w:hint="eastAsia"/>
                <w:i w:val="0"/>
                <w:iCs w:val="0"/>
                <w:sz w:val="21"/>
                <w:szCs w:val="21"/>
                <w:u w:val="single"/>
              </w:rPr>
            </w:pPr>
            <w:r>
              <w:rPr>
                <w:rFonts w:hint="eastAsia"/>
                <w:i w:val="0"/>
                <w:iCs w:val="0"/>
                <w:sz w:val="21"/>
                <w:szCs w:val="21"/>
                <w:u w:val="single"/>
              </w:rPr>
              <w:t>--</w:t>
            </w:r>
          </w:p>
        </w:tc>
        <w:tc>
          <w:tcPr>
            <w:tcW w:w="267" w:type="pct"/>
            <w:noWrap w:val="0"/>
            <w:vAlign w:val="center"/>
          </w:tcPr>
          <w:p>
            <w:pPr>
              <w:pStyle w:val="399"/>
              <w:rPr>
                <w:rFonts w:hint="default" w:eastAsia="宋体"/>
                <w:i w:val="0"/>
                <w:iCs w:val="0"/>
                <w:sz w:val="21"/>
                <w:szCs w:val="21"/>
                <w:u w:val="single"/>
                <w:lang w:val="en-US" w:eastAsia="zh-CN"/>
              </w:rPr>
            </w:pPr>
            <w:r>
              <w:rPr>
                <w:rFonts w:hint="eastAsia"/>
                <w:i w:val="0"/>
                <w:iCs w:val="0"/>
                <w:sz w:val="21"/>
                <w:szCs w:val="21"/>
                <w:u w:val="single"/>
                <w:lang w:val="en-US" w:eastAsia="zh-CN"/>
              </w:rPr>
              <w:t>--</w:t>
            </w:r>
          </w:p>
        </w:tc>
        <w:tc>
          <w:tcPr>
            <w:tcW w:w="357" w:type="pct"/>
            <w:noWrap w:val="0"/>
            <w:vAlign w:val="center"/>
          </w:tcPr>
          <w:p>
            <w:pPr>
              <w:pStyle w:val="399"/>
              <w:rPr>
                <w:rFonts w:hint="default" w:eastAsia="宋体"/>
                <w:i w:val="0"/>
                <w:iCs w:val="0"/>
                <w:sz w:val="21"/>
                <w:szCs w:val="21"/>
                <w:u w:val="single"/>
                <w:lang w:val="en-US" w:eastAsia="zh-CN"/>
              </w:rPr>
            </w:pPr>
            <w:r>
              <w:rPr>
                <w:rFonts w:hint="eastAsia"/>
                <w:i w:val="0"/>
                <w:iCs w:val="0"/>
                <w:sz w:val="21"/>
                <w:szCs w:val="21"/>
                <w:u w:val="single"/>
                <w:lang w:val="en-US" w:eastAsia="zh-CN"/>
              </w:rPr>
              <w:t>--</w:t>
            </w:r>
          </w:p>
        </w:tc>
        <w:tc>
          <w:tcPr>
            <w:tcW w:w="985" w:type="pct"/>
            <w:noWrap w:val="0"/>
            <w:vAlign w:val="center"/>
          </w:tcPr>
          <w:p>
            <w:pPr>
              <w:pStyle w:val="399"/>
              <w:wordWrap w:val="0"/>
              <w:rPr>
                <w:rFonts w:hint="eastAsia"/>
                <w:i w:val="0"/>
                <w:iCs w:val="0"/>
                <w:sz w:val="21"/>
                <w:szCs w:val="21"/>
                <w:u w:val="single"/>
              </w:rPr>
            </w:pPr>
            <w:r>
              <w:rPr>
                <w:rFonts w:hint="eastAsia"/>
                <w:i w:val="0"/>
                <w:iCs w:val="0"/>
                <w:sz w:val="21"/>
                <w:szCs w:val="21"/>
                <w:u w:val="single"/>
              </w:rPr>
              <w:t>《污水综合排放标准》GB8978-1996表2三级标准排放限值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noWrap w:val="0"/>
            <w:vAlign w:val="center"/>
          </w:tcPr>
          <w:p>
            <w:pPr>
              <w:pStyle w:val="399"/>
              <w:rPr>
                <w:rFonts w:hint="eastAsia"/>
                <w:b/>
                <w:bCs/>
                <w:i w:val="0"/>
                <w:iCs w:val="0"/>
                <w:sz w:val="21"/>
                <w:szCs w:val="21"/>
                <w:u w:val="single"/>
              </w:rPr>
            </w:pPr>
            <w:r>
              <w:rPr>
                <w:rFonts w:hint="eastAsia"/>
                <w:b/>
                <w:bCs/>
                <w:i w:val="0"/>
                <w:iCs w:val="0"/>
                <w:sz w:val="21"/>
                <w:szCs w:val="21"/>
                <w:u w:val="single"/>
              </w:rPr>
              <w:t>本项目废水排放执行标准</w:t>
            </w:r>
          </w:p>
        </w:tc>
        <w:tc>
          <w:tcPr>
            <w:tcW w:w="357" w:type="pct"/>
            <w:noWrap w:val="0"/>
            <w:vAlign w:val="center"/>
          </w:tcPr>
          <w:p>
            <w:pPr>
              <w:pStyle w:val="399"/>
              <w:rPr>
                <w:b/>
                <w:bCs/>
                <w:i w:val="0"/>
                <w:iCs w:val="0"/>
                <w:sz w:val="21"/>
                <w:szCs w:val="21"/>
                <w:u w:val="single"/>
              </w:rPr>
            </w:pPr>
            <w:r>
              <w:rPr>
                <w:rFonts w:hint="eastAsia"/>
                <w:b/>
                <w:bCs/>
                <w:i w:val="0"/>
                <w:iCs w:val="0"/>
                <w:sz w:val="21"/>
                <w:szCs w:val="21"/>
                <w:u w:val="single"/>
              </w:rPr>
              <w:t>6~9</w:t>
            </w:r>
          </w:p>
        </w:tc>
        <w:tc>
          <w:tcPr>
            <w:tcW w:w="446" w:type="pct"/>
            <w:noWrap w:val="0"/>
            <w:vAlign w:val="center"/>
          </w:tcPr>
          <w:p>
            <w:pPr>
              <w:pStyle w:val="399"/>
              <w:rPr>
                <w:rFonts w:hint="default" w:eastAsia="宋体"/>
                <w:b/>
                <w:bCs/>
                <w:i w:val="0"/>
                <w:iCs w:val="0"/>
                <w:sz w:val="21"/>
                <w:szCs w:val="21"/>
                <w:u w:val="single"/>
                <w:lang w:val="en-US" w:eastAsia="zh-CN"/>
              </w:rPr>
            </w:pPr>
            <w:r>
              <w:rPr>
                <w:rFonts w:hint="eastAsia"/>
                <w:b/>
                <w:bCs/>
                <w:i w:val="0"/>
                <w:iCs w:val="0"/>
                <w:sz w:val="21"/>
                <w:szCs w:val="21"/>
                <w:u w:val="single"/>
                <w:lang w:val="en-US" w:eastAsia="zh-CN"/>
              </w:rPr>
              <w:t>420</w:t>
            </w:r>
          </w:p>
        </w:tc>
        <w:tc>
          <w:tcPr>
            <w:tcW w:w="447" w:type="pct"/>
            <w:noWrap w:val="0"/>
            <w:vAlign w:val="center"/>
          </w:tcPr>
          <w:p>
            <w:pPr>
              <w:pStyle w:val="399"/>
              <w:rPr>
                <w:rFonts w:hint="default" w:eastAsia="宋体"/>
                <w:b/>
                <w:bCs/>
                <w:i w:val="0"/>
                <w:iCs w:val="0"/>
                <w:sz w:val="21"/>
                <w:szCs w:val="21"/>
                <w:u w:val="single"/>
                <w:lang w:val="en-US" w:eastAsia="zh-CN"/>
              </w:rPr>
            </w:pPr>
            <w:r>
              <w:rPr>
                <w:rFonts w:hint="eastAsia"/>
                <w:b/>
                <w:bCs/>
                <w:i w:val="0"/>
                <w:iCs w:val="0"/>
                <w:sz w:val="21"/>
                <w:szCs w:val="21"/>
                <w:u w:val="single"/>
                <w:lang w:val="en-US" w:eastAsia="zh-CN"/>
              </w:rPr>
              <w:t>180</w:t>
            </w:r>
          </w:p>
        </w:tc>
        <w:tc>
          <w:tcPr>
            <w:tcW w:w="347" w:type="pct"/>
            <w:noWrap w:val="0"/>
            <w:vAlign w:val="center"/>
          </w:tcPr>
          <w:p>
            <w:pPr>
              <w:pStyle w:val="399"/>
              <w:rPr>
                <w:rFonts w:hint="eastAsia"/>
                <w:b/>
                <w:bCs/>
                <w:i w:val="0"/>
                <w:iCs w:val="0"/>
                <w:sz w:val="21"/>
                <w:szCs w:val="21"/>
                <w:u w:val="single"/>
              </w:rPr>
            </w:pPr>
            <w:r>
              <w:rPr>
                <w:b/>
                <w:bCs/>
                <w:i w:val="0"/>
                <w:iCs w:val="0"/>
                <w:sz w:val="21"/>
                <w:szCs w:val="21"/>
                <w:u w:val="single"/>
              </w:rPr>
              <w:t>30</w:t>
            </w:r>
          </w:p>
        </w:tc>
        <w:tc>
          <w:tcPr>
            <w:tcW w:w="276" w:type="pct"/>
            <w:noWrap w:val="0"/>
            <w:vAlign w:val="center"/>
          </w:tcPr>
          <w:p>
            <w:pPr>
              <w:pStyle w:val="399"/>
              <w:rPr>
                <w:rFonts w:hint="default" w:eastAsia="宋体"/>
                <w:b/>
                <w:bCs/>
                <w:i w:val="0"/>
                <w:iCs w:val="0"/>
                <w:sz w:val="21"/>
                <w:szCs w:val="21"/>
                <w:u w:val="single"/>
                <w:lang w:val="en-US" w:eastAsia="zh-CN"/>
              </w:rPr>
            </w:pPr>
            <w:r>
              <w:rPr>
                <w:rFonts w:hint="eastAsia"/>
                <w:b/>
                <w:bCs/>
                <w:i w:val="0"/>
                <w:iCs w:val="0"/>
                <w:sz w:val="21"/>
                <w:szCs w:val="21"/>
                <w:u w:val="single"/>
                <w:lang w:val="en-US" w:eastAsia="zh-CN"/>
              </w:rPr>
              <w:t>240</w:t>
            </w:r>
          </w:p>
        </w:tc>
        <w:tc>
          <w:tcPr>
            <w:tcW w:w="446" w:type="pct"/>
            <w:noWrap w:val="0"/>
            <w:vAlign w:val="center"/>
          </w:tcPr>
          <w:p>
            <w:pPr>
              <w:pStyle w:val="399"/>
              <w:rPr>
                <w:rFonts w:hint="default" w:eastAsia="宋体"/>
                <w:b/>
                <w:bCs/>
                <w:i w:val="0"/>
                <w:iCs w:val="0"/>
                <w:sz w:val="21"/>
                <w:szCs w:val="21"/>
                <w:u w:val="single"/>
                <w:lang w:val="en-US" w:eastAsia="zh-CN"/>
              </w:rPr>
            </w:pPr>
            <w:r>
              <w:rPr>
                <w:rFonts w:hint="eastAsia"/>
                <w:b/>
                <w:bCs/>
                <w:i w:val="0"/>
                <w:iCs w:val="0"/>
                <w:sz w:val="21"/>
                <w:szCs w:val="21"/>
                <w:u w:val="single"/>
                <w:lang w:val="en-US" w:eastAsia="zh-CN"/>
              </w:rPr>
              <w:t>30</w:t>
            </w:r>
          </w:p>
        </w:tc>
        <w:tc>
          <w:tcPr>
            <w:tcW w:w="446" w:type="pct"/>
            <w:noWrap w:val="0"/>
            <w:vAlign w:val="center"/>
          </w:tcPr>
          <w:p>
            <w:pPr>
              <w:pStyle w:val="399"/>
              <w:rPr>
                <w:b/>
                <w:bCs/>
                <w:i w:val="0"/>
                <w:iCs w:val="0"/>
                <w:sz w:val="21"/>
                <w:szCs w:val="21"/>
                <w:u w:val="single"/>
              </w:rPr>
            </w:pPr>
            <w:r>
              <w:rPr>
                <w:rFonts w:hint="eastAsia"/>
                <w:b/>
                <w:bCs/>
                <w:i w:val="0"/>
                <w:iCs w:val="0"/>
                <w:sz w:val="21"/>
                <w:szCs w:val="21"/>
                <w:u w:val="single"/>
              </w:rPr>
              <w:t>--</w:t>
            </w:r>
          </w:p>
        </w:tc>
        <w:tc>
          <w:tcPr>
            <w:tcW w:w="267" w:type="pct"/>
            <w:noWrap w:val="0"/>
            <w:vAlign w:val="center"/>
          </w:tcPr>
          <w:p>
            <w:pPr>
              <w:jc w:val="center"/>
              <w:rPr>
                <w:b/>
                <w:bCs/>
                <w:i w:val="0"/>
                <w:iCs w:val="0"/>
                <w:sz w:val="21"/>
                <w:szCs w:val="21"/>
                <w:u w:val="single"/>
              </w:rPr>
            </w:pPr>
            <w:r>
              <w:rPr>
                <w:rFonts w:hint="eastAsia"/>
                <w:b/>
                <w:bCs/>
                <w:i w:val="0"/>
                <w:iCs w:val="0"/>
                <w:sz w:val="21"/>
                <w:szCs w:val="21"/>
                <w:u w:val="single"/>
              </w:rPr>
              <w:t>--</w:t>
            </w:r>
          </w:p>
        </w:tc>
        <w:tc>
          <w:tcPr>
            <w:tcW w:w="357" w:type="pct"/>
            <w:noWrap w:val="0"/>
            <w:vAlign w:val="center"/>
          </w:tcPr>
          <w:p>
            <w:pPr>
              <w:jc w:val="center"/>
              <w:rPr>
                <w:b/>
                <w:bCs/>
                <w:i w:val="0"/>
                <w:iCs w:val="0"/>
                <w:sz w:val="21"/>
                <w:szCs w:val="21"/>
                <w:u w:val="single"/>
              </w:rPr>
            </w:pPr>
            <w:r>
              <w:rPr>
                <w:rFonts w:hint="eastAsia"/>
                <w:b/>
                <w:bCs/>
                <w:i w:val="0"/>
                <w:iCs w:val="0"/>
                <w:sz w:val="21"/>
                <w:szCs w:val="21"/>
                <w:u w:val="single"/>
              </w:rPr>
              <w:t>--</w:t>
            </w:r>
          </w:p>
        </w:tc>
        <w:tc>
          <w:tcPr>
            <w:tcW w:w="985" w:type="pct"/>
            <w:noWrap w:val="0"/>
            <w:vAlign w:val="center"/>
          </w:tcPr>
          <w:p>
            <w:pPr>
              <w:pStyle w:val="399"/>
              <w:keepNext w:val="0"/>
              <w:keepLines w:val="0"/>
              <w:pageBreakBefore w:val="0"/>
              <w:widowControl w:val="0"/>
              <w:kinsoku/>
              <w:wordWrap w:val="0"/>
              <w:overflowPunct/>
              <w:topLinePunct w:val="0"/>
              <w:autoSpaceDE/>
              <w:autoSpaceDN/>
              <w:bidi w:val="0"/>
              <w:adjustRightInd/>
              <w:snapToGrid/>
              <w:textAlignment w:val="auto"/>
              <w:rPr>
                <w:rFonts w:hint="eastAsia"/>
                <w:b/>
                <w:bCs/>
                <w:i w:val="0"/>
                <w:iCs w:val="0"/>
                <w:sz w:val="21"/>
                <w:szCs w:val="21"/>
                <w:u w:val="single"/>
              </w:rPr>
            </w:pPr>
            <w:r>
              <w:rPr>
                <w:rFonts w:hint="eastAsia"/>
                <w:b/>
                <w:bCs/>
                <w:i w:val="0"/>
                <w:iCs w:val="0"/>
                <w:sz w:val="21"/>
                <w:szCs w:val="21"/>
                <w:u w:val="single"/>
              </w:rPr>
              <w:t>园区污水处理厂进水水质标准及《污水综合排放标准》GB8978-1996表2三级标准排放限值</w:t>
            </w:r>
          </w:p>
        </w:tc>
      </w:tr>
    </w:tbl>
    <w:p>
      <w:pPr>
        <w:jc w:val="center"/>
        <w:rPr>
          <w:rFonts w:hint="default" w:ascii="Times New Roman" w:hAnsi="Times New Roman" w:cs="Times New Roman"/>
          <w:b/>
          <w:bCs/>
          <w:i w:val="0"/>
          <w:iCs w:val="0"/>
          <w:color w:val="auto"/>
          <w:sz w:val="24"/>
          <w:u w:val="single"/>
        </w:rPr>
      </w:pPr>
      <w:r>
        <w:rPr>
          <w:rFonts w:hint="eastAsia" w:cs="Times New Roman"/>
          <w:b/>
          <w:bCs/>
          <w:i w:val="0"/>
          <w:iCs w:val="0"/>
          <w:color w:val="auto"/>
          <w:sz w:val="24"/>
          <w:u w:val="single"/>
          <w:lang w:val="en-US" w:eastAsia="zh-CN"/>
        </w:rPr>
        <w:t xml:space="preserve">表2-8 </w:t>
      </w:r>
      <w:r>
        <w:rPr>
          <w:rFonts w:hint="default" w:ascii="Times New Roman" w:hAnsi="Times New Roman" w:cs="Times New Roman"/>
          <w:b/>
          <w:bCs/>
          <w:i w:val="0"/>
          <w:iCs w:val="0"/>
          <w:color w:val="auto"/>
          <w:sz w:val="24"/>
          <w:u w:val="single"/>
        </w:rPr>
        <w:t>《城镇污水处理厂污染物排放标准》 单位：mg/L，pH无量纲</w:t>
      </w:r>
    </w:p>
    <w:tbl>
      <w:tblPr>
        <w:tblStyle w:val="5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9"/>
        <w:gridCol w:w="3745"/>
        <w:gridCol w:w="1959"/>
        <w:gridCol w:w="25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559"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序号</w:t>
            </w:r>
          </w:p>
        </w:tc>
        <w:tc>
          <w:tcPr>
            <w:tcW w:w="2015"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基本控制项目</w:t>
            </w:r>
          </w:p>
        </w:tc>
        <w:tc>
          <w:tcPr>
            <w:tcW w:w="1054"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一级A标准</w:t>
            </w:r>
          </w:p>
        </w:tc>
        <w:tc>
          <w:tcPr>
            <w:tcW w:w="1369" w:type="pct"/>
            <w:tcBorders>
              <w:tl2br w:val="nil"/>
              <w:tr2bl w:val="nil"/>
            </w:tcBorders>
            <w:noWrap w:val="0"/>
            <w:vAlign w:val="center"/>
          </w:tcPr>
          <w:p>
            <w:pPr>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559"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1</w:t>
            </w:r>
          </w:p>
        </w:tc>
        <w:tc>
          <w:tcPr>
            <w:tcW w:w="2015"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pH</w:t>
            </w:r>
          </w:p>
        </w:tc>
        <w:tc>
          <w:tcPr>
            <w:tcW w:w="1054"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6-9</w:t>
            </w:r>
          </w:p>
        </w:tc>
        <w:tc>
          <w:tcPr>
            <w:tcW w:w="1369" w:type="pct"/>
            <w:vMerge w:val="restar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《城镇污水处理厂污染物排放标准》（GBl8918-2002）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559"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2</w:t>
            </w:r>
          </w:p>
        </w:tc>
        <w:tc>
          <w:tcPr>
            <w:tcW w:w="2015"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色度（稀释倍数）</w:t>
            </w:r>
          </w:p>
        </w:tc>
        <w:tc>
          <w:tcPr>
            <w:tcW w:w="1054"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30</w:t>
            </w:r>
          </w:p>
        </w:tc>
        <w:tc>
          <w:tcPr>
            <w:tcW w:w="1369" w:type="pct"/>
            <w:vMerge w:val="continue"/>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559"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3</w:t>
            </w:r>
          </w:p>
        </w:tc>
        <w:tc>
          <w:tcPr>
            <w:tcW w:w="2015"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COD</w:t>
            </w:r>
          </w:p>
        </w:tc>
        <w:tc>
          <w:tcPr>
            <w:tcW w:w="1054"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50</w:t>
            </w:r>
          </w:p>
        </w:tc>
        <w:tc>
          <w:tcPr>
            <w:tcW w:w="1369" w:type="pct"/>
            <w:vMerge w:val="continue"/>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559"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4</w:t>
            </w:r>
          </w:p>
        </w:tc>
        <w:tc>
          <w:tcPr>
            <w:tcW w:w="2015"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BOD</w:t>
            </w:r>
            <w:r>
              <w:rPr>
                <w:rFonts w:hint="default" w:ascii="Times New Roman" w:hAnsi="Times New Roman" w:eastAsia="宋体" w:cs="Times New Roman"/>
                <w:i w:val="0"/>
                <w:iCs w:val="0"/>
                <w:color w:val="auto"/>
                <w:kern w:val="0"/>
                <w:sz w:val="21"/>
                <w:szCs w:val="21"/>
                <w:u w:val="single"/>
                <w:vertAlign w:val="subscript"/>
              </w:rPr>
              <w:t>5</w:t>
            </w:r>
          </w:p>
        </w:tc>
        <w:tc>
          <w:tcPr>
            <w:tcW w:w="1054"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10</w:t>
            </w:r>
          </w:p>
        </w:tc>
        <w:tc>
          <w:tcPr>
            <w:tcW w:w="1369" w:type="pct"/>
            <w:vMerge w:val="continue"/>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559"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5</w:t>
            </w:r>
          </w:p>
        </w:tc>
        <w:tc>
          <w:tcPr>
            <w:tcW w:w="2015"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氨氮（以N计）</w:t>
            </w:r>
          </w:p>
        </w:tc>
        <w:tc>
          <w:tcPr>
            <w:tcW w:w="1054"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5（8）*</w:t>
            </w:r>
          </w:p>
        </w:tc>
        <w:tc>
          <w:tcPr>
            <w:tcW w:w="1369" w:type="pct"/>
            <w:vMerge w:val="continue"/>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559"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6</w:t>
            </w:r>
          </w:p>
        </w:tc>
        <w:tc>
          <w:tcPr>
            <w:tcW w:w="2015"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总氮（以N计）</w:t>
            </w:r>
          </w:p>
        </w:tc>
        <w:tc>
          <w:tcPr>
            <w:tcW w:w="1054"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15</w:t>
            </w:r>
          </w:p>
        </w:tc>
        <w:tc>
          <w:tcPr>
            <w:tcW w:w="1369" w:type="pct"/>
            <w:vMerge w:val="continue"/>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559"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7</w:t>
            </w:r>
          </w:p>
        </w:tc>
        <w:tc>
          <w:tcPr>
            <w:tcW w:w="2015"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总磷（以P计）</w:t>
            </w:r>
          </w:p>
        </w:tc>
        <w:tc>
          <w:tcPr>
            <w:tcW w:w="1054"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0.5</w:t>
            </w:r>
          </w:p>
        </w:tc>
        <w:tc>
          <w:tcPr>
            <w:tcW w:w="1369" w:type="pct"/>
            <w:vMerge w:val="continue"/>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559"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8</w:t>
            </w:r>
          </w:p>
        </w:tc>
        <w:tc>
          <w:tcPr>
            <w:tcW w:w="2015"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SS</w:t>
            </w:r>
          </w:p>
        </w:tc>
        <w:tc>
          <w:tcPr>
            <w:tcW w:w="1054"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10</w:t>
            </w:r>
          </w:p>
        </w:tc>
        <w:tc>
          <w:tcPr>
            <w:tcW w:w="1369" w:type="pct"/>
            <w:vMerge w:val="continue"/>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559"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9</w:t>
            </w:r>
          </w:p>
        </w:tc>
        <w:tc>
          <w:tcPr>
            <w:tcW w:w="2015"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石油类</w:t>
            </w:r>
          </w:p>
        </w:tc>
        <w:tc>
          <w:tcPr>
            <w:tcW w:w="1054"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1</w:t>
            </w:r>
          </w:p>
        </w:tc>
        <w:tc>
          <w:tcPr>
            <w:tcW w:w="1369" w:type="pct"/>
            <w:vMerge w:val="continue"/>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559"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10</w:t>
            </w:r>
          </w:p>
        </w:tc>
        <w:tc>
          <w:tcPr>
            <w:tcW w:w="2015"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动植物油</w:t>
            </w:r>
          </w:p>
        </w:tc>
        <w:tc>
          <w:tcPr>
            <w:tcW w:w="1054"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1</w:t>
            </w:r>
          </w:p>
        </w:tc>
        <w:tc>
          <w:tcPr>
            <w:tcW w:w="1369" w:type="pct"/>
            <w:vMerge w:val="continue"/>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559"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11</w:t>
            </w:r>
          </w:p>
        </w:tc>
        <w:tc>
          <w:tcPr>
            <w:tcW w:w="2015"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粪大肠菌群数（个/L）</w:t>
            </w:r>
          </w:p>
        </w:tc>
        <w:tc>
          <w:tcPr>
            <w:tcW w:w="1054"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10</w:t>
            </w:r>
            <w:r>
              <w:rPr>
                <w:rFonts w:hint="default" w:ascii="Times New Roman" w:hAnsi="Times New Roman" w:eastAsia="宋体" w:cs="Times New Roman"/>
                <w:i w:val="0"/>
                <w:iCs w:val="0"/>
                <w:color w:val="auto"/>
                <w:kern w:val="0"/>
                <w:sz w:val="21"/>
                <w:szCs w:val="21"/>
                <w:u w:val="single"/>
                <w:vertAlign w:val="superscript"/>
              </w:rPr>
              <w:t>3</w:t>
            </w:r>
          </w:p>
        </w:tc>
        <w:tc>
          <w:tcPr>
            <w:tcW w:w="1369" w:type="pct"/>
            <w:vMerge w:val="continue"/>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559"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12</w:t>
            </w:r>
          </w:p>
        </w:tc>
        <w:tc>
          <w:tcPr>
            <w:tcW w:w="2015"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阴离子表面活性剂</w:t>
            </w:r>
          </w:p>
        </w:tc>
        <w:tc>
          <w:tcPr>
            <w:tcW w:w="1054" w:type="pct"/>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r>
              <w:rPr>
                <w:rFonts w:hint="default" w:ascii="Times New Roman" w:hAnsi="Times New Roman" w:eastAsia="宋体" w:cs="Times New Roman"/>
                <w:i w:val="0"/>
                <w:iCs w:val="0"/>
                <w:color w:val="auto"/>
                <w:kern w:val="0"/>
                <w:sz w:val="21"/>
                <w:szCs w:val="21"/>
                <w:u w:val="single"/>
              </w:rPr>
              <w:t>0.5</w:t>
            </w:r>
          </w:p>
        </w:tc>
        <w:tc>
          <w:tcPr>
            <w:tcW w:w="1369" w:type="pct"/>
            <w:vMerge w:val="continue"/>
            <w:tcBorders>
              <w:tl2br w:val="nil"/>
              <w:tr2bl w:val="nil"/>
            </w:tcBorders>
            <w:noWrap w:val="0"/>
            <w:vAlign w:val="center"/>
          </w:tcPr>
          <w:p>
            <w:pPr>
              <w:widowControl/>
              <w:jc w:val="center"/>
              <w:rPr>
                <w:rFonts w:hint="default" w:ascii="Times New Roman" w:hAnsi="Times New Roman" w:eastAsia="宋体" w:cs="Times New Roman"/>
                <w:i w:val="0"/>
                <w:iCs w:val="0"/>
                <w:color w:val="auto"/>
                <w:kern w:val="0"/>
                <w:sz w:val="21"/>
                <w:szCs w:val="21"/>
                <w:u w:val="single"/>
              </w:rPr>
            </w:pPr>
          </w:p>
        </w:tc>
      </w:tr>
    </w:tbl>
    <w:p>
      <w:pPr>
        <w:spacing w:line="360" w:lineRule="auto"/>
        <w:ind w:firstLine="480" w:firstLineChars="200"/>
        <w:rPr>
          <w:rFonts w:hint="eastAsia"/>
          <w:i w:val="0"/>
          <w:iCs w:val="0"/>
        </w:rPr>
      </w:pPr>
      <w:r>
        <w:rPr>
          <w:i w:val="0"/>
          <w:iCs w:val="0"/>
        </w:rPr>
        <w:t>2、废气</w:t>
      </w:r>
    </w:p>
    <w:p>
      <w:pPr>
        <w:spacing w:line="360" w:lineRule="auto"/>
        <w:ind w:firstLine="480" w:firstLineChars="200"/>
        <w:rPr>
          <w:i w:val="0"/>
          <w:iCs w:val="0"/>
        </w:rPr>
      </w:pPr>
      <w:r>
        <w:rPr>
          <w:rFonts w:hint="eastAsia"/>
          <w:i w:val="0"/>
          <w:iCs w:val="0"/>
        </w:rPr>
        <w:t>本项目生产过程中污水站产生的废气经“化学洗涤+生物滤池+活性炭吸附”处理后经15m高排气筒（DA001）排放，满足《恶臭污染物排放标准》（GB14554-93）中表2中标准；发酵废气经喷淋塔附处理后经</w:t>
      </w:r>
      <w:r>
        <w:rPr>
          <w:rFonts w:hint="eastAsia"/>
          <w:i w:val="0"/>
          <w:iCs w:val="0"/>
          <w:lang w:eastAsia="zh-CN"/>
        </w:rPr>
        <w:t>24</w:t>
      </w:r>
      <w:r>
        <w:rPr>
          <w:rFonts w:hint="eastAsia"/>
          <w:i w:val="0"/>
          <w:iCs w:val="0"/>
        </w:rPr>
        <w:t>m高排气筒（DA002）排放，其中非甲烷总烃满足《大气污染物综合排放标准》(GB16927-1996) 表2二级标准要求，氨满足《恶臭污染物排放标准》(GB 14554-93)表2标准；热风炉1产生的烟气与喷雾干燥塔1喷雾干燥产生的粉尘经过布袋除尘器（效率99%）处理后由同一根24m高排气筒（DA003）排放，热风炉2产生的烟气与喷雾干燥塔2喷雾干燥产生的粉尘经过布袋除尘器（效率99%）处理后由同一根24m高排气筒（</w:t>
      </w:r>
      <w:r>
        <w:rPr>
          <w:rFonts w:hint="eastAsia"/>
          <w:i w:val="0"/>
          <w:iCs w:val="0"/>
          <w:lang w:eastAsia="zh-CN"/>
        </w:rPr>
        <w:t>DA004</w:t>
      </w:r>
      <w:r>
        <w:rPr>
          <w:rFonts w:hint="eastAsia"/>
          <w:i w:val="0"/>
          <w:iCs w:val="0"/>
        </w:rPr>
        <w:t>）排放，其中颗粒物</w:t>
      </w:r>
      <w:r>
        <w:rPr>
          <w:rFonts w:hint="eastAsia"/>
          <w:i w:val="0"/>
          <w:iCs w:val="0"/>
          <w:lang w:eastAsia="zh-CN"/>
        </w:rPr>
        <w:t>应</w:t>
      </w:r>
      <w:r>
        <w:rPr>
          <w:rFonts w:hint="eastAsia"/>
          <w:i w:val="0"/>
          <w:iCs w:val="0"/>
        </w:rPr>
        <w:t>执行</w:t>
      </w:r>
      <w:r>
        <w:rPr>
          <w:rFonts w:hint="eastAsia"/>
          <w:i w:val="0"/>
          <w:iCs w:val="0"/>
          <w:lang w:eastAsia="zh-CN"/>
        </w:rPr>
        <w:t>《工业炉窑大气污染物排放标准（</w:t>
      </w:r>
      <w:r>
        <w:rPr>
          <w:rFonts w:hint="eastAsia"/>
          <w:i w:val="0"/>
          <w:iCs w:val="0"/>
          <w:lang w:val="en-US" w:eastAsia="zh-CN"/>
        </w:rPr>
        <w:t>GB9078-1996）中表2中的二级标准（200mg/m</w:t>
      </w:r>
      <w:r>
        <w:rPr>
          <w:rFonts w:hint="eastAsia"/>
          <w:i w:val="0"/>
          <w:iCs w:val="0"/>
          <w:vertAlign w:val="superscript"/>
          <w:lang w:val="en-US" w:eastAsia="zh-CN"/>
        </w:rPr>
        <w:t>3</w:t>
      </w:r>
      <w:r>
        <w:rPr>
          <w:rFonts w:hint="eastAsia"/>
          <w:i w:val="0"/>
          <w:iCs w:val="0"/>
          <w:lang w:val="en-US" w:eastAsia="zh-CN"/>
        </w:rPr>
        <w:t>），由于本项目热风炉烟尘与烘干粉尘经同一根24m高排气筒排放，因此从严执行</w:t>
      </w:r>
      <w:r>
        <w:rPr>
          <w:rFonts w:hint="eastAsia" w:ascii="Times New Roman" w:hAnsi="Times New Roman" w:eastAsia="宋体" w:cs="Times New Roman"/>
          <w:i w:val="0"/>
          <w:iCs w:val="0"/>
          <w:lang w:val="en-US" w:eastAsia="zh-CN"/>
        </w:rPr>
        <w:t>《大气污染物综合排放标准》（GB16297-1996）中表2颗粒物排放限值（120</w:t>
      </w:r>
      <w:r>
        <w:rPr>
          <w:rFonts w:hint="eastAsia"/>
          <w:i w:val="0"/>
          <w:iCs w:val="0"/>
          <w:lang w:val="en-US" w:eastAsia="zh-CN"/>
        </w:rPr>
        <w:t>mg/m</w:t>
      </w:r>
      <w:r>
        <w:rPr>
          <w:rFonts w:hint="eastAsia"/>
          <w:i w:val="0"/>
          <w:iCs w:val="0"/>
          <w:vertAlign w:val="superscript"/>
          <w:lang w:val="en-US" w:eastAsia="zh-CN"/>
        </w:rPr>
        <w:t>3</w:t>
      </w:r>
      <w:r>
        <w:rPr>
          <w:rFonts w:hint="eastAsia" w:ascii="Times New Roman" w:hAnsi="Times New Roman" w:eastAsia="宋体" w:cs="Times New Roman"/>
          <w:i w:val="0"/>
          <w:iCs w:val="0"/>
          <w:lang w:val="en-US" w:eastAsia="zh-CN"/>
        </w:rPr>
        <w:t>）</w:t>
      </w:r>
      <w:r>
        <w:rPr>
          <w:rFonts w:hint="eastAsia"/>
          <w:i w:val="0"/>
          <w:iCs w:val="0"/>
        </w:rPr>
        <w:t>，SO</w:t>
      </w:r>
      <w:r>
        <w:rPr>
          <w:rFonts w:hint="eastAsia"/>
          <w:i w:val="0"/>
          <w:iCs w:val="0"/>
          <w:vertAlign w:val="subscript"/>
        </w:rPr>
        <w:t>2</w:t>
      </w:r>
      <w:r>
        <w:rPr>
          <w:rFonts w:hint="eastAsia"/>
          <w:i w:val="0"/>
          <w:iCs w:val="0"/>
        </w:rPr>
        <w:t>和NO</w:t>
      </w:r>
      <w:r>
        <w:rPr>
          <w:rFonts w:hint="eastAsia"/>
          <w:i w:val="0"/>
          <w:iCs w:val="0"/>
          <w:vertAlign w:val="subscript"/>
        </w:rPr>
        <w:t>X</w:t>
      </w:r>
      <w:r>
        <w:rPr>
          <w:rFonts w:hint="eastAsia"/>
          <w:i w:val="0"/>
          <w:iCs w:val="0"/>
        </w:rPr>
        <w:t>满足《锅炉大气污染物排放标准》（GB13271-2014)表2新建锅炉大气污染物排放限值；食堂油烟经油烟净化器处理后通过烟囱引至楼顶高空排放，处理后油烟浓度能达到国家《饮食业油烟排放标准》（GB18483-2001）)的要求，执行标准详见下表。</w:t>
      </w:r>
    </w:p>
    <w:p>
      <w:pPr>
        <w:ind w:firstLine="482" w:firstLineChars="200"/>
        <w:jc w:val="center"/>
        <w:rPr>
          <w:b/>
          <w:bCs/>
          <w:i w:val="0"/>
          <w:iCs w:val="0"/>
        </w:rPr>
      </w:pPr>
      <w:r>
        <w:rPr>
          <w:b/>
          <w:bCs/>
          <w:i w:val="0"/>
          <w:iCs w:val="0"/>
        </w:rPr>
        <w:t>表</w:t>
      </w:r>
      <w:r>
        <w:rPr>
          <w:rFonts w:hint="eastAsia"/>
          <w:b/>
          <w:bCs/>
          <w:i w:val="0"/>
          <w:iCs w:val="0"/>
        </w:rPr>
        <w:t>2</w:t>
      </w:r>
      <w:r>
        <w:rPr>
          <w:b/>
          <w:bCs/>
          <w:i w:val="0"/>
          <w:iCs w:val="0"/>
        </w:rPr>
        <w:t>-</w:t>
      </w:r>
      <w:r>
        <w:rPr>
          <w:rFonts w:hint="eastAsia"/>
          <w:b/>
          <w:bCs/>
          <w:i w:val="0"/>
          <w:iCs w:val="0"/>
        </w:rPr>
        <w:t>9</w:t>
      </w:r>
      <w:r>
        <w:rPr>
          <w:b/>
          <w:bCs/>
          <w:i w:val="0"/>
          <w:iCs w:val="0"/>
        </w:rPr>
        <w:t xml:space="preserve">   恶臭污染物排放标准（GB14554－93）</w:t>
      </w:r>
    </w:p>
    <w:tbl>
      <w:tblPr>
        <w:tblStyle w:val="58"/>
        <w:tblW w:w="4996" w:type="pct"/>
        <w:tblInd w:w="0" w:type="dxa"/>
        <w:tblBorders>
          <w:top w:val="threeDEngrave" w:color="auto" w:sz="12" w:space="0"/>
          <w:left w:val="none" w:color="auto" w:sz="0" w:space="0"/>
          <w:bottom w:val="threeDEngrav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30"/>
        <w:gridCol w:w="1439"/>
        <w:gridCol w:w="2137"/>
        <w:gridCol w:w="2137"/>
        <w:gridCol w:w="2137"/>
      </w:tblGrid>
      <w:tr>
        <w:tblPrEx>
          <w:tblBorders>
            <w:top w:val="threeDEngrave" w:color="auto" w:sz="12" w:space="0"/>
            <w:left w:val="none" w:color="auto" w:sz="0" w:space="0"/>
            <w:bottom w:val="threeDEngrav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70" w:type="pct"/>
            <w:noWrap w:val="0"/>
            <w:vAlign w:val="center"/>
          </w:tcPr>
          <w:p>
            <w:pPr>
              <w:pStyle w:val="336"/>
              <w:widowControl w:val="0"/>
              <w:pBdr>
                <w:right w:val="none" w:color="auto" w:sz="0" w:space="0"/>
              </w:pBdr>
              <w:spacing w:before="0" w:beforeAutospacing="0" w:after="0" w:afterAutospacing="0"/>
              <w:rPr>
                <w:rFonts w:hint="eastAsia" w:ascii="Times New Roman" w:hAnsi="Times New Roman"/>
                <w:i w:val="0"/>
                <w:iCs w:val="0"/>
                <w:kern w:val="2"/>
                <w:sz w:val="21"/>
              </w:rPr>
            </w:pPr>
            <w:r>
              <w:rPr>
                <w:rFonts w:hint="eastAsia" w:ascii="Times New Roman" w:hAnsi="Times New Roman"/>
                <w:i w:val="0"/>
                <w:iCs w:val="0"/>
                <w:kern w:val="2"/>
                <w:sz w:val="21"/>
              </w:rPr>
              <w:t>污染物</w:t>
            </w:r>
          </w:p>
        </w:tc>
        <w:tc>
          <w:tcPr>
            <w:tcW w:w="775" w:type="pct"/>
            <w:noWrap w:val="0"/>
            <w:vAlign w:val="center"/>
          </w:tcPr>
          <w:p>
            <w:pPr>
              <w:pStyle w:val="336"/>
              <w:widowControl w:val="0"/>
              <w:pBdr>
                <w:right w:val="none" w:color="auto" w:sz="0" w:space="0"/>
              </w:pBdr>
              <w:spacing w:before="0" w:beforeAutospacing="0" w:after="0" w:afterAutospacing="0"/>
              <w:rPr>
                <w:rFonts w:hint="eastAsia" w:ascii="Times New Roman" w:hAnsi="Times New Roman"/>
                <w:i w:val="0"/>
                <w:iCs w:val="0"/>
                <w:kern w:val="2"/>
                <w:sz w:val="21"/>
              </w:rPr>
            </w:pPr>
            <w:r>
              <w:rPr>
                <w:rFonts w:hint="eastAsia" w:ascii="Times New Roman" w:hAnsi="Times New Roman"/>
                <w:i w:val="0"/>
                <w:iCs w:val="0"/>
                <w:kern w:val="2"/>
                <w:sz w:val="21"/>
              </w:rPr>
              <w:t>排放速率（</w:t>
            </w:r>
            <w:r>
              <w:rPr>
                <w:rFonts w:ascii="Times New Roman" w:hAnsi="Times New Roman"/>
                <w:i w:val="0"/>
                <w:iCs w:val="0"/>
                <w:kern w:val="2"/>
                <w:sz w:val="18"/>
                <w:szCs w:val="18"/>
              </w:rPr>
              <w:t>kg/h</w:t>
            </w:r>
            <w:r>
              <w:rPr>
                <w:rFonts w:hint="eastAsia" w:ascii="Times New Roman" w:hAnsi="Times New Roman"/>
                <w:i w:val="0"/>
                <w:iCs w:val="0"/>
                <w:kern w:val="2"/>
                <w:sz w:val="21"/>
              </w:rPr>
              <w:t>）</w:t>
            </w:r>
          </w:p>
        </w:tc>
        <w:tc>
          <w:tcPr>
            <w:tcW w:w="1151" w:type="pct"/>
            <w:noWrap w:val="0"/>
            <w:vAlign w:val="center"/>
          </w:tcPr>
          <w:p>
            <w:pPr>
              <w:jc w:val="center"/>
              <w:rPr>
                <w:rFonts w:hint="eastAsia" w:ascii="Times New Roman" w:hAnsi="Times New Roman" w:eastAsia="宋体" w:cs="Times New Roman"/>
                <w:i w:val="0"/>
                <w:iCs w:val="0"/>
                <w:color w:val="000000"/>
                <w:sz w:val="21"/>
                <w:szCs w:val="21"/>
              </w:rPr>
            </w:pPr>
            <w:r>
              <w:rPr>
                <w:rFonts w:hint="eastAsia" w:ascii="Times New Roman" w:hAnsi="Times New Roman" w:eastAsia="宋体" w:cs="Times New Roman"/>
                <w:i w:val="0"/>
                <w:iCs w:val="0"/>
                <w:color w:val="000000"/>
                <w:sz w:val="21"/>
                <w:szCs w:val="21"/>
              </w:rPr>
              <w:t>排气筒高度</w:t>
            </w:r>
          </w:p>
          <w:p>
            <w:pPr>
              <w:jc w:val="center"/>
              <w:rPr>
                <w:rFonts w:hint="eastAsia" w:ascii="Times New Roman" w:hAnsi="Times New Roman"/>
                <w:i w:val="0"/>
                <w:iCs w:val="0"/>
                <w:kern w:val="2"/>
                <w:sz w:val="21"/>
              </w:rPr>
            </w:pPr>
            <w:r>
              <w:rPr>
                <w:rFonts w:hint="eastAsia" w:ascii="Times New Roman" w:hAnsi="Times New Roman" w:eastAsia="宋体" w:cs="Times New Roman"/>
                <w:i w:val="0"/>
                <w:iCs w:val="0"/>
                <w:color w:val="000000"/>
                <w:sz w:val="21"/>
                <w:szCs w:val="21"/>
              </w:rPr>
              <w:t>（m）</w:t>
            </w:r>
          </w:p>
        </w:tc>
        <w:tc>
          <w:tcPr>
            <w:tcW w:w="1151" w:type="pct"/>
            <w:noWrap w:val="0"/>
            <w:vAlign w:val="center"/>
          </w:tcPr>
          <w:p>
            <w:pPr>
              <w:pStyle w:val="336"/>
              <w:widowControl w:val="0"/>
              <w:pBdr>
                <w:right w:val="none" w:color="auto" w:sz="0" w:space="0"/>
              </w:pBdr>
              <w:spacing w:before="0" w:beforeAutospacing="0" w:after="0" w:afterAutospacing="0"/>
              <w:rPr>
                <w:rFonts w:hint="eastAsia" w:ascii="Times New Roman" w:hAnsi="Times New Roman"/>
                <w:i w:val="0"/>
                <w:iCs w:val="0"/>
                <w:kern w:val="2"/>
                <w:sz w:val="21"/>
              </w:rPr>
            </w:pPr>
            <w:r>
              <w:rPr>
                <w:rFonts w:hint="eastAsia" w:ascii="Times New Roman" w:hAnsi="Times New Roman"/>
                <w:i w:val="0"/>
                <w:iCs w:val="0"/>
                <w:kern w:val="2"/>
                <w:sz w:val="21"/>
              </w:rPr>
              <w:t>排放标准</w:t>
            </w:r>
          </w:p>
        </w:tc>
        <w:tc>
          <w:tcPr>
            <w:tcW w:w="1151" w:type="pct"/>
            <w:noWrap w:val="0"/>
            <w:vAlign w:val="center"/>
          </w:tcPr>
          <w:p>
            <w:pPr>
              <w:pStyle w:val="336"/>
              <w:widowControl w:val="0"/>
              <w:pBdr>
                <w:right w:val="none" w:color="auto" w:sz="0" w:space="0"/>
              </w:pBdr>
              <w:spacing w:before="0" w:beforeAutospacing="0" w:after="0" w:afterAutospacing="0"/>
              <w:rPr>
                <w:rFonts w:hint="eastAsia" w:ascii="Times New Roman" w:hAnsi="Times New Roman"/>
                <w:i w:val="0"/>
                <w:iCs w:val="0"/>
                <w:kern w:val="2"/>
                <w:sz w:val="21"/>
              </w:rPr>
            </w:pPr>
            <w:r>
              <w:rPr>
                <w:rFonts w:hint="eastAsia" w:ascii="Times New Roman" w:hAnsi="Times New Roman"/>
                <w:i w:val="0"/>
                <w:iCs w:val="0"/>
                <w:kern w:val="2"/>
                <w:sz w:val="21"/>
              </w:rPr>
              <w:t>二级厂界标准值（mg/m</w:t>
            </w:r>
            <w:r>
              <w:rPr>
                <w:rFonts w:hint="eastAsia" w:ascii="Times New Roman" w:hAnsi="Times New Roman"/>
                <w:i w:val="0"/>
                <w:iCs w:val="0"/>
                <w:kern w:val="2"/>
                <w:sz w:val="21"/>
                <w:vertAlign w:val="superscript"/>
              </w:rPr>
              <w:t>3</w:t>
            </w:r>
            <w:r>
              <w:rPr>
                <w:rFonts w:hint="eastAsia" w:ascii="Times New Roman" w:hAnsi="Times New Roman"/>
                <w:i w:val="0"/>
                <w:iCs w:val="0"/>
                <w:kern w:val="2"/>
                <w:sz w:val="21"/>
              </w:rPr>
              <w:t>）</w:t>
            </w:r>
          </w:p>
        </w:tc>
      </w:tr>
      <w:tr>
        <w:tblPrEx>
          <w:tblBorders>
            <w:top w:val="threeDEngrave" w:color="auto" w:sz="12" w:space="0"/>
            <w:left w:val="none" w:color="auto" w:sz="0" w:space="0"/>
            <w:bottom w:val="threeDEngrav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0" w:type="pct"/>
            <w:vMerge w:val="restart"/>
            <w:noWrap w:val="0"/>
            <w:vAlign w:val="center"/>
          </w:tcPr>
          <w:p>
            <w:pPr>
              <w:pStyle w:val="336"/>
              <w:widowControl w:val="0"/>
              <w:pBdr>
                <w:right w:val="none" w:color="auto" w:sz="0" w:space="0"/>
              </w:pBdr>
              <w:spacing w:before="0" w:beforeAutospacing="0" w:after="0" w:afterAutospacing="0"/>
              <w:rPr>
                <w:rFonts w:hint="eastAsia" w:ascii="Times New Roman" w:hAnsi="Times New Roman"/>
                <w:i w:val="0"/>
                <w:iCs w:val="0"/>
                <w:kern w:val="2"/>
                <w:sz w:val="21"/>
              </w:rPr>
            </w:pPr>
            <w:r>
              <w:rPr>
                <w:rFonts w:hint="eastAsia" w:ascii="Times New Roman" w:hAnsi="Times New Roman"/>
                <w:i w:val="0"/>
                <w:iCs w:val="0"/>
                <w:kern w:val="2"/>
                <w:sz w:val="21"/>
              </w:rPr>
              <w:t>氨</w:t>
            </w:r>
          </w:p>
        </w:tc>
        <w:tc>
          <w:tcPr>
            <w:tcW w:w="775" w:type="pct"/>
            <w:noWrap w:val="0"/>
            <w:vAlign w:val="center"/>
          </w:tcPr>
          <w:p>
            <w:pPr>
              <w:pStyle w:val="336"/>
              <w:widowControl w:val="0"/>
              <w:pBdr>
                <w:right w:val="none" w:color="auto" w:sz="0" w:space="0"/>
              </w:pBdr>
              <w:spacing w:before="0" w:beforeAutospacing="0" w:after="0" w:afterAutospacing="0"/>
              <w:rPr>
                <w:rFonts w:ascii="Times New Roman" w:hAnsi="Times New Roman"/>
                <w:i w:val="0"/>
                <w:iCs w:val="0"/>
                <w:kern w:val="2"/>
                <w:sz w:val="21"/>
              </w:rPr>
            </w:pPr>
            <w:r>
              <w:rPr>
                <w:rFonts w:hint="eastAsia" w:ascii="Times New Roman" w:hAnsi="Times New Roman"/>
                <w:i w:val="0"/>
                <w:iCs w:val="0"/>
                <w:kern w:val="2"/>
                <w:sz w:val="21"/>
              </w:rPr>
              <w:t>4.9</w:t>
            </w:r>
          </w:p>
        </w:tc>
        <w:tc>
          <w:tcPr>
            <w:tcW w:w="1151" w:type="pct"/>
            <w:noWrap w:val="0"/>
            <w:vAlign w:val="center"/>
          </w:tcPr>
          <w:p>
            <w:pPr>
              <w:pStyle w:val="336"/>
              <w:widowControl w:val="0"/>
              <w:pBdr>
                <w:right w:val="none" w:color="auto" w:sz="0" w:space="0"/>
              </w:pBdr>
              <w:spacing w:before="0" w:beforeAutospacing="0" w:after="0" w:afterAutospacing="0"/>
              <w:rPr>
                <w:rFonts w:hint="default" w:ascii="Times New Roman" w:hAnsi="Times New Roman" w:eastAsia="宋体"/>
                <w:i w:val="0"/>
                <w:iCs w:val="0"/>
                <w:kern w:val="2"/>
                <w:sz w:val="21"/>
                <w:lang w:val="en-US" w:eastAsia="zh-CN"/>
              </w:rPr>
            </w:pPr>
            <w:r>
              <w:rPr>
                <w:rFonts w:hint="eastAsia" w:ascii="Times New Roman" w:hAnsi="Times New Roman"/>
                <w:i w:val="0"/>
                <w:iCs w:val="0"/>
                <w:kern w:val="2"/>
                <w:sz w:val="21"/>
                <w:lang w:val="en-US" w:eastAsia="zh-CN"/>
              </w:rPr>
              <w:t>15</w:t>
            </w:r>
          </w:p>
        </w:tc>
        <w:tc>
          <w:tcPr>
            <w:tcW w:w="1151" w:type="pct"/>
            <w:vMerge w:val="restart"/>
            <w:noWrap w:val="0"/>
            <w:vAlign w:val="center"/>
          </w:tcPr>
          <w:p>
            <w:pPr>
              <w:pStyle w:val="336"/>
              <w:widowControl w:val="0"/>
              <w:pBdr>
                <w:right w:val="none" w:color="auto" w:sz="0" w:space="0"/>
              </w:pBdr>
              <w:spacing w:before="0" w:beforeAutospacing="0" w:after="0" w:afterAutospacing="0"/>
              <w:rPr>
                <w:rFonts w:hint="eastAsia" w:ascii="Times New Roman" w:hAnsi="Times New Roman"/>
                <w:i w:val="0"/>
                <w:iCs w:val="0"/>
                <w:kern w:val="2"/>
                <w:sz w:val="21"/>
              </w:rPr>
            </w:pPr>
            <w:r>
              <w:rPr>
                <w:rFonts w:hint="eastAsia" w:ascii="Times New Roman" w:hAnsi="Times New Roman"/>
                <w:i w:val="0"/>
                <w:iCs w:val="0"/>
                <w:kern w:val="2"/>
                <w:sz w:val="21"/>
              </w:rPr>
              <w:t>《恶臭污染物排放标准》（GB14554－93）</w:t>
            </w:r>
          </w:p>
        </w:tc>
        <w:tc>
          <w:tcPr>
            <w:tcW w:w="1151" w:type="pct"/>
            <w:vMerge w:val="restart"/>
            <w:noWrap w:val="0"/>
            <w:vAlign w:val="center"/>
          </w:tcPr>
          <w:p>
            <w:pPr>
              <w:pStyle w:val="336"/>
              <w:widowControl w:val="0"/>
              <w:pBdr>
                <w:right w:val="none" w:color="auto" w:sz="0" w:space="0"/>
              </w:pBdr>
              <w:spacing w:before="0" w:beforeAutospacing="0" w:after="0" w:afterAutospacing="0"/>
              <w:rPr>
                <w:rFonts w:ascii="Times New Roman" w:hAnsi="Times New Roman"/>
                <w:i w:val="0"/>
                <w:iCs w:val="0"/>
                <w:kern w:val="2"/>
                <w:sz w:val="21"/>
              </w:rPr>
            </w:pPr>
            <w:r>
              <w:rPr>
                <w:rFonts w:hint="eastAsia" w:ascii="Times New Roman" w:hAnsi="Times New Roman"/>
                <w:i w:val="0"/>
                <w:iCs w:val="0"/>
                <w:kern w:val="2"/>
                <w:sz w:val="21"/>
              </w:rPr>
              <w:t>1.5</w:t>
            </w:r>
          </w:p>
        </w:tc>
      </w:tr>
      <w:tr>
        <w:tblPrEx>
          <w:tblBorders>
            <w:top w:val="threeDEngrave" w:color="auto" w:sz="12" w:space="0"/>
            <w:left w:val="none" w:color="auto" w:sz="0" w:space="0"/>
            <w:bottom w:val="threeDEngrav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0" w:type="pct"/>
            <w:vMerge w:val="continue"/>
            <w:noWrap w:val="0"/>
            <w:vAlign w:val="center"/>
          </w:tcPr>
          <w:p>
            <w:pPr>
              <w:pStyle w:val="336"/>
              <w:widowControl w:val="0"/>
              <w:pBdr>
                <w:right w:val="none" w:color="auto" w:sz="0" w:space="0"/>
              </w:pBdr>
              <w:spacing w:before="0" w:beforeAutospacing="0" w:after="0" w:afterAutospacing="0"/>
              <w:rPr>
                <w:rFonts w:hint="eastAsia" w:ascii="Times New Roman" w:hAnsi="Times New Roman"/>
                <w:i w:val="0"/>
                <w:iCs w:val="0"/>
                <w:kern w:val="2"/>
                <w:sz w:val="21"/>
              </w:rPr>
            </w:pPr>
          </w:p>
        </w:tc>
        <w:tc>
          <w:tcPr>
            <w:tcW w:w="775" w:type="pct"/>
            <w:noWrap w:val="0"/>
            <w:vAlign w:val="center"/>
          </w:tcPr>
          <w:p>
            <w:pPr>
              <w:pStyle w:val="336"/>
              <w:widowControl w:val="0"/>
              <w:pBdr>
                <w:right w:val="none" w:color="auto" w:sz="0" w:space="0"/>
              </w:pBdr>
              <w:spacing w:before="0" w:beforeAutospacing="0" w:after="0" w:afterAutospacing="0"/>
              <w:rPr>
                <w:rFonts w:hint="default" w:ascii="Times New Roman" w:hAnsi="Times New Roman" w:eastAsia="宋体"/>
                <w:i w:val="0"/>
                <w:iCs w:val="0"/>
                <w:kern w:val="2"/>
                <w:sz w:val="21"/>
                <w:lang w:val="en-US" w:eastAsia="zh-CN"/>
              </w:rPr>
            </w:pPr>
            <w:r>
              <w:rPr>
                <w:rFonts w:hint="eastAsia" w:ascii="Times New Roman" w:hAnsi="Times New Roman"/>
                <w:i w:val="0"/>
                <w:iCs w:val="0"/>
                <w:kern w:val="2"/>
                <w:sz w:val="21"/>
                <w:lang w:val="en-US" w:eastAsia="zh-CN"/>
              </w:rPr>
              <w:t>14</w:t>
            </w:r>
          </w:p>
        </w:tc>
        <w:tc>
          <w:tcPr>
            <w:tcW w:w="1151" w:type="pct"/>
            <w:noWrap w:val="0"/>
            <w:vAlign w:val="center"/>
          </w:tcPr>
          <w:p>
            <w:pPr>
              <w:pStyle w:val="336"/>
              <w:widowControl w:val="0"/>
              <w:pBdr>
                <w:right w:val="none" w:color="auto" w:sz="0" w:space="0"/>
              </w:pBdr>
              <w:spacing w:before="0" w:beforeAutospacing="0" w:after="0" w:afterAutospacing="0"/>
              <w:rPr>
                <w:rFonts w:hint="default" w:ascii="Times New Roman" w:hAnsi="Times New Roman"/>
                <w:i w:val="0"/>
                <w:iCs w:val="0"/>
                <w:kern w:val="2"/>
                <w:sz w:val="21"/>
                <w:lang w:val="en-US" w:eastAsia="zh-CN"/>
              </w:rPr>
            </w:pPr>
            <w:r>
              <w:rPr>
                <w:rFonts w:hint="eastAsia" w:ascii="Times New Roman" w:hAnsi="Times New Roman"/>
                <w:i w:val="0"/>
                <w:iCs w:val="0"/>
                <w:kern w:val="2"/>
                <w:sz w:val="21"/>
                <w:lang w:val="en-US" w:eastAsia="zh-CN"/>
              </w:rPr>
              <w:t>24</w:t>
            </w:r>
          </w:p>
        </w:tc>
        <w:tc>
          <w:tcPr>
            <w:tcW w:w="1151" w:type="pct"/>
            <w:vMerge w:val="continue"/>
            <w:noWrap w:val="0"/>
            <w:vAlign w:val="center"/>
          </w:tcPr>
          <w:p>
            <w:pPr>
              <w:pStyle w:val="336"/>
              <w:widowControl w:val="0"/>
              <w:pBdr>
                <w:right w:val="none" w:color="auto" w:sz="0" w:space="0"/>
              </w:pBdr>
              <w:spacing w:before="0" w:beforeAutospacing="0" w:after="0" w:afterAutospacing="0"/>
              <w:rPr>
                <w:rFonts w:hint="eastAsia" w:ascii="Times New Roman" w:hAnsi="Times New Roman"/>
                <w:i w:val="0"/>
                <w:iCs w:val="0"/>
                <w:kern w:val="2"/>
                <w:sz w:val="21"/>
              </w:rPr>
            </w:pPr>
          </w:p>
        </w:tc>
        <w:tc>
          <w:tcPr>
            <w:tcW w:w="1151" w:type="pct"/>
            <w:vMerge w:val="continue"/>
            <w:noWrap w:val="0"/>
            <w:vAlign w:val="center"/>
          </w:tcPr>
          <w:p>
            <w:pPr>
              <w:pStyle w:val="336"/>
              <w:widowControl w:val="0"/>
              <w:pBdr>
                <w:right w:val="none" w:color="auto" w:sz="0" w:space="0"/>
              </w:pBdr>
              <w:spacing w:before="0" w:beforeAutospacing="0" w:after="0" w:afterAutospacing="0"/>
              <w:rPr>
                <w:rFonts w:hint="eastAsia" w:ascii="Times New Roman" w:hAnsi="Times New Roman"/>
                <w:i w:val="0"/>
                <w:iCs w:val="0"/>
                <w:kern w:val="2"/>
                <w:sz w:val="21"/>
              </w:rPr>
            </w:pPr>
          </w:p>
        </w:tc>
      </w:tr>
      <w:tr>
        <w:tblPrEx>
          <w:tblBorders>
            <w:top w:val="threeDEngrave" w:color="auto" w:sz="12" w:space="0"/>
            <w:left w:val="none" w:color="auto" w:sz="0" w:space="0"/>
            <w:bottom w:val="threeDEngrav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70" w:type="pct"/>
            <w:noWrap w:val="0"/>
            <w:vAlign w:val="center"/>
          </w:tcPr>
          <w:p>
            <w:pPr>
              <w:pStyle w:val="336"/>
              <w:widowControl w:val="0"/>
              <w:pBdr>
                <w:right w:val="none" w:color="auto" w:sz="0" w:space="0"/>
              </w:pBdr>
              <w:spacing w:before="0" w:beforeAutospacing="0" w:after="0" w:afterAutospacing="0"/>
              <w:rPr>
                <w:rFonts w:hint="eastAsia" w:ascii="Times New Roman" w:hAnsi="Times New Roman"/>
                <w:i w:val="0"/>
                <w:iCs w:val="0"/>
                <w:kern w:val="2"/>
                <w:sz w:val="21"/>
              </w:rPr>
            </w:pPr>
            <w:r>
              <w:rPr>
                <w:rFonts w:hint="eastAsia" w:ascii="Times New Roman" w:hAnsi="Times New Roman"/>
                <w:i w:val="0"/>
                <w:iCs w:val="0"/>
                <w:kern w:val="2"/>
                <w:sz w:val="21"/>
              </w:rPr>
              <w:t>硫化氢</w:t>
            </w:r>
          </w:p>
        </w:tc>
        <w:tc>
          <w:tcPr>
            <w:tcW w:w="775" w:type="pct"/>
            <w:noWrap w:val="0"/>
            <w:vAlign w:val="center"/>
          </w:tcPr>
          <w:p>
            <w:pPr>
              <w:pStyle w:val="336"/>
              <w:widowControl w:val="0"/>
              <w:pBdr>
                <w:right w:val="none" w:color="auto" w:sz="0" w:space="0"/>
              </w:pBdr>
              <w:spacing w:before="0" w:beforeAutospacing="0" w:after="0" w:afterAutospacing="0"/>
              <w:rPr>
                <w:rFonts w:ascii="Times New Roman" w:hAnsi="Times New Roman"/>
                <w:i w:val="0"/>
                <w:iCs w:val="0"/>
                <w:kern w:val="2"/>
                <w:sz w:val="21"/>
              </w:rPr>
            </w:pPr>
            <w:r>
              <w:rPr>
                <w:rFonts w:hint="eastAsia" w:ascii="Times New Roman" w:hAnsi="Times New Roman"/>
                <w:i w:val="0"/>
                <w:iCs w:val="0"/>
                <w:kern w:val="2"/>
                <w:sz w:val="21"/>
              </w:rPr>
              <w:t>0.33</w:t>
            </w:r>
          </w:p>
        </w:tc>
        <w:tc>
          <w:tcPr>
            <w:tcW w:w="1151" w:type="pct"/>
            <w:noWrap w:val="0"/>
            <w:vAlign w:val="center"/>
          </w:tcPr>
          <w:p>
            <w:pPr>
              <w:pStyle w:val="336"/>
              <w:widowControl w:val="0"/>
              <w:pBdr>
                <w:right w:val="none" w:color="auto" w:sz="0" w:space="0"/>
              </w:pBdr>
              <w:spacing w:before="0" w:beforeAutospacing="0" w:after="0" w:afterAutospacing="0"/>
              <w:rPr>
                <w:rFonts w:hint="default" w:ascii="Times New Roman" w:hAnsi="Times New Roman" w:eastAsia="宋体"/>
                <w:i w:val="0"/>
                <w:iCs w:val="0"/>
                <w:kern w:val="2"/>
                <w:sz w:val="21"/>
                <w:lang w:val="en-US" w:eastAsia="zh-CN"/>
              </w:rPr>
            </w:pPr>
            <w:r>
              <w:rPr>
                <w:rFonts w:hint="eastAsia" w:ascii="Times New Roman" w:hAnsi="Times New Roman"/>
                <w:i w:val="0"/>
                <w:iCs w:val="0"/>
                <w:kern w:val="2"/>
                <w:sz w:val="21"/>
                <w:lang w:val="en-US" w:eastAsia="zh-CN"/>
              </w:rPr>
              <w:t>15</w:t>
            </w:r>
          </w:p>
        </w:tc>
        <w:tc>
          <w:tcPr>
            <w:tcW w:w="1151" w:type="pct"/>
            <w:vMerge w:val="continue"/>
            <w:noWrap w:val="0"/>
            <w:vAlign w:val="center"/>
          </w:tcPr>
          <w:p>
            <w:pPr>
              <w:pStyle w:val="336"/>
              <w:widowControl w:val="0"/>
              <w:pBdr>
                <w:right w:val="none" w:color="auto" w:sz="0" w:space="0"/>
              </w:pBdr>
              <w:spacing w:before="0" w:beforeAutospacing="0" w:after="0" w:afterAutospacing="0"/>
              <w:rPr>
                <w:rFonts w:hint="eastAsia" w:ascii="Times New Roman" w:hAnsi="Times New Roman"/>
                <w:i w:val="0"/>
                <w:iCs w:val="0"/>
                <w:kern w:val="2"/>
                <w:sz w:val="21"/>
              </w:rPr>
            </w:pPr>
          </w:p>
        </w:tc>
        <w:tc>
          <w:tcPr>
            <w:tcW w:w="1151" w:type="pct"/>
            <w:noWrap w:val="0"/>
            <w:vAlign w:val="center"/>
          </w:tcPr>
          <w:p>
            <w:pPr>
              <w:pStyle w:val="336"/>
              <w:widowControl w:val="0"/>
              <w:pBdr>
                <w:right w:val="none" w:color="auto" w:sz="0" w:space="0"/>
              </w:pBdr>
              <w:spacing w:before="0" w:beforeAutospacing="0" w:after="0" w:afterAutospacing="0"/>
              <w:rPr>
                <w:rFonts w:ascii="Times New Roman" w:hAnsi="Times New Roman"/>
                <w:i w:val="0"/>
                <w:iCs w:val="0"/>
                <w:kern w:val="2"/>
                <w:sz w:val="21"/>
              </w:rPr>
            </w:pPr>
            <w:r>
              <w:rPr>
                <w:rFonts w:hint="eastAsia" w:ascii="Times New Roman" w:hAnsi="Times New Roman"/>
                <w:i w:val="0"/>
                <w:iCs w:val="0"/>
                <w:kern w:val="2"/>
                <w:sz w:val="21"/>
              </w:rPr>
              <w:t>0.06</w:t>
            </w:r>
          </w:p>
        </w:tc>
      </w:tr>
    </w:tbl>
    <w:p>
      <w:pPr>
        <w:ind w:firstLine="482" w:firstLineChars="200"/>
        <w:jc w:val="center"/>
        <w:rPr>
          <w:rFonts w:hint="eastAsia"/>
          <w:b/>
          <w:bCs/>
          <w:i w:val="0"/>
          <w:iCs w:val="0"/>
        </w:rPr>
      </w:pPr>
      <w:r>
        <w:rPr>
          <w:rFonts w:hint="eastAsia"/>
          <w:b/>
          <w:bCs/>
          <w:i w:val="0"/>
          <w:iCs w:val="0"/>
        </w:rPr>
        <w:t>表2-10 《大气污染物综合排放标准》GB16297-1996</w:t>
      </w:r>
    </w:p>
    <w:tbl>
      <w:tblPr>
        <w:tblStyle w:val="5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1220"/>
        <w:gridCol w:w="2108"/>
        <w:gridCol w:w="2273"/>
        <w:gridCol w:w="23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3" w:type="pct"/>
            <w:vMerge w:val="restart"/>
            <w:noWrap w:val="0"/>
            <w:vAlign w:val="center"/>
          </w:tcPr>
          <w:p>
            <w:pPr>
              <w:jc w:val="center"/>
              <w:rPr>
                <w:rFonts w:hint="eastAsia"/>
                <w:i w:val="0"/>
                <w:iCs w:val="0"/>
                <w:color w:val="000000"/>
                <w:sz w:val="21"/>
                <w:szCs w:val="21"/>
              </w:rPr>
            </w:pPr>
            <w:r>
              <w:rPr>
                <w:rFonts w:hint="eastAsia"/>
                <w:i w:val="0"/>
                <w:iCs w:val="0"/>
                <w:color w:val="000000"/>
                <w:sz w:val="21"/>
                <w:szCs w:val="21"/>
              </w:rPr>
              <w:t>污染物</w:t>
            </w:r>
          </w:p>
        </w:tc>
        <w:tc>
          <w:tcPr>
            <w:tcW w:w="657" w:type="pct"/>
            <w:vMerge w:val="restart"/>
            <w:noWrap w:val="0"/>
            <w:vAlign w:val="center"/>
          </w:tcPr>
          <w:p>
            <w:pPr>
              <w:jc w:val="center"/>
              <w:rPr>
                <w:rFonts w:hint="eastAsia"/>
                <w:i w:val="0"/>
                <w:iCs w:val="0"/>
                <w:color w:val="000000"/>
                <w:sz w:val="21"/>
                <w:szCs w:val="21"/>
              </w:rPr>
            </w:pPr>
            <w:r>
              <w:rPr>
                <w:rFonts w:hint="eastAsia"/>
                <w:i w:val="0"/>
                <w:iCs w:val="0"/>
                <w:color w:val="000000"/>
                <w:sz w:val="21"/>
                <w:szCs w:val="21"/>
              </w:rPr>
              <w:t>最高允许</w:t>
            </w:r>
          </w:p>
          <w:p>
            <w:pPr>
              <w:jc w:val="center"/>
              <w:rPr>
                <w:rFonts w:hint="eastAsia"/>
                <w:i w:val="0"/>
                <w:iCs w:val="0"/>
                <w:color w:val="000000"/>
                <w:sz w:val="21"/>
                <w:szCs w:val="21"/>
              </w:rPr>
            </w:pPr>
            <w:r>
              <w:rPr>
                <w:rFonts w:hint="eastAsia"/>
                <w:i w:val="0"/>
                <w:iCs w:val="0"/>
                <w:color w:val="000000"/>
                <w:sz w:val="21"/>
                <w:szCs w:val="21"/>
              </w:rPr>
              <w:t>排放浓度</w:t>
            </w:r>
          </w:p>
          <w:p>
            <w:pPr>
              <w:jc w:val="center"/>
              <w:rPr>
                <w:rFonts w:hint="eastAsia"/>
                <w:i w:val="0"/>
                <w:iCs w:val="0"/>
                <w:color w:val="000000"/>
                <w:sz w:val="21"/>
                <w:szCs w:val="21"/>
              </w:rPr>
            </w:pPr>
            <w:r>
              <w:rPr>
                <w:rFonts w:hint="eastAsia"/>
                <w:i w:val="0"/>
                <w:iCs w:val="0"/>
                <w:color w:val="000000"/>
                <w:sz w:val="21"/>
                <w:szCs w:val="21"/>
              </w:rPr>
              <w:t>（mg/m</w:t>
            </w:r>
            <w:r>
              <w:rPr>
                <w:rFonts w:hint="eastAsia"/>
                <w:i w:val="0"/>
                <w:iCs w:val="0"/>
                <w:color w:val="000000"/>
                <w:sz w:val="21"/>
                <w:szCs w:val="21"/>
                <w:vertAlign w:val="superscript"/>
              </w:rPr>
              <w:t>3</w:t>
            </w:r>
            <w:r>
              <w:rPr>
                <w:rFonts w:hint="eastAsia"/>
                <w:i w:val="0"/>
                <w:iCs w:val="0"/>
                <w:color w:val="000000"/>
                <w:sz w:val="21"/>
                <w:szCs w:val="21"/>
              </w:rPr>
              <w:t>）</w:t>
            </w:r>
          </w:p>
        </w:tc>
        <w:tc>
          <w:tcPr>
            <w:tcW w:w="2359" w:type="pct"/>
            <w:gridSpan w:val="2"/>
            <w:noWrap w:val="0"/>
            <w:vAlign w:val="center"/>
          </w:tcPr>
          <w:p>
            <w:pPr>
              <w:jc w:val="center"/>
              <w:rPr>
                <w:rFonts w:hint="eastAsia"/>
                <w:i w:val="0"/>
                <w:iCs w:val="0"/>
                <w:color w:val="000000"/>
                <w:sz w:val="21"/>
                <w:szCs w:val="21"/>
              </w:rPr>
            </w:pPr>
            <w:r>
              <w:rPr>
                <w:rFonts w:hint="eastAsia"/>
                <w:i w:val="0"/>
                <w:iCs w:val="0"/>
                <w:color w:val="000000"/>
                <w:sz w:val="21"/>
                <w:szCs w:val="21"/>
              </w:rPr>
              <w:t>最高允许排放速率（kg/h）</w:t>
            </w:r>
          </w:p>
        </w:tc>
        <w:tc>
          <w:tcPr>
            <w:tcW w:w="1239" w:type="pct"/>
            <w:noWrap w:val="0"/>
            <w:vAlign w:val="center"/>
          </w:tcPr>
          <w:p>
            <w:pPr>
              <w:jc w:val="center"/>
              <w:rPr>
                <w:rFonts w:hint="eastAsia"/>
                <w:i w:val="0"/>
                <w:iCs w:val="0"/>
                <w:color w:val="000000"/>
                <w:sz w:val="21"/>
                <w:szCs w:val="21"/>
              </w:rPr>
            </w:pPr>
            <w:r>
              <w:rPr>
                <w:rFonts w:hint="eastAsia"/>
                <w:i w:val="0"/>
                <w:iCs w:val="0"/>
                <w:color w:val="000000"/>
                <w:sz w:val="21"/>
                <w:szCs w:val="21"/>
              </w:rPr>
              <w:t>无组织排放限值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3" w:type="pct"/>
            <w:vMerge w:val="continue"/>
            <w:noWrap w:val="0"/>
            <w:vAlign w:val="center"/>
          </w:tcPr>
          <w:p>
            <w:pPr>
              <w:jc w:val="center"/>
              <w:rPr>
                <w:rFonts w:hint="eastAsia"/>
                <w:i w:val="0"/>
                <w:iCs w:val="0"/>
                <w:color w:val="000000"/>
                <w:sz w:val="21"/>
                <w:szCs w:val="21"/>
              </w:rPr>
            </w:pPr>
          </w:p>
        </w:tc>
        <w:tc>
          <w:tcPr>
            <w:tcW w:w="657" w:type="pct"/>
            <w:vMerge w:val="continue"/>
            <w:noWrap w:val="0"/>
            <w:vAlign w:val="center"/>
          </w:tcPr>
          <w:p>
            <w:pPr>
              <w:jc w:val="center"/>
              <w:rPr>
                <w:rFonts w:hint="eastAsia"/>
                <w:i w:val="0"/>
                <w:iCs w:val="0"/>
                <w:color w:val="000000"/>
                <w:sz w:val="21"/>
                <w:szCs w:val="21"/>
              </w:rPr>
            </w:pPr>
          </w:p>
        </w:tc>
        <w:tc>
          <w:tcPr>
            <w:tcW w:w="1135" w:type="pct"/>
            <w:noWrap w:val="0"/>
            <w:vAlign w:val="center"/>
          </w:tcPr>
          <w:p>
            <w:pPr>
              <w:jc w:val="center"/>
              <w:rPr>
                <w:rFonts w:hint="eastAsia"/>
                <w:i w:val="0"/>
                <w:iCs w:val="0"/>
                <w:color w:val="000000"/>
                <w:sz w:val="21"/>
                <w:szCs w:val="21"/>
              </w:rPr>
            </w:pPr>
            <w:r>
              <w:rPr>
                <w:rFonts w:hint="eastAsia"/>
                <w:i w:val="0"/>
                <w:iCs w:val="0"/>
                <w:color w:val="000000"/>
                <w:sz w:val="21"/>
                <w:szCs w:val="21"/>
              </w:rPr>
              <w:t>排气筒高度</w:t>
            </w:r>
          </w:p>
          <w:p>
            <w:pPr>
              <w:jc w:val="center"/>
              <w:rPr>
                <w:rFonts w:hint="eastAsia"/>
                <w:i w:val="0"/>
                <w:iCs w:val="0"/>
                <w:color w:val="000000"/>
                <w:sz w:val="21"/>
                <w:szCs w:val="21"/>
              </w:rPr>
            </w:pPr>
            <w:r>
              <w:rPr>
                <w:rFonts w:hint="eastAsia"/>
                <w:i w:val="0"/>
                <w:iCs w:val="0"/>
                <w:color w:val="000000"/>
                <w:sz w:val="21"/>
                <w:szCs w:val="21"/>
              </w:rPr>
              <w:t>（m）</w:t>
            </w:r>
          </w:p>
        </w:tc>
        <w:tc>
          <w:tcPr>
            <w:tcW w:w="1224" w:type="pct"/>
            <w:noWrap w:val="0"/>
            <w:vAlign w:val="center"/>
          </w:tcPr>
          <w:p>
            <w:pPr>
              <w:jc w:val="center"/>
              <w:rPr>
                <w:rFonts w:hint="eastAsia"/>
                <w:i w:val="0"/>
                <w:iCs w:val="0"/>
                <w:color w:val="000000"/>
                <w:sz w:val="21"/>
                <w:szCs w:val="21"/>
              </w:rPr>
            </w:pPr>
            <w:r>
              <w:rPr>
                <w:rFonts w:hint="eastAsia"/>
                <w:i w:val="0"/>
                <w:iCs w:val="0"/>
                <w:color w:val="000000"/>
                <w:sz w:val="21"/>
                <w:szCs w:val="21"/>
              </w:rPr>
              <w:t>二级排放标准值</w:t>
            </w:r>
          </w:p>
        </w:tc>
        <w:tc>
          <w:tcPr>
            <w:tcW w:w="1239" w:type="pct"/>
            <w:noWrap w:val="0"/>
            <w:vAlign w:val="center"/>
          </w:tcPr>
          <w:p>
            <w:pPr>
              <w:jc w:val="center"/>
              <w:rPr>
                <w:rFonts w:hint="eastAsia"/>
                <w:i w:val="0"/>
                <w:iCs w:val="0"/>
                <w:color w:val="000000"/>
                <w:sz w:val="21"/>
                <w:szCs w:val="21"/>
              </w:rPr>
            </w:pPr>
            <w:r>
              <w:rPr>
                <w:rFonts w:hint="eastAsia"/>
                <w:i w:val="0"/>
                <w:iCs w:val="0"/>
                <w:color w:val="000000"/>
                <w:sz w:val="21"/>
                <w:szCs w:val="21"/>
              </w:rPr>
              <w:t>周界外浓度最高点</w:t>
            </w:r>
          </w:p>
          <w:p>
            <w:pPr>
              <w:jc w:val="center"/>
              <w:rPr>
                <w:rFonts w:hint="eastAsia"/>
                <w:i w:val="0"/>
                <w:iCs w:val="0"/>
                <w:color w:val="000000"/>
                <w:sz w:val="21"/>
                <w:szCs w:val="21"/>
              </w:rPr>
            </w:pPr>
            <w:r>
              <w:rPr>
                <w:rFonts w:hint="eastAsia"/>
                <w:i w:val="0"/>
                <w:iCs w:val="0"/>
                <w:color w:val="000000"/>
                <w:sz w:val="21"/>
                <w:szCs w:val="21"/>
              </w:rPr>
              <w:t>（mg/m</w:t>
            </w:r>
            <w:r>
              <w:rPr>
                <w:rFonts w:hint="eastAsia"/>
                <w:i w:val="0"/>
                <w:iCs w:val="0"/>
                <w:color w:val="000000"/>
                <w:sz w:val="21"/>
                <w:szCs w:val="21"/>
                <w:vertAlign w:val="superscript"/>
              </w:rPr>
              <w:t>3</w:t>
            </w:r>
            <w:r>
              <w:rPr>
                <w:rFonts w:hint="eastAsia"/>
                <w:i w:val="0"/>
                <w:iCs w:val="0"/>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43" w:type="pct"/>
            <w:noWrap w:val="0"/>
            <w:vAlign w:val="center"/>
          </w:tcPr>
          <w:p>
            <w:pPr>
              <w:jc w:val="center"/>
              <w:rPr>
                <w:rFonts w:hint="eastAsia"/>
                <w:i w:val="0"/>
                <w:iCs w:val="0"/>
                <w:color w:val="000000"/>
                <w:sz w:val="21"/>
                <w:szCs w:val="21"/>
              </w:rPr>
            </w:pPr>
            <w:r>
              <w:rPr>
                <w:rFonts w:hint="eastAsia"/>
                <w:i w:val="0"/>
                <w:iCs w:val="0"/>
                <w:color w:val="000000"/>
                <w:sz w:val="21"/>
                <w:szCs w:val="21"/>
              </w:rPr>
              <w:t>非甲烷总烃</w:t>
            </w:r>
          </w:p>
        </w:tc>
        <w:tc>
          <w:tcPr>
            <w:tcW w:w="657" w:type="pct"/>
            <w:noWrap w:val="0"/>
            <w:vAlign w:val="center"/>
          </w:tcPr>
          <w:p>
            <w:pPr>
              <w:jc w:val="center"/>
              <w:rPr>
                <w:i w:val="0"/>
                <w:iCs w:val="0"/>
                <w:color w:val="000000"/>
                <w:sz w:val="21"/>
                <w:szCs w:val="21"/>
              </w:rPr>
            </w:pPr>
            <w:r>
              <w:rPr>
                <w:rFonts w:hint="eastAsia"/>
                <w:i w:val="0"/>
                <w:iCs w:val="0"/>
                <w:color w:val="000000"/>
                <w:sz w:val="21"/>
                <w:szCs w:val="21"/>
              </w:rPr>
              <w:t>120</w:t>
            </w:r>
          </w:p>
        </w:tc>
        <w:tc>
          <w:tcPr>
            <w:tcW w:w="1135" w:type="pct"/>
            <w:noWrap w:val="0"/>
            <w:vAlign w:val="center"/>
          </w:tcPr>
          <w:p>
            <w:pPr>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24</w:t>
            </w:r>
          </w:p>
        </w:tc>
        <w:tc>
          <w:tcPr>
            <w:tcW w:w="1224" w:type="pct"/>
            <w:noWrap w:val="0"/>
            <w:vAlign w:val="center"/>
          </w:tcPr>
          <w:p>
            <w:pPr>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31.4</w:t>
            </w:r>
          </w:p>
        </w:tc>
        <w:tc>
          <w:tcPr>
            <w:tcW w:w="1239" w:type="pct"/>
            <w:noWrap w:val="0"/>
            <w:vAlign w:val="center"/>
          </w:tcPr>
          <w:p>
            <w:pPr>
              <w:jc w:val="center"/>
              <w:rPr>
                <w:i w:val="0"/>
                <w:iCs w:val="0"/>
                <w:color w:val="000000"/>
                <w:sz w:val="21"/>
                <w:szCs w:val="21"/>
              </w:rPr>
            </w:pPr>
            <w:r>
              <w:rPr>
                <w:rFonts w:hint="eastAsia"/>
                <w:i w:val="0"/>
                <w:iCs w:val="0"/>
                <w:color w:val="000000"/>
                <w:sz w:val="21"/>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43" w:type="pct"/>
            <w:noWrap w:val="0"/>
            <w:vAlign w:val="center"/>
          </w:tcPr>
          <w:p>
            <w:pPr>
              <w:jc w:val="center"/>
              <w:rPr>
                <w:rFonts w:hint="eastAsia"/>
                <w:i w:val="0"/>
                <w:iCs w:val="0"/>
                <w:color w:val="000000"/>
                <w:sz w:val="21"/>
                <w:szCs w:val="21"/>
              </w:rPr>
            </w:pPr>
            <w:r>
              <w:rPr>
                <w:rFonts w:hint="eastAsia"/>
                <w:i w:val="0"/>
                <w:iCs w:val="0"/>
                <w:color w:val="000000"/>
                <w:sz w:val="21"/>
                <w:szCs w:val="21"/>
              </w:rPr>
              <w:t>颗粒物</w:t>
            </w:r>
          </w:p>
        </w:tc>
        <w:tc>
          <w:tcPr>
            <w:tcW w:w="657" w:type="pct"/>
            <w:noWrap w:val="0"/>
            <w:vAlign w:val="center"/>
          </w:tcPr>
          <w:p>
            <w:pPr>
              <w:jc w:val="center"/>
              <w:rPr>
                <w:i w:val="0"/>
                <w:iCs w:val="0"/>
                <w:color w:val="000000"/>
                <w:sz w:val="21"/>
                <w:szCs w:val="21"/>
              </w:rPr>
            </w:pPr>
            <w:r>
              <w:rPr>
                <w:rFonts w:hint="eastAsia"/>
                <w:i w:val="0"/>
                <w:iCs w:val="0"/>
                <w:color w:val="000000"/>
                <w:sz w:val="21"/>
                <w:szCs w:val="21"/>
              </w:rPr>
              <w:t>120</w:t>
            </w:r>
          </w:p>
        </w:tc>
        <w:tc>
          <w:tcPr>
            <w:tcW w:w="1135" w:type="pct"/>
            <w:noWrap w:val="0"/>
            <w:vAlign w:val="center"/>
          </w:tcPr>
          <w:p>
            <w:pPr>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24</w:t>
            </w:r>
          </w:p>
        </w:tc>
        <w:tc>
          <w:tcPr>
            <w:tcW w:w="1224" w:type="pct"/>
            <w:noWrap w:val="0"/>
            <w:vAlign w:val="center"/>
          </w:tcPr>
          <w:p>
            <w:pPr>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12.74</w:t>
            </w:r>
          </w:p>
        </w:tc>
        <w:tc>
          <w:tcPr>
            <w:tcW w:w="1239" w:type="pct"/>
            <w:noWrap w:val="0"/>
            <w:vAlign w:val="center"/>
          </w:tcPr>
          <w:p>
            <w:pPr>
              <w:jc w:val="center"/>
              <w:rPr>
                <w:i w:val="0"/>
                <w:iCs w:val="0"/>
                <w:color w:val="000000"/>
                <w:sz w:val="21"/>
                <w:szCs w:val="21"/>
              </w:rPr>
            </w:pPr>
            <w:r>
              <w:rPr>
                <w:rFonts w:hint="eastAsia"/>
                <w:i w:val="0"/>
                <w:iCs w:val="0"/>
                <w:color w:val="000000"/>
                <w:sz w:val="21"/>
                <w:szCs w:val="21"/>
              </w:rPr>
              <w:t>1.0</w:t>
            </w:r>
          </w:p>
        </w:tc>
      </w:tr>
    </w:tbl>
    <w:p>
      <w:pPr>
        <w:bidi w:val="0"/>
        <w:jc w:val="center"/>
        <w:rPr>
          <w:rFonts w:hint="eastAsia"/>
          <w:b/>
          <w:bCs/>
          <w:i w:val="0"/>
          <w:iCs w:val="0"/>
          <w:vertAlign w:val="superscript"/>
          <w:lang w:val="en-US" w:eastAsia="zh-CN"/>
        </w:rPr>
      </w:pPr>
      <w:r>
        <w:rPr>
          <w:rFonts w:hint="eastAsia" w:ascii="Times New Roman" w:hAnsi="Times New Roman" w:eastAsia="宋体" w:cs="Times New Roman"/>
          <w:b/>
          <w:bCs/>
          <w:i w:val="0"/>
          <w:iCs w:val="0"/>
          <w:lang w:val="en-US" w:eastAsia="zh-CN"/>
        </w:rPr>
        <w:t>表2-11 《锅炉大气污染物排放标准》（GB13271-2014)  单位：m</w:t>
      </w:r>
      <w:r>
        <w:rPr>
          <w:rFonts w:hint="eastAsia"/>
          <w:b/>
          <w:bCs/>
          <w:i w:val="0"/>
          <w:iCs w:val="0"/>
          <w:lang w:val="en-US" w:eastAsia="zh-CN"/>
        </w:rPr>
        <w:t>g/m</w:t>
      </w:r>
      <w:r>
        <w:rPr>
          <w:rFonts w:hint="eastAsia"/>
          <w:b/>
          <w:bCs/>
          <w:i w:val="0"/>
          <w:iCs w:val="0"/>
          <w:vertAlign w:val="superscript"/>
          <w:lang w:val="en-US" w:eastAsia="zh-CN"/>
        </w:rPr>
        <w:t>3</w:t>
      </w:r>
    </w:p>
    <w:tbl>
      <w:tblPr>
        <w:tblStyle w:val="58"/>
        <w:tblW w:w="4996"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1791"/>
        <w:gridCol w:w="3491"/>
        <w:gridCol w:w="3998"/>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9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i w:val="0"/>
                <w:iCs w:val="0"/>
                <w:color w:val="auto"/>
                <w:sz w:val="21"/>
                <w:szCs w:val="21"/>
                <w:lang w:eastAsia="zh-CN"/>
              </w:rPr>
            </w:pPr>
            <w:r>
              <w:rPr>
                <w:rFonts w:hint="default" w:ascii="Times New Roman" w:hAnsi="Times New Roman" w:cs="Times New Roman"/>
                <w:i w:val="0"/>
                <w:iCs w:val="0"/>
                <w:color w:val="auto"/>
                <w:sz w:val="21"/>
                <w:szCs w:val="21"/>
              </w:rPr>
              <w:t>污染物</w:t>
            </w:r>
            <w:r>
              <w:rPr>
                <w:rFonts w:hint="eastAsia" w:ascii="Times New Roman" w:hAnsi="Times New Roman" w:cs="Times New Roman"/>
                <w:i w:val="0"/>
                <w:iCs w:val="0"/>
                <w:color w:val="auto"/>
                <w:sz w:val="21"/>
                <w:szCs w:val="21"/>
                <w:lang w:eastAsia="zh-CN"/>
              </w:rPr>
              <w:t>项目</w:t>
            </w:r>
          </w:p>
        </w:tc>
        <w:tc>
          <w:tcPr>
            <w:tcW w:w="188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i w:val="0"/>
                <w:iCs w:val="0"/>
                <w:color w:val="auto"/>
                <w:sz w:val="21"/>
                <w:szCs w:val="21"/>
              </w:rPr>
            </w:pPr>
            <w:r>
              <w:rPr>
                <w:rFonts w:hint="eastAsia" w:ascii="Times New Roman" w:hAnsi="Times New Roman" w:cs="Times New Roman"/>
                <w:i w:val="0"/>
                <w:iCs w:val="0"/>
                <w:color w:val="auto"/>
                <w:sz w:val="21"/>
                <w:szCs w:val="21"/>
                <w:lang w:eastAsia="zh-CN"/>
              </w:rPr>
              <w:t>燃气锅炉限值</w:t>
            </w:r>
            <w:r>
              <w:rPr>
                <w:rFonts w:hint="default" w:ascii="Times New Roman" w:hAnsi="Times New Roman" w:cs="Times New Roman"/>
                <w:i w:val="0"/>
                <w:iCs w:val="0"/>
                <w:color w:val="auto"/>
                <w:sz w:val="21"/>
                <w:szCs w:val="21"/>
              </w:rPr>
              <w:t>（mg/m</w:t>
            </w:r>
            <w:r>
              <w:rPr>
                <w:rFonts w:hint="default" w:ascii="Times New Roman" w:hAnsi="Times New Roman" w:cs="Times New Roman"/>
                <w:i w:val="0"/>
                <w:iCs w:val="0"/>
                <w:color w:val="auto"/>
                <w:sz w:val="21"/>
                <w:szCs w:val="21"/>
                <w:vertAlign w:val="superscript"/>
              </w:rPr>
              <w:t>3</w:t>
            </w:r>
            <w:r>
              <w:rPr>
                <w:rFonts w:hint="default" w:ascii="Times New Roman" w:hAnsi="Times New Roman" w:cs="Times New Roman"/>
                <w:i w:val="0"/>
                <w:iCs w:val="0"/>
                <w:color w:val="auto"/>
                <w:sz w:val="21"/>
                <w:szCs w:val="21"/>
              </w:rPr>
              <w:t>）</w:t>
            </w:r>
          </w:p>
        </w:tc>
        <w:tc>
          <w:tcPr>
            <w:tcW w:w="21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i w:val="0"/>
                <w:iCs w:val="0"/>
                <w:color w:val="auto"/>
                <w:sz w:val="21"/>
                <w:szCs w:val="21"/>
                <w:lang w:eastAsia="zh-CN"/>
              </w:rPr>
            </w:pPr>
            <w:r>
              <w:rPr>
                <w:rFonts w:hint="eastAsia" w:ascii="Times New Roman" w:hAnsi="Times New Roman" w:cs="Times New Roman"/>
                <w:i w:val="0"/>
                <w:iCs w:val="0"/>
                <w:color w:val="auto"/>
                <w:sz w:val="21"/>
                <w:szCs w:val="21"/>
                <w:lang w:eastAsia="zh-CN"/>
              </w:rPr>
              <w:t>污染物排放监控位置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9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i w:val="0"/>
                <w:iCs w:val="0"/>
                <w:color w:val="auto"/>
                <w:sz w:val="21"/>
                <w:szCs w:val="21"/>
                <w:lang w:eastAsia="zh-CN"/>
              </w:rPr>
            </w:pPr>
            <w:r>
              <w:rPr>
                <w:rFonts w:hint="eastAsia" w:ascii="Times New Roman" w:hAnsi="Times New Roman" w:eastAsia="宋体" w:cs="Times New Roman"/>
                <w:i w:val="0"/>
                <w:iCs w:val="0"/>
                <w:color w:val="auto"/>
                <w:sz w:val="21"/>
                <w:szCs w:val="21"/>
                <w:lang w:eastAsia="zh-CN"/>
              </w:rPr>
              <w:t>颗粒物</w:t>
            </w:r>
          </w:p>
        </w:tc>
        <w:tc>
          <w:tcPr>
            <w:tcW w:w="188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20</w:t>
            </w:r>
          </w:p>
        </w:tc>
        <w:tc>
          <w:tcPr>
            <w:tcW w:w="215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i w:val="0"/>
                <w:iCs w:val="0"/>
                <w:color w:val="auto"/>
                <w:sz w:val="21"/>
                <w:szCs w:val="21"/>
                <w:lang w:eastAsia="zh-CN"/>
              </w:rPr>
            </w:pPr>
            <w:r>
              <w:rPr>
                <w:rFonts w:hint="eastAsia" w:ascii="Times New Roman" w:hAnsi="Times New Roman" w:cs="Times New Roman"/>
                <w:i w:val="0"/>
                <w:iCs w:val="0"/>
                <w:color w:val="auto"/>
                <w:sz w:val="21"/>
                <w:szCs w:val="21"/>
                <w:lang w:eastAsia="zh-CN"/>
              </w:rPr>
              <w:t>烟囱或烟道</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9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i w:val="0"/>
                <w:iCs w:val="0"/>
                <w:color w:val="auto"/>
                <w:sz w:val="21"/>
                <w:szCs w:val="21"/>
                <w:lang w:eastAsia="zh-CN"/>
              </w:rPr>
            </w:pPr>
            <w:r>
              <w:rPr>
                <w:rFonts w:hint="eastAsia" w:ascii="Times New Roman" w:hAnsi="Times New Roman" w:eastAsia="宋体" w:cs="Times New Roman"/>
                <w:i w:val="0"/>
                <w:iCs w:val="0"/>
                <w:color w:val="auto"/>
                <w:sz w:val="21"/>
                <w:szCs w:val="21"/>
                <w:lang w:eastAsia="zh-CN"/>
              </w:rPr>
              <w:t>氮氧化物</w:t>
            </w:r>
          </w:p>
        </w:tc>
        <w:tc>
          <w:tcPr>
            <w:tcW w:w="188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200</w:t>
            </w:r>
          </w:p>
        </w:tc>
        <w:tc>
          <w:tcPr>
            <w:tcW w:w="215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i w:val="0"/>
                <w:iCs w:val="0"/>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9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i w:val="0"/>
                <w:iCs w:val="0"/>
                <w:color w:val="auto"/>
                <w:sz w:val="21"/>
                <w:szCs w:val="21"/>
                <w:lang w:eastAsia="zh-CN"/>
              </w:rPr>
            </w:pPr>
            <w:r>
              <w:rPr>
                <w:rFonts w:hint="eastAsia" w:ascii="Times New Roman" w:hAnsi="Times New Roman" w:eastAsia="宋体" w:cs="Times New Roman"/>
                <w:i w:val="0"/>
                <w:iCs w:val="0"/>
                <w:color w:val="auto"/>
                <w:sz w:val="21"/>
                <w:szCs w:val="21"/>
                <w:lang w:eastAsia="zh-CN"/>
              </w:rPr>
              <w:t>二氧化硫</w:t>
            </w:r>
          </w:p>
        </w:tc>
        <w:tc>
          <w:tcPr>
            <w:tcW w:w="188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i w:val="0"/>
                <w:iCs w:val="0"/>
                <w:color w:val="auto"/>
                <w:sz w:val="21"/>
                <w:szCs w:val="21"/>
                <w:lang w:val="en-US" w:eastAsia="zh-CN"/>
              </w:rPr>
            </w:pPr>
            <w:r>
              <w:rPr>
                <w:rFonts w:hint="eastAsia" w:ascii="Times New Roman" w:hAnsi="Times New Roman" w:cs="Times New Roman"/>
                <w:i w:val="0"/>
                <w:iCs w:val="0"/>
                <w:color w:val="auto"/>
                <w:sz w:val="21"/>
                <w:szCs w:val="21"/>
                <w:lang w:val="en-US" w:eastAsia="zh-CN"/>
              </w:rPr>
              <w:t>50</w:t>
            </w:r>
          </w:p>
        </w:tc>
        <w:tc>
          <w:tcPr>
            <w:tcW w:w="215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i w:val="0"/>
                <w:iCs w:val="0"/>
                <w:color w:val="auto"/>
                <w:sz w:val="21"/>
                <w:szCs w:val="21"/>
                <w:lang w:eastAsia="zh-CN"/>
              </w:rPr>
            </w:pPr>
          </w:p>
        </w:tc>
      </w:tr>
    </w:tbl>
    <w:p>
      <w:pPr>
        <w:adjustRightInd w:val="0"/>
        <w:snapToGrid w:val="0"/>
        <w:spacing w:line="360" w:lineRule="auto"/>
        <w:ind w:firstLine="480" w:firstLineChars="200"/>
        <w:rPr>
          <w:rFonts w:hint="eastAsia"/>
          <w:i w:val="0"/>
          <w:iCs w:val="0"/>
          <w:color w:val="000000"/>
        </w:rPr>
      </w:pPr>
      <w:r>
        <w:rPr>
          <w:rFonts w:hint="eastAsia"/>
          <w:i w:val="0"/>
          <w:iCs w:val="0"/>
          <w:color w:val="000000"/>
        </w:rPr>
        <w:t>非甲烷总烃（厂区内）排放浓度满足《挥发性有机物无组织排放控制标准》（GB37822-2019）附录A表A.1中厂区内VOC</w:t>
      </w:r>
      <w:r>
        <w:rPr>
          <w:rFonts w:hint="eastAsia"/>
          <w:i w:val="0"/>
          <w:iCs w:val="0"/>
          <w:color w:val="000000"/>
          <w:vertAlign w:val="subscript"/>
        </w:rPr>
        <w:t>S</w:t>
      </w:r>
      <w:r>
        <w:rPr>
          <w:rFonts w:hint="eastAsia"/>
          <w:i w:val="0"/>
          <w:iCs w:val="0"/>
          <w:color w:val="000000"/>
        </w:rPr>
        <w:t>无组织排放限值要求，详见下表</w:t>
      </w:r>
    </w:p>
    <w:p>
      <w:pPr>
        <w:ind w:firstLine="482" w:firstLineChars="200"/>
        <w:jc w:val="center"/>
        <w:rPr>
          <w:rFonts w:hint="eastAsia"/>
          <w:b/>
          <w:bCs/>
          <w:i w:val="0"/>
          <w:iCs w:val="0"/>
        </w:rPr>
      </w:pPr>
      <w:r>
        <w:rPr>
          <w:rFonts w:hint="eastAsia"/>
          <w:b/>
          <w:bCs/>
          <w:i w:val="0"/>
          <w:iCs w:val="0"/>
        </w:rPr>
        <w:t>表2-1</w:t>
      </w:r>
      <w:r>
        <w:rPr>
          <w:rFonts w:hint="eastAsia"/>
          <w:b/>
          <w:bCs/>
          <w:i w:val="0"/>
          <w:iCs w:val="0"/>
          <w:lang w:val="en-US" w:eastAsia="zh-CN"/>
        </w:rPr>
        <w:t>2</w:t>
      </w:r>
      <w:r>
        <w:rPr>
          <w:rFonts w:hint="eastAsia"/>
          <w:b/>
          <w:bCs/>
          <w:i w:val="0"/>
          <w:iCs w:val="0"/>
        </w:rPr>
        <w:t xml:space="preserve">挥发性有机物无组织排放控制标准  </w:t>
      </w:r>
      <w:r>
        <w:rPr>
          <w:b/>
          <w:bCs/>
          <w:i w:val="0"/>
          <w:iCs w:val="0"/>
        </w:rPr>
        <w:t>单位：mg/ m</w:t>
      </w:r>
      <w:r>
        <w:rPr>
          <w:b/>
          <w:bCs/>
          <w:i w:val="0"/>
          <w:iCs w:val="0"/>
          <w:vertAlign w:val="superscript"/>
        </w:rPr>
        <w:t>3</w:t>
      </w:r>
    </w:p>
    <w:tbl>
      <w:tblPr>
        <w:tblStyle w:val="5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71"/>
        <w:gridCol w:w="1853"/>
        <w:gridCol w:w="1854"/>
        <w:gridCol w:w="1854"/>
        <w:gridCol w:w="18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16" w:type="dxa"/>
            <w:noWrap w:val="0"/>
            <w:vAlign w:val="center"/>
          </w:tcPr>
          <w:p>
            <w:pPr>
              <w:jc w:val="center"/>
              <w:rPr>
                <w:i w:val="0"/>
                <w:iCs w:val="0"/>
                <w:color w:val="000000"/>
                <w:sz w:val="21"/>
                <w:szCs w:val="21"/>
              </w:rPr>
            </w:pPr>
            <w:r>
              <w:rPr>
                <w:rFonts w:hint="eastAsia"/>
                <w:i w:val="0"/>
                <w:iCs w:val="0"/>
                <w:color w:val="000000"/>
                <w:sz w:val="21"/>
                <w:szCs w:val="21"/>
              </w:rPr>
              <w:t>污染物项目</w:t>
            </w:r>
          </w:p>
        </w:tc>
        <w:tc>
          <w:tcPr>
            <w:tcW w:w="1916" w:type="dxa"/>
            <w:noWrap w:val="0"/>
            <w:vAlign w:val="center"/>
          </w:tcPr>
          <w:p>
            <w:pPr>
              <w:jc w:val="center"/>
              <w:rPr>
                <w:i w:val="0"/>
                <w:iCs w:val="0"/>
                <w:color w:val="000000"/>
                <w:sz w:val="21"/>
                <w:szCs w:val="21"/>
              </w:rPr>
            </w:pPr>
            <w:r>
              <w:rPr>
                <w:rFonts w:hint="eastAsia"/>
                <w:i w:val="0"/>
                <w:iCs w:val="0"/>
                <w:color w:val="000000"/>
                <w:sz w:val="21"/>
                <w:szCs w:val="21"/>
              </w:rPr>
              <w:t>排放限值</w:t>
            </w:r>
          </w:p>
        </w:tc>
        <w:tc>
          <w:tcPr>
            <w:tcW w:w="1917" w:type="dxa"/>
            <w:noWrap w:val="0"/>
            <w:vAlign w:val="center"/>
          </w:tcPr>
          <w:p>
            <w:pPr>
              <w:jc w:val="center"/>
              <w:rPr>
                <w:i w:val="0"/>
                <w:iCs w:val="0"/>
                <w:color w:val="000000"/>
                <w:sz w:val="21"/>
                <w:szCs w:val="21"/>
              </w:rPr>
            </w:pPr>
            <w:r>
              <w:rPr>
                <w:rFonts w:hint="eastAsia"/>
                <w:i w:val="0"/>
                <w:iCs w:val="0"/>
                <w:color w:val="000000"/>
                <w:sz w:val="21"/>
                <w:szCs w:val="21"/>
              </w:rPr>
              <w:t>特别排放限值</w:t>
            </w:r>
          </w:p>
        </w:tc>
        <w:tc>
          <w:tcPr>
            <w:tcW w:w="1917" w:type="dxa"/>
            <w:noWrap w:val="0"/>
            <w:vAlign w:val="center"/>
          </w:tcPr>
          <w:p>
            <w:pPr>
              <w:jc w:val="center"/>
              <w:rPr>
                <w:i w:val="0"/>
                <w:iCs w:val="0"/>
                <w:color w:val="000000"/>
                <w:sz w:val="21"/>
                <w:szCs w:val="21"/>
              </w:rPr>
            </w:pPr>
            <w:r>
              <w:rPr>
                <w:rFonts w:hint="eastAsia"/>
                <w:i w:val="0"/>
                <w:iCs w:val="0"/>
                <w:color w:val="000000"/>
                <w:sz w:val="21"/>
                <w:szCs w:val="21"/>
              </w:rPr>
              <w:t>限值含义</w:t>
            </w:r>
          </w:p>
        </w:tc>
        <w:tc>
          <w:tcPr>
            <w:tcW w:w="1917" w:type="dxa"/>
            <w:noWrap w:val="0"/>
            <w:vAlign w:val="center"/>
          </w:tcPr>
          <w:p>
            <w:pPr>
              <w:jc w:val="center"/>
              <w:rPr>
                <w:i w:val="0"/>
                <w:iCs w:val="0"/>
                <w:color w:val="000000"/>
                <w:sz w:val="21"/>
                <w:szCs w:val="21"/>
              </w:rPr>
            </w:pPr>
            <w:r>
              <w:rPr>
                <w:rFonts w:hint="eastAsia"/>
                <w:i w:val="0"/>
                <w:iCs w:val="0"/>
                <w:color w:val="000000"/>
                <w:sz w:val="21"/>
                <w:szCs w:val="21"/>
              </w:rPr>
              <w:t>无组织排放监控位置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16" w:type="dxa"/>
            <w:vMerge w:val="restart"/>
            <w:noWrap w:val="0"/>
            <w:vAlign w:val="center"/>
          </w:tcPr>
          <w:p>
            <w:pPr>
              <w:jc w:val="center"/>
              <w:rPr>
                <w:i w:val="0"/>
                <w:iCs w:val="0"/>
                <w:color w:val="000000"/>
                <w:sz w:val="21"/>
                <w:szCs w:val="21"/>
              </w:rPr>
            </w:pPr>
            <w:r>
              <w:rPr>
                <w:rFonts w:hint="eastAsia"/>
                <w:i w:val="0"/>
                <w:iCs w:val="0"/>
                <w:color w:val="000000"/>
                <w:sz w:val="21"/>
                <w:szCs w:val="21"/>
              </w:rPr>
              <w:t>NMHC</w:t>
            </w:r>
          </w:p>
        </w:tc>
        <w:tc>
          <w:tcPr>
            <w:tcW w:w="1916" w:type="dxa"/>
            <w:noWrap w:val="0"/>
            <w:vAlign w:val="center"/>
          </w:tcPr>
          <w:p>
            <w:pPr>
              <w:jc w:val="center"/>
              <w:rPr>
                <w:i w:val="0"/>
                <w:iCs w:val="0"/>
                <w:color w:val="000000"/>
                <w:sz w:val="21"/>
                <w:szCs w:val="21"/>
              </w:rPr>
            </w:pPr>
            <w:r>
              <w:rPr>
                <w:rFonts w:hint="eastAsia"/>
                <w:i w:val="0"/>
                <w:iCs w:val="0"/>
                <w:color w:val="000000"/>
                <w:sz w:val="21"/>
                <w:szCs w:val="21"/>
              </w:rPr>
              <w:t>10</w:t>
            </w:r>
          </w:p>
        </w:tc>
        <w:tc>
          <w:tcPr>
            <w:tcW w:w="1917" w:type="dxa"/>
            <w:noWrap w:val="0"/>
            <w:vAlign w:val="center"/>
          </w:tcPr>
          <w:p>
            <w:pPr>
              <w:jc w:val="center"/>
              <w:rPr>
                <w:i w:val="0"/>
                <w:iCs w:val="0"/>
                <w:color w:val="000000"/>
                <w:sz w:val="21"/>
                <w:szCs w:val="21"/>
              </w:rPr>
            </w:pPr>
            <w:r>
              <w:rPr>
                <w:rFonts w:hint="eastAsia"/>
                <w:i w:val="0"/>
                <w:iCs w:val="0"/>
                <w:color w:val="000000"/>
                <w:sz w:val="21"/>
                <w:szCs w:val="21"/>
              </w:rPr>
              <w:t>6</w:t>
            </w:r>
          </w:p>
        </w:tc>
        <w:tc>
          <w:tcPr>
            <w:tcW w:w="1917" w:type="dxa"/>
            <w:noWrap w:val="0"/>
            <w:vAlign w:val="center"/>
          </w:tcPr>
          <w:p>
            <w:pPr>
              <w:jc w:val="center"/>
              <w:rPr>
                <w:i w:val="0"/>
                <w:iCs w:val="0"/>
                <w:color w:val="000000"/>
                <w:sz w:val="21"/>
                <w:szCs w:val="21"/>
              </w:rPr>
            </w:pPr>
            <w:r>
              <w:rPr>
                <w:rFonts w:hint="eastAsia"/>
                <w:i w:val="0"/>
                <w:iCs w:val="0"/>
                <w:color w:val="000000"/>
                <w:sz w:val="21"/>
                <w:szCs w:val="21"/>
              </w:rPr>
              <w:t>监测点处1h平均浓度值</w:t>
            </w:r>
          </w:p>
        </w:tc>
        <w:tc>
          <w:tcPr>
            <w:tcW w:w="1917" w:type="dxa"/>
            <w:vMerge w:val="restart"/>
            <w:noWrap w:val="0"/>
            <w:vAlign w:val="center"/>
          </w:tcPr>
          <w:p>
            <w:pPr>
              <w:jc w:val="center"/>
              <w:rPr>
                <w:i w:val="0"/>
                <w:iCs w:val="0"/>
                <w:color w:val="000000"/>
                <w:sz w:val="21"/>
                <w:szCs w:val="21"/>
              </w:rPr>
            </w:pPr>
            <w:r>
              <w:rPr>
                <w:rFonts w:hint="eastAsia"/>
                <w:i w:val="0"/>
                <w:iCs w:val="0"/>
                <w:color w:val="000000"/>
                <w:sz w:val="21"/>
                <w:szCs w:val="21"/>
              </w:rPr>
              <w:t>在厂房外设置监控点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16" w:type="dxa"/>
            <w:vMerge w:val="continue"/>
            <w:noWrap w:val="0"/>
            <w:vAlign w:val="center"/>
          </w:tcPr>
          <w:p>
            <w:pPr>
              <w:jc w:val="center"/>
              <w:rPr>
                <w:i w:val="0"/>
                <w:iCs w:val="0"/>
                <w:color w:val="000000"/>
                <w:sz w:val="21"/>
                <w:szCs w:val="21"/>
              </w:rPr>
            </w:pPr>
          </w:p>
        </w:tc>
        <w:tc>
          <w:tcPr>
            <w:tcW w:w="1916" w:type="dxa"/>
            <w:noWrap w:val="0"/>
            <w:vAlign w:val="center"/>
          </w:tcPr>
          <w:p>
            <w:pPr>
              <w:jc w:val="center"/>
              <w:rPr>
                <w:i w:val="0"/>
                <w:iCs w:val="0"/>
                <w:color w:val="000000"/>
                <w:sz w:val="21"/>
                <w:szCs w:val="21"/>
              </w:rPr>
            </w:pPr>
            <w:r>
              <w:rPr>
                <w:rFonts w:hint="eastAsia"/>
                <w:i w:val="0"/>
                <w:iCs w:val="0"/>
                <w:color w:val="000000"/>
                <w:sz w:val="21"/>
                <w:szCs w:val="21"/>
              </w:rPr>
              <w:t>30</w:t>
            </w:r>
          </w:p>
        </w:tc>
        <w:tc>
          <w:tcPr>
            <w:tcW w:w="1917" w:type="dxa"/>
            <w:noWrap w:val="0"/>
            <w:vAlign w:val="center"/>
          </w:tcPr>
          <w:p>
            <w:pPr>
              <w:jc w:val="center"/>
              <w:rPr>
                <w:i w:val="0"/>
                <w:iCs w:val="0"/>
                <w:color w:val="000000"/>
                <w:sz w:val="21"/>
                <w:szCs w:val="21"/>
              </w:rPr>
            </w:pPr>
            <w:r>
              <w:rPr>
                <w:rFonts w:hint="eastAsia"/>
                <w:i w:val="0"/>
                <w:iCs w:val="0"/>
                <w:color w:val="000000"/>
                <w:sz w:val="21"/>
                <w:szCs w:val="21"/>
              </w:rPr>
              <w:t>20</w:t>
            </w:r>
          </w:p>
        </w:tc>
        <w:tc>
          <w:tcPr>
            <w:tcW w:w="1917" w:type="dxa"/>
            <w:noWrap w:val="0"/>
            <w:vAlign w:val="center"/>
          </w:tcPr>
          <w:p>
            <w:pPr>
              <w:jc w:val="center"/>
              <w:rPr>
                <w:i w:val="0"/>
                <w:iCs w:val="0"/>
                <w:color w:val="000000"/>
                <w:sz w:val="21"/>
                <w:szCs w:val="21"/>
              </w:rPr>
            </w:pPr>
            <w:r>
              <w:rPr>
                <w:rFonts w:hint="eastAsia"/>
                <w:i w:val="0"/>
                <w:iCs w:val="0"/>
                <w:color w:val="000000"/>
                <w:sz w:val="21"/>
                <w:szCs w:val="21"/>
              </w:rPr>
              <w:t>监测点处任意一次浓度值</w:t>
            </w:r>
          </w:p>
        </w:tc>
        <w:tc>
          <w:tcPr>
            <w:tcW w:w="1917" w:type="dxa"/>
            <w:vMerge w:val="continue"/>
            <w:noWrap w:val="0"/>
            <w:vAlign w:val="center"/>
          </w:tcPr>
          <w:p>
            <w:pPr>
              <w:jc w:val="center"/>
              <w:rPr>
                <w:i w:val="0"/>
                <w:iCs w:val="0"/>
                <w:color w:val="000000"/>
                <w:sz w:val="21"/>
                <w:szCs w:val="21"/>
              </w:rPr>
            </w:pPr>
          </w:p>
        </w:tc>
      </w:tr>
    </w:tbl>
    <w:p>
      <w:pPr>
        <w:adjustRightInd w:val="0"/>
        <w:snapToGrid w:val="0"/>
        <w:spacing w:line="360" w:lineRule="auto"/>
        <w:ind w:firstLine="480" w:firstLineChars="200"/>
        <w:rPr>
          <w:i w:val="0"/>
          <w:iCs w:val="0"/>
          <w:color w:val="000000"/>
        </w:rPr>
      </w:pPr>
      <w:r>
        <w:rPr>
          <w:i w:val="0"/>
          <w:iCs w:val="0"/>
          <w:color w:val="000000"/>
        </w:rPr>
        <w:t>食堂油烟废气参照执行《饮食业油烟排放标准（试行）》（GB 18483-2001）中相关的限值标准</w:t>
      </w:r>
      <w:r>
        <w:rPr>
          <w:rFonts w:hint="eastAsia"/>
          <w:i w:val="0"/>
          <w:iCs w:val="0"/>
          <w:color w:val="000000"/>
        </w:rPr>
        <w:t>。</w:t>
      </w:r>
    </w:p>
    <w:p>
      <w:pPr>
        <w:ind w:firstLine="482" w:firstLineChars="200"/>
        <w:jc w:val="center"/>
        <w:rPr>
          <w:b/>
          <w:bCs/>
          <w:i w:val="0"/>
          <w:iCs w:val="0"/>
        </w:rPr>
      </w:pPr>
      <w:r>
        <w:rPr>
          <w:b/>
          <w:bCs/>
          <w:i w:val="0"/>
          <w:iCs w:val="0"/>
        </w:rPr>
        <w:t>表</w:t>
      </w:r>
      <w:r>
        <w:rPr>
          <w:rFonts w:hint="eastAsia"/>
          <w:b/>
          <w:bCs/>
          <w:i w:val="0"/>
          <w:iCs w:val="0"/>
        </w:rPr>
        <w:t>2-1</w:t>
      </w:r>
      <w:r>
        <w:rPr>
          <w:rFonts w:hint="eastAsia"/>
          <w:b/>
          <w:bCs/>
          <w:i w:val="0"/>
          <w:iCs w:val="0"/>
          <w:lang w:val="en-US" w:eastAsia="zh-CN"/>
        </w:rPr>
        <w:t>3</w:t>
      </w:r>
      <w:r>
        <w:rPr>
          <w:b/>
          <w:bCs/>
          <w:i w:val="0"/>
          <w:iCs w:val="0"/>
        </w:rPr>
        <w:t xml:space="preserve"> 食堂油烟废气排放标准</w:t>
      </w:r>
    </w:p>
    <w:tbl>
      <w:tblPr>
        <w:tblStyle w:val="58"/>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31"/>
        <w:gridCol w:w="1837"/>
        <w:gridCol w:w="2335"/>
        <w:gridCol w:w="20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32" w:type="pct"/>
            <w:noWrap w:val="0"/>
            <w:vAlign w:val="center"/>
          </w:tcPr>
          <w:p>
            <w:pPr>
              <w:jc w:val="center"/>
              <w:rPr>
                <w:bCs/>
                <w:i w:val="0"/>
                <w:iCs w:val="0"/>
                <w:sz w:val="21"/>
                <w:szCs w:val="21"/>
              </w:rPr>
            </w:pPr>
            <w:r>
              <w:rPr>
                <w:bCs/>
                <w:i w:val="0"/>
                <w:iCs w:val="0"/>
                <w:sz w:val="21"/>
                <w:szCs w:val="21"/>
              </w:rPr>
              <w:t>规模</w:t>
            </w:r>
          </w:p>
        </w:tc>
        <w:tc>
          <w:tcPr>
            <w:tcW w:w="989" w:type="pct"/>
            <w:noWrap w:val="0"/>
            <w:vAlign w:val="center"/>
          </w:tcPr>
          <w:p>
            <w:pPr>
              <w:jc w:val="center"/>
              <w:rPr>
                <w:i w:val="0"/>
                <w:iCs w:val="0"/>
                <w:color w:val="000000"/>
                <w:sz w:val="21"/>
                <w:szCs w:val="21"/>
              </w:rPr>
            </w:pPr>
            <w:r>
              <w:rPr>
                <w:i w:val="0"/>
                <w:iCs w:val="0"/>
                <w:color w:val="000000"/>
                <w:sz w:val="21"/>
                <w:szCs w:val="21"/>
              </w:rPr>
              <w:t>小型</w:t>
            </w:r>
          </w:p>
        </w:tc>
        <w:tc>
          <w:tcPr>
            <w:tcW w:w="1257" w:type="pct"/>
            <w:noWrap w:val="0"/>
            <w:vAlign w:val="center"/>
          </w:tcPr>
          <w:p>
            <w:pPr>
              <w:jc w:val="center"/>
              <w:rPr>
                <w:i w:val="0"/>
                <w:iCs w:val="0"/>
                <w:color w:val="000000"/>
                <w:sz w:val="21"/>
                <w:szCs w:val="21"/>
              </w:rPr>
            </w:pPr>
            <w:r>
              <w:rPr>
                <w:i w:val="0"/>
                <w:iCs w:val="0"/>
                <w:color w:val="000000"/>
                <w:sz w:val="21"/>
                <w:szCs w:val="21"/>
              </w:rPr>
              <w:t>中型</w:t>
            </w:r>
          </w:p>
        </w:tc>
        <w:tc>
          <w:tcPr>
            <w:tcW w:w="1121" w:type="pct"/>
            <w:noWrap w:val="0"/>
            <w:vAlign w:val="center"/>
          </w:tcPr>
          <w:p>
            <w:pPr>
              <w:jc w:val="center"/>
              <w:rPr>
                <w:i w:val="0"/>
                <w:iCs w:val="0"/>
                <w:color w:val="000000"/>
                <w:sz w:val="21"/>
                <w:szCs w:val="21"/>
              </w:rPr>
            </w:pPr>
            <w:r>
              <w:rPr>
                <w:i w:val="0"/>
                <w:iCs w:val="0"/>
                <w:color w:val="000000"/>
                <w:sz w:val="21"/>
                <w:szCs w:val="21"/>
              </w:rPr>
              <w:t>大型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 w:hRule="atLeast"/>
        </w:trPr>
        <w:tc>
          <w:tcPr>
            <w:tcW w:w="1632" w:type="pct"/>
            <w:noWrap w:val="0"/>
            <w:vAlign w:val="center"/>
          </w:tcPr>
          <w:p>
            <w:pPr>
              <w:jc w:val="center"/>
              <w:rPr>
                <w:bCs/>
                <w:i w:val="0"/>
                <w:iCs w:val="0"/>
                <w:sz w:val="21"/>
                <w:szCs w:val="21"/>
              </w:rPr>
            </w:pPr>
            <w:r>
              <w:rPr>
                <w:bCs/>
                <w:i w:val="0"/>
                <w:iCs w:val="0"/>
                <w:sz w:val="21"/>
                <w:szCs w:val="21"/>
              </w:rPr>
              <w:t>最高允许排放浓度（mg/m</w:t>
            </w:r>
            <w:r>
              <w:rPr>
                <w:bCs/>
                <w:i w:val="0"/>
                <w:iCs w:val="0"/>
                <w:sz w:val="21"/>
                <w:szCs w:val="21"/>
                <w:vertAlign w:val="superscript"/>
              </w:rPr>
              <w:t>3</w:t>
            </w:r>
            <w:r>
              <w:rPr>
                <w:bCs/>
                <w:i w:val="0"/>
                <w:iCs w:val="0"/>
                <w:sz w:val="21"/>
                <w:szCs w:val="21"/>
              </w:rPr>
              <w:t>）</w:t>
            </w:r>
          </w:p>
        </w:tc>
        <w:tc>
          <w:tcPr>
            <w:tcW w:w="3367" w:type="pct"/>
            <w:gridSpan w:val="3"/>
            <w:noWrap w:val="0"/>
            <w:vAlign w:val="center"/>
          </w:tcPr>
          <w:p>
            <w:pPr>
              <w:jc w:val="center"/>
              <w:rPr>
                <w:i w:val="0"/>
                <w:iCs w:val="0"/>
                <w:color w:val="000000"/>
                <w:sz w:val="21"/>
                <w:szCs w:val="21"/>
              </w:rPr>
            </w:pPr>
            <w:r>
              <w:rPr>
                <w:i w:val="0"/>
                <w:iCs w:val="0"/>
                <w:color w:val="000000"/>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32" w:type="pct"/>
            <w:noWrap w:val="0"/>
            <w:vAlign w:val="center"/>
          </w:tcPr>
          <w:p>
            <w:pPr>
              <w:jc w:val="center"/>
              <w:rPr>
                <w:bCs/>
                <w:i w:val="0"/>
                <w:iCs w:val="0"/>
                <w:sz w:val="21"/>
                <w:szCs w:val="21"/>
              </w:rPr>
            </w:pPr>
            <w:r>
              <w:rPr>
                <w:bCs/>
                <w:i w:val="0"/>
                <w:iCs w:val="0"/>
                <w:sz w:val="21"/>
                <w:szCs w:val="21"/>
              </w:rPr>
              <w:t>净化设施最低去除效率（%）</w:t>
            </w:r>
          </w:p>
        </w:tc>
        <w:tc>
          <w:tcPr>
            <w:tcW w:w="989" w:type="pct"/>
            <w:noWrap w:val="0"/>
            <w:vAlign w:val="center"/>
          </w:tcPr>
          <w:p>
            <w:pPr>
              <w:jc w:val="center"/>
              <w:rPr>
                <w:i w:val="0"/>
                <w:iCs w:val="0"/>
                <w:color w:val="000000"/>
                <w:sz w:val="21"/>
                <w:szCs w:val="21"/>
              </w:rPr>
            </w:pPr>
            <w:r>
              <w:rPr>
                <w:rFonts w:hint="eastAsia"/>
                <w:i w:val="0"/>
                <w:iCs w:val="0"/>
                <w:color w:val="000000"/>
                <w:sz w:val="21"/>
                <w:szCs w:val="21"/>
              </w:rPr>
              <w:t>60</w:t>
            </w:r>
          </w:p>
        </w:tc>
        <w:tc>
          <w:tcPr>
            <w:tcW w:w="1257" w:type="pct"/>
            <w:noWrap w:val="0"/>
            <w:vAlign w:val="center"/>
          </w:tcPr>
          <w:p>
            <w:pPr>
              <w:jc w:val="center"/>
              <w:rPr>
                <w:i w:val="0"/>
                <w:iCs w:val="0"/>
                <w:color w:val="000000"/>
                <w:sz w:val="21"/>
                <w:szCs w:val="21"/>
              </w:rPr>
            </w:pPr>
            <w:r>
              <w:rPr>
                <w:rFonts w:hint="eastAsia"/>
                <w:i w:val="0"/>
                <w:iCs w:val="0"/>
                <w:color w:val="000000"/>
                <w:sz w:val="21"/>
                <w:szCs w:val="21"/>
              </w:rPr>
              <w:t>75</w:t>
            </w:r>
          </w:p>
        </w:tc>
        <w:tc>
          <w:tcPr>
            <w:tcW w:w="1121" w:type="pct"/>
            <w:noWrap w:val="0"/>
            <w:vAlign w:val="center"/>
          </w:tcPr>
          <w:p>
            <w:pPr>
              <w:jc w:val="center"/>
              <w:rPr>
                <w:i w:val="0"/>
                <w:iCs w:val="0"/>
                <w:color w:val="000000"/>
                <w:sz w:val="21"/>
                <w:szCs w:val="21"/>
              </w:rPr>
            </w:pPr>
            <w:r>
              <w:rPr>
                <w:rFonts w:hint="eastAsia"/>
                <w:i w:val="0"/>
                <w:iCs w:val="0"/>
                <w:color w:val="000000"/>
                <w:sz w:val="21"/>
                <w:szCs w:val="21"/>
              </w:rPr>
              <w:t>85</w:t>
            </w:r>
          </w:p>
        </w:tc>
      </w:tr>
    </w:tbl>
    <w:p>
      <w:pPr>
        <w:spacing w:line="360" w:lineRule="auto"/>
        <w:ind w:firstLine="427" w:firstLineChars="178"/>
        <w:rPr>
          <w:i w:val="0"/>
          <w:iCs w:val="0"/>
        </w:rPr>
      </w:pPr>
      <w:r>
        <w:rPr>
          <w:i w:val="0"/>
          <w:iCs w:val="0"/>
        </w:rPr>
        <w:t>3、噪声</w:t>
      </w:r>
    </w:p>
    <w:p>
      <w:pPr>
        <w:spacing w:line="360" w:lineRule="auto"/>
        <w:ind w:firstLine="439" w:firstLineChars="183"/>
        <w:rPr>
          <w:i w:val="0"/>
          <w:iCs w:val="0"/>
        </w:rPr>
      </w:pPr>
      <w:r>
        <w:rPr>
          <w:i w:val="0"/>
          <w:iCs w:val="0"/>
        </w:rPr>
        <w:t>建设项目位于</w:t>
      </w:r>
      <w:r>
        <w:rPr>
          <w:rFonts w:hint="eastAsia"/>
          <w:i w:val="0"/>
          <w:iCs w:val="0"/>
        </w:rPr>
        <w:t>吉林江源经济开发区，</w:t>
      </w:r>
      <w:r>
        <w:rPr>
          <w:i w:val="0"/>
          <w:iCs w:val="0"/>
        </w:rPr>
        <w:t>属于声环境质量</w:t>
      </w:r>
      <w:r>
        <w:rPr>
          <w:rFonts w:hint="eastAsia"/>
          <w:i w:val="0"/>
          <w:iCs w:val="0"/>
          <w:lang w:val="en-US" w:eastAsia="zh-CN"/>
        </w:rPr>
        <w:t>2</w:t>
      </w:r>
      <w:r>
        <w:rPr>
          <w:i w:val="0"/>
          <w:iCs w:val="0"/>
        </w:rPr>
        <w:t>类区，</w:t>
      </w:r>
      <w:r>
        <w:rPr>
          <w:bCs/>
          <w:i w:val="0"/>
          <w:iCs w:val="0"/>
        </w:rPr>
        <w:t>厂界噪声施工期执行</w:t>
      </w:r>
      <w:r>
        <w:rPr>
          <w:i w:val="0"/>
          <w:iCs w:val="0"/>
        </w:rPr>
        <w:t>《建筑施工场界环境噪声排放标准》（GB12523－2011）；运营期</w:t>
      </w:r>
      <w:r>
        <w:rPr>
          <w:rFonts w:hint="eastAsia"/>
          <w:i w:val="0"/>
          <w:iCs w:val="0"/>
        </w:rPr>
        <w:t>厂界四周执行</w:t>
      </w:r>
      <w:bookmarkStart w:id="64" w:name="_Hlt168827292"/>
      <w:r>
        <w:rPr>
          <w:bCs/>
          <w:i w:val="0"/>
          <w:iCs w:val="0"/>
        </w:rPr>
        <w:t>《工业企业</w:t>
      </w:r>
      <w:r>
        <w:rPr>
          <w:i w:val="0"/>
          <w:iCs w:val="0"/>
        </w:rPr>
        <w:t>厂界环境噪声排放标准》（GB12348-</w:t>
      </w:r>
      <w:bookmarkStart w:id="65" w:name="_Hlt194728939"/>
      <w:bookmarkEnd w:id="65"/>
      <w:r>
        <w:rPr>
          <w:i w:val="0"/>
          <w:iCs w:val="0"/>
        </w:rPr>
        <w:t>2008）</w:t>
      </w:r>
      <w:r>
        <w:rPr>
          <w:rFonts w:hint="eastAsia"/>
          <w:i w:val="0"/>
          <w:iCs w:val="0"/>
          <w:lang w:val="en-US" w:eastAsia="zh-CN"/>
        </w:rPr>
        <w:t>2</w:t>
      </w:r>
      <w:r>
        <w:rPr>
          <w:i w:val="0"/>
          <w:iCs w:val="0"/>
        </w:rPr>
        <w:t>类区</w:t>
      </w:r>
      <w:bookmarkEnd w:id="64"/>
      <w:r>
        <w:rPr>
          <w:rFonts w:hint="eastAsia"/>
          <w:i w:val="0"/>
          <w:iCs w:val="0"/>
        </w:rPr>
        <w:t>标准，周围敏感点执行《声环境质量标准》（GB3096-2008）</w:t>
      </w:r>
      <w:r>
        <w:rPr>
          <w:rFonts w:hint="eastAsia"/>
          <w:i w:val="0"/>
          <w:iCs w:val="0"/>
          <w:lang w:val="en-US" w:eastAsia="zh-CN"/>
        </w:rPr>
        <w:t>2</w:t>
      </w:r>
      <w:r>
        <w:rPr>
          <w:rFonts w:hint="eastAsia"/>
          <w:i w:val="0"/>
          <w:iCs w:val="0"/>
        </w:rPr>
        <w:t>类区标准要求，具体</w:t>
      </w:r>
      <w:r>
        <w:rPr>
          <w:i w:val="0"/>
          <w:iCs w:val="0"/>
        </w:rPr>
        <w:t>见表</w:t>
      </w:r>
      <w:r>
        <w:rPr>
          <w:rFonts w:hint="eastAsia"/>
          <w:i w:val="0"/>
          <w:iCs w:val="0"/>
        </w:rPr>
        <w:t>2</w:t>
      </w:r>
      <w:r>
        <w:rPr>
          <w:i w:val="0"/>
          <w:iCs w:val="0"/>
        </w:rPr>
        <w:t>-</w:t>
      </w:r>
      <w:r>
        <w:rPr>
          <w:rFonts w:hint="eastAsia"/>
          <w:i w:val="0"/>
          <w:iCs w:val="0"/>
        </w:rPr>
        <w:t>1</w:t>
      </w:r>
      <w:r>
        <w:rPr>
          <w:rFonts w:hint="eastAsia"/>
          <w:i w:val="0"/>
          <w:iCs w:val="0"/>
          <w:lang w:val="en-US" w:eastAsia="zh-CN"/>
        </w:rPr>
        <w:t>4</w:t>
      </w:r>
      <w:r>
        <w:rPr>
          <w:i w:val="0"/>
          <w:iCs w:val="0"/>
        </w:rPr>
        <w:t>。</w:t>
      </w:r>
    </w:p>
    <w:p>
      <w:pPr>
        <w:ind w:firstLine="482" w:firstLineChars="200"/>
        <w:jc w:val="center"/>
        <w:rPr>
          <w:rFonts w:hint="eastAsia"/>
          <w:b/>
          <w:bCs/>
          <w:i w:val="0"/>
          <w:iCs w:val="0"/>
        </w:rPr>
      </w:pPr>
      <w:r>
        <w:rPr>
          <w:rFonts w:hint="eastAsia"/>
          <w:b/>
          <w:bCs/>
          <w:i w:val="0"/>
          <w:iCs w:val="0"/>
        </w:rPr>
        <w:t>表2-1</w:t>
      </w:r>
      <w:r>
        <w:rPr>
          <w:rFonts w:hint="eastAsia"/>
          <w:b/>
          <w:bCs/>
          <w:i w:val="0"/>
          <w:iCs w:val="0"/>
          <w:lang w:val="en-US" w:eastAsia="zh-CN"/>
        </w:rPr>
        <w:t>4</w:t>
      </w:r>
      <w:r>
        <w:rPr>
          <w:rFonts w:hint="eastAsia"/>
          <w:b/>
          <w:bCs/>
          <w:i w:val="0"/>
          <w:iCs w:val="0"/>
        </w:rPr>
        <w:t>工业企业厂界环境噪声排放标准  单位：dB(A)</w:t>
      </w:r>
    </w:p>
    <w:tbl>
      <w:tblPr>
        <w:tblStyle w:val="58"/>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63"/>
        <w:gridCol w:w="1072"/>
        <w:gridCol w:w="1134"/>
        <w:gridCol w:w="1294"/>
        <w:gridCol w:w="462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63" w:type="dxa"/>
            <w:vMerge w:val="restart"/>
            <w:tcBorders>
              <w:top w:val="single" w:color="auto" w:sz="12" w:space="0"/>
              <w:left w:val="nil"/>
              <w:right w:val="single" w:color="auto" w:sz="4" w:space="0"/>
            </w:tcBorders>
            <w:noWrap w:val="0"/>
            <w:vAlign w:val="center"/>
          </w:tcPr>
          <w:p>
            <w:pPr>
              <w:jc w:val="center"/>
              <w:rPr>
                <w:i w:val="0"/>
                <w:iCs w:val="0"/>
                <w:color w:val="000000"/>
                <w:sz w:val="21"/>
                <w:szCs w:val="21"/>
              </w:rPr>
            </w:pPr>
            <w:r>
              <w:rPr>
                <w:i w:val="0"/>
                <w:iCs w:val="0"/>
                <w:color w:val="000000"/>
                <w:sz w:val="21"/>
                <w:szCs w:val="21"/>
              </w:rPr>
              <w:t>类别</w:t>
            </w:r>
          </w:p>
        </w:tc>
        <w:tc>
          <w:tcPr>
            <w:tcW w:w="2206" w:type="dxa"/>
            <w:gridSpan w:val="2"/>
            <w:tcBorders>
              <w:top w:val="single" w:color="auto" w:sz="12" w:space="0"/>
              <w:left w:val="single" w:color="auto" w:sz="4" w:space="0"/>
              <w:bottom w:val="single" w:color="auto" w:sz="4" w:space="0"/>
              <w:right w:val="single" w:color="auto" w:sz="4" w:space="0"/>
            </w:tcBorders>
            <w:noWrap w:val="0"/>
            <w:vAlign w:val="center"/>
          </w:tcPr>
          <w:p>
            <w:pPr>
              <w:jc w:val="center"/>
              <w:rPr>
                <w:i w:val="0"/>
                <w:iCs w:val="0"/>
                <w:color w:val="000000"/>
                <w:sz w:val="21"/>
                <w:szCs w:val="21"/>
              </w:rPr>
            </w:pPr>
            <w:r>
              <w:rPr>
                <w:i w:val="0"/>
                <w:iCs w:val="0"/>
                <w:color w:val="000000"/>
                <w:sz w:val="21"/>
                <w:szCs w:val="21"/>
              </w:rPr>
              <w:t>环境噪声标准值dB(A)</w:t>
            </w:r>
          </w:p>
        </w:tc>
        <w:tc>
          <w:tcPr>
            <w:tcW w:w="1294" w:type="dxa"/>
            <w:vMerge w:val="restart"/>
            <w:tcBorders>
              <w:top w:val="single" w:color="auto" w:sz="12" w:space="0"/>
              <w:left w:val="single" w:color="auto" w:sz="4" w:space="0"/>
              <w:right w:val="single" w:color="auto" w:sz="4" w:space="0"/>
            </w:tcBorders>
            <w:noWrap w:val="0"/>
            <w:vAlign w:val="center"/>
          </w:tcPr>
          <w:p>
            <w:pPr>
              <w:jc w:val="center"/>
              <w:rPr>
                <w:i w:val="0"/>
                <w:iCs w:val="0"/>
                <w:color w:val="000000"/>
                <w:sz w:val="21"/>
                <w:szCs w:val="21"/>
              </w:rPr>
            </w:pPr>
            <w:r>
              <w:rPr>
                <w:i w:val="0"/>
                <w:iCs w:val="0"/>
                <w:color w:val="000000"/>
                <w:sz w:val="21"/>
                <w:szCs w:val="21"/>
              </w:rPr>
              <w:t>适用范围</w:t>
            </w:r>
          </w:p>
        </w:tc>
        <w:tc>
          <w:tcPr>
            <w:tcW w:w="4624" w:type="dxa"/>
            <w:vMerge w:val="restart"/>
            <w:tcBorders>
              <w:top w:val="single" w:color="auto" w:sz="12" w:space="0"/>
              <w:left w:val="single" w:color="auto" w:sz="4" w:space="0"/>
              <w:right w:val="nil"/>
            </w:tcBorders>
            <w:noWrap w:val="0"/>
            <w:vAlign w:val="center"/>
          </w:tcPr>
          <w:p>
            <w:pPr>
              <w:jc w:val="center"/>
              <w:rPr>
                <w:i w:val="0"/>
                <w:iCs w:val="0"/>
                <w:color w:val="000000"/>
                <w:sz w:val="21"/>
                <w:szCs w:val="21"/>
              </w:rPr>
            </w:pPr>
            <w:r>
              <w:rPr>
                <w:i w:val="0"/>
                <w:iCs w:val="0"/>
                <w:color w:val="000000"/>
                <w:sz w:val="21"/>
                <w:szCs w:val="21"/>
              </w:rPr>
              <w:t>标准来源</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63" w:type="dxa"/>
            <w:vMerge w:val="continue"/>
            <w:tcBorders>
              <w:left w:val="nil"/>
              <w:bottom w:val="single" w:color="auto" w:sz="4" w:space="0"/>
              <w:right w:val="single" w:color="auto" w:sz="4" w:space="0"/>
            </w:tcBorders>
            <w:noWrap w:val="0"/>
            <w:vAlign w:val="center"/>
          </w:tcPr>
          <w:p>
            <w:pPr>
              <w:jc w:val="center"/>
              <w:rPr>
                <w:i w:val="0"/>
                <w:iCs w:val="0"/>
                <w:color w:val="000000"/>
                <w:sz w:val="21"/>
                <w:szCs w:val="21"/>
              </w:rPr>
            </w:pPr>
            <w:bookmarkStart w:id="66" w:name="_Hlt169720409"/>
            <w:bookmarkEnd w:id="66"/>
          </w:p>
        </w:tc>
        <w:tc>
          <w:tcPr>
            <w:tcW w:w="1072" w:type="dxa"/>
            <w:tcBorders>
              <w:top w:val="single" w:color="auto" w:sz="4" w:space="0"/>
              <w:left w:val="single" w:color="auto" w:sz="4" w:space="0"/>
              <w:bottom w:val="single" w:color="auto" w:sz="4" w:space="0"/>
              <w:right w:val="single" w:color="auto" w:sz="4" w:space="0"/>
            </w:tcBorders>
            <w:noWrap w:val="0"/>
            <w:vAlign w:val="center"/>
          </w:tcPr>
          <w:p>
            <w:pPr>
              <w:jc w:val="center"/>
              <w:rPr>
                <w:i w:val="0"/>
                <w:iCs w:val="0"/>
                <w:color w:val="000000"/>
                <w:sz w:val="21"/>
                <w:szCs w:val="21"/>
              </w:rPr>
            </w:pPr>
            <w:r>
              <w:rPr>
                <w:i w:val="0"/>
                <w:iCs w:val="0"/>
                <w:color w:val="000000"/>
                <w:sz w:val="21"/>
                <w:szCs w:val="21"/>
              </w:rPr>
              <w:t>昼间</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i w:val="0"/>
                <w:iCs w:val="0"/>
                <w:color w:val="000000"/>
                <w:sz w:val="21"/>
                <w:szCs w:val="21"/>
              </w:rPr>
            </w:pPr>
            <w:r>
              <w:rPr>
                <w:i w:val="0"/>
                <w:iCs w:val="0"/>
                <w:color w:val="000000"/>
                <w:sz w:val="21"/>
                <w:szCs w:val="21"/>
              </w:rPr>
              <w:t>夜间</w:t>
            </w:r>
          </w:p>
        </w:tc>
        <w:tc>
          <w:tcPr>
            <w:tcW w:w="1294" w:type="dxa"/>
            <w:vMerge w:val="continue"/>
            <w:tcBorders>
              <w:left w:val="single" w:color="auto" w:sz="4" w:space="0"/>
              <w:bottom w:val="single" w:color="auto" w:sz="4" w:space="0"/>
              <w:right w:val="single" w:color="auto" w:sz="4" w:space="0"/>
            </w:tcBorders>
            <w:noWrap w:val="0"/>
            <w:vAlign w:val="center"/>
          </w:tcPr>
          <w:p>
            <w:pPr>
              <w:jc w:val="center"/>
              <w:rPr>
                <w:i w:val="0"/>
                <w:iCs w:val="0"/>
                <w:color w:val="000000"/>
                <w:sz w:val="21"/>
                <w:szCs w:val="21"/>
              </w:rPr>
            </w:pPr>
          </w:p>
        </w:tc>
        <w:tc>
          <w:tcPr>
            <w:tcW w:w="4624" w:type="dxa"/>
            <w:vMerge w:val="continue"/>
            <w:tcBorders>
              <w:left w:val="single" w:color="auto" w:sz="4" w:space="0"/>
              <w:bottom w:val="single" w:color="auto" w:sz="4" w:space="0"/>
              <w:right w:val="nil"/>
            </w:tcBorders>
            <w:noWrap w:val="0"/>
            <w:vAlign w:val="center"/>
          </w:tcPr>
          <w:p>
            <w:pPr>
              <w:jc w:val="center"/>
              <w:rPr>
                <w:i w:val="0"/>
                <w:iCs w:val="0"/>
                <w:color w:val="000000"/>
                <w:sz w:val="21"/>
                <w:szCs w:val="21"/>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jc w:val="center"/>
        </w:trPr>
        <w:tc>
          <w:tcPr>
            <w:tcW w:w="1163" w:type="dxa"/>
            <w:tcBorders>
              <w:top w:val="single" w:color="auto" w:sz="4" w:space="0"/>
              <w:left w:val="nil"/>
              <w:bottom w:val="single" w:color="auto" w:sz="4" w:space="0"/>
              <w:right w:val="single" w:color="auto" w:sz="4" w:space="0"/>
            </w:tcBorders>
            <w:noWrap w:val="0"/>
            <w:vAlign w:val="center"/>
          </w:tcPr>
          <w:p>
            <w:pPr>
              <w:jc w:val="center"/>
              <w:rPr>
                <w:rFonts w:hint="eastAsia"/>
                <w:i w:val="0"/>
                <w:iCs w:val="0"/>
                <w:color w:val="000000"/>
                <w:sz w:val="21"/>
                <w:szCs w:val="21"/>
              </w:rPr>
            </w:pPr>
            <w:r>
              <w:rPr>
                <w:i w:val="0"/>
                <w:iCs w:val="0"/>
                <w:color w:val="000000"/>
                <w:sz w:val="21"/>
                <w:szCs w:val="21"/>
              </w:rPr>
              <w:t>厂界</w:t>
            </w:r>
            <w:r>
              <w:rPr>
                <w:rFonts w:hint="eastAsia"/>
                <w:i w:val="0"/>
                <w:iCs w:val="0"/>
                <w:color w:val="000000"/>
                <w:sz w:val="21"/>
                <w:szCs w:val="21"/>
              </w:rPr>
              <w:t>四周</w:t>
            </w:r>
          </w:p>
        </w:tc>
        <w:tc>
          <w:tcPr>
            <w:tcW w:w="107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60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50</w:t>
            </w:r>
          </w:p>
        </w:tc>
        <w:tc>
          <w:tcPr>
            <w:tcW w:w="1294" w:type="dxa"/>
            <w:tcBorders>
              <w:top w:val="single" w:color="auto" w:sz="4" w:space="0"/>
              <w:left w:val="single" w:color="auto" w:sz="4" w:space="0"/>
              <w:right w:val="single" w:color="auto" w:sz="4" w:space="0"/>
            </w:tcBorders>
            <w:noWrap w:val="0"/>
            <w:vAlign w:val="center"/>
          </w:tcPr>
          <w:p>
            <w:pPr>
              <w:jc w:val="center"/>
              <w:rPr>
                <w:rFonts w:hint="eastAsia"/>
                <w:i w:val="0"/>
                <w:iCs w:val="0"/>
                <w:color w:val="000000"/>
                <w:sz w:val="21"/>
                <w:szCs w:val="21"/>
              </w:rPr>
            </w:pPr>
            <w:r>
              <w:rPr>
                <w:rFonts w:hint="eastAsia"/>
                <w:i w:val="0"/>
                <w:iCs w:val="0"/>
                <w:color w:val="000000"/>
                <w:sz w:val="21"/>
                <w:szCs w:val="21"/>
              </w:rPr>
              <w:t>生产区</w:t>
            </w:r>
          </w:p>
          <w:p>
            <w:pPr>
              <w:jc w:val="center"/>
              <w:rPr>
                <w:i w:val="0"/>
                <w:iCs w:val="0"/>
                <w:color w:val="000000"/>
                <w:sz w:val="21"/>
                <w:szCs w:val="21"/>
              </w:rPr>
            </w:pPr>
            <w:r>
              <w:rPr>
                <w:i w:val="0"/>
                <w:iCs w:val="0"/>
                <w:color w:val="000000"/>
                <w:sz w:val="21"/>
                <w:szCs w:val="21"/>
              </w:rPr>
              <w:t>（运营期）</w:t>
            </w:r>
          </w:p>
        </w:tc>
        <w:tc>
          <w:tcPr>
            <w:tcW w:w="4624" w:type="dxa"/>
            <w:tcBorders>
              <w:top w:val="single" w:color="auto" w:sz="4" w:space="0"/>
              <w:left w:val="single" w:color="auto" w:sz="4" w:space="0"/>
              <w:bottom w:val="single" w:color="auto" w:sz="4" w:space="0"/>
              <w:right w:val="nil"/>
            </w:tcBorders>
            <w:noWrap w:val="0"/>
            <w:vAlign w:val="center"/>
          </w:tcPr>
          <w:p>
            <w:pPr>
              <w:jc w:val="center"/>
              <w:rPr>
                <w:i w:val="0"/>
                <w:iCs w:val="0"/>
                <w:color w:val="000000"/>
                <w:sz w:val="21"/>
                <w:szCs w:val="21"/>
              </w:rPr>
            </w:pPr>
            <w:r>
              <w:rPr>
                <w:i w:val="0"/>
                <w:iCs w:val="0"/>
                <w:color w:val="000000"/>
                <w:sz w:val="21"/>
                <w:szCs w:val="21"/>
              </w:rPr>
              <w:t>《工业企业厂界环境噪声排放标准》（GB12348-2008）</w:t>
            </w:r>
            <w:r>
              <w:rPr>
                <w:rFonts w:hint="eastAsia"/>
                <w:i w:val="0"/>
                <w:iCs w:val="0"/>
                <w:color w:val="000000"/>
                <w:sz w:val="21"/>
                <w:szCs w:val="21"/>
                <w:lang w:val="en-US" w:eastAsia="zh-CN"/>
              </w:rPr>
              <w:t>2</w:t>
            </w:r>
            <w:r>
              <w:rPr>
                <w:i w:val="0"/>
                <w:iCs w:val="0"/>
                <w:color w:val="000000"/>
                <w:sz w:val="21"/>
                <w:szCs w:val="21"/>
              </w:rPr>
              <w:t>类区</w:t>
            </w:r>
            <w:r>
              <w:rPr>
                <w:rFonts w:hint="eastAsia"/>
                <w:i w:val="0"/>
                <w:iCs w:val="0"/>
                <w:color w:val="000000"/>
                <w:sz w:val="21"/>
                <w:szCs w:val="21"/>
              </w:rPr>
              <w:t>标准</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63" w:type="dxa"/>
            <w:tcBorders>
              <w:top w:val="single" w:color="auto" w:sz="4" w:space="0"/>
              <w:left w:val="nil"/>
              <w:bottom w:val="single" w:color="auto" w:sz="4" w:space="0"/>
              <w:right w:val="single" w:color="auto" w:sz="4" w:space="0"/>
            </w:tcBorders>
            <w:noWrap w:val="0"/>
            <w:vAlign w:val="center"/>
          </w:tcPr>
          <w:p>
            <w:pPr>
              <w:jc w:val="center"/>
              <w:rPr>
                <w:i w:val="0"/>
                <w:iCs w:val="0"/>
                <w:color w:val="000000"/>
                <w:sz w:val="21"/>
                <w:szCs w:val="21"/>
              </w:rPr>
            </w:pPr>
            <w:r>
              <w:rPr>
                <w:rFonts w:hint="eastAsia"/>
                <w:i w:val="0"/>
                <w:iCs w:val="0"/>
                <w:color w:val="000000"/>
                <w:sz w:val="21"/>
                <w:szCs w:val="21"/>
              </w:rPr>
              <w:t>敏感点</w:t>
            </w:r>
          </w:p>
        </w:tc>
        <w:tc>
          <w:tcPr>
            <w:tcW w:w="1072" w:type="dxa"/>
            <w:tcBorders>
              <w:top w:val="single" w:color="auto" w:sz="4" w:space="0"/>
              <w:left w:val="single" w:color="auto" w:sz="4" w:space="0"/>
              <w:bottom w:val="single" w:color="auto" w:sz="4" w:space="0"/>
              <w:right w:val="single" w:color="auto" w:sz="4" w:space="0"/>
            </w:tcBorders>
            <w:noWrap w:val="0"/>
            <w:vAlign w:val="center"/>
          </w:tcPr>
          <w:p>
            <w:pPr>
              <w:jc w:val="center"/>
              <w:rPr>
                <w:i w:val="0"/>
                <w:iCs w:val="0"/>
                <w:color w:val="000000"/>
                <w:sz w:val="21"/>
                <w:szCs w:val="21"/>
              </w:rPr>
            </w:pPr>
            <w:r>
              <w:rPr>
                <w:rFonts w:hint="eastAsia"/>
                <w:i w:val="0"/>
                <w:iCs w:val="0"/>
                <w:color w:val="000000"/>
                <w:sz w:val="21"/>
                <w:szCs w:val="21"/>
                <w:lang w:val="en-US" w:eastAsia="zh-CN"/>
              </w:rPr>
              <w:t>60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i w:val="0"/>
                <w:iCs w:val="0"/>
                <w:color w:val="000000"/>
                <w:sz w:val="21"/>
                <w:szCs w:val="21"/>
              </w:rPr>
            </w:pPr>
            <w:r>
              <w:rPr>
                <w:rFonts w:hint="eastAsia"/>
                <w:i w:val="0"/>
                <w:iCs w:val="0"/>
                <w:color w:val="000000"/>
                <w:sz w:val="21"/>
                <w:szCs w:val="21"/>
                <w:lang w:val="en-US" w:eastAsia="zh-CN"/>
              </w:rPr>
              <w:t>50</w:t>
            </w:r>
          </w:p>
        </w:tc>
        <w:tc>
          <w:tcPr>
            <w:tcW w:w="1294" w:type="dxa"/>
            <w:tcBorders>
              <w:top w:val="single" w:color="auto" w:sz="4" w:space="0"/>
              <w:left w:val="single" w:color="auto" w:sz="4" w:space="0"/>
              <w:right w:val="single" w:color="auto" w:sz="4" w:space="0"/>
            </w:tcBorders>
            <w:noWrap w:val="0"/>
            <w:vAlign w:val="center"/>
          </w:tcPr>
          <w:p>
            <w:pPr>
              <w:jc w:val="center"/>
              <w:rPr>
                <w:i w:val="0"/>
                <w:iCs w:val="0"/>
                <w:color w:val="000000"/>
                <w:sz w:val="21"/>
                <w:szCs w:val="21"/>
              </w:rPr>
            </w:pPr>
            <w:r>
              <w:rPr>
                <w:rFonts w:hint="eastAsia"/>
                <w:i w:val="0"/>
                <w:iCs w:val="0"/>
                <w:color w:val="000000"/>
                <w:sz w:val="21"/>
                <w:szCs w:val="21"/>
              </w:rPr>
              <w:t>周围敏感点</w:t>
            </w:r>
            <w:r>
              <w:rPr>
                <w:i w:val="0"/>
                <w:iCs w:val="0"/>
                <w:color w:val="000000"/>
                <w:sz w:val="21"/>
                <w:szCs w:val="21"/>
              </w:rPr>
              <w:t>（运营期）</w:t>
            </w:r>
          </w:p>
        </w:tc>
        <w:tc>
          <w:tcPr>
            <w:tcW w:w="4624" w:type="dxa"/>
            <w:tcBorders>
              <w:top w:val="single" w:color="auto" w:sz="4" w:space="0"/>
              <w:left w:val="single" w:color="auto" w:sz="4" w:space="0"/>
              <w:bottom w:val="single" w:color="auto" w:sz="4" w:space="0"/>
              <w:right w:val="nil"/>
            </w:tcBorders>
            <w:noWrap w:val="0"/>
            <w:vAlign w:val="center"/>
          </w:tcPr>
          <w:p>
            <w:pPr>
              <w:jc w:val="center"/>
              <w:rPr>
                <w:i w:val="0"/>
                <w:iCs w:val="0"/>
                <w:color w:val="000000"/>
                <w:sz w:val="21"/>
                <w:szCs w:val="21"/>
              </w:rPr>
            </w:pPr>
            <w:r>
              <w:rPr>
                <w:i w:val="0"/>
                <w:iCs w:val="0"/>
                <w:color w:val="000000"/>
                <w:sz w:val="21"/>
                <w:szCs w:val="21"/>
              </w:rPr>
              <w:t>《声环境质量标准》（GB3096-2008）</w:t>
            </w:r>
            <w:r>
              <w:rPr>
                <w:rFonts w:hint="eastAsia"/>
                <w:i w:val="0"/>
                <w:iCs w:val="0"/>
                <w:color w:val="000000"/>
                <w:sz w:val="21"/>
                <w:szCs w:val="21"/>
                <w:lang w:val="en-US" w:eastAsia="zh-CN"/>
              </w:rPr>
              <w:t>2</w:t>
            </w:r>
            <w:r>
              <w:rPr>
                <w:i w:val="0"/>
                <w:iCs w:val="0"/>
                <w:color w:val="000000"/>
                <w:sz w:val="21"/>
                <w:szCs w:val="21"/>
              </w:rPr>
              <w:t>类区标准</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63" w:type="dxa"/>
            <w:tcBorders>
              <w:top w:val="single" w:color="auto" w:sz="4" w:space="0"/>
              <w:left w:val="nil"/>
              <w:bottom w:val="single" w:color="auto" w:sz="12" w:space="0"/>
              <w:right w:val="single" w:color="auto" w:sz="4" w:space="0"/>
            </w:tcBorders>
            <w:noWrap w:val="0"/>
            <w:vAlign w:val="center"/>
          </w:tcPr>
          <w:p>
            <w:pPr>
              <w:jc w:val="center"/>
              <w:rPr>
                <w:i w:val="0"/>
                <w:iCs w:val="0"/>
                <w:color w:val="000000"/>
                <w:sz w:val="21"/>
                <w:szCs w:val="21"/>
              </w:rPr>
            </w:pPr>
            <w:r>
              <w:rPr>
                <w:i w:val="0"/>
                <w:iCs w:val="0"/>
                <w:color w:val="000000"/>
                <w:sz w:val="21"/>
                <w:szCs w:val="21"/>
              </w:rPr>
              <w:t>厂界</w:t>
            </w:r>
          </w:p>
        </w:tc>
        <w:tc>
          <w:tcPr>
            <w:tcW w:w="1072" w:type="dxa"/>
            <w:tcBorders>
              <w:top w:val="single" w:color="auto" w:sz="4" w:space="0"/>
              <w:left w:val="single" w:color="auto" w:sz="4" w:space="0"/>
              <w:bottom w:val="single" w:color="auto" w:sz="12" w:space="0"/>
              <w:right w:val="single" w:color="auto" w:sz="4" w:space="0"/>
            </w:tcBorders>
            <w:noWrap w:val="0"/>
            <w:vAlign w:val="center"/>
          </w:tcPr>
          <w:p>
            <w:pPr>
              <w:jc w:val="center"/>
              <w:rPr>
                <w:i w:val="0"/>
                <w:iCs w:val="0"/>
                <w:color w:val="000000"/>
                <w:sz w:val="21"/>
                <w:szCs w:val="21"/>
              </w:rPr>
            </w:pPr>
            <w:r>
              <w:rPr>
                <w:i w:val="0"/>
                <w:iCs w:val="0"/>
                <w:color w:val="000000"/>
                <w:sz w:val="21"/>
                <w:szCs w:val="21"/>
              </w:rPr>
              <w:t>70</w:t>
            </w:r>
          </w:p>
        </w:tc>
        <w:tc>
          <w:tcPr>
            <w:tcW w:w="1134" w:type="dxa"/>
            <w:tcBorders>
              <w:top w:val="single" w:color="auto" w:sz="4" w:space="0"/>
              <w:left w:val="single" w:color="auto" w:sz="4" w:space="0"/>
              <w:bottom w:val="single" w:color="auto" w:sz="12" w:space="0"/>
              <w:right w:val="single" w:color="auto" w:sz="4" w:space="0"/>
            </w:tcBorders>
            <w:noWrap w:val="0"/>
            <w:vAlign w:val="center"/>
          </w:tcPr>
          <w:p>
            <w:pPr>
              <w:jc w:val="center"/>
              <w:rPr>
                <w:i w:val="0"/>
                <w:iCs w:val="0"/>
                <w:color w:val="000000"/>
                <w:sz w:val="21"/>
                <w:szCs w:val="21"/>
              </w:rPr>
            </w:pPr>
            <w:r>
              <w:rPr>
                <w:i w:val="0"/>
                <w:iCs w:val="0"/>
                <w:color w:val="000000"/>
                <w:sz w:val="21"/>
                <w:szCs w:val="21"/>
              </w:rPr>
              <w:t>55</w:t>
            </w:r>
          </w:p>
        </w:tc>
        <w:tc>
          <w:tcPr>
            <w:tcW w:w="1294" w:type="dxa"/>
            <w:tcBorders>
              <w:top w:val="single" w:color="auto" w:sz="4" w:space="0"/>
              <w:left w:val="single" w:color="auto" w:sz="4" w:space="0"/>
              <w:bottom w:val="single" w:color="auto" w:sz="12" w:space="0"/>
              <w:right w:val="single" w:color="auto" w:sz="4" w:space="0"/>
            </w:tcBorders>
            <w:noWrap w:val="0"/>
            <w:vAlign w:val="center"/>
          </w:tcPr>
          <w:p>
            <w:pPr>
              <w:jc w:val="center"/>
              <w:rPr>
                <w:i w:val="0"/>
                <w:iCs w:val="0"/>
                <w:color w:val="000000"/>
                <w:sz w:val="21"/>
                <w:szCs w:val="21"/>
              </w:rPr>
            </w:pPr>
            <w:r>
              <w:rPr>
                <w:i w:val="0"/>
                <w:iCs w:val="0"/>
                <w:color w:val="000000"/>
                <w:sz w:val="21"/>
                <w:szCs w:val="21"/>
              </w:rPr>
              <w:t>施工期</w:t>
            </w:r>
          </w:p>
        </w:tc>
        <w:tc>
          <w:tcPr>
            <w:tcW w:w="4624" w:type="dxa"/>
            <w:tcBorders>
              <w:top w:val="single" w:color="auto" w:sz="4" w:space="0"/>
              <w:left w:val="single" w:color="auto" w:sz="4" w:space="0"/>
              <w:bottom w:val="single" w:color="auto" w:sz="12" w:space="0"/>
              <w:right w:val="nil"/>
            </w:tcBorders>
            <w:noWrap w:val="0"/>
            <w:vAlign w:val="center"/>
          </w:tcPr>
          <w:p>
            <w:pPr>
              <w:jc w:val="center"/>
              <w:rPr>
                <w:i w:val="0"/>
                <w:iCs w:val="0"/>
                <w:color w:val="000000"/>
                <w:sz w:val="21"/>
                <w:szCs w:val="21"/>
              </w:rPr>
            </w:pPr>
            <w:r>
              <w:rPr>
                <w:i w:val="0"/>
                <w:iCs w:val="0"/>
                <w:color w:val="000000"/>
                <w:sz w:val="21"/>
                <w:szCs w:val="21"/>
              </w:rPr>
              <w:t>《建筑施工场界环境噪声排放标准》（GB12523－2011）</w:t>
            </w:r>
          </w:p>
        </w:tc>
      </w:tr>
    </w:tbl>
    <w:p>
      <w:pPr>
        <w:widowControl/>
        <w:adjustRightInd w:val="0"/>
        <w:snapToGrid w:val="0"/>
        <w:spacing w:line="360" w:lineRule="auto"/>
        <w:ind w:firstLine="480" w:firstLineChars="200"/>
        <w:rPr>
          <w:i w:val="0"/>
          <w:iCs w:val="0"/>
          <w:kern w:val="0"/>
        </w:rPr>
      </w:pPr>
      <w:r>
        <w:rPr>
          <w:i w:val="0"/>
          <w:iCs w:val="0"/>
          <w:kern w:val="0"/>
        </w:rPr>
        <w:t>4、固体废物储存控制标准</w:t>
      </w:r>
    </w:p>
    <w:p>
      <w:pPr>
        <w:spacing w:line="360" w:lineRule="auto"/>
        <w:ind w:firstLine="480" w:firstLineChars="200"/>
        <w:rPr>
          <w:rFonts w:hint="eastAsia"/>
          <w:i w:val="0"/>
          <w:iCs w:val="0"/>
        </w:rPr>
      </w:pPr>
      <w:r>
        <w:rPr>
          <w:rFonts w:hint="eastAsia"/>
          <w:i w:val="0"/>
          <w:iCs w:val="0"/>
        </w:rPr>
        <w:t>固体废物排放执行《一般工业固体废物贮存和填埋污染控制标准》（GB18599-2020）。</w:t>
      </w:r>
    </w:p>
    <w:p>
      <w:pPr>
        <w:spacing w:line="360" w:lineRule="auto"/>
        <w:ind w:firstLine="480" w:firstLineChars="200"/>
        <w:rPr>
          <w:rFonts w:hint="eastAsia"/>
          <w:i w:val="0"/>
          <w:iCs w:val="0"/>
        </w:rPr>
      </w:pPr>
      <w:r>
        <w:rPr>
          <w:rFonts w:hint="eastAsia"/>
          <w:i w:val="0"/>
          <w:iCs w:val="0"/>
        </w:rPr>
        <w:t>危险废物鉴别执行《危险废物鉴别标准》(GB5085.1~7-2007)，其贮存、管理执行《危险废物贮存污染控制标准》（GB18597-2023）。</w:t>
      </w:r>
    </w:p>
    <w:p>
      <w:pPr>
        <w:pStyle w:val="4"/>
        <w:rPr>
          <w:rFonts w:ascii="Times New Roman" w:hAnsi="Times New Roman" w:eastAsia="宋体"/>
          <w:b/>
          <w:i w:val="0"/>
          <w:iCs w:val="0"/>
          <w:sz w:val="28"/>
          <w:szCs w:val="28"/>
        </w:rPr>
      </w:pPr>
      <w:bookmarkStart w:id="67" w:name="_Toc272"/>
      <w:r>
        <w:rPr>
          <w:rFonts w:hint="eastAsia" w:ascii="Times New Roman" w:hAnsi="Times New Roman" w:eastAsia="宋体"/>
          <w:b/>
          <w:i w:val="0"/>
          <w:iCs w:val="0"/>
          <w:sz w:val="28"/>
          <w:szCs w:val="28"/>
        </w:rPr>
        <w:t>2</w:t>
      </w:r>
      <w:r>
        <w:rPr>
          <w:rFonts w:ascii="Times New Roman" w:hAnsi="Times New Roman" w:eastAsia="宋体"/>
          <w:b/>
          <w:i w:val="0"/>
          <w:iCs w:val="0"/>
          <w:sz w:val="28"/>
          <w:szCs w:val="28"/>
        </w:rPr>
        <w:t>.4控制污染与环境保护目标</w:t>
      </w:r>
      <w:bookmarkEnd w:id="67"/>
    </w:p>
    <w:p>
      <w:pPr>
        <w:spacing w:line="360" w:lineRule="auto"/>
        <w:ind w:firstLine="480" w:firstLineChars="200"/>
        <w:rPr>
          <w:rFonts w:hint="eastAsia"/>
          <w:i w:val="0"/>
          <w:iCs w:val="0"/>
        </w:rPr>
      </w:pPr>
      <w:r>
        <w:rPr>
          <w:rFonts w:hint="eastAsia"/>
          <w:i w:val="0"/>
          <w:iCs w:val="0"/>
        </w:rPr>
        <w:t>2</w:t>
      </w:r>
      <w:r>
        <w:rPr>
          <w:i w:val="0"/>
          <w:iCs w:val="0"/>
        </w:rPr>
        <w:t>.4.1</w:t>
      </w:r>
      <w:r>
        <w:rPr>
          <w:rFonts w:hint="eastAsia"/>
          <w:i w:val="0"/>
          <w:iCs w:val="0"/>
        </w:rPr>
        <w:t>污染控制目标</w:t>
      </w:r>
    </w:p>
    <w:p>
      <w:pPr>
        <w:spacing w:line="360" w:lineRule="auto"/>
        <w:ind w:firstLine="480" w:firstLineChars="200"/>
        <w:rPr>
          <w:i w:val="0"/>
          <w:iCs w:val="0"/>
        </w:rPr>
      </w:pPr>
      <w:r>
        <w:rPr>
          <w:i w:val="0"/>
          <w:iCs w:val="0"/>
        </w:rPr>
        <w:t>污染控制目标是使污染物的排放符合各自的排放标准或控制指标，同时应满足总量控制的要求。根据厂区周围环境特征及环境质量区划要求，确定本项目主要环境保护目标及保护级别详见表</w:t>
      </w:r>
      <w:r>
        <w:rPr>
          <w:rFonts w:hint="eastAsia"/>
          <w:i w:val="0"/>
          <w:iCs w:val="0"/>
        </w:rPr>
        <w:t>2-1</w:t>
      </w:r>
      <w:r>
        <w:rPr>
          <w:rFonts w:hint="eastAsia"/>
          <w:i w:val="0"/>
          <w:iCs w:val="0"/>
          <w:lang w:val="en-US" w:eastAsia="zh-CN"/>
        </w:rPr>
        <w:t>5</w:t>
      </w:r>
      <w:r>
        <w:rPr>
          <w:i w:val="0"/>
          <w:iCs w:val="0"/>
        </w:rPr>
        <w:t>。</w:t>
      </w:r>
    </w:p>
    <w:p>
      <w:pPr>
        <w:ind w:firstLine="482" w:firstLineChars="200"/>
        <w:jc w:val="center"/>
        <w:rPr>
          <w:rFonts w:hint="eastAsia"/>
          <w:b/>
          <w:bCs/>
          <w:i w:val="0"/>
          <w:iCs w:val="0"/>
        </w:rPr>
      </w:pPr>
      <w:r>
        <w:rPr>
          <w:rFonts w:hint="eastAsia"/>
          <w:b/>
          <w:bCs/>
          <w:i w:val="0"/>
          <w:iCs w:val="0"/>
        </w:rPr>
        <w:t>表2-1</w:t>
      </w:r>
      <w:r>
        <w:rPr>
          <w:rFonts w:hint="eastAsia"/>
          <w:b/>
          <w:bCs/>
          <w:i w:val="0"/>
          <w:iCs w:val="0"/>
          <w:lang w:val="en-US" w:eastAsia="zh-CN"/>
        </w:rPr>
        <w:t>5</w:t>
      </w:r>
      <w:r>
        <w:rPr>
          <w:rFonts w:hint="eastAsia"/>
          <w:b/>
          <w:bCs/>
          <w:i w:val="0"/>
          <w:iCs w:val="0"/>
        </w:rPr>
        <w:t>污染控制目标一览表</w:t>
      </w:r>
    </w:p>
    <w:tbl>
      <w:tblPr>
        <w:tblStyle w:val="58"/>
        <w:tblW w:w="9583"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88"/>
        <w:gridCol w:w="1119"/>
        <w:gridCol w:w="807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7" w:hRule="atLeast"/>
        </w:trPr>
        <w:tc>
          <w:tcPr>
            <w:tcW w:w="1507" w:type="dxa"/>
            <w:gridSpan w:val="2"/>
            <w:noWrap w:val="0"/>
            <w:vAlign w:val="center"/>
          </w:tcPr>
          <w:p>
            <w:pPr>
              <w:jc w:val="center"/>
              <w:rPr>
                <w:i w:val="0"/>
                <w:iCs w:val="0"/>
                <w:color w:val="000000"/>
                <w:sz w:val="21"/>
                <w:szCs w:val="21"/>
              </w:rPr>
            </w:pPr>
            <w:r>
              <w:rPr>
                <w:i w:val="0"/>
                <w:iCs w:val="0"/>
                <w:color w:val="000000"/>
                <w:sz w:val="21"/>
                <w:szCs w:val="21"/>
              </w:rPr>
              <w:t>因素</w:t>
            </w:r>
          </w:p>
        </w:tc>
        <w:tc>
          <w:tcPr>
            <w:tcW w:w="8076" w:type="dxa"/>
            <w:noWrap w:val="0"/>
            <w:vAlign w:val="center"/>
          </w:tcPr>
          <w:p>
            <w:pPr>
              <w:jc w:val="center"/>
              <w:rPr>
                <w:i w:val="0"/>
                <w:iCs w:val="0"/>
                <w:color w:val="000000"/>
                <w:sz w:val="21"/>
                <w:szCs w:val="21"/>
              </w:rPr>
            </w:pPr>
            <w:r>
              <w:rPr>
                <w:i w:val="0"/>
                <w:iCs w:val="0"/>
                <w:color w:val="000000"/>
                <w:sz w:val="21"/>
                <w:szCs w:val="21"/>
              </w:rPr>
              <w:t>污染控制目标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56" w:hRule="atLeast"/>
        </w:trPr>
        <w:tc>
          <w:tcPr>
            <w:tcW w:w="388" w:type="dxa"/>
            <w:noWrap w:val="0"/>
            <w:vAlign w:val="center"/>
          </w:tcPr>
          <w:p>
            <w:pPr>
              <w:jc w:val="center"/>
              <w:rPr>
                <w:i w:val="0"/>
                <w:iCs w:val="0"/>
                <w:color w:val="000000"/>
                <w:sz w:val="21"/>
                <w:szCs w:val="21"/>
              </w:rPr>
            </w:pPr>
            <w:r>
              <w:rPr>
                <w:i w:val="0"/>
                <w:iCs w:val="0"/>
                <w:color w:val="000000"/>
                <w:sz w:val="21"/>
                <w:szCs w:val="21"/>
              </w:rPr>
              <w:t>施工期</w:t>
            </w:r>
          </w:p>
        </w:tc>
        <w:tc>
          <w:tcPr>
            <w:tcW w:w="1119" w:type="dxa"/>
            <w:noWrap w:val="0"/>
            <w:vAlign w:val="center"/>
          </w:tcPr>
          <w:p>
            <w:pPr>
              <w:jc w:val="center"/>
              <w:rPr>
                <w:i w:val="0"/>
                <w:iCs w:val="0"/>
                <w:color w:val="000000"/>
                <w:sz w:val="21"/>
                <w:szCs w:val="21"/>
              </w:rPr>
            </w:pPr>
            <w:r>
              <w:rPr>
                <w:i w:val="0"/>
                <w:iCs w:val="0"/>
                <w:color w:val="000000"/>
                <w:sz w:val="21"/>
                <w:szCs w:val="21"/>
              </w:rPr>
              <w:t>噪声</w:t>
            </w:r>
          </w:p>
        </w:tc>
        <w:tc>
          <w:tcPr>
            <w:tcW w:w="8076" w:type="dxa"/>
            <w:noWrap w:val="0"/>
            <w:vAlign w:val="center"/>
          </w:tcPr>
          <w:p>
            <w:pPr>
              <w:jc w:val="center"/>
              <w:rPr>
                <w:i w:val="0"/>
                <w:iCs w:val="0"/>
                <w:color w:val="000000"/>
                <w:sz w:val="21"/>
                <w:szCs w:val="21"/>
              </w:rPr>
            </w:pPr>
            <w:r>
              <w:rPr>
                <w:i w:val="0"/>
                <w:iCs w:val="0"/>
                <w:color w:val="000000"/>
                <w:sz w:val="21"/>
                <w:szCs w:val="21"/>
              </w:rPr>
              <w:t>控制施工噪声，保护建设项目周围居民等环境敏感目标不受本项目施工噪声的影响，使声环境质量符合《声环境质量标准》（GB3096-2008）</w:t>
            </w:r>
            <w:r>
              <w:rPr>
                <w:rFonts w:hint="eastAsia"/>
                <w:i w:val="0"/>
                <w:iCs w:val="0"/>
                <w:color w:val="000000"/>
                <w:sz w:val="21"/>
                <w:szCs w:val="21"/>
                <w:lang w:val="en-US" w:eastAsia="zh-CN"/>
              </w:rPr>
              <w:t>2</w:t>
            </w:r>
            <w:r>
              <w:rPr>
                <w:i w:val="0"/>
                <w:iCs w:val="0"/>
                <w:color w:val="000000"/>
                <w:sz w:val="21"/>
                <w:szCs w:val="21"/>
              </w:rPr>
              <w:t>类区标准要求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3" w:hRule="atLeast"/>
        </w:trPr>
        <w:tc>
          <w:tcPr>
            <w:tcW w:w="388" w:type="dxa"/>
            <w:vMerge w:val="restart"/>
            <w:noWrap w:val="0"/>
            <w:vAlign w:val="center"/>
          </w:tcPr>
          <w:p>
            <w:pPr>
              <w:jc w:val="center"/>
              <w:rPr>
                <w:i w:val="0"/>
                <w:iCs w:val="0"/>
                <w:color w:val="000000"/>
                <w:sz w:val="21"/>
                <w:szCs w:val="21"/>
              </w:rPr>
            </w:pPr>
            <w:r>
              <w:rPr>
                <w:i w:val="0"/>
                <w:iCs w:val="0"/>
                <w:color w:val="000000"/>
                <w:sz w:val="21"/>
                <w:szCs w:val="21"/>
              </w:rPr>
              <w:t>运营期</w:t>
            </w:r>
          </w:p>
        </w:tc>
        <w:tc>
          <w:tcPr>
            <w:tcW w:w="1119" w:type="dxa"/>
            <w:noWrap w:val="0"/>
            <w:vAlign w:val="center"/>
          </w:tcPr>
          <w:p>
            <w:pPr>
              <w:jc w:val="center"/>
              <w:rPr>
                <w:i w:val="0"/>
                <w:iCs w:val="0"/>
                <w:color w:val="000000"/>
                <w:sz w:val="21"/>
                <w:szCs w:val="21"/>
              </w:rPr>
            </w:pPr>
            <w:r>
              <w:rPr>
                <w:i w:val="0"/>
                <w:iCs w:val="0"/>
                <w:color w:val="000000"/>
                <w:sz w:val="21"/>
                <w:szCs w:val="21"/>
              </w:rPr>
              <w:t>废气</w:t>
            </w:r>
          </w:p>
        </w:tc>
        <w:tc>
          <w:tcPr>
            <w:tcW w:w="8076" w:type="dxa"/>
            <w:noWrap w:val="0"/>
            <w:vAlign w:val="top"/>
          </w:tcPr>
          <w:p>
            <w:pPr>
              <w:jc w:val="center"/>
              <w:rPr>
                <w:i w:val="0"/>
                <w:iCs w:val="0"/>
                <w:color w:val="000000"/>
                <w:sz w:val="21"/>
                <w:szCs w:val="21"/>
              </w:rPr>
            </w:pPr>
            <w:r>
              <w:rPr>
                <w:i w:val="0"/>
                <w:iCs w:val="0"/>
                <w:color w:val="000000"/>
                <w:sz w:val="21"/>
                <w:szCs w:val="21"/>
              </w:rPr>
              <w:t>控制本项目各工段废气污染物的排放符合相应标准要求，保护区域环境空气质量满足《环境空气质量标准》（GB3095-2012）二类区标准要求。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32" w:hRule="atLeast"/>
        </w:trPr>
        <w:tc>
          <w:tcPr>
            <w:tcW w:w="388" w:type="dxa"/>
            <w:vMerge w:val="continue"/>
            <w:noWrap w:val="0"/>
            <w:vAlign w:val="center"/>
          </w:tcPr>
          <w:p>
            <w:pPr>
              <w:jc w:val="center"/>
              <w:rPr>
                <w:i w:val="0"/>
                <w:iCs w:val="0"/>
                <w:color w:val="000000"/>
                <w:sz w:val="21"/>
                <w:szCs w:val="21"/>
              </w:rPr>
            </w:pPr>
          </w:p>
        </w:tc>
        <w:tc>
          <w:tcPr>
            <w:tcW w:w="1119" w:type="dxa"/>
            <w:noWrap w:val="0"/>
            <w:vAlign w:val="center"/>
          </w:tcPr>
          <w:p>
            <w:pPr>
              <w:jc w:val="center"/>
              <w:rPr>
                <w:i w:val="0"/>
                <w:iCs w:val="0"/>
                <w:color w:val="000000"/>
                <w:sz w:val="21"/>
                <w:szCs w:val="21"/>
              </w:rPr>
            </w:pPr>
            <w:r>
              <w:rPr>
                <w:i w:val="0"/>
                <w:iCs w:val="0"/>
                <w:color w:val="000000"/>
                <w:sz w:val="21"/>
                <w:szCs w:val="21"/>
              </w:rPr>
              <w:t>废水</w:t>
            </w:r>
          </w:p>
        </w:tc>
        <w:tc>
          <w:tcPr>
            <w:tcW w:w="8076" w:type="dxa"/>
            <w:noWrap w:val="0"/>
            <w:vAlign w:val="center"/>
          </w:tcPr>
          <w:p>
            <w:pPr>
              <w:jc w:val="center"/>
              <w:rPr>
                <w:i w:val="0"/>
                <w:iCs w:val="0"/>
                <w:color w:val="000000"/>
                <w:sz w:val="21"/>
                <w:szCs w:val="21"/>
              </w:rPr>
            </w:pPr>
            <w:r>
              <w:rPr>
                <w:i w:val="0"/>
                <w:iCs w:val="0"/>
                <w:color w:val="000000"/>
                <w:sz w:val="21"/>
                <w:szCs w:val="21"/>
              </w:rPr>
              <w:t>控制废水排放浓度和排放量，本项目生产废水、生活污水由厂区自建废水处理站处理达到</w:t>
            </w:r>
            <w:r>
              <w:rPr>
                <w:rFonts w:hint="eastAsia"/>
                <w:i w:val="0"/>
                <w:iCs w:val="0"/>
                <w:color w:val="000000"/>
                <w:sz w:val="21"/>
                <w:szCs w:val="21"/>
              </w:rPr>
              <w:t>《污水综合排放标准》GB8978-1996表2三级标准排放限值</w:t>
            </w:r>
            <w:r>
              <w:rPr>
                <w:i w:val="0"/>
                <w:iCs w:val="0"/>
                <w:color w:val="000000"/>
                <w:sz w:val="21"/>
                <w:szCs w:val="21"/>
              </w:rPr>
              <w:t>及园区污水处理厂进水指标后排入污水管网内，进入园区污水处理厂处理达到《城镇污水处理厂污染物排放标准》（GB18918-2002）一级A标准达标后排入浑江。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88" w:type="dxa"/>
            <w:vMerge w:val="continue"/>
            <w:noWrap w:val="0"/>
            <w:vAlign w:val="center"/>
          </w:tcPr>
          <w:p>
            <w:pPr>
              <w:jc w:val="center"/>
              <w:rPr>
                <w:i w:val="0"/>
                <w:iCs w:val="0"/>
                <w:color w:val="000000"/>
                <w:sz w:val="21"/>
                <w:szCs w:val="21"/>
              </w:rPr>
            </w:pPr>
          </w:p>
        </w:tc>
        <w:tc>
          <w:tcPr>
            <w:tcW w:w="1119" w:type="dxa"/>
            <w:noWrap w:val="0"/>
            <w:vAlign w:val="center"/>
          </w:tcPr>
          <w:p>
            <w:pPr>
              <w:jc w:val="center"/>
              <w:rPr>
                <w:i w:val="0"/>
                <w:iCs w:val="0"/>
                <w:color w:val="000000"/>
                <w:sz w:val="21"/>
                <w:szCs w:val="21"/>
              </w:rPr>
            </w:pPr>
            <w:r>
              <w:rPr>
                <w:i w:val="0"/>
                <w:iCs w:val="0"/>
                <w:color w:val="000000"/>
                <w:sz w:val="21"/>
                <w:szCs w:val="21"/>
              </w:rPr>
              <w:t>地下水</w:t>
            </w:r>
          </w:p>
        </w:tc>
        <w:tc>
          <w:tcPr>
            <w:tcW w:w="8076" w:type="dxa"/>
            <w:noWrap w:val="0"/>
            <w:vAlign w:val="center"/>
          </w:tcPr>
          <w:p>
            <w:pPr>
              <w:jc w:val="center"/>
              <w:rPr>
                <w:i w:val="0"/>
                <w:iCs w:val="0"/>
                <w:color w:val="000000"/>
                <w:sz w:val="21"/>
                <w:szCs w:val="21"/>
              </w:rPr>
            </w:pPr>
            <w:r>
              <w:rPr>
                <w:i w:val="0"/>
                <w:iCs w:val="0"/>
                <w:color w:val="000000"/>
                <w:sz w:val="21"/>
                <w:szCs w:val="21"/>
              </w:rPr>
              <w:t>严格执行厂区防渗措施，保护评价区内各层地下水水质不受污染，特别要保护附近村屯水源水质不被污染、水量及水位不发生明显变化。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7" w:hRule="atLeast"/>
        </w:trPr>
        <w:tc>
          <w:tcPr>
            <w:tcW w:w="388" w:type="dxa"/>
            <w:vMerge w:val="continue"/>
            <w:noWrap w:val="0"/>
            <w:vAlign w:val="center"/>
          </w:tcPr>
          <w:p>
            <w:pPr>
              <w:jc w:val="center"/>
              <w:rPr>
                <w:i w:val="0"/>
                <w:iCs w:val="0"/>
                <w:color w:val="000000"/>
                <w:sz w:val="21"/>
                <w:szCs w:val="21"/>
              </w:rPr>
            </w:pPr>
          </w:p>
        </w:tc>
        <w:tc>
          <w:tcPr>
            <w:tcW w:w="1119" w:type="dxa"/>
            <w:noWrap w:val="0"/>
            <w:vAlign w:val="center"/>
          </w:tcPr>
          <w:p>
            <w:pPr>
              <w:jc w:val="center"/>
              <w:rPr>
                <w:i w:val="0"/>
                <w:iCs w:val="0"/>
                <w:color w:val="000000"/>
                <w:sz w:val="21"/>
                <w:szCs w:val="21"/>
              </w:rPr>
            </w:pPr>
            <w:r>
              <w:rPr>
                <w:i w:val="0"/>
                <w:iCs w:val="0"/>
                <w:color w:val="000000"/>
                <w:sz w:val="21"/>
                <w:szCs w:val="21"/>
              </w:rPr>
              <w:t>噪声</w:t>
            </w:r>
          </w:p>
        </w:tc>
        <w:tc>
          <w:tcPr>
            <w:tcW w:w="8076" w:type="dxa"/>
            <w:noWrap w:val="0"/>
            <w:vAlign w:val="center"/>
          </w:tcPr>
          <w:p>
            <w:pPr>
              <w:jc w:val="center"/>
              <w:rPr>
                <w:i w:val="0"/>
                <w:iCs w:val="0"/>
                <w:color w:val="000000"/>
                <w:sz w:val="21"/>
                <w:szCs w:val="21"/>
              </w:rPr>
            </w:pPr>
            <w:r>
              <w:rPr>
                <w:i w:val="0"/>
                <w:iCs w:val="0"/>
                <w:color w:val="000000"/>
                <w:sz w:val="21"/>
                <w:szCs w:val="21"/>
              </w:rPr>
              <w:t>控制本项目各类设备噪声的排放符合《工业企业厂界环境噪声排放标准》（GB12348-2008）中</w:t>
            </w:r>
            <w:r>
              <w:rPr>
                <w:rFonts w:hint="eastAsia"/>
                <w:i w:val="0"/>
                <w:iCs w:val="0"/>
                <w:color w:val="000000"/>
                <w:sz w:val="21"/>
                <w:szCs w:val="21"/>
                <w:lang w:val="en-US" w:eastAsia="zh-CN"/>
              </w:rPr>
              <w:t>2</w:t>
            </w:r>
            <w:r>
              <w:rPr>
                <w:i w:val="0"/>
                <w:iCs w:val="0"/>
                <w:color w:val="000000"/>
                <w:sz w:val="21"/>
                <w:szCs w:val="21"/>
              </w:rPr>
              <w:t>类区标准要求。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3" w:hRule="atLeast"/>
        </w:trPr>
        <w:tc>
          <w:tcPr>
            <w:tcW w:w="388" w:type="dxa"/>
            <w:vMerge w:val="continue"/>
            <w:noWrap w:val="0"/>
            <w:vAlign w:val="center"/>
          </w:tcPr>
          <w:p>
            <w:pPr>
              <w:jc w:val="center"/>
              <w:rPr>
                <w:i w:val="0"/>
                <w:iCs w:val="0"/>
                <w:color w:val="000000"/>
                <w:sz w:val="21"/>
                <w:szCs w:val="21"/>
              </w:rPr>
            </w:pPr>
          </w:p>
        </w:tc>
        <w:tc>
          <w:tcPr>
            <w:tcW w:w="1119" w:type="dxa"/>
            <w:noWrap w:val="0"/>
            <w:vAlign w:val="center"/>
          </w:tcPr>
          <w:p>
            <w:pPr>
              <w:jc w:val="center"/>
              <w:rPr>
                <w:i w:val="0"/>
                <w:iCs w:val="0"/>
                <w:color w:val="000000"/>
                <w:sz w:val="21"/>
                <w:szCs w:val="21"/>
              </w:rPr>
            </w:pPr>
            <w:r>
              <w:rPr>
                <w:i w:val="0"/>
                <w:iCs w:val="0"/>
                <w:color w:val="000000"/>
                <w:sz w:val="21"/>
                <w:szCs w:val="21"/>
              </w:rPr>
              <w:t>固体废物</w:t>
            </w:r>
          </w:p>
        </w:tc>
        <w:tc>
          <w:tcPr>
            <w:tcW w:w="8076" w:type="dxa"/>
            <w:noWrap w:val="0"/>
            <w:vAlign w:val="center"/>
          </w:tcPr>
          <w:p>
            <w:pPr>
              <w:jc w:val="center"/>
              <w:rPr>
                <w:i w:val="0"/>
                <w:iCs w:val="0"/>
                <w:color w:val="000000"/>
                <w:sz w:val="21"/>
                <w:szCs w:val="21"/>
              </w:rPr>
            </w:pPr>
            <w:r>
              <w:rPr>
                <w:i w:val="0"/>
                <w:iCs w:val="0"/>
                <w:color w:val="000000"/>
                <w:sz w:val="21"/>
                <w:szCs w:val="21"/>
              </w:rPr>
              <w:t>合理处理/处置本项目产生的一般固废和危险废物，尤其对于危险废物的处置应该严格按照《危险废物贮存污染控制标准》、《危险废物转移管理办法》的要求进行管理，避免产生二次污染。控制固体废物处理处置遵守“资源化、减量化、无害化”的原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4" w:hRule="atLeast"/>
        </w:trPr>
        <w:tc>
          <w:tcPr>
            <w:tcW w:w="388" w:type="dxa"/>
            <w:vMerge w:val="continue"/>
            <w:noWrap w:val="0"/>
            <w:vAlign w:val="center"/>
          </w:tcPr>
          <w:p>
            <w:pPr>
              <w:jc w:val="center"/>
              <w:rPr>
                <w:i w:val="0"/>
                <w:iCs w:val="0"/>
                <w:color w:val="000000"/>
                <w:sz w:val="21"/>
                <w:szCs w:val="21"/>
              </w:rPr>
            </w:pPr>
          </w:p>
        </w:tc>
        <w:tc>
          <w:tcPr>
            <w:tcW w:w="1119" w:type="dxa"/>
            <w:noWrap w:val="0"/>
            <w:vAlign w:val="center"/>
          </w:tcPr>
          <w:p>
            <w:pPr>
              <w:jc w:val="center"/>
              <w:rPr>
                <w:i w:val="0"/>
                <w:iCs w:val="0"/>
                <w:color w:val="000000"/>
                <w:sz w:val="21"/>
                <w:szCs w:val="21"/>
              </w:rPr>
            </w:pPr>
            <w:r>
              <w:rPr>
                <w:i w:val="0"/>
                <w:iCs w:val="0"/>
                <w:color w:val="000000"/>
                <w:sz w:val="21"/>
                <w:szCs w:val="21"/>
              </w:rPr>
              <w:t>环境风险</w:t>
            </w:r>
          </w:p>
        </w:tc>
        <w:tc>
          <w:tcPr>
            <w:tcW w:w="8076" w:type="dxa"/>
            <w:noWrap w:val="0"/>
            <w:vAlign w:val="center"/>
          </w:tcPr>
          <w:p>
            <w:pPr>
              <w:jc w:val="center"/>
              <w:rPr>
                <w:i w:val="0"/>
                <w:iCs w:val="0"/>
                <w:color w:val="000000"/>
                <w:sz w:val="21"/>
                <w:szCs w:val="21"/>
              </w:rPr>
            </w:pPr>
            <w:r>
              <w:rPr>
                <w:i w:val="0"/>
                <w:iCs w:val="0"/>
                <w:color w:val="000000"/>
                <w:sz w:val="21"/>
                <w:szCs w:val="21"/>
              </w:rPr>
              <w:t>消除风险事故发生的隐患，并将风险事故控制为可接受水平。</w:t>
            </w:r>
          </w:p>
        </w:tc>
      </w:tr>
    </w:tbl>
    <w:p>
      <w:pPr>
        <w:spacing w:line="360" w:lineRule="auto"/>
        <w:ind w:firstLine="480" w:firstLineChars="200"/>
        <w:rPr>
          <w:i w:val="0"/>
          <w:iCs w:val="0"/>
        </w:rPr>
      </w:pPr>
      <w:r>
        <w:rPr>
          <w:rFonts w:hint="eastAsia"/>
          <w:i w:val="0"/>
          <w:iCs w:val="0"/>
        </w:rPr>
        <w:t>2.4.2环境保护目标</w:t>
      </w:r>
    </w:p>
    <w:p>
      <w:pPr>
        <w:spacing w:line="360" w:lineRule="auto"/>
        <w:ind w:firstLine="480" w:firstLineChars="200"/>
        <w:rPr>
          <w:i w:val="0"/>
          <w:iCs w:val="0"/>
        </w:rPr>
      </w:pPr>
      <w:r>
        <w:rPr>
          <w:i w:val="0"/>
          <w:iCs w:val="0"/>
        </w:rPr>
        <w:t>建设项目主要环境保护目标详见表</w:t>
      </w:r>
      <w:r>
        <w:rPr>
          <w:rFonts w:hint="eastAsia"/>
          <w:i w:val="0"/>
          <w:iCs w:val="0"/>
        </w:rPr>
        <w:t>2</w:t>
      </w:r>
      <w:r>
        <w:rPr>
          <w:i w:val="0"/>
          <w:iCs w:val="0"/>
        </w:rPr>
        <w:t>-1</w:t>
      </w:r>
      <w:r>
        <w:rPr>
          <w:rFonts w:hint="eastAsia"/>
          <w:i w:val="0"/>
          <w:iCs w:val="0"/>
          <w:lang w:val="en-US" w:eastAsia="zh-CN"/>
        </w:rPr>
        <w:t>6</w:t>
      </w:r>
      <w:r>
        <w:rPr>
          <w:i w:val="0"/>
          <w:iCs w:val="0"/>
        </w:rPr>
        <w:t>及图</w:t>
      </w:r>
      <w:r>
        <w:rPr>
          <w:rFonts w:hint="eastAsia"/>
          <w:i w:val="0"/>
          <w:iCs w:val="0"/>
          <w:lang w:val="en-US" w:eastAsia="zh-CN"/>
        </w:rPr>
        <w:t>4</w:t>
      </w:r>
      <w:r>
        <w:rPr>
          <w:rFonts w:hint="eastAsia"/>
          <w:i w:val="0"/>
          <w:iCs w:val="0"/>
        </w:rPr>
        <w:t>-4</w:t>
      </w:r>
      <w:r>
        <w:rPr>
          <w:i w:val="0"/>
          <w:iCs w:val="0"/>
        </w:rPr>
        <w:t>。</w:t>
      </w:r>
    </w:p>
    <w:p>
      <w:pPr>
        <w:ind w:firstLine="482" w:firstLineChars="200"/>
        <w:jc w:val="center"/>
        <w:rPr>
          <w:rFonts w:hint="eastAsia"/>
          <w:b/>
          <w:bCs/>
          <w:i w:val="0"/>
          <w:iCs w:val="0"/>
        </w:rPr>
      </w:pPr>
      <w:r>
        <w:rPr>
          <w:rFonts w:hint="eastAsia"/>
          <w:b/>
          <w:bCs/>
          <w:i w:val="0"/>
          <w:iCs w:val="0"/>
        </w:rPr>
        <w:t>表2-1</w:t>
      </w:r>
      <w:r>
        <w:rPr>
          <w:rFonts w:hint="eastAsia"/>
          <w:b/>
          <w:bCs/>
          <w:i w:val="0"/>
          <w:iCs w:val="0"/>
          <w:lang w:val="en-US" w:eastAsia="zh-CN"/>
        </w:rPr>
        <w:t>6</w:t>
      </w:r>
      <w:r>
        <w:rPr>
          <w:rFonts w:hint="eastAsia"/>
          <w:b/>
          <w:bCs/>
          <w:i w:val="0"/>
          <w:iCs w:val="0"/>
        </w:rPr>
        <w:t>环境保护目标</w:t>
      </w:r>
    </w:p>
    <w:tbl>
      <w:tblPr>
        <w:tblStyle w:val="58"/>
        <w:tblW w:w="9855"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18"/>
        <w:gridCol w:w="1552"/>
        <w:gridCol w:w="1134"/>
        <w:gridCol w:w="1140"/>
        <w:gridCol w:w="1080"/>
        <w:gridCol w:w="1047"/>
        <w:gridCol w:w="956"/>
        <w:gridCol w:w="886"/>
        <w:gridCol w:w="1171"/>
        <w:gridCol w:w="7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71" w:type="dxa"/>
          <w:trHeight w:val="208" w:hRule="atLeast"/>
          <w:jc w:val="center"/>
        </w:trPr>
        <w:tc>
          <w:tcPr>
            <w:tcW w:w="818" w:type="dxa"/>
            <w:vMerge w:val="restart"/>
            <w:noWrap w:val="0"/>
            <w:vAlign w:val="center"/>
          </w:tcPr>
          <w:p>
            <w:pPr>
              <w:pStyle w:val="24"/>
              <w:tabs>
                <w:tab w:val="left" w:pos="0"/>
                <w:tab w:val="left" w:pos="1260"/>
              </w:tabs>
              <w:spacing w:line="240" w:lineRule="auto"/>
              <w:rPr>
                <w:i w:val="0"/>
                <w:iCs w:val="0"/>
                <w:sz w:val="21"/>
                <w:szCs w:val="21"/>
                <w:u w:val="single"/>
              </w:rPr>
            </w:pPr>
            <w:r>
              <w:rPr>
                <w:i w:val="0"/>
                <w:iCs w:val="0"/>
                <w:sz w:val="21"/>
                <w:szCs w:val="21"/>
                <w:u w:val="single"/>
              </w:rPr>
              <w:t>环境因素</w:t>
            </w:r>
          </w:p>
        </w:tc>
        <w:tc>
          <w:tcPr>
            <w:tcW w:w="1552" w:type="dxa"/>
            <w:vMerge w:val="restart"/>
            <w:noWrap w:val="0"/>
            <w:vAlign w:val="center"/>
          </w:tcPr>
          <w:p>
            <w:pPr>
              <w:jc w:val="center"/>
              <w:rPr>
                <w:i w:val="0"/>
                <w:iCs w:val="0"/>
                <w:sz w:val="21"/>
                <w:szCs w:val="21"/>
                <w:u w:val="single"/>
              </w:rPr>
            </w:pPr>
            <w:r>
              <w:rPr>
                <w:i w:val="0"/>
                <w:iCs w:val="0"/>
                <w:sz w:val="21"/>
                <w:szCs w:val="21"/>
                <w:u w:val="single"/>
              </w:rPr>
              <w:t>环境影响评价关心点</w:t>
            </w:r>
          </w:p>
        </w:tc>
        <w:tc>
          <w:tcPr>
            <w:tcW w:w="2274" w:type="dxa"/>
            <w:gridSpan w:val="2"/>
            <w:noWrap w:val="0"/>
            <w:vAlign w:val="center"/>
          </w:tcPr>
          <w:p>
            <w:pPr>
              <w:pStyle w:val="24"/>
              <w:tabs>
                <w:tab w:val="left" w:pos="0"/>
                <w:tab w:val="left" w:pos="1260"/>
              </w:tabs>
              <w:spacing w:line="240" w:lineRule="auto"/>
              <w:rPr>
                <w:i w:val="0"/>
                <w:iCs w:val="0"/>
                <w:sz w:val="21"/>
                <w:szCs w:val="21"/>
                <w:u w:val="single"/>
              </w:rPr>
            </w:pPr>
            <w:r>
              <w:rPr>
                <w:i w:val="0"/>
                <w:iCs w:val="0"/>
                <w:sz w:val="21"/>
                <w:szCs w:val="21"/>
                <w:u w:val="single"/>
              </w:rPr>
              <w:t>坐标</w:t>
            </w:r>
          </w:p>
        </w:tc>
        <w:tc>
          <w:tcPr>
            <w:tcW w:w="1080" w:type="dxa"/>
            <w:vMerge w:val="restart"/>
            <w:noWrap w:val="0"/>
            <w:vAlign w:val="center"/>
          </w:tcPr>
          <w:p>
            <w:pPr>
              <w:pStyle w:val="24"/>
              <w:tabs>
                <w:tab w:val="left" w:pos="0"/>
                <w:tab w:val="left" w:pos="1260"/>
              </w:tabs>
              <w:spacing w:line="240" w:lineRule="auto"/>
              <w:rPr>
                <w:i w:val="0"/>
                <w:iCs w:val="0"/>
                <w:sz w:val="21"/>
                <w:szCs w:val="21"/>
                <w:u w:val="single"/>
              </w:rPr>
            </w:pPr>
            <w:r>
              <w:rPr>
                <w:i w:val="0"/>
                <w:iCs w:val="0"/>
                <w:sz w:val="21"/>
                <w:szCs w:val="21"/>
                <w:u w:val="single"/>
              </w:rPr>
              <w:t>保护对象</w:t>
            </w:r>
          </w:p>
        </w:tc>
        <w:tc>
          <w:tcPr>
            <w:tcW w:w="1047" w:type="dxa"/>
            <w:vMerge w:val="restart"/>
            <w:noWrap w:val="0"/>
            <w:vAlign w:val="center"/>
          </w:tcPr>
          <w:p>
            <w:pPr>
              <w:pStyle w:val="24"/>
              <w:tabs>
                <w:tab w:val="left" w:pos="0"/>
                <w:tab w:val="left" w:pos="1260"/>
              </w:tabs>
              <w:spacing w:line="240" w:lineRule="auto"/>
              <w:rPr>
                <w:i w:val="0"/>
                <w:iCs w:val="0"/>
                <w:sz w:val="21"/>
                <w:szCs w:val="21"/>
                <w:u w:val="single"/>
              </w:rPr>
            </w:pPr>
            <w:r>
              <w:rPr>
                <w:i w:val="0"/>
                <w:iCs w:val="0"/>
                <w:sz w:val="21"/>
                <w:szCs w:val="21"/>
                <w:u w:val="single"/>
              </w:rPr>
              <w:t>保护内容</w:t>
            </w:r>
          </w:p>
        </w:tc>
        <w:tc>
          <w:tcPr>
            <w:tcW w:w="956" w:type="dxa"/>
            <w:vMerge w:val="restart"/>
            <w:noWrap w:val="0"/>
            <w:vAlign w:val="center"/>
          </w:tcPr>
          <w:p>
            <w:pPr>
              <w:pStyle w:val="24"/>
              <w:tabs>
                <w:tab w:val="left" w:pos="0"/>
                <w:tab w:val="left" w:pos="1260"/>
              </w:tabs>
              <w:spacing w:line="240" w:lineRule="auto"/>
              <w:rPr>
                <w:i w:val="0"/>
                <w:iCs w:val="0"/>
                <w:sz w:val="21"/>
                <w:szCs w:val="21"/>
                <w:u w:val="single"/>
              </w:rPr>
            </w:pPr>
            <w:r>
              <w:rPr>
                <w:i w:val="0"/>
                <w:iCs w:val="0"/>
                <w:sz w:val="21"/>
                <w:szCs w:val="21"/>
                <w:u w:val="single"/>
              </w:rPr>
              <w:t>环境功能区</w:t>
            </w:r>
          </w:p>
        </w:tc>
        <w:tc>
          <w:tcPr>
            <w:tcW w:w="886" w:type="dxa"/>
            <w:vMerge w:val="restart"/>
            <w:noWrap w:val="0"/>
            <w:vAlign w:val="center"/>
          </w:tcPr>
          <w:p>
            <w:pPr>
              <w:pStyle w:val="24"/>
              <w:tabs>
                <w:tab w:val="left" w:pos="0"/>
                <w:tab w:val="left" w:pos="1260"/>
              </w:tabs>
              <w:spacing w:line="240" w:lineRule="auto"/>
              <w:rPr>
                <w:i w:val="0"/>
                <w:iCs w:val="0"/>
                <w:sz w:val="21"/>
                <w:szCs w:val="21"/>
                <w:u w:val="single"/>
              </w:rPr>
            </w:pPr>
            <w:r>
              <w:rPr>
                <w:i w:val="0"/>
                <w:iCs w:val="0"/>
                <w:sz w:val="21"/>
                <w:szCs w:val="21"/>
                <w:u w:val="single"/>
              </w:rPr>
              <w:t>相对厂址方位</w:t>
            </w:r>
          </w:p>
        </w:tc>
        <w:tc>
          <w:tcPr>
            <w:tcW w:w="1171" w:type="dxa"/>
            <w:vMerge w:val="restart"/>
            <w:noWrap w:val="0"/>
            <w:vAlign w:val="center"/>
          </w:tcPr>
          <w:p>
            <w:pPr>
              <w:pStyle w:val="24"/>
              <w:tabs>
                <w:tab w:val="left" w:pos="0"/>
                <w:tab w:val="left" w:pos="1260"/>
              </w:tabs>
              <w:spacing w:line="240" w:lineRule="auto"/>
              <w:rPr>
                <w:i w:val="0"/>
                <w:iCs w:val="0"/>
                <w:sz w:val="21"/>
                <w:szCs w:val="21"/>
                <w:u w:val="single"/>
              </w:rPr>
            </w:pPr>
            <w:r>
              <w:rPr>
                <w:i w:val="0"/>
                <w:iCs w:val="0"/>
                <w:sz w:val="21"/>
                <w:szCs w:val="21"/>
                <w:u w:val="single"/>
              </w:rPr>
              <w:t>相对厂址距离/m</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71" w:type="dxa"/>
          <w:trHeight w:val="282" w:hRule="atLeast"/>
          <w:jc w:val="center"/>
        </w:trPr>
        <w:tc>
          <w:tcPr>
            <w:tcW w:w="818" w:type="dxa"/>
            <w:vMerge w:val="continue"/>
            <w:noWrap w:val="0"/>
            <w:vAlign w:val="center"/>
          </w:tcPr>
          <w:p>
            <w:pPr>
              <w:pStyle w:val="24"/>
              <w:tabs>
                <w:tab w:val="left" w:pos="0"/>
                <w:tab w:val="left" w:pos="1260"/>
              </w:tabs>
              <w:spacing w:line="240" w:lineRule="auto"/>
              <w:rPr>
                <w:i w:val="0"/>
                <w:iCs w:val="0"/>
                <w:sz w:val="21"/>
                <w:szCs w:val="21"/>
                <w:u w:val="single"/>
              </w:rPr>
            </w:pPr>
          </w:p>
        </w:tc>
        <w:tc>
          <w:tcPr>
            <w:tcW w:w="1552" w:type="dxa"/>
            <w:vMerge w:val="continue"/>
            <w:noWrap w:val="0"/>
            <w:vAlign w:val="center"/>
          </w:tcPr>
          <w:p>
            <w:pPr>
              <w:pStyle w:val="24"/>
              <w:tabs>
                <w:tab w:val="left" w:pos="0"/>
                <w:tab w:val="left" w:pos="1260"/>
              </w:tabs>
              <w:spacing w:line="240" w:lineRule="auto"/>
              <w:rPr>
                <w:i w:val="0"/>
                <w:iCs w:val="0"/>
                <w:sz w:val="21"/>
                <w:szCs w:val="21"/>
                <w:u w:val="single"/>
              </w:rPr>
            </w:pPr>
          </w:p>
        </w:tc>
        <w:tc>
          <w:tcPr>
            <w:tcW w:w="1134" w:type="dxa"/>
            <w:noWrap w:val="0"/>
            <w:vAlign w:val="center"/>
          </w:tcPr>
          <w:p>
            <w:pPr>
              <w:pStyle w:val="24"/>
              <w:tabs>
                <w:tab w:val="left" w:pos="0"/>
                <w:tab w:val="left" w:pos="1260"/>
              </w:tabs>
              <w:spacing w:line="240" w:lineRule="auto"/>
              <w:rPr>
                <w:i w:val="0"/>
                <w:iCs w:val="0"/>
                <w:sz w:val="21"/>
                <w:szCs w:val="21"/>
                <w:u w:val="single"/>
              </w:rPr>
            </w:pPr>
            <w:r>
              <w:rPr>
                <w:rFonts w:hint="eastAsia"/>
                <w:i w:val="0"/>
                <w:iCs w:val="0"/>
                <w:sz w:val="21"/>
                <w:szCs w:val="21"/>
                <w:u w:val="single"/>
              </w:rPr>
              <w:t>经度（°）</w:t>
            </w:r>
          </w:p>
        </w:tc>
        <w:tc>
          <w:tcPr>
            <w:tcW w:w="1140" w:type="dxa"/>
            <w:noWrap w:val="0"/>
            <w:vAlign w:val="center"/>
          </w:tcPr>
          <w:p>
            <w:pPr>
              <w:pStyle w:val="24"/>
              <w:tabs>
                <w:tab w:val="left" w:pos="0"/>
                <w:tab w:val="left" w:pos="1260"/>
              </w:tabs>
              <w:spacing w:line="240" w:lineRule="auto"/>
              <w:rPr>
                <w:i w:val="0"/>
                <w:iCs w:val="0"/>
                <w:sz w:val="21"/>
                <w:szCs w:val="21"/>
                <w:u w:val="single"/>
              </w:rPr>
            </w:pPr>
            <w:r>
              <w:rPr>
                <w:rFonts w:hint="eastAsia"/>
                <w:i w:val="0"/>
                <w:iCs w:val="0"/>
                <w:sz w:val="21"/>
                <w:szCs w:val="21"/>
                <w:u w:val="single"/>
              </w:rPr>
              <w:t>纬度（°）</w:t>
            </w:r>
          </w:p>
        </w:tc>
        <w:tc>
          <w:tcPr>
            <w:tcW w:w="1080" w:type="dxa"/>
            <w:vMerge w:val="continue"/>
            <w:noWrap w:val="0"/>
            <w:vAlign w:val="center"/>
          </w:tcPr>
          <w:p>
            <w:pPr>
              <w:pStyle w:val="24"/>
              <w:tabs>
                <w:tab w:val="left" w:pos="0"/>
                <w:tab w:val="left" w:pos="1260"/>
              </w:tabs>
              <w:spacing w:line="240" w:lineRule="auto"/>
              <w:rPr>
                <w:i w:val="0"/>
                <w:iCs w:val="0"/>
                <w:sz w:val="21"/>
                <w:szCs w:val="21"/>
                <w:u w:val="single"/>
              </w:rPr>
            </w:pPr>
          </w:p>
        </w:tc>
        <w:tc>
          <w:tcPr>
            <w:tcW w:w="1047" w:type="dxa"/>
            <w:vMerge w:val="continue"/>
            <w:noWrap w:val="0"/>
            <w:vAlign w:val="center"/>
          </w:tcPr>
          <w:p>
            <w:pPr>
              <w:pStyle w:val="24"/>
              <w:tabs>
                <w:tab w:val="left" w:pos="0"/>
                <w:tab w:val="left" w:pos="1260"/>
              </w:tabs>
              <w:spacing w:line="240" w:lineRule="auto"/>
              <w:rPr>
                <w:i w:val="0"/>
                <w:iCs w:val="0"/>
                <w:sz w:val="21"/>
                <w:szCs w:val="21"/>
                <w:u w:val="single"/>
              </w:rPr>
            </w:pPr>
          </w:p>
        </w:tc>
        <w:tc>
          <w:tcPr>
            <w:tcW w:w="956" w:type="dxa"/>
            <w:vMerge w:val="continue"/>
            <w:noWrap w:val="0"/>
            <w:vAlign w:val="center"/>
          </w:tcPr>
          <w:p>
            <w:pPr>
              <w:pStyle w:val="24"/>
              <w:tabs>
                <w:tab w:val="left" w:pos="0"/>
                <w:tab w:val="left" w:pos="1260"/>
              </w:tabs>
              <w:spacing w:line="240" w:lineRule="auto"/>
              <w:rPr>
                <w:i w:val="0"/>
                <w:iCs w:val="0"/>
                <w:sz w:val="21"/>
                <w:szCs w:val="21"/>
                <w:u w:val="single"/>
              </w:rPr>
            </w:pPr>
          </w:p>
        </w:tc>
        <w:tc>
          <w:tcPr>
            <w:tcW w:w="886" w:type="dxa"/>
            <w:vMerge w:val="continue"/>
            <w:noWrap w:val="0"/>
            <w:vAlign w:val="center"/>
          </w:tcPr>
          <w:p>
            <w:pPr>
              <w:pStyle w:val="24"/>
              <w:tabs>
                <w:tab w:val="left" w:pos="0"/>
                <w:tab w:val="left" w:pos="1260"/>
              </w:tabs>
              <w:spacing w:line="240" w:lineRule="auto"/>
              <w:rPr>
                <w:i w:val="0"/>
                <w:iCs w:val="0"/>
                <w:sz w:val="21"/>
                <w:szCs w:val="21"/>
                <w:u w:val="single"/>
              </w:rPr>
            </w:pPr>
          </w:p>
        </w:tc>
        <w:tc>
          <w:tcPr>
            <w:tcW w:w="1171" w:type="dxa"/>
            <w:vMerge w:val="continue"/>
            <w:noWrap w:val="0"/>
            <w:vAlign w:val="center"/>
          </w:tcPr>
          <w:p>
            <w:pPr>
              <w:pStyle w:val="24"/>
              <w:tabs>
                <w:tab w:val="left" w:pos="0"/>
                <w:tab w:val="left" w:pos="1260"/>
              </w:tabs>
              <w:spacing w:line="240" w:lineRule="auto"/>
              <w:rPr>
                <w:i w:val="0"/>
                <w:iCs w:val="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71" w:type="dxa"/>
          <w:trHeight w:val="379" w:hRule="atLeast"/>
          <w:jc w:val="center"/>
        </w:trPr>
        <w:tc>
          <w:tcPr>
            <w:tcW w:w="818" w:type="dxa"/>
            <w:vMerge w:val="restart"/>
            <w:noWrap w:val="0"/>
            <w:vAlign w:val="center"/>
          </w:tcPr>
          <w:p>
            <w:pPr>
              <w:pStyle w:val="24"/>
              <w:tabs>
                <w:tab w:val="left" w:pos="0"/>
                <w:tab w:val="left" w:pos="1260"/>
              </w:tabs>
              <w:spacing w:line="240" w:lineRule="auto"/>
              <w:rPr>
                <w:i w:val="0"/>
                <w:iCs w:val="0"/>
                <w:sz w:val="21"/>
                <w:szCs w:val="21"/>
                <w:u w:val="single"/>
              </w:rPr>
            </w:pPr>
            <w:r>
              <w:rPr>
                <w:i w:val="0"/>
                <w:iCs w:val="0"/>
                <w:sz w:val="21"/>
                <w:szCs w:val="21"/>
                <w:u w:val="single"/>
              </w:rPr>
              <w:t>环境空气</w:t>
            </w:r>
          </w:p>
        </w:tc>
        <w:tc>
          <w:tcPr>
            <w:tcW w:w="1552"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滨江花园</w:t>
            </w:r>
          </w:p>
        </w:tc>
        <w:tc>
          <w:tcPr>
            <w:tcW w:w="1134"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126.59462</w:t>
            </w:r>
          </w:p>
        </w:tc>
        <w:tc>
          <w:tcPr>
            <w:tcW w:w="1140"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42.08137</w:t>
            </w:r>
          </w:p>
        </w:tc>
        <w:tc>
          <w:tcPr>
            <w:tcW w:w="1080" w:type="dxa"/>
            <w:vMerge w:val="restart"/>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人口密集区</w:t>
            </w:r>
          </w:p>
        </w:tc>
        <w:tc>
          <w:tcPr>
            <w:tcW w:w="1047" w:type="dxa"/>
            <w:vMerge w:val="restart"/>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保护区域内的环境空气满足《环境空气质量标准》（GB3095-2012）中二级标准</w:t>
            </w:r>
          </w:p>
        </w:tc>
        <w:tc>
          <w:tcPr>
            <w:tcW w:w="956" w:type="dxa"/>
            <w:vMerge w:val="restart"/>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环境空气二类区</w:t>
            </w:r>
          </w:p>
        </w:tc>
        <w:tc>
          <w:tcPr>
            <w:tcW w:w="886"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东侧</w:t>
            </w:r>
          </w:p>
        </w:tc>
        <w:tc>
          <w:tcPr>
            <w:tcW w:w="1171" w:type="dxa"/>
            <w:noWrap w:val="0"/>
            <w:vAlign w:val="center"/>
          </w:tcPr>
          <w:p>
            <w:pPr>
              <w:pStyle w:val="24"/>
              <w:tabs>
                <w:tab w:val="left" w:pos="0"/>
                <w:tab w:val="left" w:pos="1260"/>
              </w:tabs>
              <w:spacing w:line="240" w:lineRule="auto"/>
              <w:rPr>
                <w:i w:val="0"/>
                <w:iCs w:val="0"/>
                <w:sz w:val="21"/>
                <w:szCs w:val="21"/>
                <w:u w:val="single"/>
              </w:rPr>
            </w:pPr>
            <w:r>
              <w:rPr>
                <w:rFonts w:hint="eastAsia"/>
                <w:i w:val="0"/>
                <w:iCs w:val="0"/>
                <w:sz w:val="21"/>
                <w:szCs w:val="21"/>
                <w:u w:val="single"/>
              </w:rPr>
              <w:t>380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71" w:type="dxa"/>
          <w:trHeight w:val="379" w:hRule="atLeast"/>
          <w:jc w:val="center"/>
        </w:trPr>
        <w:tc>
          <w:tcPr>
            <w:tcW w:w="818" w:type="dxa"/>
            <w:vMerge w:val="continue"/>
            <w:noWrap w:val="0"/>
            <w:vAlign w:val="center"/>
          </w:tcPr>
          <w:p>
            <w:pPr>
              <w:pStyle w:val="24"/>
              <w:tabs>
                <w:tab w:val="left" w:pos="0"/>
                <w:tab w:val="left" w:pos="1260"/>
              </w:tabs>
              <w:spacing w:line="240" w:lineRule="auto"/>
              <w:rPr>
                <w:i w:val="0"/>
                <w:iCs w:val="0"/>
                <w:sz w:val="21"/>
                <w:szCs w:val="21"/>
                <w:u w:val="single"/>
              </w:rPr>
            </w:pPr>
          </w:p>
        </w:tc>
        <w:tc>
          <w:tcPr>
            <w:tcW w:w="1552"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滨江园小区</w:t>
            </w:r>
          </w:p>
        </w:tc>
        <w:tc>
          <w:tcPr>
            <w:tcW w:w="1134"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126.60020</w:t>
            </w:r>
          </w:p>
        </w:tc>
        <w:tc>
          <w:tcPr>
            <w:tcW w:w="1140"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42.08105</w:t>
            </w:r>
          </w:p>
        </w:tc>
        <w:tc>
          <w:tcPr>
            <w:tcW w:w="1080"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1047"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956"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886"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东侧</w:t>
            </w:r>
          </w:p>
        </w:tc>
        <w:tc>
          <w:tcPr>
            <w:tcW w:w="1171" w:type="dxa"/>
            <w:noWrap w:val="0"/>
            <w:vAlign w:val="center"/>
          </w:tcPr>
          <w:p>
            <w:pPr>
              <w:pStyle w:val="24"/>
              <w:tabs>
                <w:tab w:val="left" w:pos="0"/>
                <w:tab w:val="left" w:pos="1260"/>
              </w:tabs>
              <w:spacing w:line="240" w:lineRule="auto"/>
              <w:rPr>
                <w:i w:val="0"/>
                <w:iCs w:val="0"/>
                <w:sz w:val="21"/>
                <w:szCs w:val="21"/>
                <w:u w:val="single"/>
              </w:rPr>
            </w:pPr>
            <w:r>
              <w:rPr>
                <w:rFonts w:hint="eastAsia"/>
                <w:i w:val="0"/>
                <w:iCs w:val="0"/>
                <w:sz w:val="21"/>
                <w:szCs w:val="21"/>
                <w:u w:val="single"/>
              </w:rPr>
              <w:t>830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71" w:type="dxa"/>
          <w:trHeight w:val="379" w:hRule="atLeast"/>
          <w:jc w:val="center"/>
        </w:trPr>
        <w:tc>
          <w:tcPr>
            <w:tcW w:w="818" w:type="dxa"/>
            <w:vMerge w:val="continue"/>
            <w:noWrap w:val="0"/>
            <w:vAlign w:val="center"/>
          </w:tcPr>
          <w:p>
            <w:pPr>
              <w:pStyle w:val="24"/>
              <w:tabs>
                <w:tab w:val="left" w:pos="0"/>
                <w:tab w:val="left" w:pos="1260"/>
              </w:tabs>
              <w:spacing w:line="240" w:lineRule="auto"/>
              <w:rPr>
                <w:i w:val="0"/>
                <w:iCs w:val="0"/>
                <w:sz w:val="21"/>
                <w:szCs w:val="21"/>
                <w:u w:val="single"/>
              </w:rPr>
            </w:pPr>
          </w:p>
        </w:tc>
        <w:tc>
          <w:tcPr>
            <w:tcW w:w="1552"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兴民小区</w:t>
            </w:r>
          </w:p>
        </w:tc>
        <w:tc>
          <w:tcPr>
            <w:tcW w:w="1134"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126.59864</w:t>
            </w:r>
          </w:p>
        </w:tc>
        <w:tc>
          <w:tcPr>
            <w:tcW w:w="1140"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42.07672</w:t>
            </w:r>
          </w:p>
        </w:tc>
        <w:tc>
          <w:tcPr>
            <w:tcW w:w="1080"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1047"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956"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886"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东南侧</w:t>
            </w:r>
          </w:p>
        </w:tc>
        <w:tc>
          <w:tcPr>
            <w:tcW w:w="1171" w:type="dxa"/>
            <w:noWrap w:val="0"/>
            <w:vAlign w:val="center"/>
          </w:tcPr>
          <w:p>
            <w:pPr>
              <w:pStyle w:val="24"/>
              <w:tabs>
                <w:tab w:val="left" w:pos="0"/>
                <w:tab w:val="left" w:pos="1260"/>
              </w:tabs>
              <w:spacing w:line="240" w:lineRule="auto"/>
              <w:rPr>
                <w:i w:val="0"/>
                <w:iCs w:val="0"/>
                <w:sz w:val="21"/>
                <w:szCs w:val="21"/>
                <w:u w:val="single"/>
              </w:rPr>
            </w:pPr>
            <w:r>
              <w:rPr>
                <w:rFonts w:hint="eastAsia"/>
                <w:i w:val="0"/>
                <w:iCs w:val="0"/>
                <w:sz w:val="21"/>
                <w:szCs w:val="21"/>
                <w:u w:val="single"/>
              </w:rPr>
              <w:t>750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71" w:type="dxa"/>
          <w:trHeight w:val="376" w:hRule="atLeast"/>
          <w:jc w:val="center"/>
        </w:trPr>
        <w:tc>
          <w:tcPr>
            <w:tcW w:w="818" w:type="dxa"/>
            <w:vMerge w:val="continue"/>
            <w:noWrap w:val="0"/>
            <w:vAlign w:val="center"/>
          </w:tcPr>
          <w:p>
            <w:pPr>
              <w:pStyle w:val="24"/>
              <w:tabs>
                <w:tab w:val="left" w:pos="0"/>
                <w:tab w:val="left" w:pos="1260"/>
              </w:tabs>
              <w:spacing w:line="240" w:lineRule="auto"/>
              <w:rPr>
                <w:i w:val="0"/>
                <w:iCs w:val="0"/>
                <w:sz w:val="21"/>
                <w:szCs w:val="21"/>
                <w:u w:val="single"/>
              </w:rPr>
            </w:pPr>
          </w:p>
        </w:tc>
        <w:tc>
          <w:tcPr>
            <w:tcW w:w="1552"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蓝天花园</w:t>
            </w:r>
          </w:p>
        </w:tc>
        <w:tc>
          <w:tcPr>
            <w:tcW w:w="1134"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126.59955</w:t>
            </w:r>
          </w:p>
        </w:tc>
        <w:tc>
          <w:tcPr>
            <w:tcW w:w="1140"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42.07411</w:t>
            </w:r>
          </w:p>
        </w:tc>
        <w:tc>
          <w:tcPr>
            <w:tcW w:w="1080"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1047"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956"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886"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东南侧</w:t>
            </w:r>
          </w:p>
        </w:tc>
        <w:tc>
          <w:tcPr>
            <w:tcW w:w="1171" w:type="dxa"/>
            <w:noWrap w:val="0"/>
            <w:vAlign w:val="center"/>
          </w:tcPr>
          <w:p>
            <w:pPr>
              <w:pStyle w:val="24"/>
              <w:tabs>
                <w:tab w:val="left" w:pos="0"/>
                <w:tab w:val="left" w:pos="1260"/>
              </w:tabs>
              <w:spacing w:line="240" w:lineRule="auto"/>
              <w:rPr>
                <w:i w:val="0"/>
                <w:iCs w:val="0"/>
                <w:sz w:val="21"/>
                <w:szCs w:val="21"/>
                <w:u w:val="single"/>
              </w:rPr>
            </w:pPr>
            <w:r>
              <w:rPr>
                <w:rFonts w:hint="eastAsia"/>
                <w:i w:val="0"/>
                <w:iCs w:val="0"/>
                <w:sz w:val="21"/>
                <w:szCs w:val="21"/>
                <w:u w:val="single"/>
              </w:rPr>
              <w:t>970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71" w:type="dxa"/>
          <w:trHeight w:val="401" w:hRule="atLeast"/>
          <w:jc w:val="center"/>
        </w:trPr>
        <w:tc>
          <w:tcPr>
            <w:tcW w:w="818" w:type="dxa"/>
            <w:vMerge w:val="continue"/>
            <w:noWrap w:val="0"/>
            <w:vAlign w:val="center"/>
          </w:tcPr>
          <w:p>
            <w:pPr>
              <w:pStyle w:val="24"/>
              <w:tabs>
                <w:tab w:val="left" w:pos="0"/>
                <w:tab w:val="left" w:pos="1260"/>
              </w:tabs>
              <w:spacing w:line="240" w:lineRule="auto"/>
              <w:rPr>
                <w:i w:val="0"/>
                <w:iCs w:val="0"/>
                <w:sz w:val="21"/>
                <w:szCs w:val="21"/>
                <w:u w:val="single"/>
              </w:rPr>
            </w:pPr>
          </w:p>
        </w:tc>
        <w:tc>
          <w:tcPr>
            <w:tcW w:w="1552"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和谐小区</w:t>
            </w:r>
          </w:p>
        </w:tc>
        <w:tc>
          <w:tcPr>
            <w:tcW w:w="1134"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126.60154</w:t>
            </w:r>
          </w:p>
        </w:tc>
        <w:tc>
          <w:tcPr>
            <w:tcW w:w="1140"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42.07216</w:t>
            </w:r>
          </w:p>
        </w:tc>
        <w:tc>
          <w:tcPr>
            <w:tcW w:w="1080"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1047"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956"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886"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东南侧</w:t>
            </w:r>
          </w:p>
        </w:tc>
        <w:tc>
          <w:tcPr>
            <w:tcW w:w="1171" w:type="dxa"/>
            <w:noWrap w:val="0"/>
            <w:vAlign w:val="center"/>
          </w:tcPr>
          <w:p>
            <w:pPr>
              <w:pStyle w:val="24"/>
              <w:tabs>
                <w:tab w:val="left" w:pos="0"/>
                <w:tab w:val="left" w:pos="1260"/>
              </w:tabs>
              <w:spacing w:line="240" w:lineRule="auto"/>
              <w:rPr>
                <w:i w:val="0"/>
                <w:iCs w:val="0"/>
                <w:sz w:val="21"/>
                <w:szCs w:val="21"/>
                <w:u w:val="single"/>
              </w:rPr>
            </w:pPr>
            <w:r>
              <w:rPr>
                <w:rFonts w:hint="eastAsia"/>
                <w:i w:val="0"/>
                <w:iCs w:val="0"/>
                <w:sz w:val="21"/>
                <w:szCs w:val="21"/>
                <w:u w:val="single"/>
              </w:rPr>
              <w:t>1220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71" w:type="dxa"/>
          <w:trHeight w:val="401" w:hRule="atLeast"/>
          <w:jc w:val="center"/>
        </w:trPr>
        <w:tc>
          <w:tcPr>
            <w:tcW w:w="818" w:type="dxa"/>
            <w:vMerge w:val="continue"/>
            <w:noWrap w:val="0"/>
            <w:vAlign w:val="center"/>
          </w:tcPr>
          <w:p>
            <w:pPr>
              <w:pStyle w:val="24"/>
              <w:tabs>
                <w:tab w:val="left" w:pos="0"/>
                <w:tab w:val="left" w:pos="1260"/>
              </w:tabs>
              <w:spacing w:line="240" w:lineRule="auto"/>
              <w:rPr>
                <w:i w:val="0"/>
                <w:iCs w:val="0"/>
                <w:sz w:val="21"/>
                <w:szCs w:val="21"/>
                <w:u w:val="single"/>
              </w:rPr>
            </w:pPr>
          </w:p>
        </w:tc>
        <w:tc>
          <w:tcPr>
            <w:tcW w:w="1552"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富强社区</w:t>
            </w:r>
          </w:p>
        </w:tc>
        <w:tc>
          <w:tcPr>
            <w:tcW w:w="1134" w:type="dxa"/>
            <w:noWrap w:val="0"/>
            <w:vAlign w:val="center"/>
          </w:tcPr>
          <w:p>
            <w:pPr>
              <w:pStyle w:val="24"/>
              <w:tabs>
                <w:tab w:val="left" w:pos="0"/>
                <w:tab w:val="left" w:pos="1260"/>
              </w:tabs>
              <w:spacing w:line="240" w:lineRule="auto"/>
              <w:rPr>
                <w:rFonts w:hint="eastAsia" w:ascii="Times New Roman" w:hAnsi="Times New Roman" w:eastAsia="宋体" w:cs="Times New Roman"/>
                <w:i w:val="0"/>
                <w:iCs w:val="0"/>
                <w:sz w:val="21"/>
                <w:szCs w:val="21"/>
                <w:u w:val="single"/>
              </w:rPr>
            </w:pPr>
            <w:r>
              <w:rPr>
                <w:rFonts w:hint="eastAsia" w:ascii="Times New Roman" w:hAnsi="Times New Roman" w:eastAsia="宋体" w:cs="Times New Roman"/>
                <w:i w:val="0"/>
                <w:iCs w:val="0"/>
                <w:sz w:val="21"/>
                <w:szCs w:val="21"/>
                <w:u w:val="single"/>
              </w:rPr>
              <w:t>126.59784</w:t>
            </w:r>
          </w:p>
        </w:tc>
        <w:tc>
          <w:tcPr>
            <w:tcW w:w="1140" w:type="dxa"/>
            <w:noWrap w:val="0"/>
            <w:vAlign w:val="center"/>
          </w:tcPr>
          <w:p>
            <w:pPr>
              <w:pStyle w:val="24"/>
              <w:tabs>
                <w:tab w:val="left" w:pos="0"/>
                <w:tab w:val="left" w:pos="1260"/>
              </w:tabs>
              <w:spacing w:line="240" w:lineRule="auto"/>
              <w:rPr>
                <w:rFonts w:hint="eastAsia" w:ascii="Times New Roman" w:hAnsi="Times New Roman" w:eastAsia="宋体" w:cs="Times New Roman"/>
                <w:i w:val="0"/>
                <w:iCs w:val="0"/>
                <w:sz w:val="21"/>
                <w:szCs w:val="21"/>
                <w:u w:val="single"/>
              </w:rPr>
            </w:pPr>
            <w:r>
              <w:rPr>
                <w:rFonts w:hint="eastAsia" w:ascii="Times New Roman" w:hAnsi="Times New Roman" w:eastAsia="宋体" w:cs="Times New Roman"/>
                <w:i w:val="0"/>
                <w:iCs w:val="0"/>
                <w:sz w:val="21"/>
                <w:szCs w:val="21"/>
                <w:u w:val="single"/>
              </w:rPr>
              <w:t>42.06628</w:t>
            </w:r>
          </w:p>
        </w:tc>
        <w:tc>
          <w:tcPr>
            <w:tcW w:w="1080"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1047"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956"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886"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东南侧</w:t>
            </w:r>
          </w:p>
        </w:tc>
        <w:tc>
          <w:tcPr>
            <w:tcW w:w="1171" w:type="dxa"/>
            <w:noWrap w:val="0"/>
            <w:vAlign w:val="center"/>
          </w:tcPr>
          <w:p>
            <w:pPr>
              <w:pStyle w:val="24"/>
              <w:tabs>
                <w:tab w:val="left" w:pos="0"/>
                <w:tab w:val="left" w:pos="1260"/>
              </w:tabs>
              <w:spacing w:line="240" w:lineRule="auto"/>
              <w:rPr>
                <w:i w:val="0"/>
                <w:iCs w:val="0"/>
                <w:sz w:val="21"/>
                <w:szCs w:val="21"/>
                <w:u w:val="single"/>
              </w:rPr>
            </w:pPr>
            <w:r>
              <w:rPr>
                <w:rFonts w:hint="eastAsia"/>
                <w:i w:val="0"/>
                <w:iCs w:val="0"/>
                <w:sz w:val="21"/>
                <w:szCs w:val="21"/>
                <w:u w:val="single"/>
              </w:rPr>
              <w:t>1597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71" w:type="dxa"/>
          <w:trHeight w:val="90" w:hRule="atLeast"/>
          <w:jc w:val="center"/>
        </w:trPr>
        <w:tc>
          <w:tcPr>
            <w:tcW w:w="818" w:type="dxa"/>
            <w:vMerge w:val="continue"/>
            <w:noWrap w:val="0"/>
            <w:vAlign w:val="center"/>
          </w:tcPr>
          <w:p>
            <w:pPr>
              <w:pStyle w:val="24"/>
              <w:tabs>
                <w:tab w:val="left" w:pos="0"/>
                <w:tab w:val="left" w:pos="1260"/>
              </w:tabs>
              <w:spacing w:line="240" w:lineRule="auto"/>
              <w:rPr>
                <w:i w:val="0"/>
                <w:iCs w:val="0"/>
                <w:sz w:val="21"/>
                <w:szCs w:val="21"/>
                <w:u w:val="single"/>
              </w:rPr>
            </w:pPr>
          </w:p>
        </w:tc>
        <w:tc>
          <w:tcPr>
            <w:tcW w:w="1552" w:type="dxa"/>
            <w:noWrap w:val="0"/>
            <w:vAlign w:val="center"/>
          </w:tcPr>
          <w:p>
            <w:pPr>
              <w:pStyle w:val="24"/>
              <w:tabs>
                <w:tab w:val="left" w:pos="0"/>
                <w:tab w:val="left" w:pos="1260"/>
              </w:tabs>
              <w:spacing w:line="240" w:lineRule="auto"/>
              <w:rPr>
                <w:rFonts w:hint="eastAsia" w:eastAsia="宋体"/>
                <w:i w:val="0"/>
                <w:iCs w:val="0"/>
                <w:sz w:val="21"/>
                <w:szCs w:val="21"/>
                <w:u w:val="single"/>
                <w:lang w:eastAsia="zh-CN"/>
              </w:rPr>
            </w:pPr>
            <w:r>
              <w:rPr>
                <w:rFonts w:hint="eastAsia"/>
                <w:i w:val="0"/>
                <w:iCs w:val="0"/>
                <w:sz w:val="21"/>
                <w:szCs w:val="21"/>
                <w:u w:val="single"/>
                <w:lang w:eastAsia="zh-CN"/>
              </w:rPr>
              <w:t>白山市江源区人民医院</w:t>
            </w:r>
          </w:p>
        </w:tc>
        <w:tc>
          <w:tcPr>
            <w:tcW w:w="1134" w:type="dxa"/>
            <w:noWrap w:val="0"/>
            <w:vAlign w:val="center"/>
          </w:tcPr>
          <w:p>
            <w:pPr>
              <w:pStyle w:val="24"/>
              <w:tabs>
                <w:tab w:val="left" w:pos="0"/>
                <w:tab w:val="left" w:pos="1260"/>
              </w:tabs>
              <w:spacing w:line="240" w:lineRule="auto"/>
              <w:rPr>
                <w:rFonts w:hint="eastAsia" w:ascii="Times New Roman" w:hAnsi="Times New Roman" w:eastAsia="宋体" w:cs="Times New Roman"/>
                <w:i w:val="0"/>
                <w:iCs w:val="0"/>
                <w:sz w:val="21"/>
                <w:szCs w:val="21"/>
                <w:u w:val="single"/>
              </w:rPr>
            </w:pPr>
            <w:r>
              <w:rPr>
                <w:rFonts w:hint="eastAsia" w:ascii="Times New Roman" w:hAnsi="Times New Roman" w:eastAsia="宋体" w:cs="Times New Roman"/>
                <w:i w:val="0"/>
                <w:iCs w:val="0"/>
                <w:sz w:val="21"/>
                <w:szCs w:val="21"/>
                <w:u w:val="single"/>
              </w:rPr>
              <w:t>126.60199</w:t>
            </w:r>
          </w:p>
        </w:tc>
        <w:tc>
          <w:tcPr>
            <w:tcW w:w="1140" w:type="dxa"/>
            <w:noWrap w:val="0"/>
            <w:vAlign w:val="center"/>
          </w:tcPr>
          <w:p>
            <w:pPr>
              <w:pStyle w:val="24"/>
              <w:tabs>
                <w:tab w:val="left" w:pos="0"/>
                <w:tab w:val="left" w:pos="1260"/>
              </w:tabs>
              <w:spacing w:line="240" w:lineRule="auto"/>
              <w:rPr>
                <w:rFonts w:hint="eastAsia" w:ascii="Times New Roman" w:hAnsi="Times New Roman" w:eastAsia="宋体" w:cs="Times New Roman"/>
                <w:i w:val="0"/>
                <w:iCs w:val="0"/>
                <w:sz w:val="21"/>
                <w:szCs w:val="21"/>
                <w:u w:val="single"/>
              </w:rPr>
            </w:pPr>
            <w:r>
              <w:rPr>
                <w:rFonts w:hint="eastAsia" w:ascii="Times New Roman" w:hAnsi="Times New Roman" w:eastAsia="宋体" w:cs="Times New Roman"/>
                <w:i w:val="0"/>
                <w:iCs w:val="0"/>
                <w:sz w:val="21"/>
                <w:szCs w:val="21"/>
                <w:u w:val="single"/>
              </w:rPr>
              <w:t>42.07742</w:t>
            </w:r>
          </w:p>
        </w:tc>
        <w:tc>
          <w:tcPr>
            <w:tcW w:w="1080"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1047"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956"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886"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东南侧</w:t>
            </w:r>
          </w:p>
        </w:tc>
        <w:tc>
          <w:tcPr>
            <w:tcW w:w="1171" w:type="dxa"/>
            <w:noWrap w:val="0"/>
            <w:vAlign w:val="center"/>
          </w:tcPr>
          <w:p>
            <w:pPr>
              <w:pStyle w:val="24"/>
              <w:tabs>
                <w:tab w:val="left" w:pos="0"/>
                <w:tab w:val="left" w:pos="1260"/>
              </w:tabs>
              <w:spacing w:line="240" w:lineRule="auto"/>
              <w:rPr>
                <w:rFonts w:hint="default" w:eastAsia="宋体"/>
                <w:i w:val="0"/>
                <w:iCs w:val="0"/>
                <w:sz w:val="21"/>
                <w:szCs w:val="21"/>
                <w:u w:val="single"/>
                <w:lang w:val="en-US" w:eastAsia="zh-CN"/>
              </w:rPr>
            </w:pPr>
            <w:r>
              <w:rPr>
                <w:rFonts w:hint="eastAsia"/>
                <w:i w:val="0"/>
                <w:iCs w:val="0"/>
                <w:sz w:val="21"/>
                <w:szCs w:val="21"/>
                <w:u w:val="single"/>
                <w:lang w:val="en-US" w:eastAsia="zh-CN"/>
              </w:rPr>
              <w:t>987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71" w:type="dxa"/>
          <w:trHeight w:val="401" w:hRule="atLeast"/>
          <w:jc w:val="center"/>
        </w:trPr>
        <w:tc>
          <w:tcPr>
            <w:tcW w:w="818" w:type="dxa"/>
            <w:vMerge w:val="continue"/>
            <w:noWrap w:val="0"/>
            <w:vAlign w:val="center"/>
          </w:tcPr>
          <w:p>
            <w:pPr>
              <w:pStyle w:val="24"/>
              <w:tabs>
                <w:tab w:val="left" w:pos="0"/>
                <w:tab w:val="left" w:pos="1260"/>
              </w:tabs>
              <w:spacing w:line="240" w:lineRule="auto"/>
              <w:rPr>
                <w:i w:val="0"/>
                <w:iCs w:val="0"/>
                <w:sz w:val="21"/>
                <w:szCs w:val="21"/>
                <w:u w:val="single"/>
              </w:rPr>
            </w:pPr>
          </w:p>
        </w:tc>
        <w:tc>
          <w:tcPr>
            <w:tcW w:w="1552"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月亮湾水悦嘉城</w:t>
            </w:r>
          </w:p>
        </w:tc>
        <w:tc>
          <w:tcPr>
            <w:tcW w:w="1134" w:type="dxa"/>
            <w:noWrap w:val="0"/>
            <w:vAlign w:val="center"/>
          </w:tcPr>
          <w:p>
            <w:pPr>
              <w:pStyle w:val="24"/>
              <w:tabs>
                <w:tab w:val="left" w:pos="0"/>
                <w:tab w:val="left" w:pos="1260"/>
              </w:tabs>
              <w:spacing w:line="240" w:lineRule="auto"/>
              <w:rPr>
                <w:rFonts w:hint="eastAsia" w:ascii="Times New Roman" w:hAnsi="Times New Roman" w:eastAsia="宋体" w:cs="Times New Roman"/>
                <w:i w:val="0"/>
                <w:iCs w:val="0"/>
                <w:sz w:val="21"/>
                <w:szCs w:val="21"/>
                <w:u w:val="single"/>
              </w:rPr>
            </w:pPr>
            <w:r>
              <w:rPr>
                <w:rFonts w:hint="eastAsia" w:ascii="Times New Roman" w:hAnsi="Times New Roman" w:eastAsia="宋体" w:cs="Times New Roman"/>
                <w:i w:val="0"/>
                <w:iCs w:val="0"/>
                <w:sz w:val="21"/>
                <w:szCs w:val="21"/>
                <w:u w:val="single"/>
              </w:rPr>
              <w:t>126.59042</w:t>
            </w:r>
          </w:p>
        </w:tc>
        <w:tc>
          <w:tcPr>
            <w:tcW w:w="1140" w:type="dxa"/>
            <w:noWrap w:val="0"/>
            <w:vAlign w:val="center"/>
          </w:tcPr>
          <w:p>
            <w:pPr>
              <w:pStyle w:val="24"/>
              <w:tabs>
                <w:tab w:val="left" w:pos="0"/>
                <w:tab w:val="left" w:pos="1260"/>
              </w:tabs>
              <w:spacing w:line="240" w:lineRule="auto"/>
              <w:rPr>
                <w:rFonts w:hint="eastAsia" w:ascii="Times New Roman" w:hAnsi="Times New Roman" w:eastAsia="宋体" w:cs="Times New Roman"/>
                <w:i w:val="0"/>
                <w:iCs w:val="0"/>
                <w:sz w:val="21"/>
                <w:szCs w:val="21"/>
                <w:u w:val="single"/>
              </w:rPr>
            </w:pPr>
            <w:r>
              <w:rPr>
                <w:rFonts w:hint="eastAsia" w:ascii="Times New Roman" w:hAnsi="Times New Roman" w:eastAsia="宋体" w:cs="Times New Roman"/>
                <w:i w:val="0"/>
                <w:iCs w:val="0"/>
                <w:sz w:val="21"/>
                <w:szCs w:val="21"/>
                <w:u w:val="single"/>
              </w:rPr>
              <w:t>42.060612</w:t>
            </w:r>
          </w:p>
        </w:tc>
        <w:tc>
          <w:tcPr>
            <w:tcW w:w="1080"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1047"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956"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886"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南侧</w:t>
            </w:r>
          </w:p>
        </w:tc>
        <w:tc>
          <w:tcPr>
            <w:tcW w:w="1171" w:type="dxa"/>
            <w:noWrap w:val="0"/>
            <w:vAlign w:val="center"/>
          </w:tcPr>
          <w:p>
            <w:pPr>
              <w:pStyle w:val="24"/>
              <w:tabs>
                <w:tab w:val="left" w:pos="0"/>
                <w:tab w:val="left" w:pos="1260"/>
              </w:tabs>
              <w:spacing w:line="240" w:lineRule="auto"/>
              <w:rPr>
                <w:i w:val="0"/>
                <w:iCs w:val="0"/>
                <w:sz w:val="21"/>
                <w:szCs w:val="21"/>
                <w:u w:val="single"/>
              </w:rPr>
            </w:pPr>
            <w:r>
              <w:rPr>
                <w:rFonts w:hint="eastAsia"/>
                <w:i w:val="0"/>
                <w:iCs w:val="0"/>
                <w:sz w:val="21"/>
                <w:szCs w:val="21"/>
                <w:u w:val="single"/>
              </w:rPr>
              <w:t>2075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71" w:type="dxa"/>
          <w:trHeight w:val="401" w:hRule="atLeast"/>
          <w:jc w:val="center"/>
        </w:trPr>
        <w:tc>
          <w:tcPr>
            <w:tcW w:w="818" w:type="dxa"/>
            <w:vMerge w:val="continue"/>
            <w:noWrap w:val="0"/>
            <w:vAlign w:val="center"/>
          </w:tcPr>
          <w:p>
            <w:pPr>
              <w:pStyle w:val="24"/>
              <w:tabs>
                <w:tab w:val="left" w:pos="0"/>
                <w:tab w:val="left" w:pos="1260"/>
              </w:tabs>
              <w:spacing w:line="240" w:lineRule="auto"/>
              <w:rPr>
                <w:i w:val="0"/>
                <w:iCs w:val="0"/>
                <w:sz w:val="21"/>
                <w:szCs w:val="21"/>
                <w:u w:val="single"/>
              </w:rPr>
            </w:pPr>
          </w:p>
        </w:tc>
        <w:tc>
          <w:tcPr>
            <w:tcW w:w="1552"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昌泰阳光花园</w:t>
            </w:r>
          </w:p>
        </w:tc>
        <w:tc>
          <w:tcPr>
            <w:tcW w:w="1134"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126.58427</w:t>
            </w:r>
          </w:p>
        </w:tc>
        <w:tc>
          <w:tcPr>
            <w:tcW w:w="1140"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42.060355</w:t>
            </w:r>
          </w:p>
        </w:tc>
        <w:tc>
          <w:tcPr>
            <w:tcW w:w="1080"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1047"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956"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886"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西南侧</w:t>
            </w:r>
          </w:p>
        </w:tc>
        <w:tc>
          <w:tcPr>
            <w:tcW w:w="1171" w:type="dxa"/>
            <w:noWrap w:val="0"/>
            <w:vAlign w:val="center"/>
          </w:tcPr>
          <w:p>
            <w:pPr>
              <w:pStyle w:val="24"/>
              <w:tabs>
                <w:tab w:val="left" w:pos="0"/>
                <w:tab w:val="left" w:pos="1260"/>
              </w:tabs>
              <w:spacing w:line="240" w:lineRule="auto"/>
              <w:rPr>
                <w:i w:val="0"/>
                <w:iCs w:val="0"/>
                <w:sz w:val="21"/>
                <w:szCs w:val="21"/>
                <w:u w:val="single"/>
              </w:rPr>
            </w:pPr>
            <w:r>
              <w:rPr>
                <w:rFonts w:hint="eastAsia"/>
                <w:i w:val="0"/>
                <w:iCs w:val="0"/>
                <w:sz w:val="21"/>
                <w:szCs w:val="21"/>
                <w:u w:val="single"/>
              </w:rPr>
              <w:t>2062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71" w:type="dxa"/>
          <w:trHeight w:val="401" w:hRule="atLeast"/>
          <w:jc w:val="center"/>
        </w:trPr>
        <w:tc>
          <w:tcPr>
            <w:tcW w:w="818" w:type="dxa"/>
            <w:vMerge w:val="continue"/>
            <w:noWrap w:val="0"/>
            <w:vAlign w:val="center"/>
          </w:tcPr>
          <w:p>
            <w:pPr>
              <w:pStyle w:val="24"/>
              <w:tabs>
                <w:tab w:val="left" w:pos="0"/>
                <w:tab w:val="left" w:pos="1260"/>
              </w:tabs>
              <w:spacing w:line="240" w:lineRule="auto"/>
              <w:rPr>
                <w:i w:val="0"/>
                <w:iCs w:val="0"/>
                <w:sz w:val="21"/>
                <w:szCs w:val="21"/>
                <w:u w:val="single"/>
              </w:rPr>
            </w:pPr>
          </w:p>
        </w:tc>
        <w:tc>
          <w:tcPr>
            <w:tcW w:w="1552"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新华四组</w:t>
            </w:r>
          </w:p>
        </w:tc>
        <w:tc>
          <w:tcPr>
            <w:tcW w:w="1134"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126.58002</w:t>
            </w:r>
          </w:p>
        </w:tc>
        <w:tc>
          <w:tcPr>
            <w:tcW w:w="1140"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42.066017</w:t>
            </w:r>
          </w:p>
        </w:tc>
        <w:tc>
          <w:tcPr>
            <w:tcW w:w="1080"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1047"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956"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886"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西南侧</w:t>
            </w:r>
          </w:p>
        </w:tc>
        <w:tc>
          <w:tcPr>
            <w:tcW w:w="1171" w:type="dxa"/>
            <w:noWrap w:val="0"/>
            <w:vAlign w:val="center"/>
          </w:tcPr>
          <w:p>
            <w:pPr>
              <w:pStyle w:val="24"/>
              <w:tabs>
                <w:tab w:val="left" w:pos="0"/>
                <w:tab w:val="left" w:pos="1260"/>
              </w:tabs>
              <w:spacing w:line="240" w:lineRule="auto"/>
              <w:rPr>
                <w:i w:val="0"/>
                <w:iCs w:val="0"/>
                <w:sz w:val="21"/>
                <w:szCs w:val="21"/>
                <w:u w:val="single"/>
              </w:rPr>
            </w:pPr>
            <w:r>
              <w:rPr>
                <w:rFonts w:hint="eastAsia"/>
                <w:i w:val="0"/>
                <w:iCs w:val="0"/>
                <w:sz w:val="21"/>
                <w:szCs w:val="21"/>
                <w:u w:val="single"/>
              </w:rPr>
              <w:t>1521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71" w:type="dxa"/>
          <w:trHeight w:val="90" w:hRule="atLeast"/>
          <w:jc w:val="center"/>
        </w:trPr>
        <w:tc>
          <w:tcPr>
            <w:tcW w:w="818" w:type="dxa"/>
            <w:vMerge w:val="continue"/>
            <w:noWrap w:val="0"/>
            <w:vAlign w:val="center"/>
          </w:tcPr>
          <w:p>
            <w:pPr>
              <w:pStyle w:val="24"/>
              <w:tabs>
                <w:tab w:val="left" w:pos="0"/>
                <w:tab w:val="left" w:pos="1260"/>
              </w:tabs>
              <w:spacing w:line="240" w:lineRule="auto"/>
              <w:rPr>
                <w:i w:val="0"/>
                <w:iCs w:val="0"/>
                <w:sz w:val="21"/>
                <w:szCs w:val="21"/>
                <w:u w:val="single"/>
              </w:rPr>
            </w:pPr>
          </w:p>
        </w:tc>
        <w:tc>
          <w:tcPr>
            <w:tcW w:w="1552"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新华五组</w:t>
            </w:r>
          </w:p>
        </w:tc>
        <w:tc>
          <w:tcPr>
            <w:tcW w:w="1134"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126.57569</w:t>
            </w:r>
          </w:p>
        </w:tc>
        <w:tc>
          <w:tcPr>
            <w:tcW w:w="1140"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42.076105</w:t>
            </w:r>
          </w:p>
        </w:tc>
        <w:tc>
          <w:tcPr>
            <w:tcW w:w="1080"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1047"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956"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886"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西南侧</w:t>
            </w:r>
          </w:p>
        </w:tc>
        <w:tc>
          <w:tcPr>
            <w:tcW w:w="1171" w:type="dxa"/>
            <w:noWrap w:val="0"/>
            <w:vAlign w:val="center"/>
          </w:tcPr>
          <w:p>
            <w:pPr>
              <w:pStyle w:val="24"/>
              <w:tabs>
                <w:tab w:val="left" w:pos="0"/>
                <w:tab w:val="left" w:pos="1260"/>
              </w:tabs>
              <w:spacing w:line="240" w:lineRule="auto"/>
              <w:rPr>
                <w:i w:val="0"/>
                <w:iCs w:val="0"/>
                <w:sz w:val="21"/>
                <w:szCs w:val="21"/>
                <w:u w:val="single"/>
              </w:rPr>
            </w:pPr>
            <w:r>
              <w:rPr>
                <w:rFonts w:hint="eastAsia"/>
                <w:i w:val="0"/>
                <w:iCs w:val="0"/>
                <w:sz w:val="21"/>
                <w:szCs w:val="21"/>
                <w:u w:val="single"/>
              </w:rPr>
              <w:t>980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71" w:type="dxa"/>
          <w:trHeight w:val="401" w:hRule="atLeast"/>
          <w:jc w:val="center"/>
        </w:trPr>
        <w:tc>
          <w:tcPr>
            <w:tcW w:w="818" w:type="dxa"/>
            <w:vMerge w:val="continue"/>
            <w:noWrap w:val="0"/>
            <w:vAlign w:val="center"/>
          </w:tcPr>
          <w:p>
            <w:pPr>
              <w:pStyle w:val="24"/>
              <w:tabs>
                <w:tab w:val="left" w:pos="0"/>
                <w:tab w:val="left" w:pos="1260"/>
              </w:tabs>
              <w:spacing w:line="240" w:lineRule="auto"/>
              <w:rPr>
                <w:i w:val="0"/>
                <w:iCs w:val="0"/>
                <w:sz w:val="21"/>
                <w:szCs w:val="21"/>
                <w:u w:val="single"/>
              </w:rPr>
            </w:pPr>
          </w:p>
        </w:tc>
        <w:tc>
          <w:tcPr>
            <w:tcW w:w="1552"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小木局沟</w:t>
            </w:r>
          </w:p>
        </w:tc>
        <w:tc>
          <w:tcPr>
            <w:tcW w:w="1134"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126.57665</w:t>
            </w:r>
          </w:p>
        </w:tc>
        <w:tc>
          <w:tcPr>
            <w:tcW w:w="1140"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42.070744</w:t>
            </w:r>
          </w:p>
        </w:tc>
        <w:tc>
          <w:tcPr>
            <w:tcW w:w="1080"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1047"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956"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886"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西南侧</w:t>
            </w:r>
          </w:p>
        </w:tc>
        <w:tc>
          <w:tcPr>
            <w:tcW w:w="1171" w:type="dxa"/>
            <w:noWrap w:val="0"/>
            <w:vAlign w:val="center"/>
          </w:tcPr>
          <w:p>
            <w:pPr>
              <w:pStyle w:val="24"/>
              <w:tabs>
                <w:tab w:val="left" w:pos="0"/>
                <w:tab w:val="left" w:pos="1260"/>
              </w:tabs>
              <w:spacing w:line="240" w:lineRule="auto"/>
              <w:rPr>
                <w:i w:val="0"/>
                <w:iCs w:val="0"/>
                <w:sz w:val="21"/>
                <w:szCs w:val="21"/>
                <w:u w:val="single"/>
              </w:rPr>
            </w:pPr>
            <w:r>
              <w:rPr>
                <w:rFonts w:hint="eastAsia"/>
                <w:i w:val="0"/>
                <w:iCs w:val="0"/>
                <w:sz w:val="21"/>
                <w:szCs w:val="21"/>
                <w:u w:val="single"/>
              </w:rPr>
              <w:t>1250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71" w:type="dxa"/>
          <w:trHeight w:val="401" w:hRule="atLeast"/>
          <w:jc w:val="center"/>
        </w:trPr>
        <w:tc>
          <w:tcPr>
            <w:tcW w:w="818" w:type="dxa"/>
            <w:vMerge w:val="continue"/>
            <w:noWrap w:val="0"/>
            <w:vAlign w:val="center"/>
          </w:tcPr>
          <w:p>
            <w:pPr>
              <w:pStyle w:val="24"/>
              <w:tabs>
                <w:tab w:val="left" w:pos="0"/>
                <w:tab w:val="left" w:pos="1260"/>
              </w:tabs>
              <w:spacing w:line="240" w:lineRule="auto"/>
              <w:rPr>
                <w:i w:val="0"/>
                <w:iCs w:val="0"/>
                <w:sz w:val="21"/>
                <w:szCs w:val="21"/>
                <w:u w:val="single"/>
              </w:rPr>
            </w:pPr>
          </w:p>
        </w:tc>
        <w:tc>
          <w:tcPr>
            <w:tcW w:w="1552"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后大台</w:t>
            </w:r>
          </w:p>
        </w:tc>
        <w:tc>
          <w:tcPr>
            <w:tcW w:w="1134"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126.58642</w:t>
            </w:r>
          </w:p>
        </w:tc>
        <w:tc>
          <w:tcPr>
            <w:tcW w:w="1140"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42.079209</w:t>
            </w:r>
          </w:p>
        </w:tc>
        <w:tc>
          <w:tcPr>
            <w:tcW w:w="1080"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1047"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956"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886"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西侧</w:t>
            </w:r>
          </w:p>
        </w:tc>
        <w:tc>
          <w:tcPr>
            <w:tcW w:w="1171" w:type="dxa"/>
            <w:noWrap w:val="0"/>
            <w:vAlign w:val="center"/>
          </w:tcPr>
          <w:p>
            <w:pPr>
              <w:pStyle w:val="24"/>
              <w:tabs>
                <w:tab w:val="left" w:pos="0"/>
                <w:tab w:val="left" w:pos="1260"/>
              </w:tabs>
              <w:spacing w:line="240" w:lineRule="auto"/>
              <w:rPr>
                <w:i w:val="0"/>
                <w:iCs w:val="0"/>
                <w:sz w:val="21"/>
                <w:szCs w:val="21"/>
                <w:u w:val="single"/>
              </w:rPr>
            </w:pPr>
            <w:r>
              <w:rPr>
                <w:rFonts w:hint="eastAsia"/>
                <w:i w:val="0"/>
                <w:iCs w:val="0"/>
                <w:sz w:val="21"/>
                <w:szCs w:val="21"/>
                <w:u w:val="single"/>
              </w:rPr>
              <w:t>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71" w:type="dxa"/>
          <w:trHeight w:val="401" w:hRule="atLeast"/>
          <w:jc w:val="center"/>
        </w:trPr>
        <w:tc>
          <w:tcPr>
            <w:tcW w:w="818" w:type="dxa"/>
            <w:vMerge w:val="continue"/>
            <w:noWrap w:val="0"/>
            <w:vAlign w:val="center"/>
          </w:tcPr>
          <w:p>
            <w:pPr>
              <w:pStyle w:val="24"/>
              <w:tabs>
                <w:tab w:val="left" w:pos="0"/>
                <w:tab w:val="left" w:pos="1260"/>
              </w:tabs>
              <w:spacing w:line="240" w:lineRule="auto"/>
              <w:rPr>
                <w:i w:val="0"/>
                <w:iCs w:val="0"/>
                <w:sz w:val="21"/>
                <w:szCs w:val="21"/>
                <w:u w:val="single"/>
              </w:rPr>
            </w:pPr>
          </w:p>
        </w:tc>
        <w:tc>
          <w:tcPr>
            <w:tcW w:w="1552" w:type="dxa"/>
            <w:noWrap w:val="0"/>
            <w:vAlign w:val="center"/>
          </w:tcPr>
          <w:p>
            <w:pPr>
              <w:pStyle w:val="24"/>
              <w:tabs>
                <w:tab w:val="left" w:pos="0"/>
                <w:tab w:val="left" w:pos="1260"/>
              </w:tabs>
              <w:spacing w:line="240" w:lineRule="auto"/>
              <w:rPr>
                <w:i w:val="0"/>
                <w:iCs w:val="0"/>
                <w:sz w:val="21"/>
                <w:szCs w:val="21"/>
                <w:u w:val="single"/>
              </w:rPr>
            </w:pPr>
            <w:r>
              <w:rPr>
                <w:rFonts w:hint="eastAsia"/>
                <w:i w:val="0"/>
                <w:iCs w:val="0"/>
                <w:sz w:val="21"/>
                <w:szCs w:val="21"/>
                <w:u w:val="single"/>
              </w:rPr>
              <w:t>木局沟南顶</w:t>
            </w:r>
          </w:p>
        </w:tc>
        <w:tc>
          <w:tcPr>
            <w:tcW w:w="1134"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126.57401</w:t>
            </w:r>
          </w:p>
        </w:tc>
        <w:tc>
          <w:tcPr>
            <w:tcW w:w="1140"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42.077921</w:t>
            </w:r>
          </w:p>
        </w:tc>
        <w:tc>
          <w:tcPr>
            <w:tcW w:w="1080"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1047"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956"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886" w:type="dxa"/>
            <w:noWrap w:val="0"/>
            <w:vAlign w:val="center"/>
          </w:tcPr>
          <w:p>
            <w:pPr>
              <w:pStyle w:val="24"/>
              <w:tabs>
                <w:tab w:val="left" w:pos="0"/>
                <w:tab w:val="left" w:pos="1260"/>
              </w:tabs>
              <w:spacing w:line="240" w:lineRule="auto"/>
              <w:rPr>
                <w:i w:val="0"/>
                <w:iCs w:val="0"/>
                <w:sz w:val="21"/>
                <w:szCs w:val="21"/>
                <w:u w:val="single"/>
              </w:rPr>
            </w:pPr>
            <w:r>
              <w:rPr>
                <w:rFonts w:hint="eastAsia"/>
                <w:i w:val="0"/>
                <w:iCs w:val="0"/>
                <w:sz w:val="21"/>
                <w:szCs w:val="21"/>
                <w:u w:val="single"/>
              </w:rPr>
              <w:t>西侧</w:t>
            </w:r>
          </w:p>
        </w:tc>
        <w:tc>
          <w:tcPr>
            <w:tcW w:w="1171" w:type="dxa"/>
            <w:noWrap w:val="0"/>
            <w:vAlign w:val="center"/>
          </w:tcPr>
          <w:p>
            <w:pPr>
              <w:pStyle w:val="24"/>
              <w:tabs>
                <w:tab w:val="left" w:pos="0"/>
                <w:tab w:val="left" w:pos="1260"/>
              </w:tabs>
              <w:spacing w:line="240" w:lineRule="auto"/>
              <w:rPr>
                <w:i w:val="0"/>
                <w:iCs w:val="0"/>
                <w:sz w:val="21"/>
                <w:szCs w:val="21"/>
                <w:u w:val="single"/>
              </w:rPr>
            </w:pPr>
            <w:r>
              <w:rPr>
                <w:rFonts w:hint="eastAsia"/>
                <w:i w:val="0"/>
                <w:iCs w:val="0"/>
                <w:sz w:val="21"/>
                <w:szCs w:val="21"/>
                <w:u w:val="single"/>
              </w:rPr>
              <w:t>1103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71" w:type="dxa"/>
          <w:trHeight w:val="401" w:hRule="atLeast"/>
          <w:jc w:val="center"/>
        </w:trPr>
        <w:tc>
          <w:tcPr>
            <w:tcW w:w="818" w:type="dxa"/>
            <w:vMerge w:val="continue"/>
            <w:noWrap w:val="0"/>
            <w:vAlign w:val="center"/>
          </w:tcPr>
          <w:p>
            <w:pPr>
              <w:pStyle w:val="24"/>
              <w:tabs>
                <w:tab w:val="left" w:pos="0"/>
                <w:tab w:val="left" w:pos="1260"/>
              </w:tabs>
              <w:spacing w:line="240" w:lineRule="auto"/>
              <w:rPr>
                <w:i w:val="0"/>
                <w:iCs w:val="0"/>
                <w:sz w:val="21"/>
                <w:szCs w:val="21"/>
                <w:u w:val="single"/>
              </w:rPr>
            </w:pPr>
          </w:p>
        </w:tc>
        <w:tc>
          <w:tcPr>
            <w:tcW w:w="1552" w:type="dxa"/>
            <w:noWrap w:val="0"/>
            <w:vAlign w:val="center"/>
          </w:tcPr>
          <w:p>
            <w:pPr>
              <w:pStyle w:val="24"/>
              <w:tabs>
                <w:tab w:val="left" w:pos="0"/>
                <w:tab w:val="left" w:pos="1260"/>
              </w:tabs>
              <w:spacing w:line="240" w:lineRule="auto"/>
              <w:rPr>
                <w:i w:val="0"/>
                <w:iCs w:val="0"/>
                <w:sz w:val="21"/>
                <w:szCs w:val="21"/>
                <w:u w:val="single"/>
              </w:rPr>
            </w:pPr>
            <w:r>
              <w:rPr>
                <w:rFonts w:hint="eastAsia"/>
                <w:i w:val="0"/>
                <w:iCs w:val="0"/>
                <w:sz w:val="21"/>
                <w:szCs w:val="21"/>
                <w:u w:val="single"/>
              </w:rPr>
              <w:t>新华二组</w:t>
            </w:r>
          </w:p>
        </w:tc>
        <w:tc>
          <w:tcPr>
            <w:tcW w:w="1134"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126.58622</w:t>
            </w:r>
          </w:p>
        </w:tc>
        <w:tc>
          <w:tcPr>
            <w:tcW w:w="1140"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42.07996</w:t>
            </w:r>
          </w:p>
        </w:tc>
        <w:tc>
          <w:tcPr>
            <w:tcW w:w="1080"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1047"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956"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886" w:type="dxa"/>
            <w:noWrap w:val="0"/>
            <w:vAlign w:val="center"/>
          </w:tcPr>
          <w:p>
            <w:pPr>
              <w:pStyle w:val="24"/>
              <w:tabs>
                <w:tab w:val="left" w:pos="0"/>
                <w:tab w:val="left" w:pos="1260"/>
              </w:tabs>
              <w:spacing w:line="240" w:lineRule="auto"/>
              <w:rPr>
                <w:i w:val="0"/>
                <w:iCs w:val="0"/>
                <w:sz w:val="21"/>
                <w:szCs w:val="21"/>
                <w:u w:val="single"/>
              </w:rPr>
            </w:pPr>
            <w:r>
              <w:rPr>
                <w:rFonts w:hint="eastAsia"/>
                <w:i w:val="0"/>
                <w:iCs w:val="0"/>
                <w:sz w:val="21"/>
                <w:szCs w:val="21"/>
                <w:u w:val="single"/>
              </w:rPr>
              <w:t>西北侧</w:t>
            </w:r>
          </w:p>
        </w:tc>
        <w:tc>
          <w:tcPr>
            <w:tcW w:w="1171" w:type="dxa"/>
            <w:noWrap w:val="0"/>
            <w:vAlign w:val="center"/>
          </w:tcPr>
          <w:p>
            <w:pPr>
              <w:pStyle w:val="24"/>
              <w:tabs>
                <w:tab w:val="left" w:pos="0"/>
                <w:tab w:val="left" w:pos="1260"/>
              </w:tabs>
              <w:spacing w:line="240" w:lineRule="auto"/>
              <w:rPr>
                <w:i w:val="0"/>
                <w:iCs w:val="0"/>
                <w:sz w:val="21"/>
                <w:szCs w:val="21"/>
                <w:u w:val="single"/>
              </w:rPr>
            </w:pPr>
            <w:r>
              <w:rPr>
                <w:rFonts w:hint="eastAsia"/>
                <w:i w:val="0"/>
                <w:iCs w:val="0"/>
                <w:sz w:val="21"/>
                <w:szCs w:val="21"/>
                <w:u w:val="single"/>
              </w:rPr>
              <w:t>67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71" w:type="dxa"/>
          <w:trHeight w:val="401" w:hRule="atLeast"/>
          <w:jc w:val="center"/>
        </w:trPr>
        <w:tc>
          <w:tcPr>
            <w:tcW w:w="818" w:type="dxa"/>
            <w:vMerge w:val="continue"/>
            <w:noWrap w:val="0"/>
            <w:vAlign w:val="center"/>
          </w:tcPr>
          <w:p>
            <w:pPr>
              <w:pStyle w:val="24"/>
              <w:tabs>
                <w:tab w:val="left" w:pos="0"/>
                <w:tab w:val="left" w:pos="1260"/>
              </w:tabs>
              <w:spacing w:line="240" w:lineRule="auto"/>
              <w:rPr>
                <w:i w:val="0"/>
                <w:iCs w:val="0"/>
                <w:sz w:val="21"/>
                <w:szCs w:val="21"/>
                <w:u w:val="single"/>
              </w:rPr>
            </w:pPr>
          </w:p>
        </w:tc>
        <w:tc>
          <w:tcPr>
            <w:tcW w:w="1552" w:type="dxa"/>
            <w:noWrap w:val="0"/>
            <w:vAlign w:val="center"/>
          </w:tcPr>
          <w:p>
            <w:pPr>
              <w:pStyle w:val="24"/>
              <w:tabs>
                <w:tab w:val="left" w:pos="0"/>
                <w:tab w:val="left" w:pos="1260"/>
              </w:tabs>
              <w:spacing w:line="240" w:lineRule="auto"/>
              <w:rPr>
                <w:i w:val="0"/>
                <w:iCs w:val="0"/>
                <w:sz w:val="21"/>
                <w:szCs w:val="21"/>
                <w:u w:val="single"/>
              </w:rPr>
            </w:pPr>
            <w:r>
              <w:rPr>
                <w:rFonts w:hint="eastAsia"/>
                <w:i w:val="0"/>
                <w:iCs w:val="0"/>
                <w:sz w:val="21"/>
                <w:szCs w:val="21"/>
                <w:u w:val="single"/>
              </w:rPr>
              <w:t>绿色家园小区</w:t>
            </w:r>
          </w:p>
        </w:tc>
        <w:tc>
          <w:tcPr>
            <w:tcW w:w="1134"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126.58510</w:t>
            </w:r>
          </w:p>
        </w:tc>
        <w:tc>
          <w:tcPr>
            <w:tcW w:w="1140"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42.09065</w:t>
            </w:r>
          </w:p>
        </w:tc>
        <w:tc>
          <w:tcPr>
            <w:tcW w:w="1080"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1047"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956"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886" w:type="dxa"/>
            <w:noWrap w:val="0"/>
            <w:vAlign w:val="center"/>
          </w:tcPr>
          <w:p>
            <w:pPr>
              <w:pStyle w:val="24"/>
              <w:tabs>
                <w:tab w:val="left" w:pos="0"/>
                <w:tab w:val="left" w:pos="1260"/>
              </w:tabs>
              <w:spacing w:line="240" w:lineRule="auto"/>
              <w:rPr>
                <w:i w:val="0"/>
                <w:iCs w:val="0"/>
                <w:sz w:val="21"/>
                <w:szCs w:val="21"/>
                <w:u w:val="single"/>
              </w:rPr>
            </w:pPr>
            <w:r>
              <w:rPr>
                <w:rFonts w:hint="eastAsia"/>
                <w:i w:val="0"/>
                <w:iCs w:val="0"/>
                <w:sz w:val="21"/>
                <w:szCs w:val="21"/>
                <w:u w:val="single"/>
              </w:rPr>
              <w:t>北侧</w:t>
            </w:r>
          </w:p>
        </w:tc>
        <w:tc>
          <w:tcPr>
            <w:tcW w:w="1171" w:type="dxa"/>
            <w:noWrap w:val="0"/>
            <w:vAlign w:val="center"/>
          </w:tcPr>
          <w:p>
            <w:pPr>
              <w:pStyle w:val="24"/>
              <w:tabs>
                <w:tab w:val="left" w:pos="0"/>
                <w:tab w:val="left" w:pos="1260"/>
              </w:tabs>
              <w:spacing w:line="240" w:lineRule="auto"/>
              <w:rPr>
                <w:i w:val="0"/>
                <w:iCs w:val="0"/>
                <w:sz w:val="21"/>
                <w:szCs w:val="21"/>
                <w:u w:val="single"/>
              </w:rPr>
            </w:pPr>
            <w:r>
              <w:rPr>
                <w:rFonts w:hint="eastAsia"/>
                <w:i w:val="0"/>
                <w:iCs w:val="0"/>
                <w:sz w:val="21"/>
                <w:szCs w:val="21"/>
                <w:u w:val="single"/>
              </w:rPr>
              <w:t>1204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71" w:type="dxa"/>
          <w:trHeight w:val="90" w:hRule="atLeast"/>
          <w:jc w:val="center"/>
        </w:trPr>
        <w:tc>
          <w:tcPr>
            <w:tcW w:w="818" w:type="dxa"/>
            <w:vMerge w:val="continue"/>
            <w:noWrap w:val="0"/>
            <w:vAlign w:val="center"/>
          </w:tcPr>
          <w:p>
            <w:pPr>
              <w:pStyle w:val="24"/>
              <w:tabs>
                <w:tab w:val="left" w:pos="0"/>
                <w:tab w:val="left" w:pos="1260"/>
              </w:tabs>
              <w:spacing w:line="240" w:lineRule="auto"/>
              <w:rPr>
                <w:i w:val="0"/>
                <w:iCs w:val="0"/>
                <w:sz w:val="21"/>
                <w:szCs w:val="21"/>
                <w:u w:val="single"/>
              </w:rPr>
            </w:pPr>
          </w:p>
        </w:tc>
        <w:tc>
          <w:tcPr>
            <w:tcW w:w="1552" w:type="dxa"/>
            <w:noWrap w:val="0"/>
            <w:vAlign w:val="center"/>
          </w:tcPr>
          <w:p>
            <w:pPr>
              <w:pStyle w:val="24"/>
              <w:tabs>
                <w:tab w:val="left" w:pos="0"/>
                <w:tab w:val="left" w:pos="1260"/>
              </w:tabs>
              <w:spacing w:line="240" w:lineRule="auto"/>
              <w:rPr>
                <w:rFonts w:hint="eastAsia" w:eastAsia="宋体"/>
                <w:i w:val="0"/>
                <w:iCs w:val="0"/>
                <w:sz w:val="21"/>
                <w:szCs w:val="21"/>
                <w:u w:val="single"/>
                <w:lang w:eastAsia="zh-CN"/>
              </w:rPr>
            </w:pPr>
            <w:r>
              <w:rPr>
                <w:rFonts w:hint="eastAsia"/>
                <w:i w:val="0"/>
                <w:iCs w:val="0"/>
                <w:sz w:val="21"/>
                <w:szCs w:val="21"/>
                <w:u w:val="single"/>
                <w:lang w:eastAsia="zh-CN"/>
              </w:rPr>
              <w:t>白山市第二十七中学</w:t>
            </w:r>
          </w:p>
        </w:tc>
        <w:tc>
          <w:tcPr>
            <w:tcW w:w="1134"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126.59041</w:t>
            </w:r>
          </w:p>
        </w:tc>
        <w:tc>
          <w:tcPr>
            <w:tcW w:w="1140" w:type="dxa"/>
            <w:noWrap w:val="0"/>
            <w:vAlign w:val="center"/>
          </w:tcPr>
          <w:p>
            <w:pPr>
              <w:pStyle w:val="24"/>
              <w:tabs>
                <w:tab w:val="left" w:pos="0"/>
                <w:tab w:val="left" w:pos="1260"/>
              </w:tabs>
              <w:spacing w:line="240" w:lineRule="auto"/>
              <w:rPr>
                <w:rFonts w:hint="eastAsia"/>
                <w:i w:val="0"/>
                <w:iCs w:val="0"/>
                <w:sz w:val="21"/>
                <w:szCs w:val="21"/>
                <w:u w:val="single"/>
              </w:rPr>
            </w:pPr>
            <w:r>
              <w:rPr>
                <w:rFonts w:hint="eastAsia"/>
                <w:i w:val="0"/>
                <w:iCs w:val="0"/>
                <w:sz w:val="21"/>
                <w:szCs w:val="21"/>
                <w:u w:val="single"/>
              </w:rPr>
              <w:t>42.08654</w:t>
            </w:r>
          </w:p>
        </w:tc>
        <w:tc>
          <w:tcPr>
            <w:tcW w:w="1080"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1047"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956" w:type="dxa"/>
            <w:vMerge w:val="continue"/>
            <w:noWrap w:val="0"/>
            <w:vAlign w:val="center"/>
          </w:tcPr>
          <w:p>
            <w:pPr>
              <w:pStyle w:val="24"/>
              <w:tabs>
                <w:tab w:val="left" w:pos="0"/>
                <w:tab w:val="left" w:pos="1260"/>
              </w:tabs>
              <w:spacing w:line="240" w:lineRule="auto"/>
              <w:rPr>
                <w:rFonts w:hint="eastAsia"/>
                <w:i w:val="0"/>
                <w:iCs w:val="0"/>
                <w:sz w:val="21"/>
                <w:szCs w:val="21"/>
                <w:u w:val="single"/>
              </w:rPr>
            </w:pPr>
          </w:p>
        </w:tc>
        <w:tc>
          <w:tcPr>
            <w:tcW w:w="886" w:type="dxa"/>
            <w:noWrap w:val="0"/>
            <w:vAlign w:val="center"/>
          </w:tcPr>
          <w:p>
            <w:pPr>
              <w:pStyle w:val="24"/>
              <w:tabs>
                <w:tab w:val="left" w:pos="0"/>
                <w:tab w:val="left" w:pos="1260"/>
              </w:tabs>
              <w:spacing w:line="240" w:lineRule="auto"/>
              <w:rPr>
                <w:rFonts w:hint="eastAsia" w:eastAsia="宋体"/>
                <w:i w:val="0"/>
                <w:iCs w:val="0"/>
                <w:sz w:val="21"/>
                <w:szCs w:val="21"/>
                <w:u w:val="single"/>
                <w:lang w:eastAsia="zh-CN"/>
              </w:rPr>
            </w:pPr>
            <w:r>
              <w:rPr>
                <w:rFonts w:hint="eastAsia"/>
                <w:i w:val="0"/>
                <w:iCs w:val="0"/>
                <w:sz w:val="21"/>
                <w:szCs w:val="21"/>
                <w:u w:val="single"/>
                <w:lang w:eastAsia="zh-CN"/>
              </w:rPr>
              <w:t>东北侧</w:t>
            </w:r>
          </w:p>
        </w:tc>
        <w:tc>
          <w:tcPr>
            <w:tcW w:w="1171" w:type="dxa"/>
            <w:noWrap w:val="0"/>
            <w:vAlign w:val="center"/>
          </w:tcPr>
          <w:p>
            <w:pPr>
              <w:pStyle w:val="24"/>
              <w:tabs>
                <w:tab w:val="left" w:pos="0"/>
                <w:tab w:val="left" w:pos="1260"/>
              </w:tabs>
              <w:spacing w:line="240" w:lineRule="auto"/>
              <w:rPr>
                <w:rFonts w:hint="default" w:eastAsia="宋体"/>
                <w:i w:val="0"/>
                <w:iCs w:val="0"/>
                <w:sz w:val="21"/>
                <w:szCs w:val="21"/>
                <w:u w:val="single"/>
                <w:lang w:val="en-US" w:eastAsia="zh-CN"/>
              </w:rPr>
            </w:pPr>
            <w:r>
              <w:rPr>
                <w:rFonts w:hint="eastAsia"/>
                <w:i w:val="0"/>
                <w:iCs w:val="0"/>
                <w:sz w:val="21"/>
                <w:szCs w:val="21"/>
                <w:u w:val="single"/>
                <w:lang w:val="en-US" w:eastAsia="zh-CN"/>
              </w:rPr>
              <w:t>636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01" w:hRule="atLeast"/>
          <w:jc w:val="center"/>
        </w:trPr>
        <w:tc>
          <w:tcPr>
            <w:tcW w:w="818" w:type="dxa"/>
            <w:noWrap w:val="0"/>
            <w:vAlign w:val="center"/>
          </w:tcPr>
          <w:p>
            <w:pPr>
              <w:pStyle w:val="24"/>
              <w:tabs>
                <w:tab w:val="left" w:pos="0"/>
                <w:tab w:val="left" w:pos="1260"/>
              </w:tabs>
              <w:spacing w:line="240" w:lineRule="auto"/>
              <w:rPr>
                <w:i w:val="0"/>
                <w:iCs w:val="0"/>
                <w:sz w:val="21"/>
                <w:szCs w:val="21"/>
                <w:u w:val="single"/>
              </w:rPr>
            </w:pPr>
            <w:r>
              <w:rPr>
                <w:rFonts w:hint="eastAsia"/>
                <w:i w:val="0"/>
                <w:iCs w:val="0"/>
                <w:sz w:val="21"/>
                <w:szCs w:val="21"/>
                <w:u w:val="single"/>
              </w:rPr>
              <w:t>地表水</w:t>
            </w:r>
          </w:p>
        </w:tc>
        <w:tc>
          <w:tcPr>
            <w:tcW w:w="3826" w:type="dxa"/>
            <w:gridSpan w:val="3"/>
            <w:noWrap w:val="0"/>
            <w:vAlign w:val="center"/>
          </w:tcPr>
          <w:p>
            <w:pPr>
              <w:jc w:val="center"/>
              <w:rPr>
                <w:i w:val="0"/>
                <w:iCs w:val="0"/>
                <w:sz w:val="21"/>
                <w:szCs w:val="21"/>
                <w:u w:val="single"/>
              </w:rPr>
            </w:pPr>
            <w:r>
              <w:rPr>
                <w:rFonts w:hint="eastAsia"/>
                <w:i w:val="0"/>
                <w:iCs w:val="0"/>
                <w:sz w:val="21"/>
                <w:szCs w:val="21"/>
                <w:u w:val="single"/>
              </w:rPr>
              <w:t>浑江</w:t>
            </w:r>
          </w:p>
        </w:tc>
        <w:tc>
          <w:tcPr>
            <w:tcW w:w="2127" w:type="dxa"/>
            <w:gridSpan w:val="2"/>
            <w:noWrap w:val="0"/>
            <w:vAlign w:val="center"/>
          </w:tcPr>
          <w:p>
            <w:pPr>
              <w:pStyle w:val="24"/>
              <w:tabs>
                <w:tab w:val="left" w:pos="0"/>
                <w:tab w:val="left" w:pos="1260"/>
              </w:tabs>
              <w:spacing w:line="240" w:lineRule="auto"/>
              <w:jc w:val="left"/>
              <w:rPr>
                <w:i w:val="0"/>
                <w:iCs w:val="0"/>
                <w:sz w:val="21"/>
                <w:szCs w:val="21"/>
                <w:u w:val="single"/>
              </w:rPr>
            </w:pPr>
            <w:r>
              <w:rPr>
                <w:i w:val="0"/>
                <w:iCs w:val="0"/>
                <w:sz w:val="21"/>
                <w:szCs w:val="21"/>
                <w:u w:val="single"/>
              </w:rPr>
              <w:t>《地表水环境质量标准》GB3838-2002中Ⅲ类标准</w:t>
            </w:r>
          </w:p>
        </w:tc>
        <w:tc>
          <w:tcPr>
            <w:tcW w:w="956" w:type="dxa"/>
            <w:noWrap w:val="0"/>
            <w:vAlign w:val="center"/>
          </w:tcPr>
          <w:p>
            <w:pPr>
              <w:pStyle w:val="24"/>
              <w:tabs>
                <w:tab w:val="left" w:pos="0"/>
                <w:tab w:val="left" w:pos="1260"/>
              </w:tabs>
              <w:spacing w:line="240" w:lineRule="auto"/>
              <w:rPr>
                <w:i w:val="0"/>
                <w:iCs w:val="0"/>
                <w:sz w:val="21"/>
                <w:szCs w:val="21"/>
                <w:u w:val="single"/>
              </w:rPr>
            </w:pPr>
            <w:r>
              <w:rPr>
                <w:i w:val="0"/>
                <w:iCs w:val="0"/>
                <w:sz w:val="21"/>
                <w:szCs w:val="21"/>
                <w:u w:val="single"/>
              </w:rPr>
              <w:t>水环境Ⅲ类区</w:t>
            </w:r>
          </w:p>
        </w:tc>
        <w:tc>
          <w:tcPr>
            <w:tcW w:w="886" w:type="dxa"/>
            <w:noWrap w:val="0"/>
            <w:vAlign w:val="center"/>
          </w:tcPr>
          <w:p>
            <w:pPr>
              <w:ind w:left="-120" w:leftChars="-50" w:right="-120" w:rightChars="-50"/>
              <w:jc w:val="center"/>
              <w:rPr>
                <w:rFonts w:hint="eastAsia"/>
                <w:i w:val="0"/>
                <w:iCs w:val="0"/>
                <w:sz w:val="21"/>
                <w:szCs w:val="21"/>
                <w:u w:val="single"/>
              </w:rPr>
            </w:pPr>
            <w:r>
              <w:rPr>
                <w:rFonts w:hint="eastAsia"/>
                <w:i w:val="0"/>
                <w:iCs w:val="0"/>
                <w:sz w:val="21"/>
                <w:szCs w:val="21"/>
                <w:u w:val="single"/>
              </w:rPr>
              <w:t>西</w:t>
            </w:r>
          </w:p>
        </w:tc>
        <w:tc>
          <w:tcPr>
            <w:tcW w:w="1242" w:type="dxa"/>
            <w:gridSpan w:val="2"/>
            <w:noWrap w:val="0"/>
            <w:vAlign w:val="center"/>
          </w:tcPr>
          <w:p>
            <w:pPr>
              <w:ind w:left="-120" w:leftChars="-50" w:right="-120" w:rightChars="-50"/>
              <w:jc w:val="center"/>
              <w:rPr>
                <w:i w:val="0"/>
                <w:iCs w:val="0"/>
                <w:sz w:val="21"/>
                <w:szCs w:val="21"/>
                <w:u w:val="single"/>
              </w:rPr>
            </w:pPr>
            <w:r>
              <w:rPr>
                <w:rFonts w:hint="eastAsia"/>
                <w:i w:val="0"/>
                <w:iCs w:val="0"/>
                <w:sz w:val="21"/>
                <w:szCs w:val="21"/>
                <w:u w:val="single"/>
              </w:rPr>
              <w:t>460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8" w:hRule="atLeast"/>
          <w:jc w:val="center"/>
        </w:trPr>
        <w:tc>
          <w:tcPr>
            <w:tcW w:w="818" w:type="dxa"/>
            <w:vMerge w:val="restart"/>
            <w:noWrap w:val="0"/>
            <w:vAlign w:val="center"/>
          </w:tcPr>
          <w:p>
            <w:pPr>
              <w:pStyle w:val="24"/>
              <w:tabs>
                <w:tab w:val="left" w:pos="0"/>
                <w:tab w:val="left" w:pos="1260"/>
              </w:tabs>
              <w:spacing w:line="240" w:lineRule="auto"/>
              <w:rPr>
                <w:i w:val="0"/>
                <w:iCs w:val="0"/>
                <w:sz w:val="21"/>
                <w:szCs w:val="21"/>
                <w:u w:val="single"/>
              </w:rPr>
            </w:pPr>
            <w:r>
              <w:rPr>
                <w:i w:val="0"/>
                <w:iCs w:val="0"/>
                <w:sz w:val="21"/>
                <w:szCs w:val="21"/>
                <w:u w:val="single"/>
              </w:rPr>
              <w:t>声环境</w:t>
            </w:r>
          </w:p>
        </w:tc>
        <w:tc>
          <w:tcPr>
            <w:tcW w:w="3826" w:type="dxa"/>
            <w:gridSpan w:val="3"/>
            <w:noWrap w:val="0"/>
            <w:vAlign w:val="center"/>
          </w:tcPr>
          <w:p>
            <w:pPr>
              <w:pStyle w:val="115"/>
              <w:tabs>
                <w:tab w:val="left" w:pos="180"/>
                <w:tab w:val="center" w:pos="831"/>
              </w:tabs>
              <w:snapToGrid w:val="0"/>
              <w:spacing w:line="240" w:lineRule="auto"/>
              <w:rPr>
                <w:i w:val="0"/>
                <w:iCs w:val="0"/>
                <w:color w:val="auto"/>
                <w:szCs w:val="21"/>
                <w:u w:val="single"/>
              </w:rPr>
            </w:pPr>
            <w:r>
              <w:rPr>
                <w:i w:val="0"/>
                <w:iCs w:val="0"/>
                <w:color w:val="auto"/>
                <w:szCs w:val="21"/>
                <w:u w:val="single"/>
              </w:rPr>
              <w:t>厂界外1m</w:t>
            </w:r>
          </w:p>
        </w:tc>
        <w:tc>
          <w:tcPr>
            <w:tcW w:w="2127" w:type="dxa"/>
            <w:gridSpan w:val="2"/>
            <w:noWrap w:val="0"/>
            <w:vAlign w:val="center"/>
          </w:tcPr>
          <w:p>
            <w:pPr>
              <w:pStyle w:val="24"/>
              <w:tabs>
                <w:tab w:val="left" w:pos="0"/>
                <w:tab w:val="left" w:pos="1260"/>
              </w:tabs>
              <w:spacing w:line="240" w:lineRule="auto"/>
              <w:rPr>
                <w:i w:val="0"/>
                <w:iCs w:val="0"/>
                <w:sz w:val="21"/>
                <w:szCs w:val="21"/>
                <w:u w:val="single"/>
              </w:rPr>
            </w:pPr>
            <w:r>
              <w:rPr>
                <w:i w:val="0"/>
                <w:iCs w:val="0"/>
                <w:sz w:val="21"/>
                <w:szCs w:val="21"/>
                <w:u w:val="single"/>
              </w:rPr>
              <w:t>保护区域内声环境满足《声环境质量标准》（GB3096-2008）</w:t>
            </w:r>
            <w:r>
              <w:rPr>
                <w:rFonts w:hint="eastAsia"/>
                <w:i w:val="0"/>
                <w:iCs w:val="0"/>
                <w:sz w:val="21"/>
                <w:szCs w:val="21"/>
                <w:u w:val="single"/>
                <w:lang w:val="en-US" w:eastAsia="zh-CN"/>
              </w:rPr>
              <w:t>2</w:t>
            </w:r>
            <w:r>
              <w:rPr>
                <w:i w:val="0"/>
                <w:iCs w:val="0"/>
                <w:sz w:val="21"/>
                <w:szCs w:val="21"/>
                <w:u w:val="single"/>
              </w:rPr>
              <w:t>类</w:t>
            </w:r>
          </w:p>
        </w:tc>
        <w:tc>
          <w:tcPr>
            <w:tcW w:w="956" w:type="dxa"/>
            <w:noWrap w:val="0"/>
            <w:vAlign w:val="center"/>
          </w:tcPr>
          <w:p>
            <w:pPr>
              <w:ind w:left="-120" w:leftChars="-50" w:right="-120" w:rightChars="-50"/>
              <w:jc w:val="center"/>
              <w:rPr>
                <w:i w:val="0"/>
                <w:iCs w:val="0"/>
                <w:sz w:val="21"/>
                <w:szCs w:val="21"/>
                <w:u w:val="single"/>
              </w:rPr>
            </w:pPr>
            <w:r>
              <w:rPr>
                <w:i w:val="0"/>
                <w:iCs w:val="0"/>
                <w:sz w:val="21"/>
                <w:szCs w:val="21"/>
                <w:u w:val="single"/>
              </w:rPr>
              <w:t>声环境</w:t>
            </w:r>
            <w:r>
              <w:rPr>
                <w:rFonts w:hint="eastAsia"/>
                <w:i w:val="0"/>
                <w:iCs w:val="0"/>
                <w:sz w:val="21"/>
                <w:szCs w:val="21"/>
                <w:u w:val="single"/>
                <w:lang w:val="en-US" w:eastAsia="zh-CN"/>
              </w:rPr>
              <w:t>2</w:t>
            </w:r>
            <w:r>
              <w:rPr>
                <w:i w:val="0"/>
                <w:iCs w:val="0"/>
                <w:sz w:val="21"/>
                <w:szCs w:val="21"/>
                <w:u w:val="single"/>
              </w:rPr>
              <w:t>类区</w:t>
            </w:r>
          </w:p>
        </w:tc>
        <w:tc>
          <w:tcPr>
            <w:tcW w:w="886" w:type="dxa"/>
            <w:tcBorders>
              <w:right w:val="single" w:color="auto" w:sz="4" w:space="0"/>
            </w:tcBorders>
            <w:noWrap w:val="0"/>
            <w:vAlign w:val="center"/>
          </w:tcPr>
          <w:p>
            <w:pPr>
              <w:jc w:val="center"/>
              <w:rPr>
                <w:i w:val="0"/>
                <w:iCs w:val="0"/>
                <w:sz w:val="21"/>
                <w:szCs w:val="21"/>
                <w:u w:val="single"/>
              </w:rPr>
            </w:pPr>
            <w:r>
              <w:rPr>
                <w:i w:val="0"/>
                <w:iCs w:val="0"/>
                <w:sz w:val="21"/>
                <w:szCs w:val="21"/>
                <w:u w:val="single"/>
              </w:rPr>
              <w:t>厂界四周</w:t>
            </w:r>
          </w:p>
        </w:tc>
        <w:tc>
          <w:tcPr>
            <w:tcW w:w="1242" w:type="dxa"/>
            <w:gridSpan w:val="2"/>
            <w:tcBorders>
              <w:left w:val="single" w:color="auto" w:sz="4" w:space="0"/>
            </w:tcBorders>
            <w:noWrap w:val="0"/>
            <w:vAlign w:val="center"/>
          </w:tcPr>
          <w:p>
            <w:pPr>
              <w:jc w:val="center"/>
              <w:rPr>
                <w:i w:val="0"/>
                <w:iCs w:val="0"/>
                <w:sz w:val="21"/>
                <w:szCs w:val="21"/>
                <w:u w:val="single"/>
              </w:rPr>
            </w:pPr>
            <w:r>
              <w:rPr>
                <w:i w:val="0"/>
                <w:iCs w:val="0"/>
                <w:sz w:val="21"/>
                <w:szCs w:val="21"/>
                <w:u w:val="single"/>
              </w:rPr>
              <w:t>厂界外1m</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01" w:hRule="atLeast"/>
          <w:jc w:val="center"/>
        </w:trPr>
        <w:tc>
          <w:tcPr>
            <w:tcW w:w="818" w:type="dxa"/>
            <w:vMerge w:val="continue"/>
            <w:noWrap w:val="0"/>
            <w:vAlign w:val="center"/>
          </w:tcPr>
          <w:p>
            <w:pPr>
              <w:pStyle w:val="24"/>
              <w:tabs>
                <w:tab w:val="left" w:pos="0"/>
                <w:tab w:val="left" w:pos="1260"/>
              </w:tabs>
              <w:spacing w:line="240" w:lineRule="auto"/>
              <w:rPr>
                <w:i w:val="0"/>
                <w:iCs w:val="0"/>
                <w:sz w:val="21"/>
                <w:szCs w:val="21"/>
                <w:u w:val="single"/>
              </w:rPr>
            </w:pPr>
          </w:p>
        </w:tc>
        <w:tc>
          <w:tcPr>
            <w:tcW w:w="3826" w:type="dxa"/>
            <w:gridSpan w:val="3"/>
            <w:noWrap w:val="0"/>
            <w:vAlign w:val="center"/>
          </w:tcPr>
          <w:p>
            <w:pPr>
              <w:pStyle w:val="389"/>
              <w:snapToGrid/>
              <w:spacing w:line="240" w:lineRule="auto"/>
              <w:ind w:firstLine="0" w:firstLineChars="0"/>
              <w:rPr>
                <w:rFonts w:hint="eastAsia"/>
                <w:i w:val="0"/>
                <w:iCs w:val="0"/>
                <w:sz w:val="21"/>
                <w:szCs w:val="21"/>
                <w:u w:val="single"/>
              </w:rPr>
            </w:pPr>
            <w:r>
              <w:rPr>
                <w:rFonts w:hint="eastAsia" w:eastAsia="宋体"/>
                <w:i w:val="0"/>
                <w:iCs w:val="0"/>
                <w:sz w:val="21"/>
                <w:szCs w:val="21"/>
                <w:u w:val="single"/>
              </w:rPr>
              <w:t>厂区</w:t>
            </w:r>
            <w:r>
              <w:rPr>
                <w:rFonts w:eastAsia="宋体"/>
                <w:i w:val="0"/>
                <w:iCs w:val="0"/>
                <w:sz w:val="21"/>
                <w:szCs w:val="21"/>
                <w:u w:val="single"/>
              </w:rPr>
              <w:t>西侧居民</w:t>
            </w:r>
          </w:p>
        </w:tc>
        <w:tc>
          <w:tcPr>
            <w:tcW w:w="2127" w:type="dxa"/>
            <w:gridSpan w:val="2"/>
            <w:noWrap w:val="0"/>
            <w:vAlign w:val="center"/>
          </w:tcPr>
          <w:p>
            <w:pPr>
              <w:pStyle w:val="24"/>
              <w:tabs>
                <w:tab w:val="left" w:pos="0"/>
                <w:tab w:val="left" w:pos="1260"/>
              </w:tabs>
              <w:spacing w:line="240" w:lineRule="auto"/>
              <w:rPr>
                <w:i w:val="0"/>
                <w:iCs w:val="0"/>
                <w:sz w:val="21"/>
                <w:szCs w:val="21"/>
                <w:u w:val="single"/>
              </w:rPr>
            </w:pPr>
            <w:r>
              <w:rPr>
                <w:i w:val="0"/>
                <w:iCs w:val="0"/>
                <w:sz w:val="21"/>
                <w:szCs w:val="21"/>
                <w:u w:val="single"/>
              </w:rPr>
              <w:t>保护区域内声环境满足《声环境质量标准》（GB3096-2008）</w:t>
            </w:r>
            <w:r>
              <w:rPr>
                <w:rFonts w:hint="eastAsia"/>
                <w:i w:val="0"/>
                <w:iCs w:val="0"/>
                <w:sz w:val="21"/>
                <w:szCs w:val="21"/>
                <w:u w:val="single"/>
                <w:lang w:val="en-US" w:eastAsia="zh-CN"/>
              </w:rPr>
              <w:t>2</w:t>
            </w:r>
            <w:r>
              <w:rPr>
                <w:i w:val="0"/>
                <w:iCs w:val="0"/>
                <w:sz w:val="21"/>
                <w:szCs w:val="21"/>
                <w:u w:val="single"/>
              </w:rPr>
              <w:t>类</w:t>
            </w:r>
          </w:p>
        </w:tc>
        <w:tc>
          <w:tcPr>
            <w:tcW w:w="956" w:type="dxa"/>
            <w:noWrap w:val="0"/>
            <w:vAlign w:val="center"/>
          </w:tcPr>
          <w:p>
            <w:pPr>
              <w:ind w:left="-120" w:leftChars="-50" w:right="-120" w:rightChars="-50"/>
              <w:jc w:val="center"/>
              <w:rPr>
                <w:i w:val="0"/>
                <w:iCs w:val="0"/>
                <w:sz w:val="21"/>
                <w:szCs w:val="21"/>
                <w:u w:val="single"/>
              </w:rPr>
            </w:pPr>
            <w:r>
              <w:rPr>
                <w:i w:val="0"/>
                <w:iCs w:val="0"/>
                <w:sz w:val="21"/>
                <w:szCs w:val="21"/>
                <w:u w:val="single"/>
              </w:rPr>
              <w:t>声环境</w:t>
            </w:r>
            <w:r>
              <w:rPr>
                <w:rFonts w:hint="eastAsia"/>
                <w:i w:val="0"/>
                <w:iCs w:val="0"/>
                <w:sz w:val="21"/>
                <w:szCs w:val="21"/>
                <w:u w:val="single"/>
                <w:lang w:val="en-US" w:eastAsia="zh-CN"/>
              </w:rPr>
              <w:t>2</w:t>
            </w:r>
            <w:r>
              <w:rPr>
                <w:i w:val="0"/>
                <w:iCs w:val="0"/>
                <w:sz w:val="21"/>
                <w:szCs w:val="21"/>
                <w:u w:val="single"/>
              </w:rPr>
              <w:t>类区</w:t>
            </w:r>
          </w:p>
        </w:tc>
        <w:tc>
          <w:tcPr>
            <w:tcW w:w="886" w:type="dxa"/>
            <w:tcBorders>
              <w:right w:val="single" w:color="auto" w:sz="4" w:space="0"/>
            </w:tcBorders>
            <w:noWrap w:val="0"/>
            <w:vAlign w:val="center"/>
          </w:tcPr>
          <w:p>
            <w:pPr>
              <w:pStyle w:val="389"/>
              <w:snapToGrid/>
              <w:spacing w:line="240" w:lineRule="auto"/>
              <w:ind w:firstLine="0" w:firstLineChars="0"/>
              <w:rPr>
                <w:i w:val="0"/>
                <w:iCs w:val="0"/>
                <w:sz w:val="21"/>
                <w:szCs w:val="21"/>
                <w:u w:val="single"/>
              </w:rPr>
            </w:pPr>
            <w:r>
              <w:rPr>
                <w:rFonts w:eastAsia="宋体"/>
                <w:i w:val="0"/>
                <w:iCs w:val="0"/>
                <w:sz w:val="21"/>
                <w:szCs w:val="21"/>
                <w:u w:val="single"/>
              </w:rPr>
              <w:t>西南</w:t>
            </w:r>
          </w:p>
        </w:tc>
        <w:tc>
          <w:tcPr>
            <w:tcW w:w="1242" w:type="dxa"/>
            <w:gridSpan w:val="2"/>
            <w:tcBorders>
              <w:left w:val="single" w:color="auto" w:sz="4" w:space="0"/>
            </w:tcBorders>
            <w:noWrap w:val="0"/>
            <w:vAlign w:val="center"/>
          </w:tcPr>
          <w:p>
            <w:pPr>
              <w:pStyle w:val="389"/>
              <w:snapToGrid/>
              <w:spacing w:line="240" w:lineRule="auto"/>
              <w:ind w:firstLine="0" w:firstLineChars="0"/>
              <w:rPr>
                <w:i w:val="0"/>
                <w:iCs w:val="0"/>
                <w:sz w:val="21"/>
                <w:szCs w:val="21"/>
                <w:u w:val="single"/>
              </w:rPr>
            </w:pPr>
            <w:r>
              <w:rPr>
                <w:rFonts w:hint="eastAsia" w:eastAsia="宋体"/>
                <w:i w:val="0"/>
                <w:iCs w:val="0"/>
                <w:sz w:val="21"/>
                <w:szCs w:val="21"/>
                <w:u w:val="single"/>
              </w:rPr>
              <w:t>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90" w:hRule="atLeast"/>
          <w:jc w:val="center"/>
        </w:trPr>
        <w:tc>
          <w:tcPr>
            <w:tcW w:w="818" w:type="dxa"/>
            <w:noWrap w:val="0"/>
            <w:vAlign w:val="center"/>
          </w:tcPr>
          <w:p>
            <w:pPr>
              <w:pStyle w:val="24"/>
              <w:tabs>
                <w:tab w:val="left" w:pos="0"/>
                <w:tab w:val="left" w:pos="1260"/>
              </w:tabs>
              <w:spacing w:line="240" w:lineRule="auto"/>
              <w:rPr>
                <w:i w:val="0"/>
                <w:iCs w:val="0"/>
                <w:sz w:val="21"/>
                <w:szCs w:val="21"/>
                <w:u w:val="single"/>
              </w:rPr>
            </w:pPr>
            <w:r>
              <w:rPr>
                <w:i w:val="0"/>
                <w:iCs w:val="0"/>
                <w:sz w:val="21"/>
                <w:szCs w:val="21"/>
                <w:u w:val="single"/>
              </w:rPr>
              <w:t>地下水</w:t>
            </w:r>
          </w:p>
        </w:tc>
        <w:tc>
          <w:tcPr>
            <w:tcW w:w="3826" w:type="dxa"/>
            <w:gridSpan w:val="3"/>
            <w:tcBorders>
              <w:right w:val="single" w:color="auto" w:sz="4" w:space="0"/>
            </w:tcBorders>
            <w:noWrap w:val="0"/>
            <w:vAlign w:val="center"/>
          </w:tcPr>
          <w:p>
            <w:pPr>
              <w:pStyle w:val="24"/>
              <w:tabs>
                <w:tab w:val="left" w:pos="0"/>
                <w:tab w:val="left" w:pos="1260"/>
              </w:tabs>
              <w:spacing w:line="240" w:lineRule="auto"/>
              <w:rPr>
                <w:i w:val="0"/>
                <w:iCs w:val="0"/>
                <w:sz w:val="21"/>
                <w:szCs w:val="21"/>
                <w:u w:val="single"/>
              </w:rPr>
            </w:pPr>
            <w:r>
              <w:rPr>
                <w:i w:val="0"/>
                <w:iCs w:val="0"/>
                <w:kern w:val="0"/>
                <w:sz w:val="21"/>
                <w:szCs w:val="21"/>
                <w:u w:val="single"/>
                <w:lang w:bidi="ar"/>
              </w:rPr>
              <w:t>评价范围内的潜水含水层</w:t>
            </w:r>
          </w:p>
        </w:tc>
        <w:tc>
          <w:tcPr>
            <w:tcW w:w="2127" w:type="dxa"/>
            <w:gridSpan w:val="2"/>
            <w:tcBorders>
              <w:left w:val="single" w:color="auto" w:sz="4" w:space="0"/>
              <w:right w:val="single" w:color="auto" w:sz="4" w:space="0"/>
            </w:tcBorders>
            <w:noWrap w:val="0"/>
            <w:vAlign w:val="center"/>
          </w:tcPr>
          <w:p>
            <w:pPr>
              <w:pStyle w:val="24"/>
              <w:tabs>
                <w:tab w:val="left" w:pos="0"/>
                <w:tab w:val="left" w:pos="1260"/>
              </w:tabs>
              <w:spacing w:line="240" w:lineRule="auto"/>
              <w:rPr>
                <w:i w:val="0"/>
                <w:iCs w:val="0"/>
                <w:sz w:val="21"/>
                <w:szCs w:val="21"/>
                <w:u w:val="single"/>
              </w:rPr>
            </w:pPr>
            <w:r>
              <w:rPr>
                <w:i w:val="0"/>
                <w:iCs w:val="0"/>
                <w:sz w:val="21"/>
                <w:szCs w:val="21"/>
                <w:u w:val="single"/>
              </w:rPr>
              <w:t>使周围地下水水质满足《地下水质量标准》</w:t>
            </w:r>
          </w:p>
          <w:p>
            <w:pPr>
              <w:pStyle w:val="24"/>
              <w:tabs>
                <w:tab w:val="left" w:pos="0"/>
                <w:tab w:val="left" w:pos="1260"/>
              </w:tabs>
              <w:spacing w:line="240" w:lineRule="auto"/>
              <w:rPr>
                <w:i w:val="0"/>
                <w:iCs w:val="0"/>
                <w:sz w:val="21"/>
                <w:szCs w:val="21"/>
                <w:u w:val="single"/>
              </w:rPr>
            </w:pPr>
            <w:r>
              <w:rPr>
                <w:i w:val="0"/>
                <w:iCs w:val="0"/>
                <w:sz w:val="21"/>
                <w:szCs w:val="21"/>
                <w:u w:val="single"/>
              </w:rPr>
              <w:t>（GB/T14848-2017）中Ⅲ类标准，并使其水质满足使用功能（集中式生活饮用水水源以及工农业用水）</w:t>
            </w:r>
          </w:p>
        </w:tc>
        <w:tc>
          <w:tcPr>
            <w:tcW w:w="956" w:type="dxa"/>
            <w:tcBorders>
              <w:left w:val="single" w:color="auto" w:sz="4" w:space="0"/>
              <w:right w:val="single" w:color="auto" w:sz="4" w:space="0"/>
            </w:tcBorders>
            <w:noWrap w:val="0"/>
            <w:vAlign w:val="center"/>
          </w:tcPr>
          <w:p>
            <w:pPr>
              <w:pStyle w:val="24"/>
              <w:tabs>
                <w:tab w:val="left" w:pos="0"/>
                <w:tab w:val="left" w:pos="1260"/>
              </w:tabs>
              <w:spacing w:line="240" w:lineRule="auto"/>
              <w:rPr>
                <w:i w:val="0"/>
                <w:iCs w:val="0"/>
                <w:sz w:val="21"/>
                <w:szCs w:val="21"/>
                <w:u w:val="single"/>
              </w:rPr>
            </w:pPr>
            <w:r>
              <w:rPr>
                <w:i w:val="0"/>
                <w:iCs w:val="0"/>
                <w:sz w:val="21"/>
                <w:szCs w:val="21"/>
                <w:u w:val="single"/>
              </w:rPr>
              <w:t>地下水环境Ⅲ</w:t>
            </w:r>
          </w:p>
          <w:p>
            <w:pPr>
              <w:pStyle w:val="24"/>
              <w:tabs>
                <w:tab w:val="left" w:pos="0"/>
                <w:tab w:val="left" w:pos="1260"/>
              </w:tabs>
              <w:spacing w:line="240" w:lineRule="auto"/>
              <w:rPr>
                <w:i w:val="0"/>
                <w:iCs w:val="0"/>
                <w:sz w:val="21"/>
                <w:szCs w:val="21"/>
                <w:u w:val="single"/>
              </w:rPr>
            </w:pPr>
            <w:r>
              <w:rPr>
                <w:i w:val="0"/>
                <w:iCs w:val="0"/>
                <w:sz w:val="21"/>
                <w:szCs w:val="21"/>
                <w:u w:val="single"/>
              </w:rPr>
              <w:t>类区</w:t>
            </w:r>
          </w:p>
        </w:tc>
        <w:tc>
          <w:tcPr>
            <w:tcW w:w="886" w:type="dxa"/>
            <w:tcBorders>
              <w:top w:val="single" w:color="auto" w:sz="4" w:space="0"/>
              <w:left w:val="single" w:color="auto" w:sz="4" w:space="0"/>
              <w:right w:val="single" w:color="auto" w:sz="4" w:space="0"/>
            </w:tcBorders>
            <w:noWrap w:val="0"/>
            <w:vAlign w:val="center"/>
          </w:tcPr>
          <w:p>
            <w:pPr>
              <w:jc w:val="center"/>
              <w:rPr>
                <w:rFonts w:hint="eastAsia"/>
                <w:i w:val="0"/>
                <w:iCs w:val="0"/>
                <w:sz w:val="21"/>
                <w:szCs w:val="21"/>
                <w:u w:val="single"/>
              </w:rPr>
            </w:pPr>
            <w:r>
              <w:rPr>
                <w:rFonts w:hint="eastAsia"/>
                <w:i w:val="0"/>
                <w:iCs w:val="0"/>
                <w:sz w:val="21"/>
                <w:szCs w:val="21"/>
                <w:u w:val="single"/>
              </w:rPr>
              <w:t>西南侧</w:t>
            </w:r>
          </w:p>
          <w:p>
            <w:pPr>
              <w:jc w:val="center"/>
              <w:rPr>
                <w:rFonts w:hint="eastAsia"/>
                <w:i w:val="0"/>
                <w:iCs w:val="0"/>
                <w:sz w:val="21"/>
                <w:szCs w:val="21"/>
                <w:u w:val="single"/>
              </w:rPr>
            </w:pPr>
            <w:r>
              <w:rPr>
                <w:rFonts w:hint="eastAsia"/>
                <w:i w:val="0"/>
                <w:iCs w:val="0"/>
                <w:sz w:val="21"/>
                <w:szCs w:val="21"/>
                <w:u w:val="single"/>
              </w:rPr>
              <w:t>（上游）</w:t>
            </w:r>
          </w:p>
        </w:tc>
        <w:tc>
          <w:tcPr>
            <w:tcW w:w="1242" w:type="dxa"/>
            <w:gridSpan w:val="2"/>
            <w:tcBorders>
              <w:top w:val="single" w:color="auto" w:sz="4" w:space="0"/>
              <w:left w:val="single" w:color="auto" w:sz="4" w:space="0"/>
              <w:bottom w:val="single" w:color="auto" w:sz="4" w:space="0"/>
            </w:tcBorders>
            <w:noWrap w:val="0"/>
            <w:vAlign w:val="center"/>
          </w:tcPr>
          <w:p>
            <w:pPr>
              <w:jc w:val="center"/>
              <w:rPr>
                <w:i w:val="0"/>
                <w:iCs w:val="0"/>
                <w:sz w:val="21"/>
                <w:szCs w:val="21"/>
                <w:u w:val="single"/>
              </w:rPr>
            </w:pPr>
            <w:r>
              <w:rPr>
                <w:rFonts w:hint="eastAsia"/>
                <w:i w:val="0"/>
                <w:iCs w:val="0"/>
                <w:sz w:val="21"/>
                <w:szCs w:val="21"/>
                <w:u w:val="single"/>
              </w:rPr>
              <w:t>980</w:t>
            </w:r>
          </w:p>
        </w:tc>
      </w:tr>
    </w:tbl>
    <w:p>
      <w:pPr>
        <w:pStyle w:val="354"/>
        <w:ind w:firstLine="480"/>
        <w:rPr>
          <w:rFonts w:hint="eastAsia"/>
          <w:i w:val="0"/>
          <w:iCs w:val="0"/>
        </w:rPr>
      </w:pPr>
      <w:bookmarkStart w:id="68" w:name="_Toc261333459"/>
      <w:bookmarkStart w:id="69" w:name="_Toc208913220"/>
      <w:bookmarkStart w:id="70" w:name="_Toc208913328"/>
    </w:p>
    <w:p>
      <w:pPr>
        <w:pStyle w:val="4"/>
        <w:rPr>
          <w:rFonts w:ascii="Times New Roman" w:hAnsi="Times New Roman" w:eastAsia="宋体"/>
          <w:b/>
          <w:i w:val="0"/>
          <w:iCs w:val="0"/>
          <w:sz w:val="28"/>
          <w:szCs w:val="28"/>
        </w:rPr>
      </w:pPr>
      <w:bookmarkStart w:id="71" w:name="_Toc20486"/>
      <w:r>
        <w:rPr>
          <w:rFonts w:hint="eastAsia" w:ascii="Times New Roman" w:hAnsi="Times New Roman" w:eastAsia="宋体"/>
          <w:b/>
          <w:i w:val="0"/>
          <w:iCs w:val="0"/>
          <w:sz w:val="28"/>
          <w:szCs w:val="28"/>
        </w:rPr>
        <w:t>2</w:t>
      </w:r>
      <w:r>
        <w:rPr>
          <w:rFonts w:ascii="Times New Roman" w:hAnsi="Times New Roman" w:eastAsia="宋体"/>
          <w:b/>
          <w:i w:val="0"/>
          <w:iCs w:val="0"/>
          <w:sz w:val="28"/>
          <w:szCs w:val="28"/>
        </w:rPr>
        <w:t>.5评价工作等</w:t>
      </w:r>
      <w:bookmarkStart w:id="72" w:name="_Hlt212624676"/>
      <w:bookmarkEnd w:id="72"/>
      <w:r>
        <w:rPr>
          <w:rFonts w:ascii="Times New Roman" w:hAnsi="Times New Roman" w:eastAsia="宋体"/>
          <w:b/>
          <w:i w:val="0"/>
          <w:iCs w:val="0"/>
          <w:sz w:val="28"/>
          <w:szCs w:val="28"/>
        </w:rPr>
        <w:t>级及范围</w:t>
      </w:r>
      <w:bookmarkEnd w:id="68"/>
      <w:bookmarkEnd w:id="69"/>
      <w:bookmarkEnd w:id="70"/>
      <w:bookmarkEnd w:id="71"/>
    </w:p>
    <w:p>
      <w:pPr>
        <w:spacing w:line="360" w:lineRule="auto"/>
        <w:ind w:left="22" w:leftChars="9" w:firstLine="482" w:firstLineChars="200"/>
        <w:rPr>
          <w:b/>
          <w:i w:val="0"/>
          <w:iCs w:val="0"/>
        </w:rPr>
      </w:pPr>
      <w:r>
        <w:rPr>
          <w:rFonts w:hint="eastAsia"/>
          <w:b/>
          <w:i w:val="0"/>
          <w:iCs w:val="0"/>
        </w:rPr>
        <w:t>2.</w:t>
      </w:r>
      <w:r>
        <w:rPr>
          <w:b/>
          <w:i w:val="0"/>
          <w:iCs w:val="0"/>
        </w:rPr>
        <w:t>5.1环境空气</w:t>
      </w:r>
    </w:p>
    <w:p>
      <w:pPr>
        <w:spacing w:line="360" w:lineRule="auto"/>
        <w:ind w:firstLine="480" w:firstLineChars="200"/>
        <w:rPr>
          <w:i w:val="0"/>
          <w:iCs w:val="0"/>
        </w:rPr>
      </w:pPr>
      <w:r>
        <w:rPr>
          <w:i w:val="0"/>
          <w:iCs w:val="0"/>
        </w:rPr>
        <w:t>1、评价等级</w:t>
      </w:r>
    </w:p>
    <w:p>
      <w:pPr>
        <w:spacing w:line="360" w:lineRule="auto"/>
        <w:ind w:firstLine="480" w:firstLineChars="200"/>
        <w:jc w:val="left"/>
        <w:rPr>
          <w:i w:val="0"/>
          <w:iCs w:val="0"/>
        </w:rPr>
      </w:pPr>
      <w:r>
        <w:rPr>
          <w:i w:val="0"/>
          <w:iCs w:val="0"/>
        </w:rPr>
        <w:t>据《环境影响评价技术导则-大气环境》(HJ2.2-2018)中5.3节工作等级的确定方法，结合项目工程分析结果，选择正常排放的主要污染物及排放参数，采用附录A推荐模型中的AERSCREEN模式分别计算项目正常运营工况下各污染物的P</w:t>
      </w:r>
      <w:r>
        <w:rPr>
          <w:i w:val="0"/>
          <w:iCs w:val="0"/>
          <w:vertAlign w:val="subscript"/>
        </w:rPr>
        <w:t>max</w:t>
      </w:r>
      <w:r>
        <w:rPr>
          <w:i w:val="0"/>
          <w:iCs w:val="0"/>
        </w:rPr>
        <w:t>（最大地面浓度占标率）和D</w:t>
      </w:r>
      <w:r>
        <w:rPr>
          <w:i w:val="0"/>
          <w:iCs w:val="0"/>
          <w:vertAlign w:val="subscript"/>
        </w:rPr>
        <w:t>10%</w:t>
      </w:r>
      <w:r>
        <w:rPr>
          <w:i w:val="0"/>
          <w:iCs w:val="0"/>
        </w:rPr>
        <w:t>(第i种污染物的地面浓度达标准限制10%时所对应的最远距离），P</w:t>
      </w:r>
      <w:r>
        <w:rPr>
          <w:i w:val="0"/>
          <w:iCs w:val="0"/>
          <w:vertAlign w:val="subscript"/>
        </w:rPr>
        <w:t>max</w:t>
      </w:r>
      <w:r>
        <w:rPr>
          <w:i w:val="0"/>
          <w:iCs w:val="0"/>
        </w:rPr>
        <w:t>（又可表示为P</w:t>
      </w:r>
      <w:r>
        <w:rPr>
          <w:i w:val="0"/>
          <w:iCs w:val="0"/>
          <w:vertAlign w:val="subscript"/>
        </w:rPr>
        <w:t>i</w:t>
      </w:r>
      <w:r>
        <w:rPr>
          <w:i w:val="0"/>
          <w:iCs w:val="0"/>
        </w:rPr>
        <w:t>）定义如下：</w:t>
      </w:r>
    </w:p>
    <w:p>
      <w:pPr>
        <w:spacing w:line="360" w:lineRule="auto"/>
        <w:ind w:firstLine="422" w:firstLineChars="176"/>
        <w:jc w:val="center"/>
        <w:rPr>
          <w:i w:val="0"/>
          <w:iCs w:val="0"/>
        </w:rPr>
      </w:pPr>
      <w:r>
        <w:rPr>
          <w:i w:val="0"/>
          <w:iCs w:val="0"/>
        </w:rPr>
        <w:drawing>
          <wp:inline distT="0" distB="0" distL="114300" distR="114300">
            <wp:extent cx="1088390" cy="374015"/>
            <wp:effectExtent l="0" t="0" r="16510" b="6350"/>
            <wp:docPr id="10" name="图片 75"/>
            <wp:cNvGraphicFramePr/>
            <a:graphic xmlns:a="http://schemas.openxmlformats.org/drawingml/2006/main">
              <a:graphicData uri="http://schemas.openxmlformats.org/drawingml/2006/picture">
                <pic:pic xmlns:pic="http://schemas.openxmlformats.org/drawingml/2006/picture">
                  <pic:nvPicPr>
                    <pic:cNvPr id="10" name="图片 75"/>
                    <pic:cNvPicPr/>
                  </pic:nvPicPr>
                  <pic:blipFill>
                    <a:blip r:embed="rId22"/>
                    <a:stretch>
                      <a:fillRect/>
                    </a:stretch>
                  </pic:blipFill>
                  <pic:spPr>
                    <a:xfrm>
                      <a:off x="0" y="0"/>
                      <a:ext cx="1088390" cy="374015"/>
                    </a:xfrm>
                    <a:prstGeom prst="rect">
                      <a:avLst/>
                    </a:prstGeom>
                    <a:noFill/>
                    <a:ln>
                      <a:noFill/>
                    </a:ln>
                  </pic:spPr>
                </pic:pic>
              </a:graphicData>
            </a:graphic>
          </wp:inline>
        </w:drawing>
      </w:r>
    </w:p>
    <w:p>
      <w:pPr>
        <w:spacing w:line="360" w:lineRule="auto"/>
        <w:ind w:firstLine="480" w:firstLineChars="200"/>
        <w:jc w:val="left"/>
        <w:rPr>
          <w:i w:val="0"/>
          <w:iCs w:val="0"/>
        </w:rPr>
      </w:pPr>
      <w:r>
        <w:rPr>
          <w:i w:val="0"/>
          <w:iCs w:val="0"/>
        </w:rPr>
        <w:drawing>
          <wp:inline distT="0" distB="0" distL="114300" distR="114300">
            <wp:extent cx="403225" cy="306705"/>
            <wp:effectExtent l="0" t="0" r="17780" b="17780"/>
            <wp:docPr id="11" name="图片 76"/>
            <wp:cNvGraphicFramePr/>
            <a:graphic xmlns:a="http://schemas.openxmlformats.org/drawingml/2006/main">
              <a:graphicData uri="http://schemas.openxmlformats.org/drawingml/2006/picture">
                <pic:pic xmlns:pic="http://schemas.openxmlformats.org/drawingml/2006/picture">
                  <pic:nvPicPr>
                    <pic:cNvPr id="11" name="图片 76"/>
                    <pic:cNvPicPr/>
                  </pic:nvPicPr>
                  <pic:blipFill>
                    <a:blip r:embed="rId23"/>
                    <a:stretch>
                      <a:fillRect/>
                    </a:stretch>
                  </pic:blipFill>
                  <pic:spPr>
                    <a:xfrm>
                      <a:off x="0" y="0"/>
                      <a:ext cx="403225" cy="306705"/>
                    </a:xfrm>
                    <a:prstGeom prst="rect">
                      <a:avLst/>
                    </a:prstGeom>
                    <a:noFill/>
                    <a:ln>
                      <a:noFill/>
                    </a:ln>
                  </pic:spPr>
                </pic:pic>
              </a:graphicData>
            </a:graphic>
          </wp:inline>
        </w:drawing>
      </w:r>
      <w:r>
        <w:rPr>
          <w:i w:val="0"/>
          <w:iCs w:val="0"/>
        </w:rPr>
        <w:t>——第i个污染物的最大地面空气质量浓度占标率，%；</w:t>
      </w:r>
    </w:p>
    <w:p>
      <w:pPr>
        <w:spacing w:line="360" w:lineRule="auto"/>
        <w:ind w:firstLine="480" w:firstLineChars="200"/>
        <w:jc w:val="left"/>
        <w:rPr>
          <w:i w:val="0"/>
          <w:iCs w:val="0"/>
        </w:rPr>
      </w:pPr>
      <w:r>
        <w:rPr>
          <w:i w:val="0"/>
          <w:iCs w:val="0"/>
        </w:rPr>
        <w:drawing>
          <wp:inline distT="0" distB="0" distL="114300" distR="114300">
            <wp:extent cx="398145" cy="304800"/>
            <wp:effectExtent l="0" t="0" r="635" b="0"/>
            <wp:docPr id="12" name="图片 77"/>
            <wp:cNvGraphicFramePr/>
            <a:graphic xmlns:a="http://schemas.openxmlformats.org/drawingml/2006/main">
              <a:graphicData uri="http://schemas.openxmlformats.org/drawingml/2006/picture">
                <pic:pic xmlns:pic="http://schemas.openxmlformats.org/drawingml/2006/picture">
                  <pic:nvPicPr>
                    <pic:cNvPr id="12" name="图片 77"/>
                    <pic:cNvPicPr/>
                  </pic:nvPicPr>
                  <pic:blipFill>
                    <a:blip r:embed="rId24"/>
                    <a:stretch>
                      <a:fillRect/>
                    </a:stretch>
                  </pic:blipFill>
                  <pic:spPr>
                    <a:xfrm>
                      <a:off x="0" y="0"/>
                      <a:ext cx="398145" cy="304800"/>
                    </a:xfrm>
                    <a:prstGeom prst="rect">
                      <a:avLst/>
                    </a:prstGeom>
                    <a:noFill/>
                    <a:ln>
                      <a:noFill/>
                    </a:ln>
                  </pic:spPr>
                </pic:pic>
              </a:graphicData>
            </a:graphic>
          </wp:inline>
        </w:drawing>
      </w:r>
      <w:r>
        <w:rPr>
          <w:i w:val="0"/>
          <w:iCs w:val="0"/>
        </w:rPr>
        <w:t>——采用估算模型计算出的第i个污染物的最大1h地面空气质量浓度，μg/m</w:t>
      </w:r>
      <w:r>
        <w:rPr>
          <w:i w:val="0"/>
          <w:iCs w:val="0"/>
          <w:vertAlign w:val="superscript"/>
        </w:rPr>
        <w:t>3</w:t>
      </w:r>
      <w:r>
        <w:rPr>
          <w:i w:val="0"/>
          <w:iCs w:val="0"/>
        </w:rPr>
        <w:t>；</w:t>
      </w:r>
    </w:p>
    <w:p>
      <w:pPr>
        <w:spacing w:line="360" w:lineRule="auto"/>
        <w:ind w:firstLine="480" w:firstLineChars="200"/>
        <w:jc w:val="left"/>
        <w:rPr>
          <w:i w:val="0"/>
          <w:iCs w:val="0"/>
        </w:rPr>
      </w:pPr>
      <w:r>
        <w:rPr>
          <w:i w:val="0"/>
          <w:iCs w:val="0"/>
        </w:rPr>
        <w:drawing>
          <wp:inline distT="0" distB="0" distL="114300" distR="114300">
            <wp:extent cx="495300" cy="317500"/>
            <wp:effectExtent l="0" t="0" r="0" b="3175"/>
            <wp:docPr id="13" name="图片 78"/>
            <wp:cNvGraphicFramePr/>
            <a:graphic xmlns:a="http://schemas.openxmlformats.org/drawingml/2006/main">
              <a:graphicData uri="http://schemas.openxmlformats.org/drawingml/2006/picture">
                <pic:pic xmlns:pic="http://schemas.openxmlformats.org/drawingml/2006/picture">
                  <pic:nvPicPr>
                    <pic:cNvPr id="13" name="图片 78"/>
                    <pic:cNvPicPr/>
                  </pic:nvPicPr>
                  <pic:blipFill>
                    <a:blip r:embed="rId25"/>
                    <a:stretch>
                      <a:fillRect/>
                    </a:stretch>
                  </pic:blipFill>
                  <pic:spPr>
                    <a:xfrm>
                      <a:off x="0" y="0"/>
                      <a:ext cx="495300" cy="317500"/>
                    </a:xfrm>
                    <a:prstGeom prst="rect">
                      <a:avLst/>
                    </a:prstGeom>
                    <a:noFill/>
                    <a:ln>
                      <a:noFill/>
                    </a:ln>
                  </pic:spPr>
                </pic:pic>
              </a:graphicData>
            </a:graphic>
          </wp:inline>
        </w:drawing>
      </w:r>
      <w:r>
        <w:rPr>
          <w:i w:val="0"/>
          <w:iCs w:val="0"/>
        </w:rPr>
        <w:t>——第i个污染物的环境空气质量浓度标准，μg/m</w:t>
      </w:r>
      <w:r>
        <w:rPr>
          <w:i w:val="0"/>
          <w:iCs w:val="0"/>
          <w:vertAlign w:val="superscript"/>
        </w:rPr>
        <w:t>3</w:t>
      </w:r>
      <w:r>
        <w:rPr>
          <w:i w:val="0"/>
          <w:iCs w:val="0"/>
        </w:rPr>
        <w:t>。</w:t>
      </w:r>
    </w:p>
    <w:p>
      <w:pPr>
        <w:spacing w:line="360" w:lineRule="auto"/>
        <w:ind w:firstLine="480" w:firstLineChars="200"/>
        <w:jc w:val="left"/>
        <w:rPr>
          <w:i w:val="0"/>
          <w:iCs w:val="0"/>
        </w:rPr>
      </w:pPr>
      <w:r>
        <w:rPr>
          <w:i w:val="0"/>
          <w:iCs w:val="0"/>
        </w:rPr>
        <w:t>评价等级按表2-1</w:t>
      </w:r>
      <w:r>
        <w:rPr>
          <w:rFonts w:hint="eastAsia"/>
          <w:i w:val="0"/>
          <w:iCs w:val="0"/>
          <w:lang w:val="en-US" w:eastAsia="zh-CN"/>
        </w:rPr>
        <w:t>7</w:t>
      </w:r>
      <w:r>
        <w:rPr>
          <w:i w:val="0"/>
          <w:iCs w:val="0"/>
        </w:rPr>
        <w:t>的分级判据进行划分。</w:t>
      </w:r>
    </w:p>
    <w:p>
      <w:pPr>
        <w:ind w:firstLine="482" w:firstLineChars="200"/>
        <w:jc w:val="center"/>
        <w:rPr>
          <w:rFonts w:hint="eastAsia"/>
          <w:b/>
          <w:bCs/>
          <w:i w:val="0"/>
          <w:iCs w:val="0"/>
        </w:rPr>
      </w:pPr>
      <w:r>
        <w:rPr>
          <w:rFonts w:hint="eastAsia"/>
          <w:b/>
          <w:bCs/>
          <w:i w:val="0"/>
          <w:iCs w:val="0"/>
        </w:rPr>
        <w:t>表2-1</w:t>
      </w:r>
      <w:r>
        <w:rPr>
          <w:rFonts w:hint="eastAsia"/>
          <w:b/>
          <w:bCs/>
          <w:i w:val="0"/>
          <w:iCs w:val="0"/>
          <w:lang w:val="en-US" w:eastAsia="zh-CN"/>
        </w:rPr>
        <w:t>7</w:t>
      </w:r>
      <w:r>
        <w:rPr>
          <w:rFonts w:hint="eastAsia"/>
          <w:b/>
          <w:bCs/>
          <w:i w:val="0"/>
          <w:iCs w:val="0"/>
        </w:rPr>
        <w:t>评价等级判别表</w:t>
      </w:r>
    </w:p>
    <w:tbl>
      <w:tblPr>
        <w:tblStyle w:val="58"/>
        <w:tblW w:w="0" w:type="auto"/>
        <w:tblInd w:w="44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33"/>
        <w:gridCol w:w="44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033" w:type="dxa"/>
            <w:noWrap w:val="0"/>
            <w:vAlign w:val="center"/>
          </w:tcPr>
          <w:p>
            <w:pPr>
              <w:jc w:val="center"/>
              <w:rPr>
                <w:i w:val="0"/>
                <w:iCs w:val="0"/>
                <w:sz w:val="21"/>
                <w:szCs w:val="21"/>
              </w:rPr>
            </w:pPr>
            <w:r>
              <w:rPr>
                <w:i w:val="0"/>
                <w:iCs w:val="0"/>
                <w:sz w:val="21"/>
                <w:szCs w:val="21"/>
              </w:rPr>
              <w:t>评价工作等级</w:t>
            </w:r>
          </w:p>
        </w:tc>
        <w:tc>
          <w:tcPr>
            <w:tcW w:w="4486" w:type="dxa"/>
            <w:noWrap w:val="0"/>
            <w:vAlign w:val="center"/>
          </w:tcPr>
          <w:p>
            <w:pPr>
              <w:jc w:val="center"/>
              <w:rPr>
                <w:i w:val="0"/>
                <w:iCs w:val="0"/>
                <w:sz w:val="21"/>
                <w:szCs w:val="21"/>
              </w:rPr>
            </w:pPr>
            <w:r>
              <w:rPr>
                <w:i w:val="0"/>
                <w:iCs w:val="0"/>
                <w:sz w:val="21"/>
                <w:szCs w:val="21"/>
              </w:rPr>
              <w:t>评价工作分级判据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033" w:type="dxa"/>
            <w:noWrap w:val="0"/>
            <w:vAlign w:val="center"/>
          </w:tcPr>
          <w:p>
            <w:pPr>
              <w:jc w:val="center"/>
              <w:rPr>
                <w:i w:val="0"/>
                <w:iCs w:val="0"/>
                <w:sz w:val="21"/>
                <w:szCs w:val="21"/>
              </w:rPr>
            </w:pPr>
            <w:r>
              <w:rPr>
                <w:i w:val="0"/>
                <w:iCs w:val="0"/>
                <w:sz w:val="21"/>
                <w:szCs w:val="21"/>
              </w:rPr>
              <w:t>一级评价</w:t>
            </w:r>
          </w:p>
        </w:tc>
        <w:tc>
          <w:tcPr>
            <w:tcW w:w="4486" w:type="dxa"/>
            <w:noWrap w:val="0"/>
            <w:vAlign w:val="center"/>
          </w:tcPr>
          <w:p>
            <w:pPr>
              <w:jc w:val="center"/>
              <w:rPr>
                <w:i w:val="0"/>
                <w:iCs w:val="0"/>
                <w:sz w:val="21"/>
                <w:szCs w:val="21"/>
              </w:rPr>
            </w:pPr>
            <w:r>
              <w:rPr>
                <w:i w:val="0"/>
                <w:iCs w:val="0"/>
                <w:sz w:val="21"/>
                <w:szCs w:val="21"/>
              </w:rPr>
              <w:t>Pmax≥10%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033" w:type="dxa"/>
            <w:noWrap w:val="0"/>
            <w:vAlign w:val="center"/>
          </w:tcPr>
          <w:p>
            <w:pPr>
              <w:jc w:val="center"/>
              <w:rPr>
                <w:i w:val="0"/>
                <w:iCs w:val="0"/>
                <w:sz w:val="21"/>
                <w:szCs w:val="21"/>
              </w:rPr>
            </w:pPr>
            <w:r>
              <w:rPr>
                <w:i w:val="0"/>
                <w:iCs w:val="0"/>
                <w:sz w:val="21"/>
                <w:szCs w:val="21"/>
              </w:rPr>
              <w:t>二级评价</w:t>
            </w:r>
          </w:p>
        </w:tc>
        <w:tc>
          <w:tcPr>
            <w:tcW w:w="4486" w:type="dxa"/>
            <w:noWrap w:val="0"/>
            <w:vAlign w:val="center"/>
          </w:tcPr>
          <w:p>
            <w:pPr>
              <w:jc w:val="center"/>
              <w:rPr>
                <w:i w:val="0"/>
                <w:iCs w:val="0"/>
                <w:sz w:val="21"/>
                <w:szCs w:val="21"/>
              </w:rPr>
            </w:pPr>
            <w:r>
              <w:rPr>
                <w:i w:val="0"/>
                <w:iCs w:val="0"/>
                <w:sz w:val="21"/>
                <w:szCs w:val="21"/>
              </w:rPr>
              <w:t>1%≤Pmax&lt;10%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4033" w:type="dxa"/>
            <w:noWrap w:val="0"/>
            <w:vAlign w:val="center"/>
          </w:tcPr>
          <w:p>
            <w:pPr>
              <w:jc w:val="center"/>
              <w:rPr>
                <w:i w:val="0"/>
                <w:iCs w:val="0"/>
                <w:sz w:val="21"/>
                <w:szCs w:val="21"/>
              </w:rPr>
            </w:pPr>
            <w:r>
              <w:rPr>
                <w:i w:val="0"/>
                <w:iCs w:val="0"/>
                <w:sz w:val="21"/>
                <w:szCs w:val="21"/>
              </w:rPr>
              <w:t>三级评价</w:t>
            </w:r>
          </w:p>
        </w:tc>
        <w:tc>
          <w:tcPr>
            <w:tcW w:w="4486" w:type="dxa"/>
            <w:noWrap w:val="0"/>
            <w:vAlign w:val="center"/>
          </w:tcPr>
          <w:p>
            <w:pPr>
              <w:jc w:val="center"/>
              <w:rPr>
                <w:i w:val="0"/>
                <w:iCs w:val="0"/>
                <w:sz w:val="21"/>
                <w:szCs w:val="21"/>
              </w:rPr>
            </w:pPr>
            <w:r>
              <w:rPr>
                <w:i w:val="0"/>
                <w:iCs w:val="0"/>
                <w:sz w:val="21"/>
                <w:szCs w:val="21"/>
              </w:rPr>
              <w:t>Pmax&lt;1%</w:t>
            </w:r>
          </w:p>
        </w:tc>
      </w:tr>
    </w:tbl>
    <w:p>
      <w:pPr>
        <w:spacing w:line="360" w:lineRule="auto"/>
        <w:ind w:firstLine="480" w:firstLineChars="200"/>
        <w:rPr>
          <w:i w:val="0"/>
          <w:iCs w:val="0"/>
          <w:kern w:val="0"/>
        </w:rPr>
      </w:pPr>
      <w:r>
        <w:rPr>
          <w:i w:val="0"/>
          <w:iCs w:val="0"/>
          <w:kern w:val="0"/>
        </w:rPr>
        <w:t>本项目</w:t>
      </w:r>
      <w:r>
        <w:rPr>
          <w:rFonts w:hint="eastAsia"/>
          <w:i w:val="0"/>
          <w:iCs w:val="0"/>
          <w:kern w:val="0"/>
        </w:rPr>
        <w:t>废气源主要为污水站产生的氨及硫化氢，发酵过程产生的氨及非甲烷总烃，喷雾干燥过程产生的颗粒物</w:t>
      </w:r>
      <w:r>
        <w:rPr>
          <w:rFonts w:hint="eastAsia"/>
          <w:i w:val="0"/>
          <w:iCs w:val="0"/>
          <w:kern w:val="0"/>
          <w:lang w:eastAsia="zh-CN"/>
        </w:rPr>
        <w:t>，热风炉产生的颗粒物、氮氧化物及二氧化硫</w:t>
      </w:r>
      <w:r>
        <w:rPr>
          <w:rFonts w:hint="eastAsia"/>
          <w:i w:val="0"/>
          <w:iCs w:val="0"/>
          <w:kern w:val="0"/>
        </w:rPr>
        <w:t>，食堂产生的食堂油烟，</w:t>
      </w:r>
      <w:r>
        <w:rPr>
          <w:i w:val="0"/>
          <w:iCs w:val="0"/>
          <w:kern w:val="0"/>
        </w:rPr>
        <w:t>选择氨</w:t>
      </w:r>
      <w:r>
        <w:rPr>
          <w:rFonts w:hint="eastAsia"/>
          <w:i w:val="0"/>
          <w:iCs w:val="0"/>
          <w:kern w:val="0"/>
        </w:rPr>
        <w:t>、</w:t>
      </w:r>
      <w:r>
        <w:rPr>
          <w:i w:val="0"/>
          <w:iCs w:val="0"/>
          <w:kern w:val="0"/>
        </w:rPr>
        <w:t>硫化氢</w:t>
      </w:r>
      <w:r>
        <w:rPr>
          <w:rFonts w:hint="eastAsia"/>
          <w:i w:val="0"/>
          <w:iCs w:val="0"/>
          <w:kern w:val="0"/>
        </w:rPr>
        <w:t>、TSP以及非甲烷总烃</w:t>
      </w:r>
      <w:r>
        <w:rPr>
          <w:i w:val="0"/>
          <w:iCs w:val="0"/>
          <w:kern w:val="0"/>
        </w:rPr>
        <w:t>作为大气预测因子，根据《环境影响评价技术导则-大气环境》HJ2.2-2018推荐的AERMOD估算模型进行污染物落地浓度及地面质量浓度占标率计算，估算模型参数见表</w:t>
      </w:r>
      <w:r>
        <w:rPr>
          <w:rFonts w:hint="eastAsia"/>
          <w:i w:val="0"/>
          <w:iCs w:val="0"/>
          <w:kern w:val="0"/>
        </w:rPr>
        <w:t>2-1</w:t>
      </w:r>
      <w:r>
        <w:rPr>
          <w:rFonts w:hint="eastAsia"/>
          <w:i w:val="0"/>
          <w:iCs w:val="0"/>
          <w:kern w:val="0"/>
          <w:lang w:val="en-US" w:eastAsia="zh-CN"/>
        </w:rPr>
        <w:t>8</w:t>
      </w:r>
      <w:r>
        <w:rPr>
          <w:i w:val="0"/>
          <w:iCs w:val="0"/>
          <w:kern w:val="0"/>
        </w:rPr>
        <w:t>，计算结果见表</w:t>
      </w:r>
      <w:r>
        <w:rPr>
          <w:rFonts w:hint="eastAsia"/>
          <w:i w:val="0"/>
          <w:iCs w:val="0"/>
          <w:kern w:val="0"/>
        </w:rPr>
        <w:t>2-1</w:t>
      </w:r>
      <w:r>
        <w:rPr>
          <w:rFonts w:hint="eastAsia"/>
          <w:i w:val="0"/>
          <w:iCs w:val="0"/>
          <w:kern w:val="0"/>
          <w:lang w:val="en-US" w:eastAsia="zh-CN"/>
        </w:rPr>
        <w:t>9</w:t>
      </w:r>
      <w:r>
        <w:rPr>
          <w:i w:val="0"/>
          <w:iCs w:val="0"/>
          <w:kern w:val="0"/>
        </w:rPr>
        <w:t>。</w:t>
      </w:r>
    </w:p>
    <w:p>
      <w:pPr>
        <w:ind w:firstLine="482" w:firstLineChars="200"/>
        <w:jc w:val="center"/>
        <w:rPr>
          <w:rFonts w:hint="eastAsia"/>
          <w:b/>
          <w:bCs/>
          <w:i w:val="0"/>
          <w:iCs w:val="0"/>
        </w:rPr>
      </w:pPr>
      <w:r>
        <w:rPr>
          <w:rFonts w:hint="eastAsia"/>
          <w:b/>
          <w:bCs/>
          <w:i w:val="0"/>
          <w:iCs w:val="0"/>
        </w:rPr>
        <w:t>表2-1</w:t>
      </w:r>
      <w:r>
        <w:rPr>
          <w:rFonts w:hint="eastAsia"/>
          <w:b/>
          <w:bCs/>
          <w:i w:val="0"/>
          <w:iCs w:val="0"/>
          <w:lang w:val="en-US" w:eastAsia="zh-CN"/>
        </w:rPr>
        <w:t>8</w:t>
      </w:r>
      <w:r>
        <w:rPr>
          <w:rFonts w:hint="eastAsia"/>
          <w:b/>
          <w:bCs/>
          <w:i w:val="0"/>
          <w:iCs w:val="0"/>
        </w:rPr>
        <w:t>估算模型参数表</w:t>
      </w:r>
    </w:p>
    <w:tbl>
      <w:tblPr>
        <w:tblStyle w:val="5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62"/>
        <w:gridCol w:w="2996"/>
        <w:gridCol w:w="35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5158" w:type="dxa"/>
            <w:gridSpan w:val="2"/>
            <w:noWrap w:val="0"/>
            <w:vAlign w:val="center"/>
          </w:tcPr>
          <w:p>
            <w:pPr>
              <w:jc w:val="center"/>
              <w:rPr>
                <w:i w:val="0"/>
                <w:iCs w:val="0"/>
                <w:sz w:val="21"/>
                <w:szCs w:val="21"/>
              </w:rPr>
            </w:pPr>
            <w:r>
              <w:rPr>
                <w:i w:val="0"/>
                <w:iCs w:val="0"/>
                <w:sz w:val="21"/>
                <w:szCs w:val="21"/>
              </w:rPr>
              <w:t>参数</w:t>
            </w:r>
          </w:p>
        </w:tc>
        <w:tc>
          <w:tcPr>
            <w:tcW w:w="3562" w:type="dxa"/>
            <w:noWrap w:val="0"/>
            <w:vAlign w:val="center"/>
          </w:tcPr>
          <w:p>
            <w:pPr>
              <w:jc w:val="center"/>
              <w:rPr>
                <w:i w:val="0"/>
                <w:iCs w:val="0"/>
                <w:sz w:val="21"/>
                <w:szCs w:val="21"/>
              </w:rPr>
            </w:pPr>
            <w:r>
              <w:rPr>
                <w:i w:val="0"/>
                <w:iCs w:val="0"/>
                <w:sz w:val="21"/>
                <w:szCs w:val="21"/>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2162" w:type="dxa"/>
            <w:vMerge w:val="restart"/>
            <w:noWrap w:val="0"/>
            <w:vAlign w:val="center"/>
          </w:tcPr>
          <w:p>
            <w:pPr>
              <w:jc w:val="center"/>
              <w:rPr>
                <w:i w:val="0"/>
                <w:iCs w:val="0"/>
                <w:sz w:val="21"/>
                <w:szCs w:val="21"/>
              </w:rPr>
            </w:pPr>
            <w:r>
              <w:rPr>
                <w:i w:val="0"/>
                <w:iCs w:val="0"/>
                <w:sz w:val="21"/>
                <w:szCs w:val="21"/>
              </w:rPr>
              <w:t>城市农村/选项</w:t>
            </w:r>
          </w:p>
        </w:tc>
        <w:tc>
          <w:tcPr>
            <w:tcW w:w="2996" w:type="dxa"/>
            <w:noWrap w:val="0"/>
            <w:vAlign w:val="center"/>
          </w:tcPr>
          <w:p>
            <w:pPr>
              <w:jc w:val="center"/>
              <w:rPr>
                <w:i w:val="0"/>
                <w:iCs w:val="0"/>
                <w:sz w:val="21"/>
                <w:szCs w:val="21"/>
              </w:rPr>
            </w:pPr>
            <w:r>
              <w:rPr>
                <w:i w:val="0"/>
                <w:iCs w:val="0"/>
                <w:sz w:val="21"/>
                <w:szCs w:val="21"/>
              </w:rPr>
              <w:t>城市/农村</w:t>
            </w:r>
          </w:p>
        </w:tc>
        <w:tc>
          <w:tcPr>
            <w:tcW w:w="3562" w:type="dxa"/>
            <w:noWrap w:val="0"/>
            <w:vAlign w:val="center"/>
          </w:tcPr>
          <w:p>
            <w:pPr>
              <w:jc w:val="center"/>
              <w:rPr>
                <w:i w:val="0"/>
                <w:iCs w:val="0"/>
                <w:sz w:val="21"/>
                <w:szCs w:val="21"/>
              </w:rPr>
            </w:pPr>
            <w:r>
              <w:rPr>
                <w:i w:val="0"/>
                <w:iCs w:val="0"/>
                <w:sz w:val="21"/>
                <w:szCs w:val="21"/>
              </w:rPr>
              <w:t>城市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2162" w:type="dxa"/>
            <w:vMerge w:val="continue"/>
            <w:noWrap w:val="0"/>
            <w:vAlign w:val="center"/>
          </w:tcPr>
          <w:p>
            <w:pPr>
              <w:jc w:val="center"/>
              <w:rPr>
                <w:i w:val="0"/>
                <w:iCs w:val="0"/>
                <w:sz w:val="21"/>
                <w:szCs w:val="21"/>
              </w:rPr>
            </w:pPr>
          </w:p>
        </w:tc>
        <w:tc>
          <w:tcPr>
            <w:tcW w:w="2996" w:type="dxa"/>
            <w:noWrap w:val="0"/>
            <w:vAlign w:val="center"/>
          </w:tcPr>
          <w:p>
            <w:pPr>
              <w:jc w:val="center"/>
              <w:rPr>
                <w:i w:val="0"/>
                <w:iCs w:val="0"/>
                <w:sz w:val="21"/>
                <w:szCs w:val="21"/>
              </w:rPr>
            </w:pPr>
            <w:r>
              <w:rPr>
                <w:i w:val="0"/>
                <w:iCs w:val="0"/>
                <w:sz w:val="21"/>
                <w:szCs w:val="21"/>
              </w:rPr>
              <w:t>人口数(城市人口数)</w:t>
            </w:r>
          </w:p>
        </w:tc>
        <w:tc>
          <w:tcPr>
            <w:tcW w:w="3562" w:type="dxa"/>
            <w:noWrap w:val="0"/>
            <w:vAlign w:val="center"/>
          </w:tcPr>
          <w:p>
            <w:pPr>
              <w:jc w:val="center"/>
              <w:rPr>
                <w:i w:val="0"/>
                <w:iCs w:val="0"/>
                <w:sz w:val="21"/>
                <w:szCs w:val="21"/>
              </w:rPr>
            </w:pPr>
            <w:r>
              <w:rPr>
                <w:rFonts w:hint="eastAsia"/>
                <w:i w:val="0"/>
                <w:iCs w:val="0"/>
                <w:sz w:val="21"/>
                <w:szCs w:val="21"/>
              </w:rPr>
              <w:t>130</w:t>
            </w:r>
            <w:r>
              <w:rPr>
                <w:i w:val="0"/>
                <w:iCs w:val="0"/>
                <w:sz w:val="21"/>
                <w:szCs w:val="21"/>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5158" w:type="dxa"/>
            <w:gridSpan w:val="2"/>
            <w:noWrap w:val="0"/>
            <w:vAlign w:val="center"/>
          </w:tcPr>
          <w:p>
            <w:pPr>
              <w:jc w:val="center"/>
              <w:rPr>
                <w:i w:val="0"/>
                <w:iCs w:val="0"/>
                <w:sz w:val="21"/>
                <w:szCs w:val="21"/>
              </w:rPr>
            </w:pPr>
            <w:r>
              <w:rPr>
                <w:i w:val="0"/>
                <w:iCs w:val="0"/>
                <w:sz w:val="21"/>
                <w:szCs w:val="21"/>
              </w:rPr>
              <w:t>最高环境温度</w:t>
            </w:r>
          </w:p>
        </w:tc>
        <w:tc>
          <w:tcPr>
            <w:tcW w:w="3562" w:type="dxa"/>
            <w:noWrap w:val="0"/>
            <w:vAlign w:val="center"/>
          </w:tcPr>
          <w:p>
            <w:pPr>
              <w:jc w:val="center"/>
              <w:rPr>
                <w:i w:val="0"/>
                <w:iCs w:val="0"/>
                <w:sz w:val="21"/>
                <w:szCs w:val="21"/>
              </w:rPr>
            </w:pPr>
            <w:r>
              <w:rPr>
                <w:i w:val="0"/>
                <w:iCs w:val="0"/>
                <w:sz w:val="21"/>
                <w:szCs w:val="21"/>
              </w:rPr>
              <w:t>35.0°C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5158" w:type="dxa"/>
            <w:gridSpan w:val="2"/>
            <w:noWrap w:val="0"/>
            <w:vAlign w:val="center"/>
          </w:tcPr>
          <w:p>
            <w:pPr>
              <w:jc w:val="center"/>
              <w:rPr>
                <w:i w:val="0"/>
                <w:iCs w:val="0"/>
                <w:sz w:val="21"/>
                <w:szCs w:val="21"/>
              </w:rPr>
            </w:pPr>
            <w:r>
              <w:rPr>
                <w:i w:val="0"/>
                <w:iCs w:val="0"/>
                <w:sz w:val="21"/>
                <w:szCs w:val="21"/>
              </w:rPr>
              <w:t>最低环境温度</w:t>
            </w:r>
          </w:p>
        </w:tc>
        <w:tc>
          <w:tcPr>
            <w:tcW w:w="3562" w:type="dxa"/>
            <w:noWrap w:val="0"/>
            <w:vAlign w:val="center"/>
          </w:tcPr>
          <w:p>
            <w:pPr>
              <w:jc w:val="center"/>
              <w:rPr>
                <w:i w:val="0"/>
                <w:iCs w:val="0"/>
                <w:sz w:val="21"/>
                <w:szCs w:val="21"/>
              </w:rPr>
            </w:pPr>
            <w:r>
              <w:rPr>
                <w:i w:val="0"/>
                <w:iCs w:val="0"/>
                <w:sz w:val="21"/>
                <w:szCs w:val="21"/>
              </w:rPr>
              <w:t>-18.0°C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5158" w:type="dxa"/>
            <w:gridSpan w:val="2"/>
            <w:noWrap w:val="0"/>
            <w:vAlign w:val="center"/>
          </w:tcPr>
          <w:p>
            <w:pPr>
              <w:jc w:val="center"/>
              <w:rPr>
                <w:i w:val="0"/>
                <w:iCs w:val="0"/>
                <w:sz w:val="21"/>
                <w:szCs w:val="21"/>
              </w:rPr>
            </w:pPr>
            <w:r>
              <w:rPr>
                <w:i w:val="0"/>
                <w:iCs w:val="0"/>
                <w:sz w:val="21"/>
                <w:szCs w:val="21"/>
              </w:rPr>
              <w:t>土地利用类型</w:t>
            </w:r>
          </w:p>
        </w:tc>
        <w:tc>
          <w:tcPr>
            <w:tcW w:w="3562" w:type="dxa"/>
            <w:noWrap w:val="0"/>
            <w:vAlign w:val="center"/>
          </w:tcPr>
          <w:p>
            <w:pPr>
              <w:jc w:val="center"/>
              <w:rPr>
                <w:i w:val="0"/>
                <w:iCs w:val="0"/>
                <w:sz w:val="21"/>
                <w:szCs w:val="21"/>
              </w:rPr>
            </w:pPr>
            <w:r>
              <w:rPr>
                <w:rFonts w:hint="eastAsia"/>
                <w:i w:val="0"/>
                <w:iCs w:val="0"/>
                <w:sz w:val="21"/>
                <w:szCs w:val="21"/>
              </w:rPr>
              <w:t>城市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5158" w:type="dxa"/>
            <w:gridSpan w:val="2"/>
            <w:noWrap w:val="0"/>
            <w:vAlign w:val="center"/>
          </w:tcPr>
          <w:p>
            <w:pPr>
              <w:jc w:val="center"/>
              <w:rPr>
                <w:i w:val="0"/>
                <w:iCs w:val="0"/>
                <w:sz w:val="21"/>
                <w:szCs w:val="21"/>
              </w:rPr>
            </w:pPr>
            <w:r>
              <w:rPr>
                <w:i w:val="0"/>
                <w:iCs w:val="0"/>
                <w:sz w:val="21"/>
                <w:szCs w:val="21"/>
              </w:rPr>
              <w:t>区域湿度条件</w:t>
            </w:r>
          </w:p>
        </w:tc>
        <w:tc>
          <w:tcPr>
            <w:tcW w:w="3562" w:type="dxa"/>
            <w:noWrap w:val="0"/>
            <w:vAlign w:val="center"/>
          </w:tcPr>
          <w:p>
            <w:pPr>
              <w:jc w:val="center"/>
              <w:rPr>
                <w:i w:val="0"/>
                <w:iCs w:val="0"/>
                <w:sz w:val="21"/>
                <w:szCs w:val="21"/>
              </w:rPr>
            </w:pPr>
            <w:r>
              <w:rPr>
                <w:i w:val="0"/>
                <w:iCs w:val="0"/>
                <w:sz w:val="21"/>
                <w:szCs w:val="21"/>
              </w:rPr>
              <w:t>中等湿度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2162" w:type="dxa"/>
            <w:vMerge w:val="restart"/>
            <w:noWrap w:val="0"/>
            <w:vAlign w:val="center"/>
          </w:tcPr>
          <w:p>
            <w:pPr>
              <w:jc w:val="center"/>
              <w:rPr>
                <w:i w:val="0"/>
                <w:iCs w:val="0"/>
                <w:sz w:val="21"/>
                <w:szCs w:val="21"/>
              </w:rPr>
            </w:pPr>
            <w:r>
              <w:rPr>
                <w:i w:val="0"/>
                <w:iCs w:val="0"/>
                <w:sz w:val="21"/>
                <w:szCs w:val="21"/>
              </w:rPr>
              <w:t>是否考虑地形</w:t>
            </w:r>
          </w:p>
        </w:tc>
        <w:tc>
          <w:tcPr>
            <w:tcW w:w="2996" w:type="dxa"/>
            <w:noWrap w:val="0"/>
            <w:vAlign w:val="center"/>
          </w:tcPr>
          <w:p>
            <w:pPr>
              <w:jc w:val="center"/>
              <w:rPr>
                <w:i w:val="0"/>
                <w:iCs w:val="0"/>
                <w:sz w:val="21"/>
                <w:szCs w:val="21"/>
              </w:rPr>
            </w:pPr>
            <w:r>
              <w:rPr>
                <w:i w:val="0"/>
                <w:iCs w:val="0"/>
                <w:sz w:val="21"/>
                <w:szCs w:val="21"/>
              </w:rPr>
              <w:t>考虑地形</w:t>
            </w:r>
          </w:p>
        </w:tc>
        <w:tc>
          <w:tcPr>
            <w:tcW w:w="3562" w:type="dxa"/>
            <w:noWrap w:val="0"/>
            <w:vAlign w:val="center"/>
          </w:tcPr>
          <w:p>
            <w:pPr>
              <w:jc w:val="center"/>
              <w:rPr>
                <w:i w:val="0"/>
                <w:iCs w:val="0"/>
                <w:sz w:val="21"/>
                <w:szCs w:val="21"/>
              </w:rPr>
            </w:pPr>
            <w:r>
              <w:rPr>
                <w:i w:val="0"/>
                <w:iCs w:val="0"/>
                <w:sz w:val="21"/>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2162" w:type="dxa"/>
            <w:vMerge w:val="continue"/>
            <w:noWrap w:val="0"/>
            <w:vAlign w:val="center"/>
          </w:tcPr>
          <w:p>
            <w:pPr>
              <w:jc w:val="center"/>
              <w:rPr>
                <w:i w:val="0"/>
                <w:iCs w:val="0"/>
                <w:sz w:val="21"/>
                <w:szCs w:val="21"/>
              </w:rPr>
            </w:pPr>
          </w:p>
        </w:tc>
        <w:tc>
          <w:tcPr>
            <w:tcW w:w="2996" w:type="dxa"/>
            <w:noWrap w:val="0"/>
            <w:vAlign w:val="center"/>
          </w:tcPr>
          <w:p>
            <w:pPr>
              <w:jc w:val="center"/>
              <w:rPr>
                <w:i w:val="0"/>
                <w:iCs w:val="0"/>
                <w:sz w:val="21"/>
                <w:szCs w:val="21"/>
              </w:rPr>
            </w:pPr>
            <w:r>
              <w:rPr>
                <w:i w:val="0"/>
                <w:iCs w:val="0"/>
                <w:sz w:val="21"/>
                <w:szCs w:val="21"/>
              </w:rPr>
              <w:t>地形数据分辨率(m)</w:t>
            </w:r>
          </w:p>
        </w:tc>
        <w:tc>
          <w:tcPr>
            <w:tcW w:w="3562" w:type="dxa"/>
            <w:noWrap w:val="0"/>
            <w:vAlign w:val="center"/>
          </w:tcPr>
          <w:p>
            <w:pPr>
              <w:jc w:val="center"/>
              <w:rPr>
                <w:i w:val="0"/>
                <w:iCs w:val="0"/>
                <w:sz w:val="21"/>
                <w:szCs w:val="21"/>
              </w:rPr>
            </w:pPr>
            <w:r>
              <w:rPr>
                <w:i w:val="0"/>
                <w:iCs w:val="0"/>
                <w:sz w:val="21"/>
                <w:szCs w:val="21"/>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2162" w:type="dxa"/>
            <w:vMerge w:val="restart"/>
            <w:noWrap w:val="0"/>
            <w:vAlign w:val="center"/>
          </w:tcPr>
          <w:p>
            <w:pPr>
              <w:jc w:val="center"/>
              <w:rPr>
                <w:i w:val="0"/>
                <w:iCs w:val="0"/>
                <w:sz w:val="21"/>
                <w:szCs w:val="21"/>
              </w:rPr>
            </w:pPr>
            <w:r>
              <w:rPr>
                <w:i w:val="0"/>
                <w:iCs w:val="0"/>
                <w:sz w:val="21"/>
                <w:szCs w:val="21"/>
              </w:rPr>
              <w:t>是否考虑海岸线熏烟</w:t>
            </w:r>
          </w:p>
        </w:tc>
        <w:tc>
          <w:tcPr>
            <w:tcW w:w="2996" w:type="dxa"/>
            <w:noWrap w:val="0"/>
            <w:vAlign w:val="center"/>
          </w:tcPr>
          <w:p>
            <w:pPr>
              <w:jc w:val="center"/>
              <w:rPr>
                <w:i w:val="0"/>
                <w:iCs w:val="0"/>
                <w:sz w:val="21"/>
                <w:szCs w:val="21"/>
              </w:rPr>
            </w:pPr>
            <w:r>
              <w:rPr>
                <w:i w:val="0"/>
                <w:iCs w:val="0"/>
                <w:sz w:val="21"/>
                <w:szCs w:val="21"/>
              </w:rPr>
              <w:t>考虑海岸线熏烟</w:t>
            </w:r>
          </w:p>
        </w:tc>
        <w:tc>
          <w:tcPr>
            <w:tcW w:w="3562" w:type="dxa"/>
            <w:noWrap w:val="0"/>
            <w:vAlign w:val="center"/>
          </w:tcPr>
          <w:p>
            <w:pPr>
              <w:jc w:val="center"/>
              <w:rPr>
                <w:i w:val="0"/>
                <w:iCs w:val="0"/>
                <w:sz w:val="21"/>
                <w:szCs w:val="21"/>
              </w:rPr>
            </w:pPr>
            <w:r>
              <w:rPr>
                <w:i w:val="0"/>
                <w:iCs w:val="0"/>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2162" w:type="dxa"/>
            <w:vMerge w:val="continue"/>
            <w:noWrap w:val="0"/>
            <w:vAlign w:val="center"/>
          </w:tcPr>
          <w:p>
            <w:pPr>
              <w:jc w:val="center"/>
              <w:rPr>
                <w:i w:val="0"/>
                <w:iCs w:val="0"/>
                <w:sz w:val="21"/>
                <w:szCs w:val="21"/>
              </w:rPr>
            </w:pPr>
          </w:p>
        </w:tc>
        <w:tc>
          <w:tcPr>
            <w:tcW w:w="2996" w:type="dxa"/>
            <w:noWrap w:val="0"/>
            <w:vAlign w:val="center"/>
          </w:tcPr>
          <w:p>
            <w:pPr>
              <w:jc w:val="center"/>
              <w:rPr>
                <w:i w:val="0"/>
                <w:iCs w:val="0"/>
                <w:sz w:val="21"/>
                <w:szCs w:val="21"/>
              </w:rPr>
            </w:pPr>
            <w:r>
              <w:rPr>
                <w:i w:val="0"/>
                <w:iCs w:val="0"/>
                <w:sz w:val="21"/>
                <w:szCs w:val="21"/>
              </w:rPr>
              <w:t>海岸线距离/m</w:t>
            </w:r>
          </w:p>
        </w:tc>
        <w:tc>
          <w:tcPr>
            <w:tcW w:w="3562" w:type="dxa"/>
            <w:noWrap w:val="0"/>
            <w:vAlign w:val="center"/>
          </w:tcPr>
          <w:p>
            <w:pPr>
              <w:jc w:val="center"/>
              <w:rPr>
                <w:i w:val="0"/>
                <w:iCs w:val="0"/>
                <w:sz w:val="21"/>
                <w:szCs w:val="21"/>
              </w:rPr>
            </w:pPr>
            <w:r>
              <w:rPr>
                <w:i w:val="0"/>
                <w:iCs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162" w:type="dxa"/>
            <w:vMerge w:val="continue"/>
            <w:noWrap w:val="0"/>
            <w:vAlign w:val="center"/>
          </w:tcPr>
          <w:p>
            <w:pPr>
              <w:jc w:val="center"/>
              <w:rPr>
                <w:i w:val="0"/>
                <w:iCs w:val="0"/>
                <w:sz w:val="21"/>
                <w:szCs w:val="21"/>
              </w:rPr>
            </w:pPr>
          </w:p>
        </w:tc>
        <w:tc>
          <w:tcPr>
            <w:tcW w:w="2996" w:type="dxa"/>
            <w:noWrap w:val="0"/>
            <w:vAlign w:val="center"/>
          </w:tcPr>
          <w:p>
            <w:pPr>
              <w:jc w:val="center"/>
              <w:rPr>
                <w:i w:val="0"/>
                <w:iCs w:val="0"/>
                <w:sz w:val="21"/>
                <w:szCs w:val="21"/>
              </w:rPr>
            </w:pPr>
            <w:r>
              <w:rPr>
                <w:i w:val="0"/>
                <w:iCs w:val="0"/>
                <w:sz w:val="21"/>
                <w:szCs w:val="21"/>
              </w:rPr>
              <w:t>海岸线方向/</w:t>
            </w:r>
            <w:r>
              <w:rPr>
                <w:i w:val="0"/>
                <w:iCs w:val="0"/>
                <w:sz w:val="21"/>
                <w:szCs w:val="21"/>
                <w:vertAlign w:val="superscript"/>
              </w:rPr>
              <w:t>o</w:t>
            </w:r>
          </w:p>
        </w:tc>
        <w:tc>
          <w:tcPr>
            <w:tcW w:w="3562" w:type="dxa"/>
            <w:noWrap w:val="0"/>
            <w:vAlign w:val="center"/>
          </w:tcPr>
          <w:p>
            <w:pPr>
              <w:jc w:val="center"/>
              <w:rPr>
                <w:i w:val="0"/>
                <w:iCs w:val="0"/>
                <w:sz w:val="21"/>
                <w:szCs w:val="21"/>
              </w:rPr>
            </w:pPr>
            <w:r>
              <w:rPr>
                <w:i w:val="0"/>
                <w:iCs w:val="0"/>
                <w:sz w:val="21"/>
                <w:szCs w:val="21"/>
              </w:rPr>
              <w:t>/</w:t>
            </w:r>
          </w:p>
        </w:tc>
      </w:tr>
    </w:tbl>
    <w:p>
      <w:pPr>
        <w:ind w:firstLine="482" w:firstLineChars="200"/>
        <w:jc w:val="center"/>
        <w:rPr>
          <w:rFonts w:hint="eastAsia"/>
          <w:b/>
          <w:bCs/>
          <w:i w:val="0"/>
          <w:iCs w:val="0"/>
        </w:rPr>
      </w:pPr>
      <w:r>
        <w:rPr>
          <w:rFonts w:hint="eastAsia"/>
          <w:b/>
          <w:bCs/>
          <w:i w:val="0"/>
          <w:iCs w:val="0"/>
        </w:rPr>
        <w:t>表2-1</w:t>
      </w:r>
      <w:r>
        <w:rPr>
          <w:rFonts w:hint="eastAsia"/>
          <w:b/>
          <w:bCs/>
          <w:i w:val="0"/>
          <w:iCs w:val="0"/>
          <w:lang w:val="en-US" w:eastAsia="zh-CN"/>
        </w:rPr>
        <w:t>9</w:t>
      </w:r>
      <w:r>
        <w:rPr>
          <w:rFonts w:hint="eastAsia"/>
          <w:b/>
          <w:bCs/>
          <w:i w:val="0"/>
          <w:iCs w:val="0"/>
        </w:rPr>
        <w:t>建设项目估算模式计算结果表</w:t>
      </w:r>
    </w:p>
    <w:tbl>
      <w:tblPr>
        <w:tblStyle w:val="5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96"/>
        <w:gridCol w:w="2702"/>
        <w:gridCol w:w="37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506" w:type="pct"/>
            <w:noWrap w:val="0"/>
            <w:vAlign w:val="center"/>
          </w:tcPr>
          <w:p>
            <w:pPr>
              <w:pStyle w:val="408"/>
              <w:adjustRightInd w:val="0"/>
              <w:snapToGrid w:val="0"/>
              <w:spacing w:line="240" w:lineRule="auto"/>
              <w:textAlignment w:val="baseline"/>
              <w:rPr>
                <w:i w:val="0"/>
                <w:iCs w:val="0"/>
                <w:color w:val="000000"/>
                <w:szCs w:val="21"/>
              </w:rPr>
            </w:pPr>
            <w:r>
              <w:rPr>
                <w:i w:val="0"/>
                <w:iCs w:val="0"/>
                <w:color w:val="000000"/>
                <w:szCs w:val="21"/>
              </w:rPr>
              <w:t>污染源名称</w:t>
            </w:r>
          </w:p>
        </w:tc>
        <w:tc>
          <w:tcPr>
            <w:tcW w:w="1455" w:type="pct"/>
            <w:noWrap w:val="0"/>
            <w:vAlign w:val="center"/>
          </w:tcPr>
          <w:p>
            <w:pPr>
              <w:pStyle w:val="408"/>
              <w:adjustRightInd w:val="0"/>
              <w:snapToGrid w:val="0"/>
              <w:spacing w:line="240" w:lineRule="auto"/>
              <w:textAlignment w:val="baseline"/>
              <w:rPr>
                <w:i w:val="0"/>
                <w:iCs w:val="0"/>
                <w:color w:val="000000"/>
                <w:szCs w:val="21"/>
              </w:rPr>
            </w:pPr>
            <w:r>
              <w:rPr>
                <w:i w:val="0"/>
                <w:iCs w:val="0"/>
                <w:color w:val="000000"/>
                <w:szCs w:val="21"/>
              </w:rPr>
              <w:t>评价因子</w:t>
            </w:r>
          </w:p>
        </w:tc>
        <w:tc>
          <w:tcPr>
            <w:tcW w:w="2038" w:type="pct"/>
            <w:noWrap w:val="0"/>
            <w:vAlign w:val="center"/>
          </w:tcPr>
          <w:p>
            <w:pPr>
              <w:pStyle w:val="408"/>
              <w:adjustRightInd w:val="0"/>
              <w:snapToGrid w:val="0"/>
              <w:spacing w:line="240" w:lineRule="auto"/>
              <w:textAlignment w:val="baseline"/>
              <w:rPr>
                <w:rFonts w:hint="eastAsia"/>
                <w:i w:val="0"/>
                <w:iCs w:val="0"/>
                <w:color w:val="000000"/>
                <w:szCs w:val="21"/>
              </w:rPr>
            </w:pPr>
            <w:r>
              <w:rPr>
                <w:i w:val="0"/>
                <w:iCs w:val="0"/>
                <w:color w:val="000000"/>
                <w:szCs w:val="21"/>
              </w:rPr>
              <w:t>占标率（%）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6" w:type="pct"/>
            <w:vMerge w:val="restart"/>
            <w:noWrap w:val="0"/>
            <w:vAlign w:val="center"/>
          </w:tcPr>
          <w:p>
            <w:pPr>
              <w:pStyle w:val="37"/>
              <w:spacing w:line="240" w:lineRule="auto"/>
              <w:ind w:left="-72" w:leftChars="-30" w:right="-72" w:rightChars="-30" w:firstLine="0" w:firstLineChars="0"/>
              <w:jc w:val="center"/>
              <w:rPr>
                <w:rFonts w:hint="eastAsia"/>
                <w:i w:val="0"/>
                <w:iCs w:val="0"/>
                <w:color w:val="000000"/>
                <w:szCs w:val="21"/>
              </w:rPr>
            </w:pPr>
            <w:r>
              <w:rPr>
                <w:rFonts w:hint="eastAsia"/>
                <w:i w:val="0"/>
                <w:iCs w:val="0"/>
                <w:sz w:val="21"/>
                <w:szCs w:val="21"/>
              </w:rPr>
              <w:t>污水站</w:t>
            </w:r>
            <w:r>
              <w:rPr>
                <w:rFonts w:hint="eastAsia"/>
                <w:i w:val="0"/>
                <w:iCs w:val="0"/>
                <w:color w:val="000000"/>
                <w:szCs w:val="21"/>
                <w:lang w:eastAsia="zh-CN"/>
              </w:rPr>
              <w:t>（</w:t>
            </w:r>
            <w:r>
              <w:rPr>
                <w:rFonts w:hint="eastAsia"/>
                <w:i w:val="0"/>
                <w:iCs w:val="0"/>
                <w:color w:val="000000"/>
                <w:szCs w:val="21"/>
                <w:lang w:val="en-US" w:eastAsia="zh-CN"/>
              </w:rPr>
              <w:t>DA001</w:t>
            </w:r>
            <w:r>
              <w:rPr>
                <w:rFonts w:hint="eastAsia"/>
                <w:i w:val="0"/>
                <w:iCs w:val="0"/>
                <w:color w:val="000000"/>
                <w:szCs w:val="21"/>
                <w:lang w:eastAsia="zh-CN"/>
              </w:rPr>
              <w:t>）</w:t>
            </w:r>
          </w:p>
        </w:tc>
        <w:tc>
          <w:tcPr>
            <w:tcW w:w="1455" w:type="pc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氨</w:t>
            </w:r>
          </w:p>
        </w:tc>
        <w:tc>
          <w:tcPr>
            <w:tcW w:w="2038" w:type="pct"/>
            <w:noWrap w:val="0"/>
            <w:vAlign w:val="center"/>
          </w:tcPr>
          <w:p>
            <w:pPr>
              <w:pStyle w:val="408"/>
              <w:adjustRightInd w:val="0"/>
              <w:snapToGrid w:val="0"/>
              <w:spacing w:line="240" w:lineRule="auto"/>
              <w:textAlignment w:val="baseline"/>
              <w:rPr>
                <w:rFonts w:hint="eastAsia" w:eastAsia="宋体"/>
                <w:i w:val="0"/>
                <w:iCs w:val="0"/>
                <w:color w:val="000000"/>
                <w:szCs w:val="21"/>
                <w:lang w:eastAsia="zh-CN"/>
              </w:rPr>
            </w:pPr>
            <w:r>
              <w:rPr>
                <w:rFonts w:hint="eastAsia"/>
                <w:i w:val="0"/>
                <w:iCs w:val="0"/>
                <w:color w:val="000000"/>
                <w:szCs w:val="21"/>
              </w:rPr>
              <w:t>0.0</w:t>
            </w:r>
            <w:r>
              <w:rPr>
                <w:rFonts w:hint="eastAsia"/>
                <w:i w:val="0"/>
                <w:iCs w:val="0"/>
                <w:color w:val="000000"/>
                <w:szCs w:val="21"/>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1506" w:type="pct"/>
            <w:vMerge w:val="continue"/>
            <w:noWrap w:val="0"/>
            <w:vAlign w:val="center"/>
          </w:tcPr>
          <w:p>
            <w:pPr>
              <w:pStyle w:val="408"/>
              <w:adjustRightInd w:val="0"/>
              <w:snapToGrid w:val="0"/>
              <w:spacing w:line="240" w:lineRule="auto"/>
              <w:textAlignment w:val="baseline"/>
              <w:rPr>
                <w:i w:val="0"/>
                <w:iCs w:val="0"/>
                <w:color w:val="000000"/>
                <w:szCs w:val="21"/>
              </w:rPr>
            </w:pPr>
          </w:p>
        </w:tc>
        <w:tc>
          <w:tcPr>
            <w:tcW w:w="1455" w:type="pc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硫化氢</w:t>
            </w:r>
          </w:p>
        </w:tc>
        <w:tc>
          <w:tcPr>
            <w:tcW w:w="2038" w:type="pct"/>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lang w:val="en-US" w:eastAsia="zh-CN"/>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1506" w:type="pct"/>
            <w:vMerge w:val="restart"/>
            <w:noWrap w:val="0"/>
            <w:vAlign w:val="center"/>
          </w:tcPr>
          <w:p>
            <w:pPr>
              <w:pStyle w:val="37"/>
              <w:spacing w:line="240" w:lineRule="auto"/>
              <w:ind w:left="-72" w:leftChars="-30" w:right="-72" w:rightChars="-30" w:firstLine="0" w:firstLineChars="0"/>
              <w:jc w:val="center"/>
              <w:rPr>
                <w:i w:val="0"/>
                <w:iCs w:val="0"/>
                <w:color w:val="000000"/>
                <w:szCs w:val="21"/>
              </w:rPr>
            </w:pPr>
            <w:r>
              <w:rPr>
                <w:rFonts w:hint="eastAsia"/>
                <w:i w:val="0"/>
                <w:iCs w:val="0"/>
                <w:sz w:val="21"/>
                <w:szCs w:val="21"/>
              </w:rPr>
              <w:t>发酵废气</w:t>
            </w:r>
            <w:r>
              <w:rPr>
                <w:rFonts w:hint="eastAsia"/>
                <w:i w:val="0"/>
                <w:iCs w:val="0"/>
                <w:color w:val="000000"/>
                <w:szCs w:val="21"/>
                <w:lang w:eastAsia="zh-CN"/>
              </w:rPr>
              <w:t>（</w:t>
            </w:r>
            <w:r>
              <w:rPr>
                <w:rFonts w:hint="eastAsia"/>
                <w:i w:val="0"/>
                <w:iCs w:val="0"/>
                <w:color w:val="000000"/>
                <w:szCs w:val="21"/>
                <w:lang w:val="en-US" w:eastAsia="zh-CN"/>
              </w:rPr>
              <w:t>DA002</w:t>
            </w:r>
            <w:r>
              <w:rPr>
                <w:rFonts w:hint="eastAsia"/>
                <w:i w:val="0"/>
                <w:iCs w:val="0"/>
                <w:color w:val="000000"/>
                <w:szCs w:val="21"/>
                <w:lang w:eastAsia="zh-CN"/>
              </w:rPr>
              <w:t>）</w:t>
            </w:r>
          </w:p>
        </w:tc>
        <w:tc>
          <w:tcPr>
            <w:tcW w:w="1455" w:type="pc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氨</w:t>
            </w:r>
          </w:p>
        </w:tc>
        <w:tc>
          <w:tcPr>
            <w:tcW w:w="2038" w:type="pct"/>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lang w:val="en-US" w:eastAsia="zh-CN"/>
              </w:rPr>
              <w:t>0.35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6" w:type="pct"/>
            <w:vMerge w:val="continue"/>
            <w:noWrap w:val="0"/>
            <w:vAlign w:val="center"/>
          </w:tcPr>
          <w:p>
            <w:pPr>
              <w:pStyle w:val="408"/>
              <w:adjustRightInd w:val="0"/>
              <w:snapToGrid w:val="0"/>
              <w:spacing w:line="240" w:lineRule="auto"/>
              <w:textAlignment w:val="baseline"/>
              <w:rPr>
                <w:i w:val="0"/>
                <w:iCs w:val="0"/>
                <w:color w:val="000000"/>
                <w:szCs w:val="21"/>
              </w:rPr>
            </w:pPr>
          </w:p>
        </w:tc>
        <w:tc>
          <w:tcPr>
            <w:tcW w:w="1455" w:type="pc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非甲烷总烃</w:t>
            </w:r>
          </w:p>
        </w:tc>
        <w:tc>
          <w:tcPr>
            <w:tcW w:w="2038" w:type="pct"/>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lang w:val="en-US" w:eastAsia="zh-CN"/>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6" w:type="pct"/>
            <w:vMerge w:val="restart"/>
            <w:noWrap w:val="0"/>
            <w:vAlign w:val="center"/>
          </w:tcPr>
          <w:p>
            <w:pPr>
              <w:pStyle w:val="37"/>
              <w:spacing w:line="240" w:lineRule="auto"/>
              <w:ind w:left="-72" w:leftChars="-30" w:right="-72" w:rightChars="-30" w:firstLine="0" w:firstLineChars="0"/>
              <w:jc w:val="center"/>
              <w:rPr>
                <w:rFonts w:hint="eastAsia"/>
                <w:i w:val="0"/>
                <w:iCs w:val="0"/>
                <w:color w:val="000000"/>
                <w:szCs w:val="21"/>
              </w:rPr>
            </w:pPr>
            <w:r>
              <w:rPr>
                <w:rFonts w:hint="eastAsia"/>
                <w:i w:val="0"/>
                <w:iCs w:val="0"/>
                <w:sz w:val="21"/>
                <w:szCs w:val="21"/>
                <w:lang w:val="en-US" w:eastAsia="zh-CN"/>
              </w:rPr>
              <w:t>热风炉1烟气及</w:t>
            </w:r>
            <w:r>
              <w:rPr>
                <w:rFonts w:hint="eastAsia"/>
                <w:i w:val="0"/>
                <w:iCs w:val="0"/>
                <w:sz w:val="21"/>
                <w:szCs w:val="21"/>
              </w:rPr>
              <w:t>喷雾干燥塔</w:t>
            </w:r>
            <w:r>
              <w:rPr>
                <w:rFonts w:hint="eastAsia"/>
                <w:i w:val="0"/>
                <w:iCs w:val="0"/>
                <w:sz w:val="21"/>
                <w:szCs w:val="21"/>
                <w:lang w:val="en-US" w:eastAsia="zh-CN"/>
              </w:rPr>
              <w:t>1</w:t>
            </w:r>
            <w:r>
              <w:rPr>
                <w:rFonts w:hint="eastAsia"/>
                <w:i w:val="0"/>
                <w:iCs w:val="0"/>
                <w:sz w:val="21"/>
                <w:szCs w:val="21"/>
              </w:rPr>
              <w:t>喷雾干燥废气</w:t>
            </w:r>
            <w:r>
              <w:rPr>
                <w:rFonts w:hint="eastAsia"/>
                <w:i w:val="0"/>
                <w:iCs w:val="0"/>
                <w:color w:val="000000"/>
                <w:szCs w:val="21"/>
                <w:lang w:eastAsia="zh-CN"/>
              </w:rPr>
              <w:t>（</w:t>
            </w:r>
            <w:r>
              <w:rPr>
                <w:rFonts w:hint="eastAsia"/>
                <w:i w:val="0"/>
                <w:iCs w:val="0"/>
                <w:color w:val="000000"/>
                <w:szCs w:val="21"/>
                <w:lang w:val="en-US" w:eastAsia="zh-CN"/>
              </w:rPr>
              <w:t>DA003</w:t>
            </w:r>
            <w:r>
              <w:rPr>
                <w:rFonts w:hint="eastAsia"/>
                <w:i w:val="0"/>
                <w:iCs w:val="0"/>
                <w:color w:val="000000"/>
                <w:szCs w:val="21"/>
                <w:lang w:eastAsia="zh-CN"/>
              </w:rPr>
              <w:t>）</w:t>
            </w:r>
          </w:p>
        </w:tc>
        <w:tc>
          <w:tcPr>
            <w:tcW w:w="1455" w:type="pc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颗粒物</w:t>
            </w:r>
          </w:p>
        </w:tc>
        <w:tc>
          <w:tcPr>
            <w:tcW w:w="2038" w:type="pct"/>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lang w:val="en-US" w:eastAsia="zh-CN"/>
              </w:rPr>
              <w:t>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6"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1455" w:type="pc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lang w:val="en-US" w:eastAsia="zh-CN"/>
              </w:rPr>
              <w:t>二氧化硫</w:t>
            </w:r>
          </w:p>
        </w:tc>
        <w:tc>
          <w:tcPr>
            <w:tcW w:w="2038" w:type="pct"/>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lang w:val="en-US" w:eastAsia="zh-CN"/>
              </w:rPr>
              <w:t>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6" w:type="pct"/>
            <w:vMerge w:val="continue"/>
            <w:noWrap w:val="0"/>
            <w:vAlign w:val="center"/>
          </w:tcPr>
          <w:p>
            <w:pPr>
              <w:pStyle w:val="408"/>
              <w:adjustRightInd w:val="0"/>
              <w:snapToGrid w:val="0"/>
              <w:spacing w:line="240" w:lineRule="auto"/>
              <w:textAlignment w:val="baseline"/>
              <w:rPr>
                <w:i w:val="0"/>
                <w:iCs w:val="0"/>
                <w:color w:val="000000"/>
                <w:szCs w:val="21"/>
              </w:rPr>
            </w:pPr>
          </w:p>
        </w:tc>
        <w:tc>
          <w:tcPr>
            <w:tcW w:w="1455" w:type="pc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lang w:val="en-US" w:eastAsia="zh-CN"/>
              </w:rPr>
              <w:t>氮氧化物</w:t>
            </w:r>
          </w:p>
        </w:tc>
        <w:tc>
          <w:tcPr>
            <w:tcW w:w="2038" w:type="pct"/>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lang w:val="en-US" w:eastAsia="zh-CN"/>
              </w:rPr>
              <w:t>1.98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6" w:type="pct"/>
            <w:vMerge w:val="restart"/>
            <w:noWrap w:val="0"/>
            <w:vAlign w:val="center"/>
          </w:tcPr>
          <w:p>
            <w:pPr>
              <w:pStyle w:val="37"/>
              <w:spacing w:line="240" w:lineRule="auto"/>
              <w:ind w:left="-72" w:leftChars="-30" w:right="-72" w:rightChars="-30" w:firstLine="0" w:firstLineChars="0"/>
              <w:jc w:val="center"/>
              <w:rPr>
                <w:i w:val="0"/>
                <w:iCs w:val="0"/>
                <w:color w:val="000000"/>
                <w:szCs w:val="21"/>
              </w:rPr>
            </w:pPr>
            <w:r>
              <w:rPr>
                <w:rFonts w:hint="eastAsia"/>
                <w:i w:val="0"/>
                <w:iCs w:val="0"/>
                <w:sz w:val="21"/>
                <w:szCs w:val="21"/>
                <w:lang w:val="en-US" w:eastAsia="zh-CN"/>
              </w:rPr>
              <w:t>热风炉2烟气及</w:t>
            </w:r>
            <w:r>
              <w:rPr>
                <w:rFonts w:hint="eastAsia"/>
                <w:i w:val="0"/>
                <w:iCs w:val="0"/>
                <w:sz w:val="21"/>
                <w:szCs w:val="21"/>
              </w:rPr>
              <w:t>喷雾干燥塔</w:t>
            </w:r>
            <w:r>
              <w:rPr>
                <w:rFonts w:hint="eastAsia"/>
                <w:i w:val="0"/>
                <w:iCs w:val="0"/>
                <w:sz w:val="21"/>
                <w:szCs w:val="21"/>
                <w:lang w:val="en-US" w:eastAsia="zh-CN"/>
              </w:rPr>
              <w:t>2</w:t>
            </w:r>
            <w:r>
              <w:rPr>
                <w:rFonts w:hint="eastAsia"/>
                <w:i w:val="0"/>
                <w:iCs w:val="0"/>
                <w:sz w:val="21"/>
                <w:szCs w:val="21"/>
              </w:rPr>
              <w:t>喷雾干燥废气</w:t>
            </w:r>
            <w:r>
              <w:rPr>
                <w:rFonts w:hint="eastAsia"/>
                <w:i w:val="0"/>
                <w:iCs w:val="0"/>
                <w:color w:val="000000"/>
                <w:szCs w:val="21"/>
                <w:lang w:eastAsia="zh-CN"/>
              </w:rPr>
              <w:t>（</w:t>
            </w:r>
            <w:r>
              <w:rPr>
                <w:rFonts w:hint="eastAsia"/>
                <w:i w:val="0"/>
                <w:iCs w:val="0"/>
                <w:color w:val="000000"/>
                <w:szCs w:val="21"/>
                <w:lang w:val="en-US" w:eastAsia="zh-CN"/>
              </w:rPr>
              <w:t>DA004</w:t>
            </w:r>
            <w:r>
              <w:rPr>
                <w:rFonts w:hint="eastAsia"/>
                <w:i w:val="0"/>
                <w:iCs w:val="0"/>
                <w:color w:val="000000"/>
                <w:szCs w:val="21"/>
                <w:lang w:eastAsia="zh-CN"/>
              </w:rPr>
              <w:t>）</w:t>
            </w:r>
          </w:p>
        </w:tc>
        <w:tc>
          <w:tcPr>
            <w:tcW w:w="1455" w:type="pc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颗粒物</w:t>
            </w:r>
          </w:p>
        </w:tc>
        <w:tc>
          <w:tcPr>
            <w:tcW w:w="2038" w:type="pc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lang w:val="en-US" w:eastAsia="zh-CN"/>
              </w:rPr>
              <w:t>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6" w:type="pct"/>
            <w:vMerge w:val="continue"/>
            <w:noWrap w:val="0"/>
            <w:vAlign w:val="center"/>
          </w:tcPr>
          <w:p>
            <w:pPr>
              <w:pStyle w:val="408"/>
              <w:adjustRightInd w:val="0"/>
              <w:snapToGrid w:val="0"/>
              <w:spacing w:line="240" w:lineRule="auto"/>
              <w:textAlignment w:val="baseline"/>
              <w:rPr>
                <w:i w:val="0"/>
                <w:iCs w:val="0"/>
                <w:color w:val="000000"/>
                <w:szCs w:val="21"/>
              </w:rPr>
            </w:pPr>
          </w:p>
        </w:tc>
        <w:tc>
          <w:tcPr>
            <w:tcW w:w="1455" w:type="pc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lang w:val="en-US" w:eastAsia="zh-CN"/>
              </w:rPr>
              <w:t>二氧化硫</w:t>
            </w:r>
          </w:p>
        </w:tc>
        <w:tc>
          <w:tcPr>
            <w:tcW w:w="2038" w:type="pc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lang w:val="en-US" w:eastAsia="zh-CN"/>
              </w:rPr>
              <w:t>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6" w:type="pct"/>
            <w:vMerge w:val="continue"/>
            <w:noWrap w:val="0"/>
            <w:vAlign w:val="center"/>
          </w:tcPr>
          <w:p>
            <w:pPr>
              <w:pStyle w:val="408"/>
              <w:adjustRightInd w:val="0"/>
              <w:snapToGrid w:val="0"/>
              <w:spacing w:line="240" w:lineRule="auto"/>
              <w:textAlignment w:val="baseline"/>
              <w:rPr>
                <w:i w:val="0"/>
                <w:iCs w:val="0"/>
                <w:color w:val="000000"/>
                <w:szCs w:val="21"/>
              </w:rPr>
            </w:pPr>
          </w:p>
        </w:tc>
        <w:tc>
          <w:tcPr>
            <w:tcW w:w="1455" w:type="pc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lang w:val="en-US" w:eastAsia="zh-CN"/>
              </w:rPr>
              <w:t>氮氧化物</w:t>
            </w:r>
          </w:p>
        </w:tc>
        <w:tc>
          <w:tcPr>
            <w:tcW w:w="2038" w:type="pc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lang w:val="en-US" w:eastAsia="zh-CN"/>
              </w:rPr>
              <w:t>1.98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506" w:type="pct"/>
            <w:vMerge w:val="restar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污水站无组织废气</w:t>
            </w:r>
          </w:p>
        </w:tc>
        <w:tc>
          <w:tcPr>
            <w:tcW w:w="1455" w:type="pc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氨</w:t>
            </w:r>
          </w:p>
        </w:tc>
        <w:tc>
          <w:tcPr>
            <w:tcW w:w="2038" w:type="pc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1506"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1455" w:type="pc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硫化氢</w:t>
            </w:r>
          </w:p>
        </w:tc>
        <w:tc>
          <w:tcPr>
            <w:tcW w:w="2038" w:type="pc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0.</w:t>
            </w:r>
            <w:r>
              <w:rPr>
                <w:rFonts w:hint="eastAsia"/>
                <w:i w:val="0"/>
                <w:iCs w:val="0"/>
                <w:color w:val="000000"/>
                <w:szCs w:val="21"/>
                <w:lang w:val="en-US" w:eastAsia="zh-CN"/>
              </w:rPr>
              <w:t>3</w:t>
            </w:r>
            <w:r>
              <w:rPr>
                <w:rFonts w:hint="eastAsia"/>
                <w:i w:val="0"/>
                <w:iCs w:val="0"/>
                <w:color w:val="000000"/>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506" w:type="pct"/>
            <w:vMerge w:val="restar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发酵车间无组织废气</w:t>
            </w:r>
          </w:p>
        </w:tc>
        <w:tc>
          <w:tcPr>
            <w:tcW w:w="1455" w:type="pc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氨</w:t>
            </w:r>
          </w:p>
        </w:tc>
        <w:tc>
          <w:tcPr>
            <w:tcW w:w="2038" w:type="pct"/>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lang w:val="en-US" w:eastAsia="zh-CN"/>
              </w:rPr>
              <w:t>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6"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1455" w:type="pc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非甲烷总烃</w:t>
            </w:r>
          </w:p>
        </w:tc>
        <w:tc>
          <w:tcPr>
            <w:tcW w:w="2038" w:type="pct"/>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lang w:val="en-US" w:eastAsia="zh-CN"/>
              </w:rPr>
              <w:t>0.1</w:t>
            </w:r>
          </w:p>
        </w:tc>
      </w:tr>
    </w:tbl>
    <w:p>
      <w:pPr>
        <w:spacing w:line="360" w:lineRule="auto"/>
        <w:ind w:firstLine="422" w:firstLineChars="176"/>
        <w:rPr>
          <w:rFonts w:hint="eastAsia"/>
          <w:i w:val="0"/>
          <w:iCs w:val="0"/>
        </w:rPr>
      </w:pPr>
      <w:r>
        <w:rPr>
          <w:i w:val="0"/>
          <w:iCs w:val="0"/>
          <w:kern w:val="0"/>
        </w:rPr>
        <w:t>根据表</w:t>
      </w:r>
      <w:r>
        <w:rPr>
          <w:rFonts w:hint="eastAsia"/>
          <w:i w:val="0"/>
          <w:iCs w:val="0"/>
          <w:kern w:val="0"/>
        </w:rPr>
        <w:t>2-1</w:t>
      </w:r>
      <w:r>
        <w:rPr>
          <w:rFonts w:hint="eastAsia"/>
          <w:i w:val="0"/>
          <w:iCs w:val="0"/>
          <w:kern w:val="0"/>
          <w:lang w:val="en-US" w:eastAsia="zh-CN"/>
        </w:rPr>
        <w:t>9</w:t>
      </w:r>
      <w:r>
        <w:rPr>
          <w:i w:val="0"/>
          <w:iCs w:val="0"/>
          <w:kern w:val="0"/>
        </w:rPr>
        <w:t>的估算结果分析：</w:t>
      </w:r>
      <w:r>
        <w:rPr>
          <w:i w:val="0"/>
          <w:iCs w:val="0"/>
        </w:rPr>
        <w:t>本项目P</w:t>
      </w:r>
      <w:r>
        <w:rPr>
          <w:i w:val="0"/>
          <w:iCs w:val="0"/>
          <w:vertAlign w:val="subscript"/>
        </w:rPr>
        <w:t>max</w:t>
      </w:r>
      <w:r>
        <w:rPr>
          <w:i w:val="0"/>
          <w:iCs w:val="0"/>
        </w:rPr>
        <w:t>最大值</w:t>
      </w:r>
      <w:r>
        <w:rPr>
          <w:rFonts w:ascii="Times New Roman" w:hAnsi="Times New Roman" w:eastAsia="宋体" w:cs="Times New Roman"/>
          <w:i w:val="0"/>
          <w:iCs w:val="0"/>
          <w:kern w:val="0"/>
        </w:rPr>
        <w:t>出现为</w:t>
      </w:r>
      <w:r>
        <w:rPr>
          <w:rFonts w:hint="eastAsia" w:ascii="Times New Roman" w:hAnsi="Times New Roman" w:eastAsia="宋体" w:cs="Times New Roman"/>
          <w:i w:val="0"/>
          <w:iCs w:val="0"/>
          <w:kern w:val="0"/>
        </w:rPr>
        <w:t>发酵车间无组织面源</w:t>
      </w:r>
      <w:r>
        <w:rPr>
          <w:rFonts w:ascii="Times New Roman" w:hAnsi="Times New Roman" w:eastAsia="宋体" w:cs="Times New Roman"/>
          <w:i w:val="0"/>
          <w:iCs w:val="0"/>
          <w:kern w:val="0"/>
        </w:rPr>
        <w:t>排放的</w:t>
      </w:r>
      <w:r>
        <w:rPr>
          <w:rFonts w:hint="eastAsia" w:ascii="Times New Roman" w:hAnsi="Times New Roman" w:eastAsia="宋体" w:cs="Times New Roman"/>
          <w:i w:val="0"/>
          <w:iCs w:val="0"/>
          <w:kern w:val="0"/>
        </w:rPr>
        <w:t>氨</w:t>
      </w:r>
      <w:r>
        <w:rPr>
          <w:rFonts w:ascii="Times New Roman" w:hAnsi="Times New Roman" w:eastAsia="宋体" w:cs="Times New Roman"/>
          <w:i w:val="0"/>
          <w:iCs w:val="0"/>
          <w:kern w:val="0"/>
        </w:rPr>
        <w:t>，</w:t>
      </w:r>
      <w:r>
        <w:rPr>
          <w:i w:val="0"/>
          <w:iCs w:val="0"/>
        </w:rPr>
        <w:t>P</w:t>
      </w:r>
      <w:r>
        <w:rPr>
          <w:i w:val="0"/>
          <w:iCs w:val="0"/>
          <w:vertAlign w:val="subscript"/>
        </w:rPr>
        <w:t>max</w:t>
      </w:r>
      <w:r>
        <w:rPr>
          <w:i w:val="0"/>
          <w:iCs w:val="0"/>
        </w:rPr>
        <w:t>值为</w:t>
      </w:r>
      <w:r>
        <w:rPr>
          <w:rFonts w:hint="eastAsia"/>
          <w:i w:val="0"/>
          <w:iCs w:val="0"/>
          <w:lang w:val="en-US" w:eastAsia="zh-CN"/>
        </w:rPr>
        <w:t>4.3</w:t>
      </w:r>
      <w:r>
        <w:rPr>
          <w:i w:val="0"/>
          <w:iCs w:val="0"/>
        </w:rPr>
        <w:t>%，根据《环境影响评价技术导则大气环境》(HJ2.2-2018)分级判据，确定本项目大气环境影响评价工作等级为</w:t>
      </w:r>
      <w:r>
        <w:rPr>
          <w:rFonts w:hint="eastAsia"/>
          <w:i w:val="0"/>
          <w:iCs w:val="0"/>
        </w:rPr>
        <w:t>二</w:t>
      </w:r>
      <w:r>
        <w:rPr>
          <w:i w:val="0"/>
          <w:iCs w:val="0"/>
        </w:rPr>
        <w:t>级。</w:t>
      </w:r>
    </w:p>
    <w:p>
      <w:pPr>
        <w:spacing w:line="360" w:lineRule="auto"/>
        <w:ind w:firstLine="422" w:firstLineChars="176"/>
        <w:rPr>
          <w:i w:val="0"/>
          <w:iCs w:val="0"/>
        </w:rPr>
      </w:pPr>
      <w:r>
        <w:rPr>
          <w:i w:val="0"/>
          <w:iCs w:val="0"/>
        </w:rPr>
        <w:t>2、评价范围</w:t>
      </w:r>
    </w:p>
    <w:p>
      <w:pPr>
        <w:spacing w:line="360" w:lineRule="auto"/>
        <w:ind w:left="22" w:leftChars="9" w:firstLine="480" w:firstLineChars="200"/>
        <w:rPr>
          <w:i w:val="0"/>
          <w:iCs w:val="0"/>
        </w:rPr>
      </w:pPr>
      <w:r>
        <w:rPr>
          <w:bCs/>
          <w:i w:val="0"/>
          <w:iCs w:val="0"/>
        </w:rPr>
        <w:t>本</w:t>
      </w:r>
      <w:r>
        <w:rPr>
          <w:i w:val="0"/>
          <w:iCs w:val="0"/>
        </w:rPr>
        <w:t>项目无D</w:t>
      </w:r>
      <w:r>
        <w:rPr>
          <w:i w:val="0"/>
          <w:iCs w:val="0"/>
          <w:vertAlign w:val="subscript"/>
        </w:rPr>
        <w:t>10%</w:t>
      </w:r>
      <w:r>
        <w:rPr>
          <w:i w:val="0"/>
          <w:iCs w:val="0"/>
        </w:rPr>
        <w:t>距离，根据《环境影响评价技术导则大气环境》（HJ2.2-2018），环境空气评价范围为以项目厂址为中心，边长为5km的矩形区域，见图</w:t>
      </w:r>
      <w:r>
        <w:rPr>
          <w:rFonts w:hint="eastAsia"/>
          <w:i w:val="0"/>
          <w:iCs w:val="0"/>
          <w:lang w:val="en-US" w:eastAsia="zh-CN"/>
        </w:rPr>
        <w:t>4</w:t>
      </w:r>
      <w:r>
        <w:rPr>
          <w:rFonts w:hint="eastAsia"/>
          <w:i w:val="0"/>
          <w:iCs w:val="0"/>
        </w:rPr>
        <w:t>-1</w:t>
      </w:r>
      <w:r>
        <w:rPr>
          <w:i w:val="0"/>
          <w:iCs w:val="0"/>
        </w:rPr>
        <w:t>。</w:t>
      </w:r>
    </w:p>
    <w:p>
      <w:pPr>
        <w:spacing w:line="360" w:lineRule="auto"/>
        <w:ind w:left="22" w:leftChars="9" w:firstLine="482" w:firstLineChars="200"/>
        <w:rPr>
          <w:b/>
          <w:i w:val="0"/>
          <w:iCs w:val="0"/>
        </w:rPr>
      </w:pPr>
      <w:r>
        <w:rPr>
          <w:b/>
          <w:i w:val="0"/>
          <w:iCs w:val="0"/>
        </w:rPr>
        <w:t>2.5.2地</w:t>
      </w:r>
      <w:bookmarkStart w:id="73" w:name="_Hlt197764349"/>
      <w:bookmarkEnd w:id="73"/>
      <w:r>
        <w:rPr>
          <w:b/>
          <w:i w:val="0"/>
          <w:iCs w:val="0"/>
        </w:rPr>
        <w:t>表水</w:t>
      </w:r>
    </w:p>
    <w:p>
      <w:pPr>
        <w:spacing w:line="360" w:lineRule="auto"/>
        <w:ind w:firstLine="480" w:firstLineChars="200"/>
        <w:rPr>
          <w:i w:val="0"/>
          <w:iCs w:val="0"/>
        </w:rPr>
      </w:pPr>
      <w:r>
        <w:rPr>
          <w:i w:val="0"/>
          <w:iCs w:val="0"/>
        </w:rPr>
        <w:t>1、评价等级</w:t>
      </w:r>
    </w:p>
    <w:p>
      <w:pPr>
        <w:spacing w:line="360" w:lineRule="auto"/>
        <w:ind w:firstLine="480" w:firstLineChars="200"/>
        <w:rPr>
          <w:i w:val="0"/>
          <w:iCs w:val="0"/>
        </w:rPr>
      </w:pPr>
      <w:r>
        <w:rPr>
          <w:i w:val="0"/>
          <w:iCs w:val="0"/>
        </w:rPr>
        <w:t>根据《环境影响评价技术导则-地表水环境》（HJ2.3-2018）规定，建设项目地表水环境影响评价等级按照影响类型、排放方式、排放量或影响情况、受纳水体环境质量现状、水环境保护目标等综合确定。</w:t>
      </w:r>
    </w:p>
    <w:p>
      <w:pPr>
        <w:spacing w:line="360" w:lineRule="auto"/>
        <w:ind w:firstLine="480" w:firstLineChars="200"/>
        <w:rPr>
          <w:i w:val="0"/>
          <w:iCs w:val="0"/>
        </w:rPr>
      </w:pPr>
      <w:r>
        <w:rPr>
          <w:i w:val="0"/>
          <w:iCs w:val="0"/>
        </w:rPr>
        <w:t>本项目属于水污染影响型建设项目，其评价等级判定依据详见表2-</w:t>
      </w:r>
      <w:r>
        <w:rPr>
          <w:rFonts w:hint="eastAsia"/>
          <w:i w:val="0"/>
          <w:iCs w:val="0"/>
          <w:lang w:val="en-US" w:eastAsia="zh-CN"/>
        </w:rPr>
        <w:t>20</w:t>
      </w:r>
      <w:r>
        <w:rPr>
          <w:i w:val="0"/>
          <w:iCs w:val="0"/>
        </w:rPr>
        <w:t>。</w:t>
      </w:r>
    </w:p>
    <w:p>
      <w:pPr>
        <w:ind w:firstLine="482" w:firstLineChars="200"/>
        <w:jc w:val="center"/>
        <w:rPr>
          <w:b/>
          <w:bCs/>
          <w:i w:val="0"/>
          <w:iCs w:val="0"/>
        </w:rPr>
      </w:pPr>
      <w:r>
        <w:rPr>
          <w:b/>
          <w:bCs/>
          <w:i w:val="0"/>
          <w:iCs w:val="0"/>
        </w:rPr>
        <w:t>表2-</w:t>
      </w:r>
      <w:r>
        <w:rPr>
          <w:rFonts w:hint="eastAsia"/>
          <w:b/>
          <w:bCs/>
          <w:i w:val="0"/>
          <w:iCs w:val="0"/>
          <w:lang w:val="en-US" w:eastAsia="zh-CN"/>
        </w:rPr>
        <w:t>20</w:t>
      </w:r>
      <w:r>
        <w:rPr>
          <w:b/>
          <w:bCs/>
          <w:i w:val="0"/>
          <w:iCs w:val="0"/>
        </w:rPr>
        <w:t>地表水评价等级判断依据</w:t>
      </w:r>
    </w:p>
    <w:tbl>
      <w:tblPr>
        <w:tblStyle w:val="5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22"/>
        <w:gridCol w:w="4909"/>
        <w:gridCol w:w="16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31" w:type="dxa"/>
            <w:gridSpan w:val="2"/>
            <w:noWrap w:val="0"/>
            <w:vAlign w:val="center"/>
          </w:tcPr>
          <w:p>
            <w:pPr>
              <w:adjustRightInd w:val="0"/>
              <w:snapToGrid w:val="0"/>
              <w:jc w:val="center"/>
              <w:rPr>
                <w:i w:val="0"/>
                <w:iCs w:val="0"/>
                <w:sz w:val="21"/>
                <w:szCs w:val="21"/>
              </w:rPr>
            </w:pPr>
            <w:r>
              <w:rPr>
                <w:i w:val="0"/>
                <w:iCs w:val="0"/>
                <w:sz w:val="21"/>
                <w:szCs w:val="21"/>
              </w:rPr>
              <w:t>判定依据</w:t>
            </w:r>
          </w:p>
        </w:tc>
        <w:tc>
          <w:tcPr>
            <w:tcW w:w="1643" w:type="dxa"/>
            <w:vMerge w:val="restart"/>
            <w:noWrap w:val="0"/>
            <w:vAlign w:val="center"/>
          </w:tcPr>
          <w:p>
            <w:pPr>
              <w:adjustRightInd w:val="0"/>
              <w:snapToGrid w:val="0"/>
              <w:jc w:val="center"/>
              <w:rPr>
                <w:i w:val="0"/>
                <w:iCs w:val="0"/>
                <w:sz w:val="21"/>
                <w:szCs w:val="21"/>
              </w:rPr>
            </w:pPr>
            <w:r>
              <w:rPr>
                <w:i w:val="0"/>
                <w:iCs w:val="0"/>
                <w:sz w:val="21"/>
                <w:szCs w:val="21"/>
              </w:rPr>
              <w:t>评价等级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22" w:type="dxa"/>
            <w:noWrap w:val="0"/>
            <w:vAlign w:val="center"/>
          </w:tcPr>
          <w:p>
            <w:pPr>
              <w:adjustRightInd w:val="0"/>
              <w:snapToGrid w:val="0"/>
              <w:jc w:val="center"/>
              <w:rPr>
                <w:i w:val="0"/>
                <w:iCs w:val="0"/>
                <w:sz w:val="21"/>
                <w:szCs w:val="21"/>
              </w:rPr>
            </w:pPr>
            <w:r>
              <w:rPr>
                <w:i w:val="0"/>
                <w:iCs w:val="0"/>
                <w:sz w:val="21"/>
                <w:szCs w:val="21"/>
              </w:rPr>
              <w:t>排放方式</w:t>
            </w:r>
          </w:p>
        </w:tc>
        <w:tc>
          <w:tcPr>
            <w:tcW w:w="4909" w:type="dxa"/>
            <w:noWrap w:val="0"/>
            <w:vAlign w:val="center"/>
          </w:tcPr>
          <w:p>
            <w:pPr>
              <w:widowControl/>
              <w:jc w:val="center"/>
              <w:rPr>
                <w:i w:val="0"/>
                <w:iCs w:val="0"/>
                <w:sz w:val="21"/>
                <w:szCs w:val="21"/>
              </w:rPr>
            </w:pPr>
            <w:r>
              <w:rPr>
                <w:i w:val="0"/>
                <w:iCs w:val="0"/>
                <w:sz w:val="21"/>
                <w:szCs w:val="21"/>
              </w:rPr>
              <w:t>废水排放量Q（m</w:t>
            </w:r>
            <w:r>
              <w:rPr>
                <w:i w:val="0"/>
                <w:iCs w:val="0"/>
                <w:sz w:val="21"/>
                <w:szCs w:val="21"/>
                <w:vertAlign w:val="superscript"/>
              </w:rPr>
              <w:t>3</w:t>
            </w:r>
            <w:r>
              <w:rPr>
                <w:i w:val="0"/>
                <w:iCs w:val="0"/>
                <w:sz w:val="21"/>
                <w:szCs w:val="21"/>
              </w:rPr>
              <w:t>/d），水污染物当量数W（无量纲）</w:t>
            </w:r>
          </w:p>
        </w:tc>
        <w:tc>
          <w:tcPr>
            <w:tcW w:w="1643" w:type="dxa"/>
            <w:vMerge w:val="continue"/>
            <w:noWrap w:val="0"/>
            <w:vAlign w:val="center"/>
          </w:tcPr>
          <w:p>
            <w:pPr>
              <w:adjustRightInd w:val="0"/>
              <w:snapToGrid w:val="0"/>
              <w:jc w:val="center"/>
              <w:rPr>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22" w:type="dxa"/>
            <w:noWrap w:val="0"/>
            <w:vAlign w:val="center"/>
          </w:tcPr>
          <w:p>
            <w:pPr>
              <w:adjustRightInd w:val="0"/>
              <w:snapToGrid w:val="0"/>
              <w:jc w:val="center"/>
              <w:rPr>
                <w:i w:val="0"/>
                <w:iCs w:val="0"/>
                <w:sz w:val="21"/>
                <w:szCs w:val="21"/>
              </w:rPr>
            </w:pPr>
            <w:r>
              <w:rPr>
                <w:i w:val="0"/>
                <w:iCs w:val="0"/>
                <w:sz w:val="21"/>
                <w:szCs w:val="21"/>
              </w:rPr>
              <w:t>直接排放</w:t>
            </w:r>
          </w:p>
        </w:tc>
        <w:tc>
          <w:tcPr>
            <w:tcW w:w="4909" w:type="dxa"/>
            <w:noWrap w:val="0"/>
            <w:vAlign w:val="center"/>
          </w:tcPr>
          <w:p>
            <w:pPr>
              <w:adjustRightInd w:val="0"/>
              <w:snapToGrid w:val="0"/>
              <w:jc w:val="center"/>
              <w:rPr>
                <w:i w:val="0"/>
                <w:iCs w:val="0"/>
                <w:sz w:val="21"/>
                <w:szCs w:val="21"/>
              </w:rPr>
            </w:pPr>
            <w:r>
              <w:rPr>
                <w:i w:val="0"/>
                <w:iCs w:val="0"/>
                <w:sz w:val="21"/>
                <w:szCs w:val="21"/>
              </w:rPr>
              <w:t>Q≥20000或W≥600000</w:t>
            </w:r>
          </w:p>
        </w:tc>
        <w:tc>
          <w:tcPr>
            <w:tcW w:w="1643" w:type="dxa"/>
            <w:noWrap w:val="0"/>
            <w:vAlign w:val="center"/>
          </w:tcPr>
          <w:p>
            <w:pPr>
              <w:adjustRightInd w:val="0"/>
              <w:snapToGrid w:val="0"/>
              <w:jc w:val="center"/>
              <w:rPr>
                <w:i w:val="0"/>
                <w:iCs w:val="0"/>
                <w:sz w:val="21"/>
                <w:szCs w:val="21"/>
              </w:rPr>
            </w:pPr>
            <w:r>
              <w:rPr>
                <w:i w:val="0"/>
                <w:iCs w:val="0"/>
                <w:sz w:val="21"/>
                <w:szCs w:val="21"/>
              </w:rPr>
              <w:t>一级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22" w:type="dxa"/>
            <w:noWrap w:val="0"/>
            <w:vAlign w:val="center"/>
          </w:tcPr>
          <w:p>
            <w:pPr>
              <w:adjustRightInd w:val="0"/>
              <w:snapToGrid w:val="0"/>
              <w:jc w:val="center"/>
              <w:rPr>
                <w:i w:val="0"/>
                <w:iCs w:val="0"/>
                <w:sz w:val="21"/>
                <w:szCs w:val="21"/>
              </w:rPr>
            </w:pPr>
            <w:r>
              <w:rPr>
                <w:i w:val="0"/>
                <w:iCs w:val="0"/>
                <w:sz w:val="21"/>
                <w:szCs w:val="21"/>
              </w:rPr>
              <w:t>直接排放</w:t>
            </w:r>
          </w:p>
        </w:tc>
        <w:tc>
          <w:tcPr>
            <w:tcW w:w="4909" w:type="dxa"/>
            <w:noWrap w:val="0"/>
            <w:vAlign w:val="center"/>
          </w:tcPr>
          <w:p>
            <w:pPr>
              <w:adjustRightInd w:val="0"/>
              <w:snapToGrid w:val="0"/>
              <w:jc w:val="center"/>
              <w:rPr>
                <w:i w:val="0"/>
                <w:iCs w:val="0"/>
                <w:sz w:val="21"/>
                <w:szCs w:val="21"/>
              </w:rPr>
            </w:pPr>
            <w:r>
              <w:rPr>
                <w:i w:val="0"/>
                <w:iCs w:val="0"/>
                <w:sz w:val="21"/>
                <w:szCs w:val="21"/>
              </w:rPr>
              <w:t>其他</w:t>
            </w:r>
          </w:p>
        </w:tc>
        <w:tc>
          <w:tcPr>
            <w:tcW w:w="1643" w:type="dxa"/>
            <w:noWrap w:val="0"/>
            <w:vAlign w:val="center"/>
          </w:tcPr>
          <w:p>
            <w:pPr>
              <w:adjustRightInd w:val="0"/>
              <w:snapToGrid w:val="0"/>
              <w:jc w:val="center"/>
              <w:rPr>
                <w:i w:val="0"/>
                <w:iCs w:val="0"/>
                <w:sz w:val="21"/>
                <w:szCs w:val="21"/>
              </w:rPr>
            </w:pPr>
            <w:r>
              <w:rPr>
                <w:i w:val="0"/>
                <w:iCs w:val="0"/>
                <w:sz w:val="21"/>
                <w:szCs w:val="21"/>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2622" w:type="dxa"/>
            <w:noWrap w:val="0"/>
            <w:vAlign w:val="center"/>
          </w:tcPr>
          <w:p>
            <w:pPr>
              <w:adjustRightInd w:val="0"/>
              <w:snapToGrid w:val="0"/>
              <w:jc w:val="center"/>
              <w:rPr>
                <w:i w:val="0"/>
                <w:iCs w:val="0"/>
                <w:sz w:val="21"/>
                <w:szCs w:val="21"/>
              </w:rPr>
            </w:pPr>
            <w:r>
              <w:rPr>
                <w:i w:val="0"/>
                <w:iCs w:val="0"/>
                <w:sz w:val="21"/>
                <w:szCs w:val="21"/>
              </w:rPr>
              <w:t>直接排放</w:t>
            </w:r>
          </w:p>
        </w:tc>
        <w:tc>
          <w:tcPr>
            <w:tcW w:w="4909" w:type="dxa"/>
            <w:noWrap w:val="0"/>
            <w:vAlign w:val="center"/>
          </w:tcPr>
          <w:p>
            <w:pPr>
              <w:adjustRightInd w:val="0"/>
              <w:snapToGrid w:val="0"/>
              <w:jc w:val="center"/>
              <w:rPr>
                <w:i w:val="0"/>
                <w:iCs w:val="0"/>
                <w:sz w:val="21"/>
                <w:szCs w:val="21"/>
              </w:rPr>
            </w:pPr>
            <w:r>
              <w:rPr>
                <w:i w:val="0"/>
                <w:iCs w:val="0"/>
                <w:sz w:val="21"/>
                <w:szCs w:val="21"/>
              </w:rPr>
              <w:t>Q＜200或W＜6000</w:t>
            </w:r>
          </w:p>
        </w:tc>
        <w:tc>
          <w:tcPr>
            <w:tcW w:w="1643" w:type="dxa"/>
            <w:noWrap w:val="0"/>
            <w:vAlign w:val="center"/>
          </w:tcPr>
          <w:p>
            <w:pPr>
              <w:adjustRightInd w:val="0"/>
              <w:snapToGrid w:val="0"/>
              <w:jc w:val="center"/>
              <w:rPr>
                <w:i w:val="0"/>
                <w:iCs w:val="0"/>
                <w:sz w:val="21"/>
                <w:szCs w:val="21"/>
              </w:rPr>
            </w:pPr>
            <w:r>
              <w:rPr>
                <w:i w:val="0"/>
                <w:iCs w:val="0"/>
                <w:sz w:val="21"/>
                <w:szCs w:val="21"/>
              </w:rPr>
              <w:t>三级A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2622" w:type="dxa"/>
            <w:noWrap w:val="0"/>
            <w:vAlign w:val="center"/>
          </w:tcPr>
          <w:p>
            <w:pPr>
              <w:adjustRightInd w:val="0"/>
              <w:snapToGrid w:val="0"/>
              <w:jc w:val="center"/>
              <w:rPr>
                <w:i w:val="0"/>
                <w:iCs w:val="0"/>
                <w:sz w:val="21"/>
                <w:szCs w:val="21"/>
              </w:rPr>
            </w:pPr>
            <w:r>
              <w:rPr>
                <w:i w:val="0"/>
                <w:iCs w:val="0"/>
                <w:sz w:val="21"/>
                <w:szCs w:val="21"/>
              </w:rPr>
              <w:t>间接排放</w:t>
            </w:r>
          </w:p>
        </w:tc>
        <w:tc>
          <w:tcPr>
            <w:tcW w:w="4909" w:type="dxa"/>
            <w:noWrap w:val="0"/>
            <w:vAlign w:val="center"/>
          </w:tcPr>
          <w:p>
            <w:pPr>
              <w:adjustRightInd w:val="0"/>
              <w:snapToGrid w:val="0"/>
              <w:jc w:val="center"/>
              <w:rPr>
                <w:i w:val="0"/>
                <w:iCs w:val="0"/>
                <w:sz w:val="21"/>
                <w:szCs w:val="21"/>
              </w:rPr>
            </w:pPr>
            <w:r>
              <w:rPr>
                <w:i w:val="0"/>
                <w:iCs w:val="0"/>
                <w:sz w:val="21"/>
                <w:szCs w:val="21"/>
              </w:rPr>
              <w:t>-</w:t>
            </w:r>
          </w:p>
        </w:tc>
        <w:tc>
          <w:tcPr>
            <w:tcW w:w="1643" w:type="dxa"/>
            <w:noWrap w:val="0"/>
            <w:vAlign w:val="center"/>
          </w:tcPr>
          <w:p>
            <w:pPr>
              <w:adjustRightInd w:val="0"/>
              <w:snapToGrid w:val="0"/>
              <w:jc w:val="center"/>
              <w:rPr>
                <w:i w:val="0"/>
                <w:iCs w:val="0"/>
                <w:sz w:val="21"/>
                <w:szCs w:val="21"/>
              </w:rPr>
            </w:pPr>
            <w:r>
              <w:rPr>
                <w:i w:val="0"/>
                <w:iCs w:val="0"/>
                <w:sz w:val="21"/>
                <w:szCs w:val="21"/>
              </w:rPr>
              <w:t>三级B</w:t>
            </w:r>
          </w:p>
        </w:tc>
      </w:tr>
    </w:tbl>
    <w:p>
      <w:pPr>
        <w:adjustRightInd w:val="0"/>
        <w:snapToGrid w:val="0"/>
        <w:spacing w:line="360" w:lineRule="auto"/>
        <w:ind w:firstLine="480" w:firstLineChars="200"/>
        <w:rPr>
          <w:i w:val="0"/>
          <w:iCs w:val="0"/>
        </w:rPr>
      </w:pPr>
      <w:r>
        <w:rPr>
          <w:rFonts w:hint="eastAsia"/>
          <w:i w:val="0"/>
          <w:iCs w:val="0"/>
        </w:rPr>
        <w:t>本项目本项目生产废水、生活污水由厂区自建废水处理站处理达到《污水综合排放标准》GB8978-1996表2三级标准排放限值及园区污水处理厂进水指标后排入污水管网内，进入园区污水处理厂处理达到《城镇污水处理厂污染物排放标准》（GB18918-2002）一级A标准达标后排入浑江</w:t>
      </w:r>
      <w:r>
        <w:rPr>
          <w:i w:val="0"/>
          <w:iCs w:val="0"/>
        </w:rPr>
        <w:t>。</w:t>
      </w:r>
    </w:p>
    <w:p>
      <w:pPr>
        <w:adjustRightInd w:val="0"/>
        <w:snapToGrid w:val="0"/>
        <w:spacing w:line="360" w:lineRule="auto"/>
        <w:ind w:firstLine="480" w:firstLineChars="200"/>
        <w:rPr>
          <w:i w:val="0"/>
          <w:iCs w:val="0"/>
        </w:rPr>
      </w:pPr>
      <w:r>
        <w:rPr>
          <w:i w:val="0"/>
          <w:iCs w:val="0"/>
        </w:rPr>
        <w:t>综上，本项目属于间接排放，确定本项目地表水评价等级为三级B。</w:t>
      </w:r>
    </w:p>
    <w:p>
      <w:pPr>
        <w:spacing w:line="360" w:lineRule="auto"/>
        <w:ind w:firstLine="482" w:firstLineChars="200"/>
        <w:rPr>
          <w:b/>
          <w:i w:val="0"/>
          <w:iCs w:val="0"/>
          <w:u w:val="single"/>
        </w:rPr>
      </w:pPr>
      <w:r>
        <w:rPr>
          <w:rFonts w:hint="eastAsia"/>
          <w:b/>
          <w:i w:val="0"/>
          <w:iCs w:val="0"/>
          <w:u w:val="single"/>
        </w:rPr>
        <w:t>2</w:t>
      </w:r>
      <w:r>
        <w:rPr>
          <w:b/>
          <w:i w:val="0"/>
          <w:iCs w:val="0"/>
          <w:u w:val="single"/>
        </w:rPr>
        <w:t>.5.3噪声</w:t>
      </w:r>
    </w:p>
    <w:p>
      <w:pPr>
        <w:spacing w:line="360" w:lineRule="auto"/>
        <w:ind w:firstLine="480" w:firstLineChars="200"/>
        <w:rPr>
          <w:i w:val="0"/>
          <w:iCs w:val="0"/>
          <w:u w:val="single"/>
        </w:rPr>
      </w:pPr>
      <w:r>
        <w:rPr>
          <w:i w:val="0"/>
          <w:iCs w:val="0"/>
          <w:u w:val="single"/>
        </w:rPr>
        <w:t>1、评价等级</w:t>
      </w:r>
    </w:p>
    <w:p>
      <w:pPr>
        <w:pStyle w:val="90"/>
        <w:spacing w:line="360" w:lineRule="auto"/>
        <w:ind w:firstLine="480" w:firstLineChars="200"/>
        <w:rPr>
          <w:i w:val="0"/>
          <w:iCs w:val="0"/>
          <w:color w:val="auto"/>
          <w:u w:val="single"/>
        </w:rPr>
      </w:pPr>
      <w:r>
        <w:rPr>
          <w:rFonts w:hint="eastAsia"/>
          <w:i w:val="0"/>
          <w:iCs w:val="0"/>
          <w:color w:val="auto"/>
          <w:u w:val="single"/>
        </w:rPr>
        <w:t>根据区域噪声类别和环境功能区划，项目所在区域适用GB3096-2008规定的</w:t>
      </w:r>
      <w:r>
        <w:rPr>
          <w:rFonts w:hint="eastAsia"/>
          <w:i w:val="0"/>
          <w:iCs w:val="0"/>
          <w:color w:val="auto"/>
          <w:u w:val="single"/>
          <w:lang w:val="en-US" w:eastAsia="zh-CN"/>
        </w:rPr>
        <w:t>2</w:t>
      </w:r>
      <w:r>
        <w:rPr>
          <w:rFonts w:hint="eastAsia"/>
          <w:i w:val="0"/>
          <w:iCs w:val="0"/>
          <w:color w:val="auto"/>
          <w:u w:val="single"/>
        </w:rPr>
        <w:t>类区标准，</w:t>
      </w:r>
      <w:r>
        <w:rPr>
          <w:rFonts w:hint="eastAsia"/>
          <w:i w:val="0"/>
          <w:iCs w:val="0"/>
          <w:color w:val="auto"/>
          <w:u w:val="single"/>
          <w:lang w:eastAsia="zh-CN"/>
        </w:rPr>
        <w:t>详见附图</w:t>
      </w:r>
      <w:r>
        <w:rPr>
          <w:rFonts w:hint="eastAsia"/>
          <w:i w:val="0"/>
          <w:iCs w:val="0"/>
          <w:color w:val="auto"/>
          <w:u w:val="single"/>
          <w:lang w:val="en-US" w:eastAsia="zh-CN"/>
        </w:rPr>
        <w:t>4-2</w:t>
      </w:r>
      <w:r>
        <w:rPr>
          <w:rFonts w:hint="eastAsia"/>
          <w:i w:val="0"/>
          <w:iCs w:val="0"/>
          <w:color w:val="auto"/>
          <w:u w:val="single"/>
          <w:lang w:eastAsia="zh-CN"/>
        </w:rPr>
        <w:t>，</w:t>
      </w:r>
      <w:r>
        <w:rPr>
          <w:rFonts w:hint="eastAsia"/>
          <w:i w:val="0"/>
          <w:iCs w:val="0"/>
          <w:color w:val="auto"/>
          <w:u w:val="single"/>
        </w:rPr>
        <w:t>项目建成前后声级值增加量小于3dB(A)，受影响的人口变化不大。根据《环境影响评价技术导则-声环境》（HJ2.4-2021）中的规定，确定本次声环境影响评价工作等级为三级。</w:t>
      </w:r>
    </w:p>
    <w:p>
      <w:pPr>
        <w:spacing w:line="360" w:lineRule="auto"/>
        <w:ind w:firstLine="480" w:firstLineChars="200"/>
        <w:rPr>
          <w:i w:val="0"/>
          <w:iCs w:val="0"/>
          <w:u w:val="single"/>
        </w:rPr>
      </w:pPr>
      <w:r>
        <w:rPr>
          <w:i w:val="0"/>
          <w:iCs w:val="0"/>
          <w:u w:val="single"/>
        </w:rPr>
        <w:t>2、评价范围</w:t>
      </w:r>
    </w:p>
    <w:p>
      <w:pPr>
        <w:pStyle w:val="90"/>
        <w:spacing w:line="360" w:lineRule="auto"/>
        <w:ind w:firstLine="480" w:firstLineChars="200"/>
        <w:rPr>
          <w:rFonts w:hint="eastAsia"/>
          <w:i w:val="0"/>
          <w:iCs w:val="0"/>
          <w:color w:val="auto"/>
          <w:u w:val="single"/>
        </w:rPr>
      </w:pPr>
      <w:r>
        <w:rPr>
          <w:rFonts w:hint="eastAsia"/>
          <w:i w:val="0"/>
          <w:iCs w:val="0"/>
          <w:color w:val="auto"/>
          <w:u w:val="single"/>
        </w:rPr>
        <w:t>依据《环境影响评价技术导则声环境》（HJ2.4-2021）中的规定，“满足一级评价的要求，一般以建设项目边界向外200m为评价范围；二级、三级评价范围可根据建设项目所在区域和相邻区域的声环境功能区类别及敏感目标等实际情况适当缩小。如依据建设项目声源计算得到的贡献值到200m处，仍不能满足相应功能区标准值时，应将评价范围扩大到满足标准值的距离”，本项目为三级评价，并且根据厂界声环境预测确定本项目声环境评价范围为厂界外200m范围，</w:t>
      </w:r>
      <w:r>
        <w:rPr>
          <w:i w:val="0"/>
          <w:iCs w:val="0"/>
          <w:u w:val="single"/>
        </w:rPr>
        <w:t>具体见图</w:t>
      </w:r>
      <w:r>
        <w:rPr>
          <w:rFonts w:hint="eastAsia"/>
          <w:i w:val="0"/>
          <w:iCs w:val="0"/>
          <w:u w:val="single"/>
        </w:rPr>
        <w:t>4-</w:t>
      </w:r>
      <w:r>
        <w:rPr>
          <w:rFonts w:hint="eastAsia"/>
          <w:i w:val="0"/>
          <w:iCs w:val="0"/>
          <w:u w:val="single"/>
          <w:lang w:val="en-US" w:eastAsia="zh-CN"/>
        </w:rPr>
        <w:t>3</w:t>
      </w:r>
      <w:r>
        <w:rPr>
          <w:rFonts w:hint="eastAsia"/>
          <w:i w:val="0"/>
          <w:iCs w:val="0"/>
          <w:color w:val="auto"/>
          <w:u w:val="single"/>
        </w:rPr>
        <w:t>。</w:t>
      </w:r>
    </w:p>
    <w:p>
      <w:pPr>
        <w:spacing w:line="360" w:lineRule="auto"/>
        <w:ind w:firstLine="482" w:firstLineChars="200"/>
        <w:rPr>
          <w:b/>
          <w:i w:val="0"/>
          <w:iCs w:val="0"/>
        </w:rPr>
      </w:pPr>
      <w:r>
        <w:rPr>
          <w:rFonts w:hint="eastAsia"/>
          <w:b/>
          <w:i w:val="0"/>
          <w:iCs w:val="0"/>
        </w:rPr>
        <w:t>2</w:t>
      </w:r>
      <w:r>
        <w:rPr>
          <w:b/>
          <w:i w:val="0"/>
          <w:iCs w:val="0"/>
        </w:rPr>
        <w:t>.5.4环境风险评价</w:t>
      </w:r>
    </w:p>
    <w:p>
      <w:pPr>
        <w:pStyle w:val="414"/>
        <w:numPr>
          <w:ilvl w:val="6"/>
          <w:numId w:val="0"/>
        </w:numPr>
        <w:ind w:firstLine="480" w:firstLineChars="200"/>
        <w:rPr>
          <w:i w:val="0"/>
          <w:iCs w:val="0"/>
          <w:color w:val="000000"/>
        </w:rPr>
      </w:pPr>
      <w:r>
        <w:rPr>
          <w:rFonts w:hint="eastAsia"/>
          <w:i w:val="0"/>
          <w:iCs w:val="0"/>
          <w:color w:val="000000"/>
        </w:rPr>
        <w:t>1、</w:t>
      </w:r>
      <w:r>
        <w:rPr>
          <w:i w:val="0"/>
          <w:iCs w:val="0"/>
          <w:color w:val="000000"/>
        </w:rPr>
        <w:t>评价等级划分判据</w:t>
      </w:r>
    </w:p>
    <w:p>
      <w:pPr>
        <w:pStyle w:val="6"/>
        <w:ind w:firstLine="480"/>
        <w:rPr>
          <w:i w:val="0"/>
          <w:iCs w:val="0"/>
          <w:snapToGrid w:val="0"/>
          <w:color w:val="000000"/>
        </w:rPr>
      </w:pPr>
      <w:r>
        <w:rPr>
          <w:i w:val="0"/>
          <w:iCs w:val="0"/>
          <w:snapToGrid w:val="0"/>
          <w:color w:val="000000"/>
        </w:rPr>
        <w:t>根据《建设项目环境风险评价技术导则》（HJ169-2018）中的规定，环境风险评价工作等级划分判据详见表</w:t>
      </w:r>
      <w:r>
        <w:rPr>
          <w:rFonts w:hint="eastAsia"/>
          <w:i w:val="0"/>
          <w:iCs w:val="0"/>
          <w:snapToGrid w:val="0"/>
          <w:color w:val="000000"/>
        </w:rPr>
        <w:t>2</w:t>
      </w:r>
      <w:r>
        <w:rPr>
          <w:i w:val="0"/>
          <w:iCs w:val="0"/>
          <w:snapToGrid w:val="0"/>
          <w:color w:val="000000"/>
        </w:rPr>
        <w:t>-</w:t>
      </w:r>
      <w:r>
        <w:rPr>
          <w:rFonts w:hint="eastAsia"/>
          <w:i w:val="0"/>
          <w:iCs w:val="0"/>
          <w:snapToGrid w:val="0"/>
          <w:color w:val="000000"/>
        </w:rPr>
        <w:t>2</w:t>
      </w:r>
      <w:r>
        <w:rPr>
          <w:rFonts w:hint="eastAsia"/>
          <w:i w:val="0"/>
          <w:iCs w:val="0"/>
          <w:snapToGrid w:val="0"/>
          <w:color w:val="000000"/>
          <w:lang w:val="en-US" w:eastAsia="zh-CN"/>
        </w:rPr>
        <w:t>1</w:t>
      </w:r>
      <w:r>
        <w:rPr>
          <w:i w:val="0"/>
          <w:iCs w:val="0"/>
          <w:snapToGrid w:val="0"/>
          <w:color w:val="000000"/>
        </w:rPr>
        <w:t>。</w:t>
      </w:r>
    </w:p>
    <w:p>
      <w:pPr>
        <w:ind w:firstLine="482" w:firstLineChars="200"/>
        <w:jc w:val="center"/>
        <w:rPr>
          <w:b/>
          <w:bCs/>
          <w:i w:val="0"/>
          <w:iCs w:val="0"/>
        </w:rPr>
      </w:pPr>
      <w:r>
        <w:rPr>
          <w:rFonts w:hint="eastAsia"/>
          <w:b/>
          <w:bCs/>
          <w:i w:val="0"/>
          <w:iCs w:val="0"/>
        </w:rPr>
        <w:t>表2-2</w:t>
      </w:r>
      <w:r>
        <w:rPr>
          <w:rFonts w:hint="eastAsia"/>
          <w:b/>
          <w:bCs/>
          <w:i w:val="0"/>
          <w:iCs w:val="0"/>
          <w:lang w:val="en-US" w:eastAsia="zh-CN"/>
        </w:rPr>
        <w:t>1</w:t>
      </w:r>
      <w:r>
        <w:rPr>
          <w:rFonts w:hint="eastAsia"/>
          <w:b/>
          <w:bCs/>
          <w:i w:val="0"/>
          <w:iCs w:val="0"/>
        </w:rPr>
        <w:t xml:space="preserve"> 环境风险评价工作级别划分判据一览表</w:t>
      </w:r>
    </w:p>
    <w:tbl>
      <w:tblPr>
        <w:tblStyle w:val="5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978"/>
        <w:gridCol w:w="1749"/>
        <w:gridCol w:w="1677"/>
        <w:gridCol w:w="1865"/>
        <w:gridCol w:w="19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077" w:type="pct"/>
            <w:noWrap w:val="0"/>
            <w:vAlign w:val="center"/>
          </w:tcPr>
          <w:p>
            <w:pPr>
              <w:adjustRightInd w:val="0"/>
              <w:snapToGrid w:val="0"/>
              <w:jc w:val="center"/>
              <w:textAlignment w:val="center"/>
              <w:rPr>
                <w:i w:val="0"/>
                <w:iCs w:val="0"/>
                <w:color w:val="000000"/>
                <w:sz w:val="21"/>
                <w:szCs w:val="21"/>
              </w:rPr>
            </w:pPr>
            <w:r>
              <w:rPr>
                <w:i w:val="0"/>
                <w:iCs w:val="0"/>
                <w:color w:val="000000"/>
                <w:sz w:val="21"/>
                <w:szCs w:val="21"/>
              </w:rPr>
              <w:t>环境风险潜势</w:t>
            </w:r>
          </w:p>
        </w:tc>
        <w:tc>
          <w:tcPr>
            <w:tcW w:w="952" w:type="pct"/>
            <w:noWrap w:val="0"/>
            <w:vAlign w:val="center"/>
          </w:tcPr>
          <w:p>
            <w:pPr>
              <w:adjustRightInd w:val="0"/>
              <w:snapToGrid w:val="0"/>
              <w:jc w:val="center"/>
              <w:textAlignment w:val="center"/>
              <w:rPr>
                <w:i w:val="0"/>
                <w:iCs w:val="0"/>
                <w:color w:val="000000"/>
                <w:sz w:val="21"/>
                <w:szCs w:val="21"/>
                <w:vertAlign w:val="superscript"/>
              </w:rPr>
            </w:pPr>
            <w:r>
              <w:rPr>
                <w:i w:val="0"/>
                <w:iCs w:val="0"/>
                <w:color w:val="000000"/>
                <w:sz w:val="21"/>
                <w:szCs w:val="21"/>
              </w:rPr>
              <w:t>Ⅳ、Ⅳ</w:t>
            </w:r>
            <w:r>
              <w:rPr>
                <w:i w:val="0"/>
                <w:iCs w:val="0"/>
                <w:color w:val="000000"/>
                <w:sz w:val="21"/>
                <w:szCs w:val="21"/>
                <w:vertAlign w:val="superscript"/>
              </w:rPr>
              <w:t>+</w:t>
            </w:r>
          </w:p>
        </w:tc>
        <w:tc>
          <w:tcPr>
            <w:tcW w:w="913" w:type="pct"/>
            <w:noWrap w:val="0"/>
            <w:vAlign w:val="center"/>
          </w:tcPr>
          <w:p>
            <w:pPr>
              <w:adjustRightInd w:val="0"/>
              <w:snapToGrid w:val="0"/>
              <w:jc w:val="center"/>
              <w:textAlignment w:val="center"/>
              <w:rPr>
                <w:i w:val="0"/>
                <w:iCs w:val="0"/>
                <w:color w:val="000000"/>
                <w:sz w:val="21"/>
                <w:szCs w:val="21"/>
              </w:rPr>
            </w:pPr>
            <w:r>
              <w:rPr>
                <w:i w:val="0"/>
                <w:iCs w:val="0"/>
                <w:color w:val="000000"/>
                <w:sz w:val="21"/>
                <w:szCs w:val="21"/>
              </w:rPr>
              <w:t>Ⅲ</w:t>
            </w:r>
          </w:p>
        </w:tc>
        <w:tc>
          <w:tcPr>
            <w:tcW w:w="1015" w:type="pct"/>
            <w:noWrap w:val="0"/>
            <w:vAlign w:val="center"/>
          </w:tcPr>
          <w:p>
            <w:pPr>
              <w:adjustRightInd w:val="0"/>
              <w:snapToGrid w:val="0"/>
              <w:jc w:val="center"/>
              <w:textAlignment w:val="center"/>
              <w:rPr>
                <w:i w:val="0"/>
                <w:iCs w:val="0"/>
                <w:color w:val="000000"/>
                <w:sz w:val="21"/>
                <w:szCs w:val="21"/>
              </w:rPr>
            </w:pPr>
            <w:r>
              <w:rPr>
                <w:i w:val="0"/>
                <w:iCs w:val="0"/>
                <w:color w:val="000000"/>
                <w:sz w:val="21"/>
                <w:szCs w:val="21"/>
              </w:rPr>
              <w:t>Ⅱ</w:t>
            </w:r>
          </w:p>
        </w:tc>
        <w:tc>
          <w:tcPr>
            <w:tcW w:w="1041" w:type="pct"/>
            <w:noWrap w:val="0"/>
            <w:vAlign w:val="center"/>
          </w:tcPr>
          <w:p>
            <w:pPr>
              <w:adjustRightInd w:val="0"/>
              <w:snapToGrid w:val="0"/>
              <w:jc w:val="center"/>
              <w:textAlignment w:val="center"/>
              <w:rPr>
                <w:i w:val="0"/>
                <w:iCs w:val="0"/>
                <w:color w:val="000000"/>
                <w:sz w:val="21"/>
                <w:szCs w:val="21"/>
              </w:rPr>
            </w:pPr>
            <w:r>
              <w:rPr>
                <w:i w:val="0"/>
                <w:iCs w:val="0"/>
                <w:color w:val="000000"/>
                <w:sz w:val="21"/>
                <w:szCs w:val="21"/>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077" w:type="pct"/>
            <w:noWrap w:val="0"/>
            <w:vAlign w:val="center"/>
          </w:tcPr>
          <w:p>
            <w:pPr>
              <w:adjustRightInd w:val="0"/>
              <w:snapToGrid w:val="0"/>
              <w:jc w:val="center"/>
              <w:textAlignment w:val="center"/>
              <w:rPr>
                <w:i w:val="0"/>
                <w:iCs w:val="0"/>
                <w:color w:val="000000"/>
                <w:sz w:val="21"/>
                <w:szCs w:val="21"/>
              </w:rPr>
            </w:pPr>
            <w:r>
              <w:rPr>
                <w:i w:val="0"/>
                <w:iCs w:val="0"/>
                <w:color w:val="000000"/>
                <w:sz w:val="21"/>
                <w:szCs w:val="21"/>
              </w:rPr>
              <w:t>评价工作等级</w:t>
            </w:r>
          </w:p>
        </w:tc>
        <w:tc>
          <w:tcPr>
            <w:tcW w:w="952" w:type="pct"/>
            <w:noWrap w:val="0"/>
            <w:vAlign w:val="center"/>
          </w:tcPr>
          <w:p>
            <w:pPr>
              <w:adjustRightInd w:val="0"/>
              <w:snapToGrid w:val="0"/>
              <w:jc w:val="center"/>
              <w:textAlignment w:val="center"/>
              <w:rPr>
                <w:i w:val="0"/>
                <w:iCs w:val="0"/>
                <w:color w:val="000000"/>
                <w:sz w:val="21"/>
                <w:szCs w:val="21"/>
              </w:rPr>
            </w:pPr>
            <w:r>
              <w:rPr>
                <w:i w:val="0"/>
                <w:iCs w:val="0"/>
                <w:color w:val="000000"/>
                <w:sz w:val="21"/>
                <w:szCs w:val="21"/>
              </w:rPr>
              <w:t>一</w:t>
            </w:r>
          </w:p>
        </w:tc>
        <w:tc>
          <w:tcPr>
            <w:tcW w:w="913" w:type="pct"/>
            <w:noWrap w:val="0"/>
            <w:vAlign w:val="center"/>
          </w:tcPr>
          <w:p>
            <w:pPr>
              <w:adjustRightInd w:val="0"/>
              <w:snapToGrid w:val="0"/>
              <w:jc w:val="center"/>
              <w:textAlignment w:val="center"/>
              <w:rPr>
                <w:i w:val="0"/>
                <w:iCs w:val="0"/>
                <w:color w:val="000000"/>
                <w:sz w:val="21"/>
                <w:szCs w:val="21"/>
              </w:rPr>
            </w:pPr>
            <w:r>
              <w:rPr>
                <w:b/>
                <w:bCs/>
                <w:i w:val="0"/>
                <w:iCs w:val="0"/>
                <w:color w:val="000000"/>
                <w:sz w:val="21"/>
                <w:szCs w:val="21"/>
              </w:rPr>
              <w:t>二</w:t>
            </w:r>
          </w:p>
        </w:tc>
        <w:tc>
          <w:tcPr>
            <w:tcW w:w="1015" w:type="pct"/>
            <w:noWrap w:val="0"/>
            <w:vAlign w:val="center"/>
          </w:tcPr>
          <w:p>
            <w:pPr>
              <w:adjustRightInd w:val="0"/>
              <w:snapToGrid w:val="0"/>
              <w:jc w:val="center"/>
              <w:textAlignment w:val="center"/>
              <w:rPr>
                <w:i w:val="0"/>
                <w:iCs w:val="0"/>
                <w:color w:val="000000"/>
                <w:sz w:val="21"/>
                <w:szCs w:val="21"/>
              </w:rPr>
            </w:pPr>
            <w:r>
              <w:rPr>
                <w:i w:val="0"/>
                <w:iCs w:val="0"/>
                <w:color w:val="000000"/>
                <w:sz w:val="21"/>
                <w:szCs w:val="21"/>
              </w:rPr>
              <w:t>三</w:t>
            </w:r>
          </w:p>
        </w:tc>
        <w:tc>
          <w:tcPr>
            <w:tcW w:w="1041" w:type="pct"/>
            <w:noWrap w:val="0"/>
            <w:vAlign w:val="center"/>
          </w:tcPr>
          <w:p>
            <w:pPr>
              <w:adjustRightInd w:val="0"/>
              <w:snapToGrid w:val="0"/>
              <w:jc w:val="center"/>
              <w:textAlignment w:val="center"/>
              <w:rPr>
                <w:i w:val="0"/>
                <w:iCs w:val="0"/>
                <w:color w:val="000000"/>
                <w:sz w:val="21"/>
                <w:szCs w:val="21"/>
              </w:rPr>
            </w:pPr>
            <w:r>
              <w:rPr>
                <w:i w:val="0"/>
                <w:iCs w:val="0"/>
                <w:color w:val="000000"/>
                <w:sz w:val="21"/>
                <w:szCs w:val="21"/>
              </w:rPr>
              <w:t>简要分析</w:t>
            </w:r>
          </w:p>
        </w:tc>
      </w:tr>
    </w:tbl>
    <w:p>
      <w:pPr>
        <w:pStyle w:val="414"/>
        <w:numPr>
          <w:ilvl w:val="6"/>
          <w:numId w:val="0"/>
        </w:numPr>
        <w:ind w:firstLine="480" w:firstLineChars="200"/>
        <w:rPr>
          <w:i w:val="0"/>
          <w:iCs w:val="0"/>
          <w:color w:val="000000"/>
        </w:rPr>
      </w:pPr>
      <w:r>
        <w:rPr>
          <w:rFonts w:hint="eastAsia"/>
          <w:i w:val="0"/>
          <w:iCs w:val="0"/>
          <w:color w:val="000000"/>
        </w:rPr>
        <w:t>2、</w:t>
      </w:r>
      <w:r>
        <w:rPr>
          <w:i w:val="0"/>
          <w:iCs w:val="0"/>
          <w:color w:val="000000"/>
        </w:rPr>
        <w:t>危险物质数量与临界量比值（Q）</w:t>
      </w:r>
    </w:p>
    <w:p>
      <w:pPr>
        <w:pStyle w:val="90"/>
        <w:adjustRightInd/>
        <w:spacing w:line="360" w:lineRule="auto"/>
        <w:ind w:firstLine="480" w:firstLineChars="200"/>
        <w:rPr>
          <w:rFonts w:hint="eastAsia"/>
          <w:i w:val="0"/>
          <w:iCs w:val="0"/>
          <w:color w:val="auto"/>
        </w:rPr>
      </w:pPr>
      <w:r>
        <w:rPr>
          <w:rFonts w:hint="eastAsia"/>
          <w:i w:val="0"/>
          <w:iCs w:val="0"/>
          <w:color w:val="auto"/>
        </w:rPr>
        <w:t>本项目厂区内使用的各化学品数量及主要分布情况具体见下表，对照《建设项目环境风险评价技术导则》(HJ/T169-2018)附录B，本项目涉及的危险物质主要为氨水、乙醇、乙醚、盐酸、硫酸、三氯甲烷、甲苯、丙酮、硝酸等。</w:t>
      </w:r>
    </w:p>
    <w:p>
      <w:pPr>
        <w:pStyle w:val="413"/>
        <w:numPr>
          <w:ilvl w:val="4"/>
          <w:numId w:val="0"/>
        </w:numPr>
        <w:spacing w:line="240" w:lineRule="auto"/>
        <w:rPr>
          <w:i w:val="0"/>
          <w:iCs w:val="0"/>
        </w:rPr>
      </w:pPr>
      <w:r>
        <w:rPr>
          <w:rFonts w:hint="eastAsia"/>
          <w:bCs/>
          <w:i w:val="0"/>
          <w:iCs w:val="0"/>
        </w:rPr>
        <w:t>表2-2</w:t>
      </w:r>
      <w:r>
        <w:rPr>
          <w:rFonts w:hint="eastAsia"/>
          <w:bCs/>
          <w:i w:val="0"/>
          <w:iCs w:val="0"/>
          <w:lang w:val="en-US" w:eastAsia="zh-CN"/>
        </w:rPr>
        <w:t>2</w:t>
      </w:r>
      <w:r>
        <w:rPr>
          <w:rFonts w:hint="eastAsia"/>
          <w:bCs/>
          <w:i w:val="0"/>
          <w:iCs w:val="0"/>
        </w:rPr>
        <w:t xml:space="preserve"> 厂区内主要化学品数量及分布情况</w:t>
      </w:r>
    </w:p>
    <w:tbl>
      <w:tblPr>
        <w:tblStyle w:val="5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1240"/>
        <w:gridCol w:w="1817"/>
        <w:gridCol w:w="955"/>
        <w:gridCol w:w="1298"/>
        <w:gridCol w:w="1749"/>
        <w:gridCol w:w="1083"/>
        <w:gridCol w:w="98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75" w:hRule="atLeast"/>
        </w:trPr>
        <w:tc>
          <w:tcPr>
            <w:tcW w:w="679" w:type="pct"/>
            <w:noWrap w:val="0"/>
            <w:vAlign w:val="center"/>
          </w:tcPr>
          <w:p>
            <w:pPr>
              <w:pStyle w:val="317"/>
              <w:rPr>
                <w:i w:val="0"/>
                <w:iCs w:val="0"/>
                <w:sz w:val="21"/>
                <w:szCs w:val="21"/>
              </w:rPr>
            </w:pPr>
            <w:r>
              <w:rPr>
                <w:rFonts w:hint="eastAsia"/>
                <w:i w:val="0"/>
                <w:iCs w:val="0"/>
                <w:sz w:val="21"/>
                <w:szCs w:val="21"/>
              </w:rPr>
              <w:t>序号</w:t>
            </w:r>
          </w:p>
        </w:tc>
        <w:tc>
          <w:tcPr>
            <w:tcW w:w="995" w:type="pct"/>
            <w:noWrap w:val="0"/>
            <w:vAlign w:val="center"/>
          </w:tcPr>
          <w:p>
            <w:pPr>
              <w:pStyle w:val="317"/>
              <w:rPr>
                <w:i w:val="0"/>
                <w:iCs w:val="0"/>
                <w:sz w:val="21"/>
                <w:szCs w:val="21"/>
              </w:rPr>
            </w:pPr>
            <w:r>
              <w:rPr>
                <w:i w:val="0"/>
                <w:iCs w:val="0"/>
                <w:sz w:val="21"/>
                <w:szCs w:val="21"/>
              </w:rPr>
              <w:t>风险物质</w:t>
            </w:r>
          </w:p>
        </w:tc>
        <w:tc>
          <w:tcPr>
            <w:tcW w:w="523" w:type="pct"/>
            <w:noWrap w:val="0"/>
            <w:vAlign w:val="center"/>
          </w:tcPr>
          <w:p>
            <w:pPr>
              <w:pStyle w:val="317"/>
              <w:rPr>
                <w:i w:val="0"/>
                <w:iCs w:val="0"/>
                <w:sz w:val="21"/>
                <w:szCs w:val="21"/>
              </w:rPr>
            </w:pPr>
            <w:r>
              <w:rPr>
                <w:i w:val="0"/>
                <w:iCs w:val="0"/>
                <w:sz w:val="21"/>
                <w:szCs w:val="21"/>
              </w:rPr>
              <w:t>物态</w:t>
            </w:r>
          </w:p>
        </w:tc>
        <w:tc>
          <w:tcPr>
            <w:tcW w:w="711" w:type="pct"/>
            <w:noWrap w:val="0"/>
            <w:vAlign w:val="center"/>
          </w:tcPr>
          <w:p>
            <w:pPr>
              <w:pStyle w:val="317"/>
              <w:rPr>
                <w:i w:val="0"/>
                <w:iCs w:val="0"/>
                <w:sz w:val="21"/>
                <w:szCs w:val="21"/>
              </w:rPr>
            </w:pPr>
            <w:r>
              <w:rPr>
                <w:i w:val="0"/>
                <w:iCs w:val="0"/>
                <w:sz w:val="21"/>
                <w:szCs w:val="21"/>
              </w:rPr>
              <w:t>储存位置</w:t>
            </w:r>
          </w:p>
        </w:tc>
        <w:tc>
          <w:tcPr>
            <w:tcW w:w="958" w:type="pct"/>
            <w:noWrap w:val="0"/>
            <w:vAlign w:val="center"/>
          </w:tcPr>
          <w:p>
            <w:pPr>
              <w:pStyle w:val="317"/>
              <w:rPr>
                <w:i w:val="0"/>
                <w:iCs w:val="0"/>
                <w:sz w:val="21"/>
                <w:szCs w:val="21"/>
              </w:rPr>
            </w:pPr>
            <w:r>
              <w:rPr>
                <w:i w:val="0"/>
                <w:iCs w:val="0"/>
                <w:sz w:val="21"/>
                <w:szCs w:val="21"/>
              </w:rPr>
              <w:t>最大储存量（t）</w:t>
            </w:r>
          </w:p>
        </w:tc>
        <w:tc>
          <w:tcPr>
            <w:tcW w:w="593" w:type="pct"/>
            <w:noWrap w:val="0"/>
            <w:vAlign w:val="center"/>
          </w:tcPr>
          <w:p>
            <w:pPr>
              <w:pStyle w:val="317"/>
              <w:rPr>
                <w:rFonts w:hint="eastAsia"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rPr>
              <w:t>储存条件</w:t>
            </w:r>
          </w:p>
        </w:tc>
        <w:tc>
          <w:tcPr>
            <w:tcW w:w="537" w:type="pct"/>
            <w:noWrap w:val="0"/>
            <w:vAlign w:val="center"/>
          </w:tcPr>
          <w:p>
            <w:pPr>
              <w:pStyle w:val="317"/>
              <w:rPr>
                <w:rFonts w:hint="eastAsia"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rPr>
              <w:t>运输方式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679" w:type="pct"/>
            <w:noWrap w:val="0"/>
            <w:vAlign w:val="center"/>
          </w:tcPr>
          <w:p>
            <w:pPr>
              <w:pStyle w:val="317"/>
              <w:rPr>
                <w:i w:val="0"/>
                <w:iCs w:val="0"/>
                <w:sz w:val="21"/>
                <w:szCs w:val="21"/>
              </w:rPr>
            </w:pPr>
            <w:r>
              <w:rPr>
                <w:rFonts w:hint="eastAsia"/>
                <w:i w:val="0"/>
                <w:iCs w:val="0"/>
                <w:sz w:val="21"/>
                <w:szCs w:val="21"/>
              </w:rPr>
              <w:t>1</w:t>
            </w:r>
          </w:p>
        </w:tc>
        <w:tc>
          <w:tcPr>
            <w:tcW w:w="995" w:type="pct"/>
            <w:noWrap w:val="0"/>
            <w:vAlign w:val="center"/>
          </w:tcPr>
          <w:p>
            <w:pPr>
              <w:pStyle w:val="317"/>
              <w:rPr>
                <w:i w:val="0"/>
                <w:iCs w:val="0"/>
                <w:sz w:val="21"/>
                <w:szCs w:val="21"/>
              </w:rPr>
            </w:pPr>
            <w:r>
              <w:rPr>
                <w:rFonts w:hint="eastAsia"/>
                <w:i w:val="0"/>
                <w:iCs w:val="0"/>
                <w:sz w:val="21"/>
                <w:szCs w:val="21"/>
              </w:rPr>
              <w:t>氨水</w:t>
            </w:r>
          </w:p>
        </w:tc>
        <w:tc>
          <w:tcPr>
            <w:tcW w:w="523" w:type="pct"/>
            <w:noWrap w:val="0"/>
            <w:vAlign w:val="center"/>
          </w:tcPr>
          <w:p>
            <w:pPr>
              <w:pStyle w:val="317"/>
              <w:rPr>
                <w:i w:val="0"/>
                <w:iCs w:val="0"/>
                <w:sz w:val="21"/>
                <w:szCs w:val="21"/>
              </w:rPr>
            </w:pPr>
            <w:r>
              <w:rPr>
                <w:i w:val="0"/>
                <w:iCs w:val="0"/>
                <w:sz w:val="21"/>
                <w:szCs w:val="21"/>
              </w:rPr>
              <w:t>液</w:t>
            </w:r>
          </w:p>
        </w:tc>
        <w:tc>
          <w:tcPr>
            <w:tcW w:w="711" w:type="pct"/>
            <w:noWrap w:val="0"/>
            <w:vAlign w:val="center"/>
          </w:tcPr>
          <w:p>
            <w:pPr>
              <w:jc w:val="center"/>
              <w:rPr>
                <w:i w:val="0"/>
                <w:iCs w:val="0"/>
                <w:sz w:val="21"/>
                <w:szCs w:val="21"/>
              </w:rPr>
            </w:pPr>
            <w:r>
              <w:rPr>
                <w:rFonts w:hint="eastAsia"/>
                <w:i w:val="0"/>
                <w:iCs w:val="0"/>
                <w:sz w:val="21"/>
                <w:szCs w:val="21"/>
              </w:rPr>
              <w:t>罐区</w:t>
            </w:r>
          </w:p>
        </w:tc>
        <w:tc>
          <w:tcPr>
            <w:tcW w:w="958" w:type="pct"/>
            <w:noWrap w:val="0"/>
            <w:vAlign w:val="center"/>
          </w:tcPr>
          <w:p>
            <w:pPr>
              <w:pStyle w:val="317"/>
              <w:rPr>
                <w:rFonts w:hint="default" w:eastAsia="宋体"/>
                <w:i w:val="0"/>
                <w:iCs w:val="0"/>
                <w:sz w:val="21"/>
                <w:szCs w:val="21"/>
                <w:lang w:val="en-US" w:eastAsia="zh-CN"/>
              </w:rPr>
            </w:pPr>
            <w:r>
              <w:rPr>
                <w:rFonts w:hint="eastAsia"/>
                <w:i w:val="0"/>
                <w:iCs w:val="0"/>
                <w:sz w:val="21"/>
                <w:szCs w:val="21"/>
                <w:lang w:val="en-US" w:eastAsia="zh-CN"/>
              </w:rPr>
              <w:t>17.2</w:t>
            </w:r>
          </w:p>
        </w:tc>
        <w:tc>
          <w:tcPr>
            <w:tcW w:w="593" w:type="pct"/>
            <w:vMerge w:val="restart"/>
            <w:noWrap w:val="0"/>
            <w:vAlign w:val="center"/>
          </w:tcPr>
          <w:p>
            <w:pPr>
              <w:pStyle w:val="317"/>
              <w:rPr>
                <w:rFonts w:hint="eastAsia"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rPr>
              <w:t>常温常压</w:t>
            </w:r>
          </w:p>
        </w:tc>
        <w:tc>
          <w:tcPr>
            <w:tcW w:w="537" w:type="pct"/>
            <w:vMerge w:val="restart"/>
            <w:noWrap w:val="0"/>
            <w:vAlign w:val="center"/>
          </w:tcPr>
          <w:p>
            <w:pPr>
              <w:pStyle w:val="317"/>
              <w:rPr>
                <w:rFonts w:hint="eastAsia"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rPr>
              <w:t>汽车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679" w:type="pct"/>
            <w:noWrap w:val="0"/>
            <w:vAlign w:val="center"/>
          </w:tcPr>
          <w:p>
            <w:pPr>
              <w:pStyle w:val="317"/>
              <w:rPr>
                <w:i w:val="0"/>
                <w:iCs w:val="0"/>
                <w:sz w:val="21"/>
                <w:szCs w:val="21"/>
              </w:rPr>
            </w:pPr>
            <w:r>
              <w:rPr>
                <w:rFonts w:hint="eastAsia"/>
                <w:i w:val="0"/>
                <w:iCs w:val="0"/>
                <w:sz w:val="21"/>
                <w:szCs w:val="21"/>
              </w:rPr>
              <w:t>2</w:t>
            </w:r>
          </w:p>
        </w:tc>
        <w:tc>
          <w:tcPr>
            <w:tcW w:w="995" w:type="pct"/>
            <w:noWrap w:val="0"/>
            <w:vAlign w:val="center"/>
          </w:tcPr>
          <w:p>
            <w:pPr>
              <w:pStyle w:val="317"/>
              <w:rPr>
                <w:i w:val="0"/>
                <w:iCs w:val="0"/>
                <w:sz w:val="21"/>
                <w:szCs w:val="21"/>
              </w:rPr>
            </w:pPr>
            <w:r>
              <w:rPr>
                <w:rFonts w:hint="eastAsia"/>
                <w:i w:val="0"/>
                <w:iCs w:val="0"/>
                <w:sz w:val="21"/>
                <w:szCs w:val="21"/>
              </w:rPr>
              <w:t>乙醇</w:t>
            </w:r>
          </w:p>
        </w:tc>
        <w:tc>
          <w:tcPr>
            <w:tcW w:w="523" w:type="pct"/>
            <w:noWrap w:val="0"/>
            <w:vAlign w:val="center"/>
          </w:tcPr>
          <w:p>
            <w:pPr>
              <w:pStyle w:val="317"/>
              <w:rPr>
                <w:i w:val="0"/>
                <w:iCs w:val="0"/>
                <w:sz w:val="21"/>
                <w:szCs w:val="21"/>
              </w:rPr>
            </w:pPr>
            <w:r>
              <w:rPr>
                <w:i w:val="0"/>
                <w:iCs w:val="0"/>
                <w:sz w:val="21"/>
                <w:szCs w:val="21"/>
              </w:rPr>
              <w:t>液</w:t>
            </w:r>
          </w:p>
        </w:tc>
        <w:tc>
          <w:tcPr>
            <w:tcW w:w="711" w:type="pct"/>
            <w:noWrap w:val="0"/>
            <w:vAlign w:val="center"/>
          </w:tcPr>
          <w:p>
            <w:pPr>
              <w:jc w:val="center"/>
              <w:rPr>
                <w:i w:val="0"/>
                <w:iCs w:val="0"/>
                <w:sz w:val="21"/>
                <w:szCs w:val="21"/>
              </w:rPr>
            </w:pPr>
            <w:r>
              <w:rPr>
                <w:rFonts w:hint="eastAsia"/>
                <w:i w:val="0"/>
                <w:iCs w:val="0"/>
                <w:sz w:val="21"/>
                <w:szCs w:val="21"/>
              </w:rPr>
              <w:t>罐区</w:t>
            </w:r>
          </w:p>
        </w:tc>
        <w:tc>
          <w:tcPr>
            <w:tcW w:w="958" w:type="pct"/>
            <w:noWrap w:val="0"/>
            <w:vAlign w:val="center"/>
          </w:tcPr>
          <w:p>
            <w:pPr>
              <w:pStyle w:val="317"/>
              <w:rPr>
                <w:rFonts w:hint="default" w:eastAsia="宋体"/>
                <w:i w:val="0"/>
                <w:iCs w:val="0"/>
                <w:sz w:val="21"/>
                <w:szCs w:val="21"/>
                <w:lang w:val="en-US" w:eastAsia="zh-CN"/>
              </w:rPr>
            </w:pPr>
            <w:r>
              <w:rPr>
                <w:rFonts w:hint="eastAsia"/>
                <w:i w:val="0"/>
                <w:iCs w:val="0"/>
                <w:sz w:val="21"/>
                <w:szCs w:val="21"/>
                <w:lang w:val="en-US" w:eastAsia="zh-CN"/>
              </w:rPr>
              <w:t>8.6</w:t>
            </w:r>
          </w:p>
        </w:tc>
        <w:tc>
          <w:tcPr>
            <w:tcW w:w="593" w:type="pct"/>
            <w:vMerge w:val="continue"/>
            <w:noWrap w:val="0"/>
            <w:vAlign w:val="center"/>
          </w:tcPr>
          <w:p>
            <w:pPr>
              <w:pStyle w:val="317"/>
              <w:rPr>
                <w:i w:val="0"/>
                <w:iCs w:val="0"/>
                <w:sz w:val="21"/>
                <w:szCs w:val="21"/>
              </w:rPr>
            </w:pPr>
          </w:p>
        </w:tc>
        <w:tc>
          <w:tcPr>
            <w:tcW w:w="537" w:type="pct"/>
            <w:vMerge w:val="continue"/>
            <w:noWrap w:val="0"/>
            <w:vAlign w:val="center"/>
          </w:tcPr>
          <w:p>
            <w:pPr>
              <w:pStyle w:val="317"/>
              <w:rPr>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679" w:type="pct"/>
            <w:noWrap w:val="0"/>
            <w:vAlign w:val="center"/>
          </w:tcPr>
          <w:p>
            <w:pPr>
              <w:pStyle w:val="317"/>
              <w:rPr>
                <w:rFonts w:hint="eastAsia"/>
                <w:i w:val="0"/>
                <w:iCs w:val="0"/>
                <w:sz w:val="21"/>
                <w:szCs w:val="21"/>
              </w:rPr>
            </w:pPr>
            <w:r>
              <w:rPr>
                <w:rFonts w:hint="eastAsia"/>
                <w:i w:val="0"/>
                <w:iCs w:val="0"/>
                <w:sz w:val="21"/>
                <w:szCs w:val="21"/>
              </w:rPr>
              <w:t>3</w:t>
            </w:r>
          </w:p>
        </w:tc>
        <w:tc>
          <w:tcPr>
            <w:tcW w:w="995" w:type="pct"/>
            <w:noWrap w:val="0"/>
            <w:vAlign w:val="center"/>
          </w:tcPr>
          <w:p>
            <w:pPr>
              <w:pStyle w:val="317"/>
              <w:rPr>
                <w:rFonts w:hint="eastAsia"/>
                <w:i w:val="0"/>
                <w:iCs w:val="0"/>
                <w:color w:val="000000"/>
                <w:sz w:val="21"/>
                <w:szCs w:val="21"/>
              </w:rPr>
            </w:pPr>
            <w:r>
              <w:rPr>
                <w:rFonts w:hint="eastAsia"/>
                <w:i w:val="0"/>
                <w:iCs w:val="0"/>
                <w:sz w:val="21"/>
                <w:szCs w:val="21"/>
              </w:rPr>
              <w:t>乙醚</w:t>
            </w:r>
          </w:p>
        </w:tc>
        <w:tc>
          <w:tcPr>
            <w:tcW w:w="523" w:type="pct"/>
            <w:noWrap w:val="0"/>
            <w:vAlign w:val="center"/>
          </w:tcPr>
          <w:p>
            <w:pPr>
              <w:pStyle w:val="317"/>
              <w:rPr>
                <w:i w:val="0"/>
                <w:iCs w:val="0"/>
                <w:sz w:val="21"/>
                <w:szCs w:val="21"/>
              </w:rPr>
            </w:pPr>
            <w:r>
              <w:rPr>
                <w:i w:val="0"/>
                <w:iCs w:val="0"/>
                <w:sz w:val="21"/>
                <w:szCs w:val="21"/>
              </w:rPr>
              <w:t>液</w:t>
            </w:r>
          </w:p>
        </w:tc>
        <w:tc>
          <w:tcPr>
            <w:tcW w:w="711" w:type="pct"/>
            <w:noWrap w:val="0"/>
            <w:vAlign w:val="center"/>
          </w:tcPr>
          <w:p>
            <w:pPr>
              <w:jc w:val="center"/>
              <w:rPr>
                <w:rFonts w:hint="eastAsia"/>
                <w:i w:val="0"/>
                <w:iCs w:val="0"/>
                <w:sz w:val="21"/>
                <w:szCs w:val="21"/>
              </w:rPr>
            </w:pPr>
            <w:r>
              <w:rPr>
                <w:rFonts w:hint="eastAsia"/>
                <w:i w:val="0"/>
                <w:iCs w:val="0"/>
                <w:sz w:val="21"/>
                <w:szCs w:val="21"/>
              </w:rPr>
              <w:t>危品库</w:t>
            </w:r>
          </w:p>
        </w:tc>
        <w:tc>
          <w:tcPr>
            <w:tcW w:w="958" w:type="pct"/>
            <w:noWrap w:val="0"/>
            <w:vAlign w:val="center"/>
          </w:tcPr>
          <w:p>
            <w:pPr>
              <w:pStyle w:val="317"/>
              <w:rPr>
                <w:i w:val="0"/>
                <w:iCs w:val="0"/>
                <w:sz w:val="21"/>
                <w:szCs w:val="21"/>
              </w:rPr>
            </w:pPr>
            <w:r>
              <w:rPr>
                <w:rFonts w:hint="eastAsia"/>
                <w:i w:val="0"/>
                <w:iCs w:val="0"/>
                <w:sz w:val="21"/>
                <w:szCs w:val="21"/>
              </w:rPr>
              <w:t>0.01</w:t>
            </w:r>
          </w:p>
        </w:tc>
        <w:tc>
          <w:tcPr>
            <w:tcW w:w="593" w:type="pct"/>
            <w:vMerge w:val="continue"/>
            <w:noWrap w:val="0"/>
            <w:vAlign w:val="center"/>
          </w:tcPr>
          <w:p>
            <w:pPr>
              <w:pStyle w:val="317"/>
              <w:rPr>
                <w:i w:val="0"/>
                <w:iCs w:val="0"/>
                <w:sz w:val="21"/>
                <w:szCs w:val="21"/>
              </w:rPr>
            </w:pPr>
          </w:p>
        </w:tc>
        <w:tc>
          <w:tcPr>
            <w:tcW w:w="537" w:type="pct"/>
            <w:vMerge w:val="continue"/>
            <w:noWrap w:val="0"/>
            <w:vAlign w:val="center"/>
          </w:tcPr>
          <w:p>
            <w:pPr>
              <w:pStyle w:val="317"/>
              <w:rPr>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679" w:type="pct"/>
            <w:noWrap w:val="0"/>
            <w:vAlign w:val="center"/>
          </w:tcPr>
          <w:p>
            <w:pPr>
              <w:pStyle w:val="317"/>
              <w:rPr>
                <w:rFonts w:hint="eastAsia"/>
                <w:i w:val="0"/>
                <w:iCs w:val="0"/>
                <w:sz w:val="21"/>
                <w:szCs w:val="21"/>
              </w:rPr>
            </w:pPr>
            <w:r>
              <w:rPr>
                <w:rFonts w:hint="eastAsia"/>
                <w:i w:val="0"/>
                <w:iCs w:val="0"/>
                <w:sz w:val="21"/>
                <w:szCs w:val="21"/>
              </w:rPr>
              <w:t>4</w:t>
            </w:r>
          </w:p>
        </w:tc>
        <w:tc>
          <w:tcPr>
            <w:tcW w:w="995" w:type="pct"/>
            <w:noWrap w:val="0"/>
            <w:vAlign w:val="center"/>
          </w:tcPr>
          <w:p>
            <w:pPr>
              <w:pStyle w:val="317"/>
              <w:rPr>
                <w:i w:val="0"/>
                <w:iCs w:val="0"/>
                <w:sz w:val="21"/>
                <w:szCs w:val="21"/>
              </w:rPr>
            </w:pPr>
            <w:r>
              <w:rPr>
                <w:rFonts w:hint="eastAsia"/>
                <w:i w:val="0"/>
                <w:iCs w:val="0"/>
                <w:sz w:val="21"/>
                <w:szCs w:val="21"/>
              </w:rPr>
              <w:t>盐酸</w:t>
            </w:r>
          </w:p>
        </w:tc>
        <w:tc>
          <w:tcPr>
            <w:tcW w:w="523" w:type="pct"/>
            <w:noWrap w:val="0"/>
            <w:vAlign w:val="center"/>
          </w:tcPr>
          <w:p>
            <w:pPr>
              <w:pStyle w:val="317"/>
              <w:rPr>
                <w:i w:val="0"/>
                <w:iCs w:val="0"/>
                <w:sz w:val="21"/>
                <w:szCs w:val="21"/>
              </w:rPr>
            </w:pPr>
            <w:r>
              <w:rPr>
                <w:i w:val="0"/>
                <w:iCs w:val="0"/>
                <w:sz w:val="21"/>
                <w:szCs w:val="21"/>
              </w:rPr>
              <w:t>液</w:t>
            </w:r>
          </w:p>
        </w:tc>
        <w:tc>
          <w:tcPr>
            <w:tcW w:w="711" w:type="pct"/>
            <w:noWrap w:val="0"/>
            <w:vAlign w:val="center"/>
          </w:tcPr>
          <w:p>
            <w:pPr>
              <w:jc w:val="center"/>
              <w:rPr>
                <w:i w:val="0"/>
                <w:iCs w:val="0"/>
                <w:sz w:val="21"/>
                <w:szCs w:val="21"/>
              </w:rPr>
            </w:pPr>
            <w:r>
              <w:rPr>
                <w:rFonts w:hint="eastAsia"/>
                <w:i w:val="0"/>
                <w:iCs w:val="0"/>
                <w:sz w:val="21"/>
                <w:szCs w:val="21"/>
              </w:rPr>
              <w:t>危品库</w:t>
            </w:r>
          </w:p>
        </w:tc>
        <w:tc>
          <w:tcPr>
            <w:tcW w:w="958" w:type="pct"/>
            <w:noWrap w:val="0"/>
            <w:vAlign w:val="center"/>
          </w:tcPr>
          <w:p>
            <w:pPr>
              <w:pStyle w:val="317"/>
              <w:rPr>
                <w:i w:val="0"/>
                <w:iCs w:val="0"/>
                <w:sz w:val="21"/>
                <w:szCs w:val="21"/>
              </w:rPr>
            </w:pPr>
            <w:r>
              <w:rPr>
                <w:rFonts w:hint="eastAsia"/>
                <w:i w:val="0"/>
                <w:iCs w:val="0"/>
                <w:sz w:val="21"/>
                <w:szCs w:val="21"/>
              </w:rPr>
              <w:t>0.005</w:t>
            </w:r>
          </w:p>
        </w:tc>
        <w:tc>
          <w:tcPr>
            <w:tcW w:w="593" w:type="pct"/>
            <w:vMerge w:val="continue"/>
            <w:noWrap w:val="0"/>
            <w:vAlign w:val="center"/>
          </w:tcPr>
          <w:p>
            <w:pPr>
              <w:pStyle w:val="317"/>
              <w:rPr>
                <w:i w:val="0"/>
                <w:iCs w:val="0"/>
                <w:sz w:val="21"/>
                <w:szCs w:val="21"/>
              </w:rPr>
            </w:pPr>
          </w:p>
        </w:tc>
        <w:tc>
          <w:tcPr>
            <w:tcW w:w="537" w:type="pct"/>
            <w:vMerge w:val="continue"/>
            <w:noWrap w:val="0"/>
            <w:vAlign w:val="center"/>
          </w:tcPr>
          <w:p>
            <w:pPr>
              <w:pStyle w:val="317"/>
              <w:rPr>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679" w:type="pct"/>
            <w:noWrap w:val="0"/>
            <w:vAlign w:val="center"/>
          </w:tcPr>
          <w:p>
            <w:pPr>
              <w:pStyle w:val="317"/>
              <w:rPr>
                <w:rFonts w:hint="eastAsia"/>
                <w:i w:val="0"/>
                <w:iCs w:val="0"/>
                <w:sz w:val="21"/>
                <w:szCs w:val="21"/>
              </w:rPr>
            </w:pPr>
            <w:r>
              <w:rPr>
                <w:rFonts w:hint="eastAsia"/>
                <w:i w:val="0"/>
                <w:iCs w:val="0"/>
                <w:sz w:val="21"/>
                <w:szCs w:val="21"/>
              </w:rPr>
              <w:t>5</w:t>
            </w:r>
          </w:p>
        </w:tc>
        <w:tc>
          <w:tcPr>
            <w:tcW w:w="995" w:type="pct"/>
            <w:noWrap w:val="0"/>
            <w:vAlign w:val="center"/>
          </w:tcPr>
          <w:p>
            <w:pPr>
              <w:pStyle w:val="317"/>
              <w:rPr>
                <w:i w:val="0"/>
                <w:iCs w:val="0"/>
                <w:sz w:val="21"/>
                <w:szCs w:val="21"/>
              </w:rPr>
            </w:pPr>
            <w:r>
              <w:rPr>
                <w:rFonts w:hint="eastAsia"/>
                <w:i w:val="0"/>
                <w:iCs w:val="0"/>
                <w:sz w:val="21"/>
                <w:szCs w:val="21"/>
              </w:rPr>
              <w:t>硫酸</w:t>
            </w:r>
          </w:p>
        </w:tc>
        <w:tc>
          <w:tcPr>
            <w:tcW w:w="523" w:type="pct"/>
            <w:noWrap w:val="0"/>
            <w:vAlign w:val="center"/>
          </w:tcPr>
          <w:p>
            <w:pPr>
              <w:pStyle w:val="317"/>
              <w:rPr>
                <w:i w:val="0"/>
                <w:iCs w:val="0"/>
                <w:sz w:val="21"/>
                <w:szCs w:val="21"/>
              </w:rPr>
            </w:pPr>
            <w:r>
              <w:rPr>
                <w:i w:val="0"/>
                <w:iCs w:val="0"/>
                <w:sz w:val="21"/>
                <w:szCs w:val="21"/>
              </w:rPr>
              <w:t>液</w:t>
            </w:r>
          </w:p>
        </w:tc>
        <w:tc>
          <w:tcPr>
            <w:tcW w:w="711" w:type="pct"/>
            <w:noWrap w:val="0"/>
            <w:vAlign w:val="center"/>
          </w:tcPr>
          <w:p>
            <w:pPr>
              <w:jc w:val="center"/>
              <w:rPr>
                <w:i w:val="0"/>
                <w:iCs w:val="0"/>
                <w:sz w:val="21"/>
                <w:szCs w:val="21"/>
              </w:rPr>
            </w:pPr>
            <w:r>
              <w:rPr>
                <w:rFonts w:hint="eastAsia"/>
                <w:i w:val="0"/>
                <w:iCs w:val="0"/>
                <w:sz w:val="21"/>
                <w:szCs w:val="21"/>
              </w:rPr>
              <w:t>危品库</w:t>
            </w:r>
          </w:p>
        </w:tc>
        <w:tc>
          <w:tcPr>
            <w:tcW w:w="958" w:type="pct"/>
            <w:noWrap w:val="0"/>
            <w:vAlign w:val="center"/>
          </w:tcPr>
          <w:p>
            <w:pPr>
              <w:pStyle w:val="317"/>
              <w:rPr>
                <w:i w:val="0"/>
                <w:iCs w:val="0"/>
                <w:sz w:val="21"/>
                <w:szCs w:val="21"/>
              </w:rPr>
            </w:pPr>
            <w:r>
              <w:rPr>
                <w:rFonts w:hint="eastAsia"/>
                <w:i w:val="0"/>
                <w:iCs w:val="0"/>
                <w:sz w:val="21"/>
                <w:szCs w:val="21"/>
              </w:rPr>
              <w:t>0.005</w:t>
            </w:r>
          </w:p>
        </w:tc>
        <w:tc>
          <w:tcPr>
            <w:tcW w:w="593" w:type="pct"/>
            <w:vMerge w:val="continue"/>
            <w:noWrap w:val="0"/>
            <w:vAlign w:val="center"/>
          </w:tcPr>
          <w:p>
            <w:pPr>
              <w:pStyle w:val="317"/>
              <w:rPr>
                <w:i w:val="0"/>
                <w:iCs w:val="0"/>
                <w:sz w:val="21"/>
                <w:szCs w:val="21"/>
              </w:rPr>
            </w:pPr>
          </w:p>
        </w:tc>
        <w:tc>
          <w:tcPr>
            <w:tcW w:w="537" w:type="pct"/>
            <w:vMerge w:val="continue"/>
            <w:noWrap w:val="0"/>
            <w:vAlign w:val="center"/>
          </w:tcPr>
          <w:p>
            <w:pPr>
              <w:pStyle w:val="317"/>
              <w:rPr>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7" w:hRule="atLeast"/>
        </w:trPr>
        <w:tc>
          <w:tcPr>
            <w:tcW w:w="679" w:type="pct"/>
            <w:noWrap w:val="0"/>
            <w:vAlign w:val="center"/>
          </w:tcPr>
          <w:p>
            <w:pPr>
              <w:pStyle w:val="317"/>
              <w:rPr>
                <w:rFonts w:hint="eastAsia"/>
                <w:i w:val="0"/>
                <w:iCs w:val="0"/>
                <w:sz w:val="21"/>
                <w:szCs w:val="21"/>
              </w:rPr>
            </w:pPr>
            <w:r>
              <w:rPr>
                <w:rFonts w:hint="eastAsia"/>
                <w:i w:val="0"/>
                <w:iCs w:val="0"/>
                <w:sz w:val="21"/>
                <w:szCs w:val="21"/>
              </w:rPr>
              <w:t>6</w:t>
            </w:r>
          </w:p>
        </w:tc>
        <w:tc>
          <w:tcPr>
            <w:tcW w:w="995" w:type="pct"/>
            <w:noWrap w:val="0"/>
            <w:vAlign w:val="center"/>
          </w:tcPr>
          <w:p>
            <w:pPr>
              <w:jc w:val="center"/>
              <w:rPr>
                <w:rFonts w:hint="eastAsia"/>
                <w:i w:val="0"/>
                <w:iCs w:val="0"/>
                <w:color w:val="000000"/>
                <w:sz w:val="21"/>
                <w:szCs w:val="21"/>
              </w:rPr>
            </w:pPr>
            <w:r>
              <w:rPr>
                <w:rFonts w:hint="eastAsia"/>
                <w:i w:val="0"/>
                <w:iCs w:val="0"/>
                <w:sz w:val="21"/>
                <w:szCs w:val="21"/>
              </w:rPr>
              <w:t>三氯甲烷</w:t>
            </w:r>
          </w:p>
        </w:tc>
        <w:tc>
          <w:tcPr>
            <w:tcW w:w="523" w:type="pct"/>
            <w:noWrap w:val="0"/>
            <w:vAlign w:val="center"/>
          </w:tcPr>
          <w:p>
            <w:pPr>
              <w:pStyle w:val="317"/>
              <w:rPr>
                <w:i w:val="0"/>
                <w:iCs w:val="0"/>
                <w:sz w:val="21"/>
                <w:szCs w:val="21"/>
              </w:rPr>
            </w:pPr>
            <w:r>
              <w:rPr>
                <w:i w:val="0"/>
                <w:iCs w:val="0"/>
                <w:sz w:val="21"/>
                <w:szCs w:val="21"/>
              </w:rPr>
              <w:t>液</w:t>
            </w:r>
          </w:p>
        </w:tc>
        <w:tc>
          <w:tcPr>
            <w:tcW w:w="711" w:type="pct"/>
            <w:noWrap w:val="0"/>
            <w:vAlign w:val="center"/>
          </w:tcPr>
          <w:p>
            <w:pPr>
              <w:jc w:val="center"/>
              <w:rPr>
                <w:rFonts w:hint="eastAsia"/>
                <w:i w:val="0"/>
                <w:iCs w:val="0"/>
                <w:sz w:val="21"/>
                <w:szCs w:val="21"/>
              </w:rPr>
            </w:pPr>
            <w:r>
              <w:rPr>
                <w:rFonts w:hint="eastAsia"/>
                <w:i w:val="0"/>
                <w:iCs w:val="0"/>
                <w:sz w:val="21"/>
                <w:szCs w:val="21"/>
              </w:rPr>
              <w:t>危品库</w:t>
            </w:r>
          </w:p>
        </w:tc>
        <w:tc>
          <w:tcPr>
            <w:tcW w:w="958" w:type="pct"/>
            <w:noWrap w:val="0"/>
            <w:vAlign w:val="center"/>
          </w:tcPr>
          <w:p>
            <w:pPr>
              <w:jc w:val="center"/>
              <w:rPr>
                <w:i w:val="0"/>
                <w:iCs w:val="0"/>
                <w:sz w:val="21"/>
                <w:szCs w:val="21"/>
              </w:rPr>
            </w:pPr>
            <w:r>
              <w:rPr>
                <w:rFonts w:hint="eastAsia"/>
                <w:i w:val="0"/>
                <w:iCs w:val="0"/>
                <w:sz w:val="21"/>
                <w:szCs w:val="21"/>
              </w:rPr>
              <w:t>0.01</w:t>
            </w:r>
          </w:p>
        </w:tc>
        <w:tc>
          <w:tcPr>
            <w:tcW w:w="593" w:type="pct"/>
            <w:vMerge w:val="continue"/>
            <w:noWrap w:val="0"/>
            <w:vAlign w:val="center"/>
          </w:tcPr>
          <w:p>
            <w:pPr>
              <w:pStyle w:val="317"/>
              <w:rPr>
                <w:i w:val="0"/>
                <w:iCs w:val="0"/>
                <w:sz w:val="21"/>
                <w:szCs w:val="21"/>
              </w:rPr>
            </w:pPr>
          </w:p>
        </w:tc>
        <w:tc>
          <w:tcPr>
            <w:tcW w:w="537" w:type="pct"/>
            <w:vMerge w:val="continue"/>
            <w:noWrap w:val="0"/>
            <w:vAlign w:val="center"/>
          </w:tcPr>
          <w:p>
            <w:pPr>
              <w:pStyle w:val="317"/>
              <w:rPr>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679" w:type="pct"/>
            <w:noWrap w:val="0"/>
            <w:vAlign w:val="center"/>
          </w:tcPr>
          <w:p>
            <w:pPr>
              <w:pStyle w:val="317"/>
              <w:rPr>
                <w:rFonts w:hint="eastAsia"/>
                <w:i w:val="0"/>
                <w:iCs w:val="0"/>
                <w:sz w:val="21"/>
                <w:szCs w:val="21"/>
              </w:rPr>
            </w:pPr>
            <w:r>
              <w:rPr>
                <w:rFonts w:hint="eastAsia"/>
                <w:i w:val="0"/>
                <w:iCs w:val="0"/>
                <w:sz w:val="21"/>
                <w:szCs w:val="21"/>
              </w:rPr>
              <w:t>7</w:t>
            </w:r>
          </w:p>
        </w:tc>
        <w:tc>
          <w:tcPr>
            <w:tcW w:w="995" w:type="pct"/>
            <w:noWrap w:val="0"/>
            <w:vAlign w:val="center"/>
          </w:tcPr>
          <w:p>
            <w:pPr>
              <w:jc w:val="center"/>
              <w:rPr>
                <w:rFonts w:hint="eastAsia"/>
                <w:i w:val="0"/>
                <w:iCs w:val="0"/>
                <w:color w:val="000000"/>
                <w:sz w:val="21"/>
                <w:szCs w:val="21"/>
              </w:rPr>
            </w:pPr>
            <w:r>
              <w:rPr>
                <w:rFonts w:hint="eastAsia"/>
                <w:i w:val="0"/>
                <w:iCs w:val="0"/>
                <w:sz w:val="21"/>
                <w:szCs w:val="21"/>
              </w:rPr>
              <w:t>甲苯</w:t>
            </w:r>
          </w:p>
        </w:tc>
        <w:tc>
          <w:tcPr>
            <w:tcW w:w="523" w:type="pct"/>
            <w:noWrap w:val="0"/>
            <w:vAlign w:val="center"/>
          </w:tcPr>
          <w:p>
            <w:pPr>
              <w:pStyle w:val="317"/>
              <w:rPr>
                <w:i w:val="0"/>
                <w:iCs w:val="0"/>
                <w:sz w:val="21"/>
                <w:szCs w:val="21"/>
              </w:rPr>
            </w:pPr>
            <w:r>
              <w:rPr>
                <w:i w:val="0"/>
                <w:iCs w:val="0"/>
                <w:sz w:val="21"/>
                <w:szCs w:val="21"/>
              </w:rPr>
              <w:t>液</w:t>
            </w:r>
          </w:p>
        </w:tc>
        <w:tc>
          <w:tcPr>
            <w:tcW w:w="711" w:type="pct"/>
            <w:noWrap w:val="0"/>
            <w:vAlign w:val="center"/>
          </w:tcPr>
          <w:p>
            <w:pPr>
              <w:jc w:val="center"/>
              <w:rPr>
                <w:rFonts w:hint="eastAsia"/>
                <w:i w:val="0"/>
                <w:iCs w:val="0"/>
                <w:sz w:val="21"/>
                <w:szCs w:val="21"/>
              </w:rPr>
            </w:pPr>
            <w:r>
              <w:rPr>
                <w:rFonts w:hint="eastAsia"/>
                <w:i w:val="0"/>
                <w:iCs w:val="0"/>
                <w:sz w:val="21"/>
                <w:szCs w:val="21"/>
              </w:rPr>
              <w:t>危品库</w:t>
            </w:r>
          </w:p>
        </w:tc>
        <w:tc>
          <w:tcPr>
            <w:tcW w:w="958" w:type="pct"/>
            <w:noWrap w:val="0"/>
            <w:vAlign w:val="center"/>
          </w:tcPr>
          <w:p>
            <w:pPr>
              <w:jc w:val="center"/>
              <w:rPr>
                <w:i w:val="0"/>
                <w:iCs w:val="0"/>
                <w:sz w:val="21"/>
                <w:szCs w:val="21"/>
              </w:rPr>
            </w:pPr>
            <w:r>
              <w:rPr>
                <w:rFonts w:hint="eastAsia"/>
                <w:i w:val="0"/>
                <w:iCs w:val="0"/>
                <w:sz w:val="21"/>
                <w:szCs w:val="21"/>
              </w:rPr>
              <w:t>0.001</w:t>
            </w:r>
          </w:p>
        </w:tc>
        <w:tc>
          <w:tcPr>
            <w:tcW w:w="593" w:type="pct"/>
            <w:vMerge w:val="continue"/>
            <w:noWrap w:val="0"/>
            <w:vAlign w:val="center"/>
          </w:tcPr>
          <w:p>
            <w:pPr>
              <w:pStyle w:val="317"/>
              <w:rPr>
                <w:i w:val="0"/>
                <w:iCs w:val="0"/>
                <w:sz w:val="21"/>
                <w:szCs w:val="21"/>
              </w:rPr>
            </w:pPr>
          </w:p>
        </w:tc>
        <w:tc>
          <w:tcPr>
            <w:tcW w:w="537" w:type="pct"/>
            <w:vMerge w:val="continue"/>
            <w:noWrap w:val="0"/>
            <w:vAlign w:val="center"/>
          </w:tcPr>
          <w:p>
            <w:pPr>
              <w:pStyle w:val="317"/>
              <w:rPr>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679" w:type="pct"/>
            <w:noWrap w:val="0"/>
            <w:vAlign w:val="center"/>
          </w:tcPr>
          <w:p>
            <w:pPr>
              <w:pStyle w:val="317"/>
              <w:rPr>
                <w:rFonts w:hint="eastAsia"/>
                <w:i w:val="0"/>
                <w:iCs w:val="0"/>
                <w:sz w:val="21"/>
                <w:szCs w:val="21"/>
              </w:rPr>
            </w:pPr>
            <w:r>
              <w:rPr>
                <w:rFonts w:hint="eastAsia"/>
                <w:i w:val="0"/>
                <w:iCs w:val="0"/>
                <w:sz w:val="21"/>
                <w:szCs w:val="21"/>
              </w:rPr>
              <w:t>8</w:t>
            </w:r>
          </w:p>
        </w:tc>
        <w:tc>
          <w:tcPr>
            <w:tcW w:w="995" w:type="pct"/>
            <w:noWrap w:val="0"/>
            <w:vAlign w:val="center"/>
          </w:tcPr>
          <w:p>
            <w:pPr>
              <w:jc w:val="center"/>
              <w:rPr>
                <w:rFonts w:hint="eastAsia"/>
                <w:i w:val="0"/>
                <w:iCs w:val="0"/>
                <w:color w:val="000000"/>
                <w:sz w:val="21"/>
                <w:szCs w:val="21"/>
              </w:rPr>
            </w:pPr>
            <w:r>
              <w:rPr>
                <w:rFonts w:hint="eastAsia"/>
                <w:i w:val="0"/>
                <w:iCs w:val="0"/>
                <w:sz w:val="21"/>
                <w:szCs w:val="21"/>
              </w:rPr>
              <w:t>丙酮</w:t>
            </w:r>
          </w:p>
        </w:tc>
        <w:tc>
          <w:tcPr>
            <w:tcW w:w="523" w:type="pct"/>
            <w:noWrap w:val="0"/>
            <w:vAlign w:val="center"/>
          </w:tcPr>
          <w:p>
            <w:pPr>
              <w:pStyle w:val="317"/>
              <w:rPr>
                <w:i w:val="0"/>
                <w:iCs w:val="0"/>
                <w:sz w:val="21"/>
                <w:szCs w:val="21"/>
              </w:rPr>
            </w:pPr>
            <w:r>
              <w:rPr>
                <w:i w:val="0"/>
                <w:iCs w:val="0"/>
                <w:sz w:val="21"/>
                <w:szCs w:val="21"/>
              </w:rPr>
              <w:t>液</w:t>
            </w:r>
          </w:p>
        </w:tc>
        <w:tc>
          <w:tcPr>
            <w:tcW w:w="711" w:type="pct"/>
            <w:noWrap w:val="0"/>
            <w:vAlign w:val="center"/>
          </w:tcPr>
          <w:p>
            <w:pPr>
              <w:jc w:val="center"/>
              <w:rPr>
                <w:rFonts w:hint="eastAsia"/>
                <w:i w:val="0"/>
                <w:iCs w:val="0"/>
                <w:sz w:val="21"/>
                <w:szCs w:val="21"/>
              </w:rPr>
            </w:pPr>
            <w:r>
              <w:rPr>
                <w:rFonts w:hint="eastAsia"/>
                <w:i w:val="0"/>
                <w:iCs w:val="0"/>
                <w:sz w:val="21"/>
                <w:szCs w:val="21"/>
              </w:rPr>
              <w:t>危品库</w:t>
            </w:r>
          </w:p>
        </w:tc>
        <w:tc>
          <w:tcPr>
            <w:tcW w:w="958" w:type="pct"/>
            <w:noWrap w:val="0"/>
            <w:vAlign w:val="center"/>
          </w:tcPr>
          <w:p>
            <w:pPr>
              <w:jc w:val="center"/>
              <w:rPr>
                <w:i w:val="0"/>
                <w:iCs w:val="0"/>
                <w:sz w:val="21"/>
                <w:szCs w:val="21"/>
              </w:rPr>
            </w:pPr>
            <w:r>
              <w:rPr>
                <w:rFonts w:hint="eastAsia"/>
                <w:i w:val="0"/>
                <w:iCs w:val="0"/>
                <w:sz w:val="21"/>
                <w:szCs w:val="21"/>
              </w:rPr>
              <w:t>0.01</w:t>
            </w:r>
          </w:p>
        </w:tc>
        <w:tc>
          <w:tcPr>
            <w:tcW w:w="593" w:type="pct"/>
            <w:vMerge w:val="continue"/>
            <w:noWrap w:val="0"/>
            <w:vAlign w:val="center"/>
          </w:tcPr>
          <w:p>
            <w:pPr>
              <w:pStyle w:val="317"/>
              <w:rPr>
                <w:i w:val="0"/>
                <w:iCs w:val="0"/>
                <w:sz w:val="21"/>
                <w:szCs w:val="21"/>
              </w:rPr>
            </w:pPr>
          </w:p>
        </w:tc>
        <w:tc>
          <w:tcPr>
            <w:tcW w:w="537" w:type="pct"/>
            <w:vMerge w:val="continue"/>
            <w:noWrap w:val="0"/>
            <w:vAlign w:val="center"/>
          </w:tcPr>
          <w:p>
            <w:pPr>
              <w:pStyle w:val="317"/>
              <w:rPr>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679" w:type="pct"/>
            <w:noWrap w:val="0"/>
            <w:vAlign w:val="center"/>
          </w:tcPr>
          <w:p>
            <w:pPr>
              <w:pStyle w:val="317"/>
              <w:rPr>
                <w:i w:val="0"/>
                <w:iCs w:val="0"/>
                <w:sz w:val="21"/>
                <w:szCs w:val="21"/>
              </w:rPr>
            </w:pPr>
            <w:r>
              <w:rPr>
                <w:rFonts w:hint="eastAsia"/>
                <w:i w:val="0"/>
                <w:iCs w:val="0"/>
                <w:sz w:val="21"/>
                <w:szCs w:val="21"/>
              </w:rPr>
              <w:t>9</w:t>
            </w:r>
          </w:p>
        </w:tc>
        <w:tc>
          <w:tcPr>
            <w:tcW w:w="995" w:type="pct"/>
            <w:noWrap w:val="0"/>
            <w:vAlign w:val="center"/>
          </w:tcPr>
          <w:p>
            <w:pPr>
              <w:jc w:val="center"/>
              <w:rPr>
                <w:rFonts w:hint="eastAsia"/>
                <w:i w:val="0"/>
                <w:iCs w:val="0"/>
                <w:sz w:val="21"/>
                <w:szCs w:val="21"/>
              </w:rPr>
            </w:pPr>
            <w:r>
              <w:rPr>
                <w:rFonts w:hint="eastAsia"/>
                <w:i w:val="0"/>
                <w:iCs w:val="0"/>
                <w:sz w:val="21"/>
                <w:szCs w:val="21"/>
              </w:rPr>
              <w:t>硝酸</w:t>
            </w:r>
          </w:p>
        </w:tc>
        <w:tc>
          <w:tcPr>
            <w:tcW w:w="523" w:type="pct"/>
            <w:noWrap w:val="0"/>
            <w:vAlign w:val="center"/>
          </w:tcPr>
          <w:p>
            <w:pPr>
              <w:pStyle w:val="317"/>
              <w:rPr>
                <w:i w:val="0"/>
                <w:iCs w:val="0"/>
                <w:sz w:val="21"/>
                <w:szCs w:val="21"/>
              </w:rPr>
            </w:pPr>
            <w:r>
              <w:rPr>
                <w:i w:val="0"/>
                <w:iCs w:val="0"/>
                <w:sz w:val="21"/>
                <w:szCs w:val="21"/>
              </w:rPr>
              <w:t>液</w:t>
            </w:r>
          </w:p>
        </w:tc>
        <w:tc>
          <w:tcPr>
            <w:tcW w:w="711" w:type="pct"/>
            <w:noWrap w:val="0"/>
            <w:vAlign w:val="center"/>
          </w:tcPr>
          <w:p>
            <w:pPr>
              <w:jc w:val="center"/>
              <w:rPr>
                <w:rFonts w:hint="eastAsia"/>
                <w:i w:val="0"/>
                <w:iCs w:val="0"/>
                <w:sz w:val="21"/>
                <w:szCs w:val="21"/>
              </w:rPr>
            </w:pPr>
            <w:r>
              <w:rPr>
                <w:rFonts w:hint="eastAsia"/>
                <w:i w:val="0"/>
                <w:iCs w:val="0"/>
                <w:sz w:val="21"/>
                <w:szCs w:val="21"/>
              </w:rPr>
              <w:t>危品库</w:t>
            </w:r>
          </w:p>
        </w:tc>
        <w:tc>
          <w:tcPr>
            <w:tcW w:w="958" w:type="pct"/>
            <w:noWrap w:val="0"/>
            <w:vAlign w:val="center"/>
          </w:tcPr>
          <w:p>
            <w:pPr>
              <w:jc w:val="center"/>
              <w:rPr>
                <w:i w:val="0"/>
                <w:iCs w:val="0"/>
                <w:color w:val="000000"/>
                <w:sz w:val="21"/>
                <w:szCs w:val="21"/>
              </w:rPr>
            </w:pPr>
            <w:r>
              <w:rPr>
                <w:rFonts w:hint="eastAsia"/>
                <w:i w:val="0"/>
                <w:iCs w:val="0"/>
                <w:color w:val="000000"/>
                <w:sz w:val="21"/>
                <w:szCs w:val="21"/>
              </w:rPr>
              <w:t>0.005</w:t>
            </w:r>
          </w:p>
        </w:tc>
        <w:tc>
          <w:tcPr>
            <w:tcW w:w="593" w:type="pct"/>
            <w:vMerge w:val="continue"/>
            <w:noWrap w:val="0"/>
            <w:vAlign w:val="center"/>
          </w:tcPr>
          <w:p>
            <w:pPr>
              <w:pStyle w:val="317"/>
              <w:rPr>
                <w:i w:val="0"/>
                <w:iCs w:val="0"/>
                <w:sz w:val="21"/>
                <w:szCs w:val="21"/>
              </w:rPr>
            </w:pPr>
          </w:p>
        </w:tc>
        <w:tc>
          <w:tcPr>
            <w:tcW w:w="537" w:type="pct"/>
            <w:vMerge w:val="continue"/>
            <w:noWrap w:val="0"/>
            <w:vAlign w:val="center"/>
          </w:tcPr>
          <w:p>
            <w:pPr>
              <w:pStyle w:val="317"/>
              <w:rPr>
                <w:i w:val="0"/>
                <w:iCs w:val="0"/>
                <w:sz w:val="21"/>
                <w:szCs w:val="21"/>
              </w:rPr>
            </w:pPr>
          </w:p>
        </w:tc>
      </w:tr>
    </w:tbl>
    <w:p>
      <w:pPr>
        <w:pStyle w:val="90"/>
        <w:adjustRightInd/>
        <w:spacing w:line="360" w:lineRule="auto"/>
        <w:ind w:firstLine="480" w:firstLineChars="200"/>
        <w:rPr>
          <w:rFonts w:hint="eastAsia"/>
          <w:i w:val="0"/>
          <w:iCs w:val="0"/>
          <w:color w:val="auto"/>
        </w:rPr>
      </w:pPr>
      <w:r>
        <w:rPr>
          <w:rFonts w:hint="eastAsia"/>
          <w:i w:val="0"/>
          <w:iCs w:val="0"/>
          <w:color w:val="auto"/>
        </w:rPr>
        <w:t>3、环境敏感目标调查</w:t>
      </w:r>
    </w:p>
    <w:p>
      <w:pPr>
        <w:pStyle w:val="90"/>
        <w:adjustRightInd/>
        <w:spacing w:line="360" w:lineRule="auto"/>
        <w:ind w:firstLine="480" w:firstLineChars="200"/>
        <w:rPr>
          <w:rFonts w:hint="eastAsia"/>
          <w:i w:val="0"/>
          <w:iCs w:val="0"/>
          <w:color w:val="auto"/>
        </w:rPr>
      </w:pPr>
      <w:r>
        <w:rPr>
          <w:rFonts w:hint="eastAsia"/>
          <w:i w:val="0"/>
          <w:iCs w:val="0"/>
          <w:color w:val="auto"/>
          <w:lang w:val="zh-CN"/>
        </w:rPr>
        <w:t>本项目厂址位于白山市</w:t>
      </w:r>
      <w:r>
        <w:rPr>
          <w:i w:val="0"/>
          <w:iCs w:val="0"/>
          <w:color w:val="auto"/>
        </w:rPr>
        <w:t>江源工业经济开发区长白山特色食药科技产业园区</w:t>
      </w:r>
      <w:r>
        <w:rPr>
          <w:rFonts w:hint="eastAsia"/>
          <w:i w:val="0"/>
          <w:iCs w:val="0"/>
          <w:color w:val="auto"/>
          <w:lang w:val="zh-CN"/>
        </w:rPr>
        <w:t>，评价区域内没有重点文物保护单位、自然保护区、风景名胜区、珍稀动植物资源等敏感目标。根据危险物质可能的影响途径，环境风险敏感目标见下表</w:t>
      </w:r>
      <w:r>
        <w:rPr>
          <w:rFonts w:hint="eastAsia"/>
          <w:i w:val="0"/>
          <w:iCs w:val="0"/>
          <w:color w:val="auto"/>
        </w:rPr>
        <w:t>。</w:t>
      </w:r>
    </w:p>
    <w:p>
      <w:pPr>
        <w:pStyle w:val="413"/>
        <w:numPr>
          <w:ilvl w:val="4"/>
          <w:numId w:val="0"/>
        </w:numPr>
        <w:spacing w:line="240" w:lineRule="auto"/>
        <w:rPr>
          <w:rFonts w:hint="eastAsia"/>
          <w:bCs/>
          <w:i w:val="0"/>
          <w:iCs w:val="0"/>
        </w:rPr>
      </w:pPr>
      <w:r>
        <w:rPr>
          <w:rFonts w:hint="eastAsia"/>
          <w:bCs/>
          <w:i w:val="0"/>
          <w:iCs w:val="0"/>
        </w:rPr>
        <w:t>表2-2</w:t>
      </w:r>
      <w:r>
        <w:rPr>
          <w:rFonts w:hint="eastAsia"/>
          <w:bCs/>
          <w:i w:val="0"/>
          <w:iCs w:val="0"/>
          <w:lang w:val="en-US" w:eastAsia="zh-CN"/>
        </w:rPr>
        <w:t>3</w:t>
      </w:r>
      <w:r>
        <w:rPr>
          <w:rFonts w:hint="eastAsia"/>
          <w:bCs/>
          <w:i w:val="0"/>
          <w:iCs w:val="0"/>
        </w:rPr>
        <w:t xml:space="preserve"> 环境风险敏感目标分布情况一览表</w:t>
      </w:r>
    </w:p>
    <w:tbl>
      <w:tblPr>
        <w:tblStyle w:val="58"/>
        <w:tblW w:w="499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639"/>
        <w:gridCol w:w="998"/>
        <w:gridCol w:w="2172"/>
        <w:gridCol w:w="1256"/>
        <w:gridCol w:w="307"/>
        <w:gridCol w:w="867"/>
        <w:gridCol w:w="276"/>
        <w:gridCol w:w="204"/>
        <w:gridCol w:w="717"/>
        <w:gridCol w:w="453"/>
        <w:gridCol w:w="123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50" w:type="pct"/>
            <w:noWrap w:val="0"/>
            <w:vAlign w:val="center"/>
          </w:tcPr>
          <w:p>
            <w:pPr>
              <w:pStyle w:val="317"/>
              <w:rPr>
                <w:i/>
                <w:iCs/>
                <w:sz w:val="21"/>
                <w:szCs w:val="21"/>
                <w:u w:val="single"/>
              </w:rPr>
            </w:pPr>
            <w:r>
              <w:rPr>
                <w:i/>
                <w:iCs/>
                <w:sz w:val="21"/>
                <w:szCs w:val="21"/>
                <w:u w:val="single"/>
              </w:rPr>
              <w:t>类别</w:t>
            </w:r>
          </w:p>
        </w:tc>
        <w:tc>
          <w:tcPr>
            <w:tcW w:w="4649" w:type="pct"/>
            <w:gridSpan w:val="10"/>
            <w:noWrap w:val="0"/>
            <w:vAlign w:val="center"/>
          </w:tcPr>
          <w:p>
            <w:pPr>
              <w:pStyle w:val="317"/>
              <w:rPr>
                <w:i/>
                <w:iCs/>
                <w:sz w:val="21"/>
                <w:szCs w:val="21"/>
                <w:u w:val="single"/>
              </w:rPr>
            </w:pPr>
            <w:r>
              <w:rPr>
                <w:i/>
                <w:iCs/>
                <w:sz w:val="21"/>
                <w:szCs w:val="21"/>
                <w:u w:val="single"/>
              </w:rPr>
              <w:t>环境敏感特征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50" w:type="pct"/>
            <w:vMerge w:val="restart"/>
            <w:noWrap w:val="0"/>
            <w:vAlign w:val="center"/>
          </w:tcPr>
          <w:p>
            <w:pPr>
              <w:pStyle w:val="317"/>
              <w:rPr>
                <w:i/>
                <w:iCs/>
                <w:sz w:val="21"/>
                <w:szCs w:val="21"/>
                <w:u w:val="single"/>
              </w:rPr>
            </w:pPr>
            <w:r>
              <w:rPr>
                <w:i/>
                <w:iCs/>
                <w:sz w:val="21"/>
                <w:szCs w:val="21"/>
                <w:u w:val="single"/>
              </w:rPr>
              <w:t>环境空气</w:t>
            </w:r>
          </w:p>
        </w:tc>
        <w:tc>
          <w:tcPr>
            <w:tcW w:w="547" w:type="pct"/>
            <w:noWrap w:val="0"/>
            <w:vAlign w:val="center"/>
          </w:tcPr>
          <w:p>
            <w:pPr>
              <w:pStyle w:val="317"/>
              <w:rPr>
                <w:i/>
                <w:iCs/>
                <w:sz w:val="21"/>
                <w:szCs w:val="21"/>
                <w:u w:val="single"/>
              </w:rPr>
            </w:pPr>
            <w:r>
              <w:rPr>
                <w:i/>
                <w:iCs/>
                <w:sz w:val="21"/>
                <w:szCs w:val="21"/>
                <w:u w:val="single"/>
              </w:rPr>
              <w:t>序号</w:t>
            </w:r>
          </w:p>
        </w:tc>
        <w:tc>
          <w:tcPr>
            <w:tcW w:w="1190" w:type="pct"/>
            <w:noWrap w:val="0"/>
            <w:vAlign w:val="center"/>
          </w:tcPr>
          <w:p>
            <w:pPr>
              <w:pStyle w:val="317"/>
              <w:rPr>
                <w:i/>
                <w:iCs/>
                <w:sz w:val="21"/>
                <w:szCs w:val="21"/>
                <w:u w:val="single"/>
              </w:rPr>
            </w:pPr>
            <w:r>
              <w:rPr>
                <w:i/>
                <w:iCs/>
                <w:sz w:val="21"/>
                <w:szCs w:val="21"/>
                <w:u w:val="single"/>
              </w:rPr>
              <w:t>敏感目标名称</w:t>
            </w:r>
          </w:p>
        </w:tc>
        <w:tc>
          <w:tcPr>
            <w:tcW w:w="688" w:type="pct"/>
            <w:noWrap w:val="0"/>
            <w:vAlign w:val="center"/>
          </w:tcPr>
          <w:p>
            <w:pPr>
              <w:pStyle w:val="317"/>
              <w:rPr>
                <w:i/>
                <w:iCs/>
                <w:sz w:val="21"/>
                <w:szCs w:val="21"/>
                <w:u w:val="single"/>
              </w:rPr>
            </w:pPr>
            <w:r>
              <w:rPr>
                <w:i/>
                <w:iCs/>
                <w:sz w:val="21"/>
                <w:szCs w:val="21"/>
                <w:u w:val="single"/>
              </w:rPr>
              <w:t>相对方位</w:t>
            </w:r>
          </w:p>
        </w:tc>
        <w:tc>
          <w:tcPr>
            <w:tcW w:w="643" w:type="pct"/>
            <w:gridSpan w:val="2"/>
            <w:noWrap w:val="0"/>
            <w:vAlign w:val="center"/>
          </w:tcPr>
          <w:p>
            <w:pPr>
              <w:pStyle w:val="317"/>
              <w:rPr>
                <w:i/>
                <w:iCs/>
                <w:sz w:val="21"/>
                <w:szCs w:val="21"/>
                <w:u w:val="single"/>
              </w:rPr>
            </w:pPr>
            <w:r>
              <w:rPr>
                <w:i/>
                <w:iCs/>
                <w:sz w:val="21"/>
                <w:szCs w:val="21"/>
                <w:u w:val="single"/>
              </w:rPr>
              <w:t>距离/m</w:t>
            </w:r>
          </w:p>
        </w:tc>
        <w:tc>
          <w:tcPr>
            <w:tcW w:w="654" w:type="pct"/>
            <w:gridSpan w:val="3"/>
            <w:noWrap w:val="0"/>
            <w:vAlign w:val="center"/>
          </w:tcPr>
          <w:p>
            <w:pPr>
              <w:pStyle w:val="317"/>
              <w:rPr>
                <w:i/>
                <w:iCs/>
                <w:sz w:val="21"/>
                <w:szCs w:val="21"/>
                <w:u w:val="single"/>
              </w:rPr>
            </w:pPr>
            <w:r>
              <w:rPr>
                <w:i/>
                <w:iCs/>
                <w:sz w:val="21"/>
                <w:szCs w:val="21"/>
                <w:u w:val="single"/>
              </w:rPr>
              <w:t>属性</w:t>
            </w:r>
          </w:p>
        </w:tc>
        <w:tc>
          <w:tcPr>
            <w:tcW w:w="925" w:type="pct"/>
            <w:gridSpan w:val="2"/>
            <w:noWrap w:val="0"/>
            <w:vAlign w:val="center"/>
          </w:tcPr>
          <w:p>
            <w:pPr>
              <w:pStyle w:val="317"/>
              <w:rPr>
                <w:i/>
                <w:iCs/>
                <w:sz w:val="21"/>
                <w:szCs w:val="21"/>
                <w:u w:val="single"/>
              </w:rPr>
            </w:pPr>
            <w:r>
              <w:rPr>
                <w:i/>
                <w:iCs/>
                <w:sz w:val="21"/>
                <w:szCs w:val="21"/>
                <w:u w:val="single"/>
              </w:rPr>
              <w:t>人口数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50" w:type="pct"/>
            <w:vMerge w:val="continue"/>
            <w:noWrap w:val="0"/>
            <w:vAlign w:val="center"/>
          </w:tcPr>
          <w:p>
            <w:pPr>
              <w:pStyle w:val="317"/>
              <w:rPr>
                <w:i/>
                <w:iCs/>
                <w:sz w:val="21"/>
                <w:szCs w:val="21"/>
                <w:u w:val="single"/>
              </w:rPr>
            </w:pPr>
          </w:p>
        </w:tc>
        <w:tc>
          <w:tcPr>
            <w:tcW w:w="547" w:type="pct"/>
            <w:noWrap w:val="0"/>
            <w:vAlign w:val="center"/>
          </w:tcPr>
          <w:p>
            <w:pPr>
              <w:jc w:val="center"/>
              <w:rPr>
                <w:rFonts w:hint="eastAsia"/>
                <w:i/>
                <w:iCs/>
                <w:sz w:val="21"/>
                <w:szCs w:val="21"/>
                <w:u w:val="single"/>
              </w:rPr>
            </w:pPr>
            <w:r>
              <w:rPr>
                <w:i/>
                <w:iCs/>
                <w:sz w:val="21"/>
                <w:szCs w:val="21"/>
                <w:u w:val="single"/>
              </w:rPr>
              <w:t>1</w:t>
            </w:r>
          </w:p>
        </w:tc>
        <w:tc>
          <w:tcPr>
            <w:tcW w:w="1190" w:type="pct"/>
            <w:noWrap w:val="0"/>
            <w:vAlign w:val="center"/>
          </w:tcPr>
          <w:p>
            <w:pPr>
              <w:pStyle w:val="24"/>
              <w:tabs>
                <w:tab w:val="left" w:pos="0"/>
                <w:tab w:val="left" w:pos="1260"/>
              </w:tabs>
              <w:spacing w:line="240" w:lineRule="auto"/>
              <w:rPr>
                <w:rFonts w:hint="eastAsia"/>
                <w:i/>
                <w:iCs/>
                <w:sz w:val="21"/>
                <w:szCs w:val="21"/>
                <w:u w:val="single"/>
              </w:rPr>
            </w:pPr>
            <w:r>
              <w:rPr>
                <w:rFonts w:hint="eastAsia"/>
                <w:i/>
                <w:iCs/>
                <w:sz w:val="21"/>
                <w:szCs w:val="21"/>
                <w:u w:val="single"/>
              </w:rPr>
              <w:t>滨江花园</w:t>
            </w:r>
          </w:p>
        </w:tc>
        <w:tc>
          <w:tcPr>
            <w:tcW w:w="688" w:type="pct"/>
            <w:noWrap w:val="0"/>
            <w:vAlign w:val="center"/>
          </w:tcPr>
          <w:p>
            <w:pPr>
              <w:pStyle w:val="24"/>
              <w:tabs>
                <w:tab w:val="left" w:pos="0"/>
                <w:tab w:val="left" w:pos="1260"/>
              </w:tabs>
              <w:spacing w:line="240" w:lineRule="auto"/>
              <w:rPr>
                <w:rFonts w:hint="eastAsia"/>
                <w:i/>
                <w:iCs/>
                <w:sz w:val="21"/>
                <w:szCs w:val="21"/>
                <w:u w:val="single"/>
              </w:rPr>
            </w:pPr>
            <w:r>
              <w:rPr>
                <w:rFonts w:hint="eastAsia"/>
                <w:i/>
                <w:iCs/>
                <w:sz w:val="21"/>
                <w:szCs w:val="21"/>
                <w:u w:val="single"/>
              </w:rPr>
              <w:t>东侧</w:t>
            </w:r>
          </w:p>
        </w:tc>
        <w:tc>
          <w:tcPr>
            <w:tcW w:w="643" w:type="pct"/>
            <w:gridSpan w:val="2"/>
            <w:noWrap w:val="0"/>
            <w:vAlign w:val="center"/>
          </w:tcPr>
          <w:p>
            <w:pPr>
              <w:pStyle w:val="24"/>
              <w:tabs>
                <w:tab w:val="left" w:pos="0"/>
                <w:tab w:val="left" w:pos="1260"/>
              </w:tabs>
              <w:spacing w:line="240" w:lineRule="auto"/>
              <w:rPr>
                <w:i/>
                <w:iCs/>
                <w:sz w:val="21"/>
                <w:szCs w:val="21"/>
                <w:u w:val="single"/>
              </w:rPr>
            </w:pPr>
            <w:r>
              <w:rPr>
                <w:rFonts w:hint="eastAsia"/>
                <w:i/>
                <w:iCs/>
                <w:sz w:val="21"/>
                <w:szCs w:val="21"/>
                <w:u w:val="single"/>
              </w:rPr>
              <w:t>380</w:t>
            </w:r>
          </w:p>
        </w:tc>
        <w:tc>
          <w:tcPr>
            <w:tcW w:w="654" w:type="pct"/>
            <w:gridSpan w:val="3"/>
            <w:noWrap w:val="0"/>
            <w:vAlign w:val="center"/>
          </w:tcPr>
          <w:p>
            <w:pPr>
              <w:jc w:val="center"/>
              <w:rPr>
                <w:rFonts w:hint="eastAsia"/>
                <w:i/>
                <w:iCs/>
                <w:sz w:val="21"/>
                <w:szCs w:val="21"/>
                <w:u w:val="single"/>
              </w:rPr>
            </w:pPr>
            <w:r>
              <w:rPr>
                <w:i/>
                <w:iCs/>
                <w:sz w:val="21"/>
                <w:szCs w:val="21"/>
                <w:u w:val="single"/>
              </w:rPr>
              <w:t>居住区</w:t>
            </w:r>
          </w:p>
        </w:tc>
        <w:tc>
          <w:tcPr>
            <w:tcW w:w="925" w:type="pct"/>
            <w:gridSpan w:val="2"/>
            <w:noWrap w:val="0"/>
            <w:vAlign w:val="center"/>
          </w:tcPr>
          <w:p>
            <w:pPr>
              <w:jc w:val="center"/>
              <w:rPr>
                <w:i/>
                <w:iCs/>
                <w:sz w:val="21"/>
                <w:szCs w:val="21"/>
                <w:u w:val="single"/>
              </w:rPr>
            </w:pPr>
            <w:r>
              <w:rPr>
                <w:rFonts w:hint="eastAsia"/>
                <w:i/>
                <w:iCs/>
                <w:sz w:val="21"/>
                <w:szCs w:val="21"/>
                <w:u w:val="single"/>
              </w:rPr>
              <w:t>3500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50" w:type="pct"/>
            <w:vMerge w:val="continue"/>
            <w:noWrap w:val="0"/>
            <w:vAlign w:val="center"/>
          </w:tcPr>
          <w:p>
            <w:pPr>
              <w:pStyle w:val="317"/>
              <w:rPr>
                <w:i/>
                <w:iCs/>
                <w:sz w:val="21"/>
                <w:szCs w:val="21"/>
                <w:u w:val="single"/>
              </w:rPr>
            </w:pPr>
          </w:p>
        </w:tc>
        <w:tc>
          <w:tcPr>
            <w:tcW w:w="547" w:type="pct"/>
            <w:noWrap w:val="0"/>
            <w:vAlign w:val="center"/>
          </w:tcPr>
          <w:p>
            <w:pPr>
              <w:jc w:val="center"/>
              <w:rPr>
                <w:i/>
                <w:iCs/>
                <w:sz w:val="21"/>
                <w:szCs w:val="21"/>
                <w:u w:val="single"/>
              </w:rPr>
            </w:pPr>
            <w:r>
              <w:rPr>
                <w:rFonts w:hint="eastAsia"/>
                <w:i/>
                <w:iCs/>
                <w:sz w:val="21"/>
                <w:szCs w:val="21"/>
                <w:u w:val="single"/>
              </w:rPr>
              <w:t>2</w:t>
            </w:r>
          </w:p>
        </w:tc>
        <w:tc>
          <w:tcPr>
            <w:tcW w:w="1190" w:type="pct"/>
            <w:noWrap w:val="0"/>
            <w:vAlign w:val="center"/>
          </w:tcPr>
          <w:p>
            <w:pPr>
              <w:pStyle w:val="24"/>
              <w:tabs>
                <w:tab w:val="left" w:pos="0"/>
                <w:tab w:val="left" w:pos="1260"/>
              </w:tabs>
              <w:spacing w:line="240" w:lineRule="auto"/>
              <w:rPr>
                <w:rFonts w:hint="eastAsia"/>
                <w:i/>
                <w:iCs/>
                <w:sz w:val="21"/>
                <w:szCs w:val="21"/>
                <w:u w:val="single"/>
              </w:rPr>
            </w:pPr>
            <w:r>
              <w:rPr>
                <w:rFonts w:hint="eastAsia"/>
                <w:i/>
                <w:iCs/>
                <w:sz w:val="21"/>
                <w:szCs w:val="21"/>
                <w:u w:val="single"/>
              </w:rPr>
              <w:t>滨江园小区</w:t>
            </w:r>
          </w:p>
        </w:tc>
        <w:tc>
          <w:tcPr>
            <w:tcW w:w="688" w:type="pct"/>
            <w:noWrap w:val="0"/>
            <w:vAlign w:val="center"/>
          </w:tcPr>
          <w:p>
            <w:pPr>
              <w:pStyle w:val="24"/>
              <w:tabs>
                <w:tab w:val="left" w:pos="0"/>
                <w:tab w:val="left" w:pos="1260"/>
              </w:tabs>
              <w:spacing w:line="240" w:lineRule="auto"/>
              <w:rPr>
                <w:rFonts w:hint="eastAsia"/>
                <w:i/>
                <w:iCs/>
                <w:sz w:val="21"/>
                <w:szCs w:val="21"/>
                <w:u w:val="single"/>
              </w:rPr>
            </w:pPr>
            <w:r>
              <w:rPr>
                <w:rFonts w:hint="eastAsia"/>
                <w:i/>
                <w:iCs/>
                <w:sz w:val="21"/>
                <w:szCs w:val="21"/>
                <w:u w:val="single"/>
              </w:rPr>
              <w:t>东侧</w:t>
            </w:r>
          </w:p>
        </w:tc>
        <w:tc>
          <w:tcPr>
            <w:tcW w:w="643" w:type="pct"/>
            <w:gridSpan w:val="2"/>
            <w:noWrap w:val="0"/>
            <w:vAlign w:val="center"/>
          </w:tcPr>
          <w:p>
            <w:pPr>
              <w:pStyle w:val="24"/>
              <w:tabs>
                <w:tab w:val="left" w:pos="0"/>
                <w:tab w:val="left" w:pos="1260"/>
              </w:tabs>
              <w:spacing w:line="240" w:lineRule="auto"/>
              <w:rPr>
                <w:i/>
                <w:iCs/>
                <w:sz w:val="21"/>
                <w:szCs w:val="21"/>
                <w:u w:val="single"/>
              </w:rPr>
            </w:pPr>
            <w:r>
              <w:rPr>
                <w:rFonts w:hint="eastAsia"/>
                <w:i/>
                <w:iCs/>
                <w:sz w:val="21"/>
                <w:szCs w:val="21"/>
                <w:u w:val="single"/>
              </w:rPr>
              <w:t>830</w:t>
            </w:r>
          </w:p>
        </w:tc>
        <w:tc>
          <w:tcPr>
            <w:tcW w:w="654" w:type="pct"/>
            <w:gridSpan w:val="3"/>
            <w:noWrap w:val="0"/>
            <w:vAlign w:val="center"/>
          </w:tcPr>
          <w:p>
            <w:pPr>
              <w:jc w:val="center"/>
              <w:rPr>
                <w:i/>
                <w:iCs/>
                <w:sz w:val="21"/>
                <w:szCs w:val="21"/>
                <w:u w:val="single"/>
              </w:rPr>
            </w:pPr>
            <w:r>
              <w:rPr>
                <w:i/>
                <w:iCs/>
                <w:sz w:val="21"/>
                <w:szCs w:val="21"/>
                <w:u w:val="single"/>
              </w:rPr>
              <w:t>居住区</w:t>
            </w:r>
          </w:p>
        </w:tc>
        <w:tc>
          <w:tcPr>
            <w:tcW w:w="925" w:type="pct"/>
            <w:gridSpan w:val="2"/>
            <w:noWrap w:val="0"/>
            <w:vAlign w:val="center"/>
          </w:tcPr>
          <w:p>
            <w:pPr>
              <w:jc w:val="center"/>
              <w:rPr>
                <w:i/>
                <w:iCs/>
                <w:sz w:val="21"/>
                <w:szCs w:val="21"/>
                <w:u w:val="single"/>
              </w:rPr>
            </w:pPr>
            <w:r>
              <w:rPr>
                <w:rFonts w:hint="eastAsia"/>
                <w:i/>
                <w:iCs/>
                <w:sz w:val="21"/>
                <w:szCs w:val="21"/>
                <w:u w:val="single"/>
              </w:rPr>
              <w:t>3000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50" w:type="pct"/>
            <w:vMerge w:val="continue"/>
            <w:noWrap w:val="0"/>
            <w:vAlign w:val="center"/>
          </w:tcPr>
          <w:p>
            <w:pPr>
              <w:pStyle w:val="317"/>
              <w:rPr>
                <w:i/>
                <w:iCs/>
                <w:sz w:val="21"/>
                <w:szCs w:val="21"/>
                <w:u w:val="single"/>
              </w:rPr>
            </w:pPr>
          </w:p>
        </w:tc>
        <w:tc>
          <w:tcPr>
            <w:tcW w:w="547" w:type="pct"/>
            <w:noWrap w:val="0"/>
            <w:vAlign w:val="center"/>
          </w:tcPr>
          <w:p>
            <w:pPr>
              <w:jc w:val="center"/>
              <w:rPr>
                <w:rFonts w:hint="eastAsia"/>
                <w:i/>
                <w:iCs/>
                <w:sz w:val="21"/>
                <w:szCs w:val="21"/>
                <w:u w:val="single"/>
              </w:rPr>
            </w:pPr>
            <w:r>
              <w:rPr>
                <w:rFonts w:hint="eastAsia"/>
                <w:i/>
                <w:iCs/>
                <w:sz w:val="21"/>
                <w:szCs w:val="21"/>
                <w:u w:val="single"/>
              </w:rPr>
              <w:t>3</w:t>
            </w:r>
          </w:p>
        </w:tc>
        <w:tc>
          <w:tcPr>
            <w:tcW w:w="1190" w:type="pct"/>
            <w:noWrap w:val="0"/>
            <w:vAlign w:val="center"/>
          </w:tcPr>
          <w:p>
            <w:pPr>
              <w:pStyle w:val="24"/>
              <w:tabs>
                <w:tab w:val="left" w:pos="0"/>
                <w:tab w:val="left" w:pos="1260"/>
              </w:tabs>
              <w:spacing w:line="240" w:lineRule="auto"/>
              <w:rPr>
                <w:i/>
                <w:iCs/>
                <w:sz w:val="21"/>
                <w:szCs w:val="21"/>
                <w:u w:val="single"/>
              </w:rPr>
            </w:pPr>
            <w:r>
              <w:rPr>
                <w:rFonts w:hint="eastAsia"/>
                <w:i/>
                <w:iCs/>
                <w:sz w:val="21"/>
                <w:szCs w:val="21"/>
                <w:u w:val="single"/>
              </w:rPr>
              <w:t>兴民小区</w:t>
            </w:r>
          </w:p>
        </w:tc>
        <w:tc>
          <w:tcPr>
            <w:tcW w:w="688" w:type="pct"/>
            <w:noWrap w:val="0"/>
            <w:vAlign w:val="center"/>
          </w:tcPr>
          <w:p>
            <w:pPr>
              <w:pStyle w:val="24"/>
              <w:tabs>
                <w:tab w:val="left" w:pos="0"/>
                <w:tab w:val="left" w:pos="1260"/>
              </w:tabs>
              <w:spacing w:line="240" w:lineRule="auto"/>
              <w:rPr>
                <w:rFonts w:hint="eastAsia"/>
                <w:i/>
                <w:iCs/>
                <w:sz w:val="21"/>
                <w:szCs w:val="21"/>
                <w:u w:val="single"/>
              </w:rPr>
            </w:pPr>
            <w:r>
              <w:rPr>
                <w:rFonts w:hint="eastAsia"/>
                <w:i/>
                <w:iCs/>
                <w:sz w:val="21"/>
                <w:szCs w:val="21"/>
                <w:u w:val="single"/>
              </w:rPr>
              <w:t>东南侧</w:t>
            </w:r>
          </w:p>
        </w:tc>
        <w:tc>
          <w:tcPr>
            <w:tcW w:w="643" w:type="pct"/>
            <w:gridSpan w:val="2"/>
            <w:noWrap w:val="0"/>
            <w:vAlign w:val="center"/>
          </w:tcPr>
          <w:p>
            <w:pPr>
              <w:pStyle w:val="24"/>
              <w:tabs>
                <w:tab w:val="left" w:pos="0"/>
                <w:tab w:val="left" w:pos="1260"/>
              </w:tabs>
              <w:spacing w:line="240" w:lineRule="auto"/>
              <w:rPr>
                <w:i/>
                <w:iCs/>
                <w:sz w:val="21"/>
                <w:szCs w:val="21"/>
                <w:u w:val="single"/>
              </w:rPr>
            </w:pPr>
            <w:r>
              <w:rPr>
                <w:rFonts w:hint="eastAsia"/>
                <w:i/>
                <w:iCs/>
                <w:sz w:val="21"/>
                <w:szCs w:val="21"/>
                <w:u w:val="single"/>
              </w:rPr>
              <w:t>750</w:t>
            </w:r>
          </w:p>
        </w:tc>
        <w:tc>
          <w:tcPr>
            <w:tcW w:w="654" w:type="pct"/>
            <w:gridSpan w:val="3"/>
            <w:noWrap w:val="0"/>
            <w:vAlign w:val="center"/>
          </w:tcPr>
          <w:p>
            <w:pPr>
              <w:jc w:val="center"/>
              <w:rPr>
                <w:rFonts w:hint="eastAsia"/>
                <w:i/>
                <w:iCs/>
                <w:sz w:val="21"/>
                <w:szCs w:val="21"/>
                <w:u w:val="single"/>
              </w:rPr>
            </w:pPr>
            <w:r>
              <w:rPr>
                <w:i/>
                <w:iCs/>
                <w:sz w:val="21"/>
                <w:szCs w:val="21"/>
                <w:u w:val="single"/>
              </w:rPr>
              <w:t>居住区</w:t>
            </w:r>
          </w:p>
        </w:tc>
        <w:tc>
          <w:tcPr>
            <w:tcW w:w="925" w:type="pct"/>
            <w:gridSpan w:val="2"/>
            <w:noWrap w:val="0"/>
            <w:vAlign w:val="center"/>
          </w:tcPr>
          <w:p>
            <w:pPr>
              <w:jc w:val="center"/>
              <w:rPr>
                <w:i/>
                <w:iCs/>
                <w:sz w:val="21"/>
                <w:szCs w:val="21"/>
                <w:u w:val="single"/>
              </w:rPr>
            </w:pPr>
            <w:r>
              <w:rPr>
                <w:rFonts w:hint="eastAsia"/>
                <w:i/>
                <w:iCs/>
                <w:sz w:val="21"/>
                <w:szCs w:val="21"/>
                <w:u w:val="single"/>
              </w:rPr>
              <w:t>2000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50" w:type="pct"/>
            <w:vMerge w:val="continue"/>
            <w:noWrap w:val="0"/>
            <w:vAlign w:val="center"/>
          </w:tcPr>
          <w:p>
            <w:pPr>
              <w:pStyle w:val="317"/>
              <w:rPr>
                <w:i/>
                <w:iCs/>
                <w:sz w:val="21"/>
                <w:szCs w:val="21"/>
                <w:u w:val="single"/>
              </w:rPr>
            </w:pPr>
          </w:p>
        </w:tc>
        <w:tc>
          <w:tcPr>
            <w:tcW w:w="547" w:type="pct"/>
            <w:noWrap w:val="0"/>
            <w:vAlign w:val="center"/>
          </w:tcPr>
          <w:p>
            <w:pPr>
              <w:jc w:val="center"/>
              <w:rPr>
                <w:i/>
                <w:iCs/>
                <w:sz w:val="21"/>
                <w:szCs w:val="21"/>
                <w:u w:val="single"/>
              </w:rPr>
            </w:pPr>
            <w:r>
              <w:rPr>
                <w:rFonts w:hint="eastAsia"/>
                <w:i/>
                <w:iCs/>
                <w:sz w:val="21"/>
                <w:szCs w:val="21"/>
                <w:u w:val="single"/>
              </w:rPr>
              <w:t>4</w:t>
            </w:r>
          </w:p>
        </w:tc>
        <w:tc>
          <w:tcPr>
            <w:tcW w:w="1190" w:type="pct"/>
            <w:noWrap w:val="0"/>
            <w:vAlign w:val="center"/>
          </w:tcPr>
          <w:p>
            <w:pPr>
              <w:pStyle w:val="24"/>
              <w:tabs>
                <w:tab w:val="left" w:pos="0"/>
                <w:tab w:val="left" w:pos="1260"/>
              </w:tabs>
              <w:spacing w:line="240" w:lineRule="auto"/>
              <w:rPr>
                <w:i/>
                <w:iCs/>
                <w:sz w:val="21"/>
                <w:szCs w:val="21"/>
                <w:u w:val="single"/>
              </w:rPr>
            </w:pPr>
            <w:r>
              <w:rPr>
                <w:rFonts w:hint="eastAsia"/>
                <w:i/>
                <w:iCs/>
                <w:sz w:val="21"/>
                <w:szCs w:val="21"/>
                <w:u w:val="single"/>
              </w:rPr>
              <w:t>蓝天花园</w:t>
            </w:r>
          </w:p>
        </w:tc>
        <w:tc>
          <w:tcPr>
            <w:tcW w:w="688" w:type="pct"/>
            <w:noWrap w:val="0"/>
            <w:vAlign w:val="center"/>
          </w:tcPr>
          <w:p>
            <w:pPr>
              <w:pStyle w:val="24"/>
              <w:tabs>
                <w:tab w:val="left" w:pos="0"/>
                <w:tab w:val="left" w:pos="1260"/>
              </w:tabs>
              <w:spacing w:line="240" w:lineRule="auto"/>
              <w:rPr>
                <w:rFonts w:hint="eastAsia"/>
                <w:i/>
                <w:iCs/>
                <w:sz w:val="21"/>
                <w:szCs w:val="21"/>
                <w:u w:val="single"/>
              </w:rPr>
            </w:pPr>
            <w:r>
              <w:rPr>
                <w:rFonts w:hint="eastAsia"/>
                <w:i/>
                <w:iCs/>
                <w:sz w:val="21"/>
                <w:szCs w:val="21"/>
                <w:u w:val="single"/>
              </w:rPr>
              <w:t>东南侧</w:t>
            </w:r>
          </w:p>
        </w:tc>
        <w:tc>
          <w:tcPr>
            <w:tcW w:w="643" w:type="pct"/>
            <w:gridSpan w:val="2"/>
            <w:noWrap w:val="0"/>
            <w:vAlign w:val="center"/>
          </w:tcPr>
          <w:p>
            <w:pPr>
              <w:pStyle w:val="24"/>
              <w:tabs>
                <w:tab w:val="left" w:pos="0"/>
                <w:tab w:val="left" w:pos="1260"/>
              </w:tabs>
              <w:spacing w:line="240" w:lineRule="auto"/>
              <w:rPr>
                <w:i/>
                <w:iCs/>
                <w:sz w:val="21"/>
                <w:szCs w:val="21"/>
                <w:u w:val="single"/>
              </w:rPr>
            </w:pPr>
            <w:r>
              <w:rPr>
                <w:rFonts w:hint="eastAsia"/>
                <w:i/>
                <w:iCs/>
                <w:sz w:val="21"/>
                <w:szCs w:val="21"/>
                <w:u w:val="single"/>
              </w:rPr>
              <w:t>970</w:t>
            </w:r>
          </w:p>
        </w:tc>
        <w:tc>
          <w:tcPr>
            <w:tcW w:w="654" w:type="pct"/>
            <w:gridSpan w:val="3"/>
            <w:noWrap w:val="0"/>
            <w:vAlign w:val="center"/>
          </w:tcPr>
          <w:p>
            <w:pPr>
              <w:jc w:val="center"/>
              <w:rPr>
                <w:i/>
                <w:iCs/>
                <w:sz w:val="21"/>
                <w:szCs w:val="21"/>
                <w:u w:val="single"/>
              </w:rPr>
            </w:pPr>
            <w:r>
              <w:rPr>
                <w:rFonts w:hint="eastAsia"/>
                <w:i/>
                <w:iCs/>
                <w:sz w:val="21"/>
                <w:szCs w:val="21"/>
                <w:u w:val="single"/>
              </w:rPr>
              <w:t>居住区</w:t>
            </w:r>
          </w:p>
        </w:tc>
        <w:tc>
          <w:tcPr>
            <w:tcW w:w="925" w:type="pct"/>
            <w:gridSpan w:val="2"/>
            <w:noWrap w:val="0"/>
            <w:vAlign w:val="center"/>
          </w:tcPr>
          <w:p>
            <w:pPr>
              <w:jc w:val="center"/>
              <w:rPr>
                <w:i/>
                <w:iCs/>
                <w:sz w:val="21"/>
                <w:szCs w:val="21"/>
                <w:u w:val="single"/>
              </w:rPr>
            </w:pPr>
            <w:r>
              <w:rPr>
                <w:rFonts w:hint="eastAsia"/>
                <w:i/>
                <w:iCs/>
                <w:sz w:val="21"/>
                <w:szCs w:val="21"/>
                <w:u w:val="single"/>
              </w:rPr>
              <w:t>3000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50" w:type="pct"/>
            <w:vMerge w:val="continue"/>
            <w:noWrap w:val="0"/>
            <w:vAlign w:val="center"/>
          </w:tcPr>
          <w:p>
            <w:pPr>
              <w:pStyle w:val="317"/>
              <w:rPr>
                <w:i/>
                <w:iCs/>
                <w:sz w:val="21"/>
                <w:szCs w:val="21"/>
                <w:u w:val="single"/>
              </w:rPr>
            </w:pPr>
          </w:p>
        </w:tc>
        <w:tc>
          <w:tcPr>
            <w:tcW w:w="547" w:type="pct"/>
            <w:noWrap w:val="0"/>
            <w:vAlign w:val="center"/>
          </w:tcPr>
          <w:p>
            <w:pPr>
              <w:jc w:val="center"/>
              <w:rPr>
                <w:rFonts w:hint="eastAsia"/>
                <w:i/>
                <w:iCs/>
                <w:sz w:val="21"/>
                <w:szCs w:val="21"/>
                <w:u w:val="single"/>
              </w:rPr>
            </w:pPr>
            <w:r>
              <w:rPr>
                <w:rFonts w:hint="eastAsia"/>
                <w:i/>
                <w:iCs/>
                <w:sz w:val="21"/>
                <w:szCs w:val="21"/>
                <w:u w:val="single"/>
              </w:rPr>
              <w:t>5</w:t>
            </w:r>
          </w:p>
        </w:tc>
        <w:tc>
          <w:tcPr>
            <w:tcW w:w="1190" w:type="pct"/>
            <w:noWrap w:val="0"/>
            <w:vAlign w:val="center"/>
          </w:tcPr>
          <w:p>
            <w:pPr>
              <w:pStyle w:val="24"/>
              <w:tabs>
                <w:tab w:val="left" w:pos="0"/>
                <w:tab w:val="left" w:pos="1260"/>
              </w:tabs>
              <w:spacing w:line="240" w:lineRule="auto"/>
              <w:rPr>
                <w:i/>
                <w:iCs/>
                <w:sz w:val="21"/>
                <w:szCs w:val="21"/>
                <w:u w:val="single"/>
              </w:rPr>
            </w:pPr>
            <w:r>
              <w:rPr>
                <w:rFonts w:hint="eastAsia"/>
                <w:i/>
                <w:iCs/>
                <w:sz w:val="21"/>
                <w:szCs w:val="21"/>
                <w:u w:val="single"/>
              </w:rPr>
              <w:t>和谐小区</w:t>
            </w:r>
          </w:p>
        </w:tc>
        <w:tc>
          <w:tcPr>
            <w:tcW w:w="688" w:type="pct"/>
            <w:noWrap w:val="0"/>
            <w:vAlign w:val="center"/>
          </w:tcPr>
          <w:p>
            <w:pPr>
              <w:pStyle w:val="24"/>
              <w:tabs>
                <w:tab w:val="left" w:pos="0"/>
                <w:tab w:val="left" w:pos="1260"/>
              </w:tabs>
              <w:spacing w:line="240" w:lineRule="auto"/>
              <w:rPr>
                <w:rFonts w:hint="eastAsia"/>
                <w:i/>
                <w:iCs/>
                <w:sz w:val="21"/>
                <w:szCs w:val="21"/>
                <w:u w:val="single"/>
              </w:rPr>
            </w:pPr>
            <w:r>
              <w:rPr>
                <w:rFonts w:hint="eastAsia"/>
                <w:i/>
                <w:iCs/>
                <w:sz w:val="21"/>
                <w:szCs w:val="21"/>
                <w:u w:val="single"/>
              </w:rPr>
              <w:t>东南侧</w:t>
            </w:r>
          </w:p>
        </w:tc>
        <w:tc>
          <w:tcPr>
            <w:tcW w:w="643" w:type="pct"/>
            <w:gridSpan w:val="2"/>
            <w:noWrap w:val="0"/>
            <w:vAlign w:val="center"/>
          </w:tcPr>
          <w:p>
            <w:pPr>
              <w:pStyle w:val="24"/>
              <w:tabs>
                <w:tab w:val="left" w:pos="0"/>
                <w:tab w:val="left" w:pos="1260"/>
              </w:tabs>
              <w:spacing w:line="240" w:lineRule="auto"/>
              <w:rPr>
                <w:i/>
                <w:iCs/>
                <w:sz w:val="21"/>
                <w:szCs w:val="21"/>
                <w:u w:val="single"/>
              </w:rPr>
            </w:pPr>
            <w:r>
              <w:rPr>
                <w:rFonts w:hint="eastAsia"/>
                <w:i/>
                <w:iCs/>
                <w:sz w:val="21"/>
                <w:szCs w:val="21"/>
                <w:u w:val="single"/>
              </w:rPr>
              <w:t>1220</w:t>
            </w:r>
          </w:p>
        </w:tc>
        <w:tc>
          <w:tcPr>
            <w:tcW w:w="654" w:type="pct"/>
            <w:gridSpan w:val="3"/>
            <w:noWrap w:val="0"/>
            <w:vAlign w:val="center"/>
          </w:tcPr>
          <w:p>
            <w:pPr>
              <w:jc w:val="center"/>
              <w:rPr>
                <w:rFonts w:hint="eastAsia"/>
                <w:i/>
                <w:iCs/>
                <w:sz w:val="21"/>
                <w:szCs w:val="21"/>
                <w:u w:val="single"/>
              </w:rPr>
            </w:pPr>
            <w:r>
              <w:rPr>
                <w:i/>
                <w:iCs/>
                <w:sz w:val="21"/>
                <w:szCs w:val="21"/>
                <w:u w:val="single"/>
              </w:rPr>
              <w:t>居住区</w:t>
            </w:r>
          </w:p>
        </w:tc>
        <w:tc>
          <w:tcPr>
            <w:tcW w:w="925" w:type="pct"/>
            <w:gridSpan w:val="2"/>
            <w:noWrap w:val="0"/>
            <w:vAlign w:val="center"/>
          </w:tcPr>
          <w:p>
            <w:pPr>
              <w:jc w:val="center"/>
              <w:rPr>
                <w:i/>
                <w:iCs/>
                <w:sz w:val="21"/>
                <w:szCs w:val="21"/>
                <w:u w:val="single"/>
              </w:rPr>
            </w:pPr>
            <w:r>
              <w:rPr>
                <w:rFonts w:hint="eastAsia"/>
                <w:i/>
                <w:iCs/>
                <w:sz w:val="21"/>
                <w:szCs w:val="21"/>
                <w:u w:val="single"/>
              </w:rPr>
              <w:t>2000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50" w:type="pct"/>
            <w:vMerge w:val="continue"/>
            <w:noWrap w:val="0"/>
            <w:vAlign w:val="center"/>
          </w:tcPr>
          <w:p>
            <w:pPr>
              <w:pStyle w:val="317"/>
              <w:rPr>
                <w:i/>
                <w:iCs/>
                <w:sz w:val="21"/>
                <w:szCs w:val="21"/>
                <w:u w:val="single"/>
              </w:rPr>
            </w:pPr>
          </w:p>
        </w:tc>
        <w:tc>
          <w:tcPr>
            <w:tcW w:w="547" w:type="pct"/>
            <w:noWrap w:val="0"/>
            <w:vAlign w:val="center"/>
          </w:tcPr>
          <w:p>
            <w:pPr>
              <w:jc w:val="center"/>
              <w:rPr>
                <w:rFonts w:hint="eastAsia"/>
                <w:i/>
                <w:iCs/>
                <w:sz w:val="21"/>
                <w:szCs w:val="21"/>
                <w:u w:val="single"/>
              </w:rPr>
            </w:pPr>
            <w:r>
              <w:rPr>
                <w:rFonts w:hint="eastAsia"/>
                <w:i/>
                <w:iCs/>
                <w:sz w:val="21"/>
                <w:szCs w:val="21"/>
                <w:u w:val="single"/>
              </w:rPr>
              <w:t>6</w:t>
            </w:r>
          </w:p>
        </w:tc>
        <w:tc>
          <w:tcPr>
            <w:tcW w:w="1190" w:type="pct"/>
            <w:noWrap w:val="0"/>
            <w:vAlign w:val="center"/>
          </w:tcPr>
          <w:p>
            <w:pPr>
              <w:pStyle w:val="24"/>
              <w:tabs>
                <w:tab w:val="left" w:pos="0"/>
                <w:tab w:val="left" w:pos="1260"/>
              </w:tabs>
              <w:spacing w:line="240" w:lineRule="auto"/>
              <w:rPr>
                <w:rFonts w:hint="eastAsia"/>
                <w:i/>
                <w:iCs/>
                <w:sz w:val="21"/>
                <w:szCs w:val="21"/>
                <w:u w:val="single"/>
              </w:rPr>
            </w:pPr>
            <w:r>
              <w:rPr>
                <w:rFonts w:hint="eastAsia"/>
                <w:i/>
                <w:iCs/>
                <w:sz w:val="21"/>
                <w:szCs w:val="21"/>
                <w:u w:val="single"/>
              </w:rPr>
              <w:t>富强社区</w:t>
            </w:r>
          </w:p>
        </w:tc>
        <w:tc>
          <w:tcPr>
            <w:tcW w:w="688" w:type="pct"/>
            <w:noWrap w:val="0"/>
            <w:vAlign w:val="center"/>
          </w:tcPr>
          <w:p>
            <w:pPr>
              <w:pStyle w:val="24"/>
              <w:tabs>
                <w:tab w:val="left" w:pos="0"/>
                <w:tab w:val="left" w:pos="1260"/>
              </w:tabs>
              <w:spacing w:line="240" w:lineRule="auto"/>
              <w:rPr>
                <w:rFonts w:hint="eastAsia"/>
                <w:i/>
                <w:iCs/>
                <w:sz w:val="21"/>
                <w:szCs w:val="21"/>
                <w:u w:val="single"/>
              </w:rPr>
            </w:pPr>
            <w:r>
              <w:rPr>
                <w:rFonts w:hint="eastAsia"/>
                <w:i/>
                <w:iCs/>
                <w:sz w:val="21"/>
                <w:szCs w:val="21"/>
                <w:u w:val="single"/>
              </w:rPr>
              <w:t>东南侧</w:t>
            </w:r>
          </w:p>
        </w:tc>
        <w:tc>
          <w:tcPr>
            <w:tcW w:w="643" w:type="pct"/>
            <w:gridSpan w:val="2"/>
            <w:noWrap w:val="0"/>
            <w:vAlign w:val="center"/>
          </w:tcPr>
          <w:p>
            <w:pPr>
              <w:pStyle w:val="24"/>
              <w:tabs>
                <w:tab w:val="left" w:pos="0"/>
                <w:tab w:val="left" w:pos="1260"/>
              </w:tabs>
              <w:spacing w:line="240" w:lineRule="auto"/>
              <w:rPr>
                <w:i/>
                <w:iCs/>
                <w:sz w:val="21"/>
                <w:szCs w:val="21"/>
                <w:u w:val="single"/>
              </w:rPr>
            </w:pPr>
            <w:r>
              <w:rPr>
                <w:rFonts w:hint="eastAsia"/>
                <w:i/>
                <w:iCs/>
                <w:sz w:val="21"/>
                <w:szCs w:val="21"/>
                <w:u w:val="single"/>
              </w:rPr>
              <w:t>1597</w:t>
            </w:r>
          </w:p>
        </w:tc>
        <w:tc>
          <w:tcPr>
            <w:tcW w:w="654" w:type="pct"/>
            <w:gridSpan w:val="3"/>
            <w:noWrap w:val="0"/>
            <w:vAlign w:val="center"/>
          </w:tcPr>
          <w:p>
            <w:pPr>
              <w:jc w:val="center"/>
              <w:rPr>
                <w:rFonts w:hint="eastAsia"/>
                <w:i/>
                <w:iCs/>
                <w:sz w:val="21"/>
                <w:szCs w:val="21"/>
                <w:u w:val="single"/>
              </w:rPr>
            </w:pPr>
            <w:r>
              <w:rPr>
                <w:i/>
                <w:iCs/>
                <w:sz w:val="21"/>
                <w:szCs w:val="21"/>
                <w:u w:val="single"/>
              </w:rPr>
              <w:t>居住区</w:t>
            </w:r>
          </w:p>
        </w:tc>
        <w:tc>
          <w:tcPr>
            <w:tcW w:w="925" w:type="pct"/>
            <w:gridSpan w:val="2"/>
            <w:noWrap w:val="0"/>
            <w:vAlign w:val="center"/>
          </w:tcPr>
          <w:p>
            <w:pPr>
              <w:jc w:val="center"/>
              <w:rPr>
                <w:i/>
                <w:iCs/>
                <w:sz w:val="21"/>
                <w:szCs w:val="21"/>
                <w:u w:val="single"/>
              </w:rPr>
            </w:pPr>
            <w:r>
              <w:rPr>
                <w:rFonts w:hint="eastAsia"/>
                <w:i/>
                <w:iCs/>
                <w:sz w:val="21"/>
                <w:szCs w:val="21"/>
                <w:u w:val="single"/>
              </w:rPr>
              <w:t>1500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50" w:type="pct"/>
            <w:vMerge w:val="continue"/>
            <w:noWrap w:val="0"/>
            <w:vAlign w:val="center"/>
          </w:tcPr>
          <w:p>
            <w:pPr>
              <w:pStyle w:val="317"/>
              <w:rPr>
                <w:i/>
                <w:iCs/>
                <w:sz w:val="21"/>
                <w:szCs w:val="21"/>
                <w:u w:val="single"/>
              </w:rPr>
            </w:pPr>
          </w:p>
        </w:tc>
        <w:tc>
          <w:tcPr>
            <w:tcW w:w="547" w:type="pct"/>
            <w:noWrap w:val="0"/>
            <w:vAlign w:val="center"/>
          </w:tcPr>
          <w:p>
            <w:pPr>
              <w:jc w:val="center"/>
              <w:rPr>
                <w:rFonts w:hint="eastAsia" w:eastAsia="宋体"/>
                <w:i/>
                <w:iCs/>
                <w:sz w:val="21"/>
                <w:szCs w:val="21"/>
                <w:u w:val="single"/>
                <w:lang w:val="en-US" w:eastAsia="zh-CN"/>
              </w:rPr>
            </w:pPr>
            <w:r>
              <w:rPr>
                <w:rFonts w:hint="eastAsia"/>
                <w:i/>
                <w:iCs/>
                <w:sz w:val="21"/>
                <w:szCs w:val="21"/>
                <w:u w:val="single"/>
                <w:lang w:val="en-US" w:eastAsia="zh-CN"/>
              </w:rPr>
              <w:t>7</w:t>
            </w:r>
          </w:p>
        </w:tc>
        <w:tc>
          <w:tcPr>
            <w:tcW w:w="1190" w:type="pct"/>
            <w:noWrap w:val="0"/>
            <w:vAlign w:val="center"/>
          </w:tcPr>
          <w:p>
            <w:pPr>
              <w:pStyle w:val="24"/>
              <w:tabs>
                <w:tab w:val="left" w:pos="0"/>
                <w:tab w:val="left" w:pos="1260"/>
              </w:tabs>
              <w:spacing w:line="240" w:lineRule="auto"/>
              <w:rPr>
                <w:rFonts w:hint="eastAsia" w:eastAsia="宋体"/>
                <w:i/>
                <w:iCs/>
                <w:sz w:val="21"/>
                <w:szCs w:val="21"/>
                <w:u w:val="single"/>
                <w:lang w:eastAsia="zh-CN"/>
              </w:rPr>
            </w:pPr>
            <w:r>
              <w:rPr>
                <w:rFonts w:hint="eastAsia"/>
                <w:i/>
                <w:iCs/>
                <w:sz w:val="21"/>
                <w:szCs w:val="21"/>
                <w:u w:val="single"/>
                <w:lang w:eastAsia="zh-CN"/>
              </w:rPr>
              <w:t>白山市江源区人民医院</w:t>
            </w:r>
          </w:p>
        </w:tc>
        <w:tc>
          <w:tcPr>
            <w:tcW w:w="688" w:type="pct"/>
            <w:noWrap w:val="0"/>
            <w:vAlign w:val="center"/>
          </w:tcPr>
          <w:p>
            <w:pPr>
              <w:pStyle w:val="24"/>
              <w:tabs>
                <w:tab w:val="left" w:pos="0"/>
                <w:tab w:val="left" w:pos="1260"/>
              </w:tabs>
              <w:spacing w:line="240" w:lineRule="auto"/>
              <w:rPr>
                <w:rFonts w:hint="eastAsia"/>
                <w:i/>
                <w:iCs/>
                <w:sz w:val="21"/>
                <w:szCs w:val="21"/>
                <w:u w:val="single"/>
              </w:rPr>
            </w:pPr>
            <w:r>
              <w:rPr>
                <w:rFonts w:hint="eastAsia"/>
                <w:i/>
                <w:iCs/>
                <w:sz w:val="21"/>
                <w:szCs w:val="21"/>
                <w:u w:val="single"/>
              </w:rPr>
              <w:t>东南侧</w:t>
            </w:r>
          </w:p>
        </w:tc>
        <w:tc>
          <w:tcPr>
            <w:tcW w:w="643" w:type="pct"/>
            <w:gridSpan w:val="2"/>
            <w:noWrap w:val="0"/>
            <w:vAlign w:val="center"/>
          </w:tcPr>
          <w:p>
            <w:pPr>
              <w:pStyle w:val="24"/>
              <w:tabs>
                <w:tab w:val="left" w:pos="0"/>
                <w:tab w:val="left" w:pos="1260"/>
              </w:tabs>
              <w:spacing w:line="240" w:lineRule="auto"/>
              <w:rPr>
                <w:rFonts w:hint="default" w:eastAsia="宋体"/>
                <w:i/>
                <w:iCs/>
                <w:sz w:val="21"/>
                <w:szCs w:val="21"/>
                <w:u w:val="single"/>
                <w:lang w:val="en-US" w:eastAsia="zh-CN"/>
              </w:rPr>
            </w:pPr>
            <w:r>
              <w:rPr>
                <w:rFonts w:hint="eastAsia"/>
                <w:i/>
                <w:iCs/>
                <w:sz w:val="21"/>
                <w:szCs w:val="21"/>
                <w:u w:val="single"/>
                <w:lang w:val="en-US" w:eastAsia="zh-CN"/>
              </w:rPr>
              <w:t>987</w:t>
            </w:r>
          </w:p>
        </w:tc>
        <w:tc>
          <w:tcPr>
            <w:tcW w:w="654" w:type="pct"/>
            <w:gridSpan w:val="3"/>
            <w:noWrap w:val="0"/>
            <w:vAlign w:val="center"/>
          </w:tcPr>
          <w:p>
            <w:pPr>
              <w:jc w:val="center"/>
              <w:rPr>
                <w:rFonts w:hint="eastAsia" w:eastAsia="宋体"/>
                <w:i/>
                <w:iCs/>
                <w:sz w:val="21"/>
                <w:szCs w:val="21"/>
                <w:u w:val="single"/>
                <w:lang w:eastAsia="zh-CN"/>
              </w:rPr>
            </w:pPr>
            <w:r>
              <w:rPr>
                <w:rFonts w:hint="eastAsia"/>
                <w:i/>
                <w:iCs/>
                <w:sz w:val="21"/>
                <w:szCs w:val="21"/>
                <w:u w:val="single"/>
                <w:lang w:eastAsia="zh-CN"/>
              </w:rPr>
              <w:t>医院</w:t>
            </w:r>
          </w:p>
        </w:tc>
        <w:tc>
          <w:tcPr>
            <w:tcW w:w="925" w:type="pct"/>
            <w:gridSpan w:val="2"/>
            <w:noWrap w:val="0"/>
            <w:vAlign w:val="center"/>
          </w:tcPr>
          <w:p>
            <w:pPr>
              <w:jc w:val="center"/>
              <w:rPr>
                <w:rFonts w:hint="default" w:eastAsia="宋体"/>
                <w:i/>
                <w:iCs/>
                <w:sz w:val="21"/>
                <w:szCs w:val="21"/>
                <w:u w:val="single"/>
                <w:lang w:val="en-US" w:eastAsia="zh-CN"/>
              </w:rPr>
            </w:pPr>
            <w:r>
              <w:rPr>
                <w:rFonts w:hint="eastAsia"/>
                <w:i/>
                <w:iCs/>
                <w:sz w:val="21"/>
                <w:szCs w:val="21"/>
                <w:u w:val="single"/>
                <w:lang w:val="en-US" w:eastAsia="zh-CN"/>
              </w:rPr>
              <w:t>1000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50" w:type="pct"/>
            <w:vMerge w:val="continue"/>
            <w:noWrap w:val="0"/>
            <w:vAlign w:val="center"/>
          </w:tcPr>
          <w:p>
            <w:pPr>
              <w:pStyle w:val="317"/>
              <w:rPr>
                <w:i/>
                <w:iCs/>
                <w:sz w:val="21"/>
                <w:szCs w:val="21"/>
                <w:u w:val="single"/>
              </w:rPr>
            </w:pPr>
          </w:p>
        </w:tc>
        <w:tc>
          <w:tcPr>
            <w:tcW w:w="998" w:type="dxa"/>
            <w:noWrap w:val="0"/>
            <w:vAlign w:val="center"/>
          </w:tcPr>
          <w:p>
            <w:pPr>
              <w:jc w:val="center"/>
              <w:rPr>
                <w:i/>
                <w:iCs/>
                <w:sz w:val="21"/>
                <w:szCs w:val="21"/>
                <w:u w:val="single"/>
              </w:rPr>
            </w:pPr>
            <w:r>
              <w:rPr>
                <w:rFonts w:hint="eastAsia"/>
                <w:i/>
                <w:iCs/>
                <w:sz w:val="21"/>
                <w:szCs w:val="21"/>
                <w:u w:val="single"/>
              </w:rPr>
              <w:t>8</w:t>
            </w:r>
          </w:p>
        </w:tc>
        <w:tc>
          <w:tcPr>
            <w:tcW w:w="1190" w:type="pct"/>
            <w:noWrap w:val="0"/>
            <w:vAlign w:val="center"/>
          </w:tcPr>
          <w:p>
            <w:pPr>
              <w:pStyle w:val="24"/>
              <w:tabs>
                <w:tab w:val="left" w:pos="0"/>
                <w:tab w:val="left" w:pos="1260"/>
              </w:tabs>
              <w:spacing w:line="240" w:lineRule="auto"/>
              <w:rPr>
                <w:rFonts w:hint="eastAsia"/>
                <w:i/>
                <w:iCs/>
                <w:sz w:val="21"/>
                <w:szCs w:val="21"/>
                <w:u w:val="single"/>
              </w:rPr>
            </w:pPr>
            <w:r>
              <w:rPr>
                <w:rFonts w:hint="eastAsia"/>
                <w:i/>
                <w:iCs/>
                <w:sz w:val="21"/>
                <w:szCs w:val="21"/>
                <w:u w:val="single"/>
              </w:rPr>
              <w:t>月亮湾水悦嘉城</w:t>
            </w:r>
          </w:p>
        </w:tc>
        <w:tc>
          <w:tcPr>
            <w:tcW w:w="688" w:type="pct"/>
            <w:noWrap w:val="0"/>
            <w:vAlign w:val="center"/>
          </w:tcPr>
          <w:p>
            <w:pPr>
              <w:pStyle w:val="24"/>
              <w:tabs>
                <w:tab w:val="left" w:pos="0"/>
                <w:tab w:val="left" w:pos="1260"/>
              </w:tabs>
              <w:spacing w:line="240" w:lineRule="auto"/>
              <w:rPr>
                <w:rFonts w:hint="eastAsia"/>
                <w:i/>
                <w:iCs/>
                <w:sz w:val="21"/>
                <w:szCs w:val="21"/>
                <w:u w:val="single"/>
              </w:rPr>
            </w:pPr>
            <w:r>
              <w:rPr>
                <w:rFonts w:hint="eastAsia"/>
                <w:i/>
                <w:iCs/>
                <w:sz w:val="21"/>
                <w:szCs w:val="21"/>
                <w:u w:val="single"/>
              </w:rPr>
              <w:t>南侧</w:t>
            </w:r>
          </w:p>
        </w:tc>
        <w:tc>
          <w:tcPr>
            <w:tcW w:w="643" w:type="pct"/>
            <w:gridSpan w:val="2"/>
            <w:noWrap w:val="0"/>
            <w:vAlign w:val="center"/>
          </w:tcPr>
          <w:p>
            <w:pPr>
              <w:pStyle w:val="24"/>
              <w:tabs>
                <w:tab w:val="left" w:pos="0"/>
                <w:tab w:val="left" w:pos="1260"/>
              </w:tabs>
              <w:spacing w:line="240" w:lineRule="auto"/>
              <w:rPr>
                <w:i/>
                <w:iCs/>
                <w:sz w:val="21"/>
                <w:szCs w:val="21"/>
                <w:u w:val="single"/>
              </w:rPr>
            </w:pPr>
            <w:r>
              <w:rPr>
                <w:rFonts w:hint="eastAsia"/>
                <w:i/>
                <w:iCs/>
                <w:sz w:val="21"/>
                <w:szCs w:val="21"/>
                <w:u w:val="single"/>
              </w:rPr>
              <w:t>2075</w:t>
            </w:r>
          </w:p>
        </w:tc>
        <w:tc>
          <w:tcPr>
            <w:tcW w:w="654" w:type="pct"/>
            <w:gridSpan w:val="3"/>
            <w:noWrap w:val="0"/>
            <w:vAlign w:val="center"/>
          </w:tcPr>
          <w:p>
            <w:pPr>
              <w:jc w:val="center"/>
              <w:rPr>
                <w:i/>
                <w:iCs/>
                <w:sz w:val="21"/>
                <w:szCs w:val="21"/>
                <w:u w:val="single"/>
              </w:rPr>
            </w:pPr>
            <w:r>
              <w:rPr>
                <w:i/>
                <w:iCs/>
                <w:sz w:val="21"/>
                <w:szCs w:val="21"/>
                <w:u w:val="single"/>
              </w:rPr>
              <w:t>居住区</w:t>
            </w:r>
          </w:p>
        </w:tc>
        <w:tc>
          <w:tcPr>
            <w:tcW w:w="925" w:type="pct"/>
            <w:gridSpan w:val="2"/>
            <w:noWrap w:val="0"/>
            <w:vAlign w:val="center"/>
          </w:tcPr>
          <w:p>
            <w:pPr>
              <w:jc w:val="center"/>
              <w:rPr>
                <w:i/>
                <w:iCs/>
                <w:sz w:val="21"/>
                <w:szCs w:val="21"/>
                <w:u w:val="single"/>
              </w:rPr>
            </w:pPr>
            <w:r>
              <w:rPr>
                <w:rFonts w:hint="eastAsia"/>
                <w:i/>
                <w:iCs/>
                <w:sz w:val="21"/>
                <w:szCs w:val="21"/>
                <w:u w:val="single"/>
              </w:rPr>
              <w:t>2500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50" w:type="pct"/>
            <w:vMerge w:val="continue"/>
            <w:noWrap w:val="0"/>
            <w:vAlign w:val="center"/>
          </w:tcPr>
          <w:p>
            <w:pPr>
              <w:pStyle w:val="317"/>
              <w:rPr>
                <w:i/>
                <w:iCs/>
                <w:sz w:val="21"/>
                <w:szCs w:val="21"/>
                <w:u w:val="single"/>
              </w:rPr>
            </w:pPr>
          </w:p>
        </w:tc>
        <w:tc>
          <w:tcPr>
            <w:tcW w:w="998" w:type="dxa"/>
            <w:noWrap w:val="0"/>
            <w:vAlign w:val="center"/>
          </w:tcPr>
          <w:p>
            <w:pPr>
              <w:jc w:val="center"/>
              <w:rPr>
                <w:rFonts w:hint="eastAsia"/>
                <w:i/>
                <w:iCs/>
                <w:sz w:val="21"/>
                <w:szCs w:val="21"/>
                <w:u w:val="single"/>
              </w:rPr>
            </w:pPr>
            <w:r>
              <w:rPr>
                <w:rFonts w:hint="eastAsia"/>
                <w:i/>
                <w:iCs/>
                <w:sz w:val="21"/>
                <w:szCs w:val="21"/>
                <w:u w:val="single"/>
              </w:rPr>
              <w:t>9</w:t>
            </w:r>
          </w:p>
        </w:tc>
        <w:tc>
          <w:tcPr>
            <w:tcW w:w="1190" w:type="pct"/>
            <w:noWrap w:val="0"/>
            <w:vAlign w:val="center"/>
          </w:tcPr>
          <w:p>
            <w:pPr>
              <w:pStyle w:val="24"/>
              <w:tabs>
                <w:tab w:val="left" w:pos="0"/>
                <w:tab w:val="left" w:pos="1260"/>
              </w:tabs>
              <w:spacing w:line="240" w:lineRule="auto"/>
              <w:rPr>
                <w:i/>
                <w:iCs/>
                <w:sz w:val="21"/>
                <w:szCs w:val="21"/>
                <w:u w:val="single"/>
              </w:rPr>
            </w:pPr>
            <w:r>
              <w:rPr>
                <w:rFonts w:hint="eastAsia"/>
                <w:i/>
                <w:iCs/>
                <w:sz w:val="21"/>
                <w:szCs w:val="21"/>
                <w:u w:val="single"/>
              </w:rPr>
              <w:t>昌泰阳光花园</w:t>
            </w:r>
          </w:p>
        </w:tc>
        <w:tc>
          <w:tcPr>
            <w:tcW w:w="688" w:type="pct"/>
            <w:noWrap w:val="0"/>
            <w:vAlign w:val="center"/>
          </w:tcPr>
          <w:p>
            <w:pPr>
              <w:pStyle w:val="24"/>
              <w:tabs>
                <w:tab w:val="left" w:pos="0"/>
                <w:tab w:val="left" w:pos="1260"/>
              </w:tabs>
              <w:spacing w:line="240" w:lineRule="auto"/>
              <w:rPr>
                <w:rFonts w:hint="eastAsia"/>
                <w:i/>
                <w:iCs/>
                <w:sz w:val="21"/>
                <w:szCs w:val="21"/>
                <w:u w:val="single"/>
              </w:rPr>
            </w:pPr>
            <w:r>
              <w:rPr>
                <w:rFonts w:hint="eastAsia"/>
                <w:i/>
                <w:iCs/>
                <w:sz w:val="21"/>
                <w:szCs w:val="21"/>
                <w:u w:val="single"/>
              </w:rPr>
              <w:t>西南侧</w:t>
            </w:r>
          </w:p>
        </w:tc>
        <w:tc>
          <w:tcPr>
            <w:tcW w:w="643" w:type="pct"/>
            <w:gridSpan w:val="2"/>
            <w:noWrap w:val="0"/>
            <w:vAlign w:val="center"/>
          </w:tcPr>
          <w:p>
            <w:pPr>
              <w:pStyle w:val="24"/>
              <w:tabs>
                <w:tab w:val="left" w:pos="0"/>
                <w:tab w:val="left" w:pos="1260"/>
              </w:tabs>
              <w:spacing w:line="240" w:lineRule="auto"/>
              <w:rPr>
                <w:i/>
                <w:iCs/>
                <w:sz w:val="21"/>
                <w:szCs w:val="21"/>
                <w:u w:val="single"/>
              </w:rPr>
            </w:pPr>
            <w:r>
              <w:rPr>
                <w:rFonts w:hint="eastAsia"/>
                <w:i/>
                <w:iCs/>
                <w:sz w:val="21"/>
                <w:szCs w:val="21"/>
                <w:u w:val="single"/>
              </w:rPr>
              <w:t>2062</w:t>
            </w:r>
          </w:p>
        </w:tc>
        <w:tc>
          <w:tcPr>
            <w:tcW w:w="654" w:type="pct"/>
            <w:gridSpan w:val="3"/>
            <w:noWrap w:val="0"/>
            <w:vAlign w:val="center"/>
          </w:tcPr>
          <w:p>
            <w:pPr>
              <w:jc w:val="center"/>
              <w:rPr>
                <w:rFonts w:hint="eastAsia"/>
                <w:i/>
                <w:iCs/>
                <w:sz w:val="21"/>
                <w:szCs w:val="21"/>
                <w:u w:val="single"/>
              </w:rPr>
            </w:pPr>
            <w:r>
              <w:rPr>
                <w:i/>
                <w:iCs/>
                <w:sz w:val="21"/>
                <w:szCs w:val="21"/>
                <w:u w:val="single"/>
              </w:rPr>
              <w:t>居住区</w:t>
            </w:r>
          </w:p>
        </w:tc>
        <w:tc>
          <w:tcPr>
            <w:tcW w:w="925" w:type="pct"/>
            <w:gridSpan w:val="2"/>
            <w:noWrap w:val="0"/>
            <w:vAlign w:val="center"/>
          </w:tcPr>
          <w:p>
            <w:pPr>
              <w:jc w:val="center"/>
              <w:rPr>
                <w:i/>
                <w:iCs/>
                <w:sz w:val="21"/>
                <w:szCs w:val="21"/>
                <w:u w:val="single"/>
              </w:rPr>
            </w:pPr>
            <w:r>
              <w:rPr>
                <w:i/>
                <w:iCs/>
                <w:sz w:val="21"/>
                <w:szCs w:val="21"/>
                <w:u w:val="single"/>
              </w:rPr>
              <w:t>120</w:t>
            </w:r>
            <w:r>
              <w:rPr>
                <w:rFonts w:hint="eastAsia"/>
                <w:i/>
                <w:iCs/>
                <w:sz w:val="21"/>
                <w:szCs w:val="21"/>
                <w:u w:val="single"/>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2" w:hRule="atLeast"/>
        </w:trPr>
        <w:tc>
          <w:tcPr>
            <w:tcW w:w="350" w:type="pct"/>
            <w:vMerge w:val="continue"/>
            <w:noWrap w:val="0"/>
            <w:vAlign w:val="center"/>
          </w:tcPr>
          <w:p>
            <w:pPr>
              <w:pStyle w:val="317"/>
              <w:rPr>
                <w:i/>
                <w:iCs/>
                <w:sz w:val="21"/>
                <w:szCs w:val="21"/>
                <w:u w:val="single"/>
              </w:rPr>
            </w:pPr>
          </w:p>
        </w:tc>
        <w:tc>
          <w:tcPr>
            <w:tcW w:w="998" w:type="dxa"/>
            <w:noWrap w:val="0"/>
            <w:vAlign w:val="center"/>
          </w:tcPr>
          <w:p>
            <w:pPr>
              <w:jc w:val="center"/>
              <w:rPr>
                <w:rFonts w:hint="eastAsia"/>
                <w:i/>
                <w:iCs/>
                <w:sz w:val="21"/>
                <w:szCs w:val="21"/>
                <w:u w:val="single"/>
              </w:rPr>
            </w:pPr>
            <w:r>
              <w:rPr>
                <w:rFonts w:hint="eastAsia"/>
                <w:i/>
                <w:iCs/>
                <w:sz w:val="21"/>
                <w:szCs w:val="21"/>
                <w:u w:val="single"/>
              </w:rPr>
              <w:t>10</w:t>
            </w:r>
          </w:p>
        </w:tc>
        <w:tc>
          <w:tcPr>
            <w:tcW w:w="1190" w:type="pct"/>
            <w:noWrap w:val="0"/>
            <w:vAlign w:val="center"/>
          </w:tcPr>
          <w:p>
            <w:pPr>
              <w:pStyle w:val="24"/>
              <w:tabs>
                <w:tab w:val="left" w:pos="0"/>
                <w:tab w:val="left" w:pos="1260"/>
              </w:tabs>
              <w:spacing w:line="240" w:lineRule="auto"/>
              <w:rPr>
                <w:rFonts w:hint="eastAsia"/>
                <w:i/>
                <w:iCs/>
                <w:sz w:val="21"/>
                <w:szCs w:val="21"/>
                <w:u w:val="single"/>
              </w:rPr>
            </w:pPr>
            <w:r>
              <w:rPr>
                <w:rFonts w:hint="eastAsia"/>
                <w:i/>
                <w:iCs/>
                <w:sz w:val="21"/>
                <w:szCs w:val="21"/>
                <w:u w:val="single"/>
              </w:rPr>
              <w:t>新华四组</w:t>
            </w:r>
          </w:p>
        </w:tc>
        <w:tc>
          <w:tcPr>
            <w:tcW w:w="688" w:type="pct"/>
            <w:noWrap w:val="0"/>
            <w:vAlign w:val="center"/>
          </w:tcPr>
          <w:p>
            <w:pPr>
              <w:pStyle w:val="24"/>
              <w:tabs>
                <w:tab w:val="left" w:pos="0"/>
                <w:tab w:val="left" w:pos="1260"/>
              </w:tabs>
              <w:spacing w:line="240" w:lineRule="auto"/>
              <w:rPr>
                <w:rFonts w:hint="eastAsia"/>
                <w:i/>
                <w:iCs/>
                <w:sz w:val="21"/>
                <w:szCs w:val="21"/>
                <w:u w:val="single"/>
              </w:rPr>
            </w:pPr>
            <w:r>
              <w:rPr>
                <w:rFonts w:hint="eastAsia"/>
                <w:i/>
                <w:iCs/>
                <w:sz w:val="21"/>
                <w:szCs w:val="21"/>
                <w:u w:val="single"/>
              </w:rPr>
              <w:t>西南侧</w:t>
            </w:r>
          </w:p>
        </w:tc>
        <w:tc>
          <w:tcPr>
            <w:tcW w:w="643" w:type="pct"/>
            <w:gridSpan w:val="2"/>
            <w:noWrap w:val="0"/>
            <w:vAlign w:val="center"/>
          </w:tcPr>
          <w:p>
            <w:pPr>
              <w:pStyle w:val="24"/>
              <w:tabs>
                <w:tab w:val="left" w:pos="0"/>
                <w:tab w:val="left" w:pos="1260"/>
              </w:tabs>
              <w:spacing w:line="240" w:lineRule="auto"/>
              <w:rPr>
                <w:i/>
                <w:iCs/>
                <w:sz w:val="21"/>
                <w:szCs w:val="21"/>
                <w:u w:val="single"/>
              </w:rPr>
            </w:pPr>
            <w:r>
              <w:rPr>
                <w:rFonts w:hint="eastAsia"/>
                <w:i/>
                <w:iCs/>
                <w:sz w:val="21"/>
                <w:szCs w:val="21"/>
                <w:u w:val="single"/>
              </w:rPr>
              <w:t>1521</w:t>
            </w:r>
          </w:p>
        </w:tc>
        <w:tc>
          <w:tcPr>
            <w:tcW w:w="654" w:type="pct"/>
            <w:gridSpan w:val="3"/>
            <w:noWrap w:val="0"/>
            <w:vAlign w:val="center"/>
          </w:tcPr>
          <w:p>
            <w:pPr>
              <w:jc w:val="center"/>
              <w:rPr>
                <w:rFonts w:hint="eastAsia"/>
                <w:i/>
                <w:iCs/>
                <w:sz w:val="21"/>
                <w:szCs w:val="21"/>
                <w:u w:val="single"/>
              </w:rPr>
            </w:pPr>
            <w:r>
              <w:rPr>
                <w:i/>
                <w:iCs/>
                <w:sz w:val="21"/>
                <w:szCs w:val="21"/>
                <w:u w:val="single"/>
              </w:rPr>
              <w:t>居住区</w:t>
            </w:r>
          </w:p>
        </w:tc>
        <w:tc>
          <w:tcPr>
            <w:tcW w:w="925" w:type="pct"/>
            <w:gridSpan w:val="2"/>
            <w:noWrap w:val="0"/>
            <w:vAlign w:val="center"/>
          </w:tcPr>
          <w:p>
            <w:pPr>
              <w:jc w:val="center"/>
              <w:rPr>
                <w:i/>
                <w:iCs/>
                <w:sz w:val="21"/>
                <w:szCs w:val="21"/>
                <w:u w:val="single"/>
              </w:rPr>
            </w:pPr>
            <w:r>
              <w:rPr>
                <w:rFonts w:hint="eastAsia"/>
                <w:i/>
                <w:iCs/>
                <w:sz w:val="21"/>
                <w:szCs w:val="21"/>
                <w:u w:val="single"/>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50" w:type="pct"/>
            <w:vMerge w:val="continue"/>
            <w:noWrap w:val="0"/>
            <w:vAlign w:val="center"/>
          </w:tcPr>
          <w:p>
            <w:pPr>
              <w:pStyle w:val="317"/>
              <w:rPr>
                <w:i/>
                <w:iCs/>
                <w:sz w:val="21"/>
                <w:szCs w:val="21"/>
                <w:u w:val="single"/>
              </w:rPr>
            </w:pPr>
          </w:p>
        </w:tc>
        <w:tc>
          <w:tcPr>
            <w:tcW w:w="998" w:type="dxa"/>
            <w:noWrap w:val="0"/>
            <w:vAlign w:val="center"/>
          </w:tcPr>
          <w:p>
            <w:pPr>
              <w:jc w:val="center"/>
              <w:rPr>
                <w:i/>
                <w:iCs/>
                <w:sz w:val="21"/>
                <w:szCs w:val="21"/>
                <w:u w:val="single"/>
              </w:rPr>
            </w:pPr>
            <w:r>
              <w:rPr>
                <w:rFonts w:hint="eastAsia"/>
                <w:i/>
                <w:iCs/>
                <w:sz w:val="21"/>
                <w:szCs w:val="21"/>
                <w:u w:val="single"/>
              </w:rPr>
              <w:t>11</w:t>
            </w:r>
          </w:p>
        </w:tc>
        <w:tc>
          <w:tcPr>
            <w:tcW w:w="1190" w:type="pct"/>
            <w:noWrap w:val="0"/>
            <w:vAlign w:val="center"/>
          </w:tcPr>
          <w:p>
            <w:pPr>
              <w:pStyle w:val="24"/>
              <w:tabs>
                <w:tab w:val="left" w:pos="0"/>
                <w:tab w:val="left" w:pos="1260"/>
              </w:tabs>
              <w:spacing w:line="240" w:lineRule="auto"/>
              <w:rPr>
                <w:rFonts w:hint="eastAsia"/>
                <w:i/>
                <w:iCs/>
                <w:sz w:val="21"/>
                <w:szCs w:val="21"/>
                <w:u w:val="single"/>
              </w:rPr>
            </w:pPr>
            <w:r>
              <w:rPr>
                <w:rFonts w:hint="eastAsia"/>
                <w:i/>
                <w:iCs/>
                <w:sz w:val="21"/>
                <w:szCs w:val="21"/>
                <w:u w:val="single"/>
              </w:rPr>
              <w:t>新华五组</w:t>
            </w:r>
          </w:p>
        </w:tc>
        <w:tc>
          <w:tcPr>
            <w:tcW w:w="688" w:type="pct"/>
            <w:noWrap w:val="0"/>
            <w:vAlign w:val="center"/>
          </w:tcPr>
          <w:p>
            <w:pPr>
              <w:pStyle w:val="24"/>
              <w:tabs>
                <w:tab w:val="left" w:pos="0"/>
                <w:tab w:val="left" w:pos="1260"/>
              </w:tabs>
              <w:spacing w:line="240" w:lineRule="auto"/>
              <w:rPr>
                <w:rFonts w:hint="eastAsia"/>
                <w:i/>
                <w:iCs/>
                <w:sz w:val="21"/>
                <w:szCs w:val="21"/>
                <w:u w:val="single"/>
              </w:rPr>
            </w:pPr>
            <w:r>
              <w:rPr>
                <w:rFonts w:hint="eastAsia"/>
                <w:i/>
                <w:iCs/>
                <w:sz w:val="21"/>
                <w:szCs w:val="21"/>
                <w:u w:val="single"/>
              </w:rPr>
              <w:t>西南侧</w:t>
            </w:r>
          </w:p>
        </w:tc>
        <w:tc>
          <w:tcPr>
            <w:tcW w:w="643" w:type="pct"/>
            <w:gridSpan w:val="2"/>
            <w:noWrap w:val="0"/>
            <w:vAlign w:val="center"/>
          </w:tcPr>
          <w:p>
            <w:pPr>
              <w:pStyle w:val="24"/>
              <w:tabs>
                <w:tab w:val="left" w:pos="0"/>
                <w:tab w:val="left" w:pos="1260"/>
              </w:tabs>
              <w:spacing w:line="240" w:lineRule="auto"/>
              <w:rPr>
                <w:i/>
                <w:iCs/>
                <w:sz w:val="21"/>
                <w:szCs w:val="21"/>
                <w:u w:val="single"/>
              </w:rPr>
            </w:pPr>
            <w:r>
              <w:rPr>
                <w:rFonts w:hint="eastAsia"/>
                <w:i/>
                <w:iCs/>
                <w:sz w:val="21"/>
                <w:szCs w:val="21"/>
                <w:u w:val="single"/>
              </w:rPr>
              <w:t>980</w:t>
            </w:r>
          </w:p>
        </w:tc>
        <w:tc>
          <w:tcPr>
            <w:tcW w:w="654" w:type="pct"/>
            <w:gridSpan w:val="3"/>
            <w:noWrap w:val="0"/>
            <w:vAlign w:val="center"/>
          </w:tcPr>
          <w:p>
            <w:pPr>
              <w:jc w:val="center"/>
              <w:rPr>
                <w:i/>
                <w:iCs/>
                <w:sz w:val="21"/>
                <w:szCs w:val="21"/>
                <w:u w:val="single"/>
              </w:rPr>
            </w:pPr>
            <w:r>
              <w:rPr>
                <w:i/>
                <w:iCs/>
                <w:sz w:val="21"/>
                <w:szCs w:val="21"/>
                <w:u w:val="single"/>
              </w:rPr>
              <w:t>居住区</w:t>
            </w:r>
          </w:p>
        </w:tc>
        <w:tc>
          <w:tcPr>
            <w:tcW w:w="925" w:type="pct"/>
            <w:gridSpan w:val="2"/>
            <w:noWrap w:val="0"/>
            <w:vAlign w:val="center"/>
          </w:tcPr>
          <w:p>
            <w:pPr>
              <w:jc w:val="center"/>
              <w:rPr>
                <w:i/>
                <w:iCs/>
                <w:sz w:val="21"/>
                <w:szCs w:val="21"/>
                <w:u w:val="single"/>
              </w:rPr>
            </w:pPr>
            <w:r>
              <w:rPr>
                <w:rFonts w:hint="eastAsia"/>
                <w:i/>
                <w:iCs/>
                <w:sz w:val="21"/>
                <w:szCs w:val="21"/>
                <w:u w:val="single"/>
              </w:rPr>
              <w:t>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50" w:type="pct"/>
            <w:vMerge w:val="continue"/>
            <w:noWrap w:val="0"/>
            <w:vAlign w:val="center"/>
          </w:tcPr>
          <w:p>
            <w:pPr>
              <w:pStyle w:val="317"/>
              <w:rPr>
                <w:i/>
                <w:iCs/>
                <w:sz w:val="21"/>
                <w:szCs w:val="21"/>
                <w:u w:val="single"/>
              </w:rPr>
            </w:pPr>
          </w:p>
        </w:tc>
        <w:tc>
          <w:tcPr>
            <w:tcW w:w="998" w:type="dxa"/>
            <w:noWrap w:val="0"/>
            <w:vAlign w:val="center"/>
          </w:tcPr>
          <w:p>
            <w:pPr>
              <w:jc w:val="center"/>
              <w:rPr>
                <w:i/>
                <w:iCs/>
                <w:sz w:val="21"/>
                <w:szCs w:val="21"/>
                <w:u w:val="single"/>
              </w:rPr>
            </w:pPr>
            <w:r>
              <w:rPr>
                <w:rFonts w:hint="eastAsia"/>
                <w:i/>
                <w:iCs/>
                <w:sz w:val="21"/>
                <w:szCs w:val="21"/>
                <w:u w:val="single"/>
              </w:rPr>
              <w:t>12</w:t>
            </w:r>
          </w:p>
        </w:tc>
        <w:tc>
          <w:tcPr>
            <w:tcW w:w="1190" w:type="pct"/>
            <w:noWrap w:val="0"/>
            <w:vAlign w:val="center"/>
          </w:tcPr>
          <w:p>
            <w:pPr>
              <w:pStyle w:val="24"/>
              <w:tabs>
                <w:tab w:val="left" w:pos="0"/>
                <w:tab w:val="left" w:pos="1260"/>
              </w:tabs>
              <w:spacing w:line="240" w:lineRule="auto"/>
              <w:rPr>
                <w:rFonts w:hint="eastAsia"/>
                <w:i/>
                <w:iCs/>
                <w:sz w:val="21"/>
                <w:szCs w:val="21"/>
                <w:u w:val="single"/>
              </w:rPr>
            </w:pPr>
            <w:r>
              <w:rPr>
                <w:rFonts w:hint="eastAsia"/>
                <w:i/>
                <w:iCs/>
                <w:sz w:val="21"/>
                <w:szCs w:val="21"/>
                <w:u w:val="single"/>
              </w:rPr>
              <w:t>小木局沟</w:t>
            </w:r>
          </w:p>
        </w:tc>
        <w:tc>
          <w:tcPr>
            <w:tcW w:w="688" w:type="pct"/>
            <w:noWrap w:val="0"/>
            <w:vAlign w:val="center"/>
          </w:tcPr>
          <w:p>
            <w:pPr>
              <w:pStyle w:val="24"/>
              <w:tabs>
                <w:tab w:val="left" w:pos="0"/>
                <w:tab w:val="left" w:pos="1260"/>
              </w:tabs>
              <w:spacing w:line="240" w:lineRule="auto"/>
              <w:rPr>
                <w:rFonts w:hint="eastAsia"/>
                <w:i/>
                <w:iCs/>
                <w:sz w:val="21"/>
                <w:szCs w:val="21"/>
                <w:u w:val="single"/>
              </w:rPr>
            </w:pPr>
            <w:r>
              <w:rPr>
                <w:rFonts w:hint="eastAsia"/>
                <w:i/>
                <w:iCs/>
                <w:sz w:val="21"/>
                <w:szCs w:val="21"/>
                <w:u w:val="single"/>
              </w:rPr>
              <w:t>西南侧</w:t>
            </w:r>
          </w:p>
        </w:tc>
        <w:tc>
          <w:tcPr>
            <w:tcW w:w="643" w:type="pct"/>
            <w:gridSpan w:val="2"/>
            <w:noWrap w:val="0"/>
            <w:vAlign w:val="center"/>
          </w:tcPr>
          <w:p>
            <w:pPr>
              <w:pStyle w:val="24"/>
              <w:tabs>
                <w:tab w:val="left" w:pos="0"/>
                <w:tab w:val="left" w:pos="1260"/>
              </w:tabs>
              <w:spacing w:line="240" w:lineRule="auto"/>
              <w:rPr>
                <w:i/>
                <w:iCs/>
                <w:sz w:val="21"/>
                <w:szCs w:val="21"/>
                <w:u w:val="single"/>
              </w:rPr>
            </w:pPr>
            <w:r>
              <w:rPr>
                <w:rFonts w:hint="eastAsia"/>
                <w:i/>
                <w:iCs/>
                <w:sz w:val="21"/>
                <w:szCs w:val="21"/>
                <w:u w:val="single"/>
              </w:rPr>
              <w:t>1250</w:t>
            </w:r>
          </w:p>
        </w:tc>
        <w:tc>
          <w:tcPr>
            <w:tcW w:w="654" w:type="pct"/>
            <w:gridSpan w:val="3"/>
            <w:noWrap w:val="0"/>
            <w:vAlign w:val="center"/>
          </w:tcPr>
          <w:p>
            <w:pPr>
              <w:jc w:val="center"/>
              <w:rPr>
                <w:rFonts w:hint="eastAsia"/>
                <w:i/>
                <w:iCs/>
                <w:sz w:val="21"/>
                <w:szCs w:val="21"/>
                <w:u w:val="single"/>
              </w:rPr>
            </w:pPr>
            <w:r>
              <w:rPr>
                <w:i/>
                <w:iCs/>
                <w:sz w:val="21"/>
                <w:szCs w:val="21"/>
                <w:u w:val="single"/>
              </w:rPr>
              <w:t>居住区</w:t>
            </w:r>
          </w:p>
        </w:tc>
        <w:tc>
          <w:tcPr>
            <w:tcW w:w="925" w:type="pct"/>
            <w:gridSpan w:val="2"/>
            <w:noWrap w:val="0"/>
            <w:vAlign w:val="center"/>
          </w:tcPr>
          <w:p>
            <w:pPr>
              <w:jc w:val="center"/>
              <w:rPr>
                <w:i/>
                <w:iCs/>
                <w:sz w:val="21"/>
                <w:szCs w:val="21"/>
                <w:u w:val="single"/>
              </w:rPr>
            </w:pPr>
            <w:r>
              <w:rPr>
                <w:rFonts w:hint="eastAsia"/>
                <w:i/>
                <w:iCs/>
                <w:sz w:val="21"/>
                <w:szCs w:val="21"/>
                <w:u w:val="single"/>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50" w:type="pct"/>
            <w:vMerge w:val="continue"/>
            <w:noWrap w:val="0"/>
            <w:vAlign w:val="center"/>
          </w:tcPr>
          <w:p>
            <w:pPr>
              <w:pStyle w:val="317"/>
              <w:rPr>
                <w:i/>
                <w:iCs/>
                <w:sz w:val="21"/>
                <w:szCs w:val="21"/>
                <w:u w:val="single"/>
              </w:rPr>
            </w:pPr>
          </w:p>
        </w:tc>
        <w:tc>
          <w:tcPr>
            <w:tcW w:w="998" w:type="dxa"/>
            <w:noWrap w:val="0"/>
            <w:vAlign w:val="center"/>
          </w:tcPr>
          <w:p>
            <w:pPr>
              <w:jc w:val="center"/>
              <w:rPr>
                <w:i/>
                <w:iCs/>
                <w:sz w:val="21"/>
                <w:szCs w:val="21"/>
                <w:u w:val="single"/>
              </w:rPr>
            </w:pPr>
            <w:r>
              <w:rPr>
                <w:rFonts w:hint="eastAsia"/>
                <w:i/>
                <w:iCs/>
                <w:sz w:val="21"/>
                <w:szCs w:val="21"/>
                <w:u w:val="single"/>
              </w:rPr>
              <w:t>13</w:t>
            </w:r>
          </w:p>
        </w:tc>
        <w:tc>
          <w:tcPr>
            <w:tcW w:w="1190" w:type="pct"/>
            <w:noWrap w:val="0"/>
            <w:vAlign w:val="center"/>
          </w:tcPr>
          <w:p>
            <w:pPr>
              <w:pStyle w:val="24"/>
              <w:tabs>
                <w:tab w:val="left" w:pos="0"/>
                <w:tab w:val="left" w:pos="1260"/>
              </w:tabs>
              <w:spacing w:line="240" w:lineRule="auto"/>
              <w:rPr>
                <w:rFonts w:hint="eastAsia"/>
                <w:i/>
                <w:iCs/>
                <w:sz w:val="21"/>
                <w:szCs w:val="21"/>
                <w:u w:val="single"/>
              </w:rPr>
            </w:pPr>
            <w:r>
              <w:rPr>
                <w:rFonts w:hint="eastAsia"/>
                <w:i/>
                <w:iCs/>
                <w:sz w:val="21"/>
                <w:szCs w:val="21"/>
                <w:u w:val="single"/>
              </w:rPr>
              <w:t>后大台</w:t>
            </w:r>
          </w:p>
        </w:tc>
        <w:tc>
          <w:tcPr>
            <w:tcW w:w="688" w:type="pct"/>
            <w:noWrap w:val="0"/>
            <w:vAlign w:val="center"/>
          </w:tcPr>
          <w:p>
            <w:pPr>
              <w:pStyle w:val="24"/>
              <w:tabs>
                <w:tab w:val="left" w:pos="0"/>
                <w:tab w:val="left" w:pos="1260"/>
              </w:tabs>
              <w:spacing w:line="240" w:lineRule="auto"/>
              <w:rPr>
                <w:rFonts w:hint="eastAsia"/>
                <w:i/>
                <w:iCs/>
                <w:sz w:val="21"/>
                <w:szCs w:val="21"/>
                <w:u w:val="single"/>
              </w:rPr>
            </w:pPr>
            <w:r>
              <w:rPr>
                <w:rFonts w:hint="eastAsia"/>
                <w:i/>
                <w:iCs/>
                <w:sz w:val="21"/>
                <w:szCs w:val="21"/>
                <w:u w:val="single"/>
              </w:rPr>
              <w:t>西侧</w:t>
            </w:r>
          </w:p>
        </w:tc>
        <w:tc>
          <w:tcPr>
            <w:tcW w:w="643" w:type="pct"/>
            <w:gridSpan w:val="2"/>
            <w:noWrap w:val="0"/>
            <w:vAlign w:val="center"/>
          </w:tcPr>
          <w:p>
            <w:pPr>
              <w:pStyle w:val="24"/>
              <w:tabs>
                <w:tab w:val="left" w:pos="0"/>
                <w:tab w:val="left" w:pos="1260"/>
              </w:tabs>
              <w:spacing w:line="240" w:lineRule="auto"/>
              <w:rPr>
                <w:i/>
                <w:iCs/>
                <w:sz w:val="21"/>
                <w:szCs w:val="21"/>
                <w:u w:val="single"/>
              </w:rPr>
            </w:pPr>
            <w:r>
              <w:rPr>
                <w:rFonts w:hint="eastAsia"/>
                <w:i/>
                <w:iCs/>
                <w:sz w:val="21"/>
                <w:szCs w:val="21"/>
                <w:u w:val="single"/>
              </w:rPr>
              <w:t>20</w:t>
            </w:r>
          </w:p>
        </w:tc>
        <w:tc>
          <w:tcPr>
            <w:tcW w:w="654" w:type="pct"/>
            <w:gridSpan w:val="3"/>
            <w:noWrap w:val="0"/>
            <w:vAlign w:val="center"/>
          </w:tcPr>
          <w:p>
            <w:pPr>
              <w:jc w:val="center"/>
              <w:rPr>
                <w:rFonts w:hint="eastAsia"/>
                <w:i/>
                <w:iCs/>
                <w:sz w:val="21"/>
                <w:szCs w:val="21"/>
                <w:u w:val="single"/>
              </w:rPr>
            </w:pPr>
            <w:r>
              <w:rPr>
                <w:i/>
                <w:iCs/>
                <w:sz w:val="21"/>
                <w:szCs w:val="21"/>
                <w:u w:val="single"/>
              </w:rPr>
              <w:t>居住区</w:t>
            </w:r>
          </w:p>
        </w:tc>
        <w:tc>
          <w:tcPr>
            <w:tcW w:w="925" w:type="pct"/>
            <w:gridSpan w:val="2"/>
            <w:noWrap w:val="0"/>
            <w:vAlign w:val="center"/>
          </w:tcPr>
          <w:p>
            <w:pPr>
              <w:jc w:val="center"/>
              <w:rPr>
                <w:i/>
                <w:iCs/>
                <w:sz w:val="21"/>
                <w:szCs w:val="21"/>
                <w:u w:val="single"/>
              </w:rPr>
            </w:pPr>
            <w:r>
              <w:rPr>
                <w:rFonts w:hint="eastAsia"/>
                <w:i/>
                <w:iCs/>
                <w:sz w:val="21"/>
                <w:szCs w:val="21"/>
                <w:u w:val="single"/>
              </w:rPr>
              <w:t>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50" w:type="pct"/>
            <w:vMerge w:val="continue"/>
            <w:noWrap w:val="0"/>
            <w:vAlign w:val="center"/>
          </w:tcPr>
          <w:p>
            <w:pPr>
              <w:pStyle w:val="317"/>
              <w:rPr>
                <w:i/>
                <w:iCs/>
                <w:sz w:val="21"/>
                <w:szCs w:val="21"/>
                <w:u w:val="single"/>
              </w:rPr>
            </w:pPr>
          </w:p>
        </w:tc>
        <w:tc>
          <w:tcPr>
            <w:tcW w:w="998" w:type="dxa"/>
            <w:noWrap w:val="0"/>
            <w:vAlign w:val="center"/>
          </w:tcPr>
          <w:p>
            <w:pPr>
              <w:jc w:val="center"/>
              <w:rPr>
                <w:i/>
                <w:iCs/>
                <w:sz w:val="21"/>
                <w:szCs w:val="21"/>
                <w:u w:val="single"/>
              </w:rPr>
            </w:pPr>
            <w:r>
              <w:rPr>
                <w:rFonts w:hint="eastAsia"/>
                <w:i/>
                <w:iCs/>
                <w:sz w:val="21"/>
                <w:szCs w:val="21"/>
                <w:u w:val="single"/>
              </w:rPr>
              <w:t>14</w:t>
            </w:r>
          </w:p>
        </w:tc>
        <w:tc>
          <w:tcPr>
            <w:tcW w:w="1190" w:type="pct"/>
            <w:noWrap w:val="0"/>
            <w:vAlign w:val="center"/>
          </w:tcPr>
          <w:p>
            <w:pPr>
              <w:pStyle w:val="24"/>
              <w:tabs>
                <w:tab w:val="left" w:pos="0"/>
                <w:tab w:val="left" w:pos="1260"/>
              </w:tabs>
              <w:spacing w:line="240" w:lineRule="auto"/>
              <w:rPr>
                <w:i/>
                <w:iCs/>
                <w:sz w:val="21"/>
                <w:szCs w:val="21"/>
                <w:u w:val="single"/>
              </w:rPr>
            </w:pPr>
            <w:r>
              <w:rPr>
                <w:rFonts w:hint="eastAsia"/>
                <w:i/>
                <w:iCs/>
                <w:sz w:val="21"/>
                <w:szCs w:val="21"/>
                <w:u w:val="single"/>
              </w:rPr>
              <w:t>木局沟南顶</w:t>
            </w:r>
          </w:p>
        </w:tc>
        <w:tc>
          <w:tcPr>
            <w:tcW w:w="688" w:type="pct"/>
            <w:noWrap w:val="0"/>
            <w:vAlign w:val="center"/>
          </w:tcPr>
          <w:p>
            <w:pPr>
              <w:pStyle w:val="24"/>
              <w:tabs>
                <w:tab w:val="left" w:pos="0"/>
                <w:tab w:val="left" w:pos="1260"/>
              </w:tabs>
              <w:spacing w:line="240" w:lineRule="auto"/>
              <w:rPr>
                <w:rFonts w:hint="eastAsia"/>
                <w:i/>
                <w:iCs/>
                <w:sz w:val="21"/>
                <w:szCs w:val="21"/>
                <w:u w:val="single"/>
              </w:rPr>
            </w:pPr>
            <w:r>
              <w:rPr>
                <w:rFonts w:hint="eastAsia"/>
                <w:i/>
                <w:iCs/>
                <w:sz w:val="21"/>
                <w:szCs w:val="21"/>
                <w:u w:val="single"/>
              </w:rPr>
              <w:t>西侧</w:t>
            </w:r>
          </w:p>
        </w:tc>
        <w:tc>
          <w:tcPr>
            <w:tcW w:w="643" w:type="pct"/>
            <w:gridSpan w:val="2"/>
            <w:noWrap w:val="0"/>
            <w:vAlign w:val="center"/>
          </w:tcPr>
          <w:p>
            <w:pPr>
              <w:pStyle w:val="24"/>
              <w:tabs>
                <w:tab w:val="left" w:pos="0"/>
                <w:tab w:val="left" w:pos="1260"/>
              </w:tabs>
              <w:spacing w:line="240" w:lineRule="auto"/>
              <w:rPr>
                <w:i/>
                <w:iCs/>
                <w:sz w:val="21"/>
                <w:szCs w:val="21"/>
                <w:u w:val="single"/>
              </w:rPr>
            </w:pPr>
            <w:r>
              <w:rPr>
                <w:rFonts w:hint="eastAsia"/>
                <w:i/>
                <w:iCs/>
                <w:sz w:val="21"/>
                <w:szCs w:val="21"/>
                <w:u w:val="single"/>
              </w:rPr>
              <w:t>1103</w:t>
            </w:r>
          </w:p>
        </w:tc>
        <w:tc>
          <w:tcPr>
            <w:tcW w:w="654" w:type="pct"/>
            <w:gridSpan w:val="3"/>
            <w:noWrap w:val="0"/>
            <w:vAlign w:val="center"/>
          </w:tcPr>
          <w:p>
            <w:pPr>
              <w:jc w:val="center"/>
              <w:rPr>
                <w:rFonts w:hint="eastAsia"/>
                <w:i/>
                <w:iCs/>
                <w:sz w:val="21"/>
                <w:szCs w:val="21"/>
                <w:u w:val="single"/>
              </w:rPr>
            </w:pPr>
            <w:r>
              <w:rPr>
                <w:i/>
                <w:iCs/>
                <w:sz w:val="21"/>
                <w:szCs w:val="21"/>
                <w:u w:val="single"/>
              </w:rPr>
              <w:t>居住区</w:t>
            </w:r>
          </w:p>
        </w:tc>
        <w:tc>
          <w:tcPr>
            <w:tcW w:w="925" w:type="pct"/>
            <w:gridSpan w:val="2"/>
            <w:noWrap w:val="0"/>
            <w:vAlign w:val="center"/>
          </w:tcPr>
          <w:p>
            <w:pPr>
              <w:jc w:val="center"/>
              <w:rPr>
                <w:i/>
                <w:iCs/>
                <w:sz w:val="21"/>
                <w:szCs w:val="21"/>
                <w:u w:val="single"/>
              </w:rPr>
            </w:pPr>
            <w:r>
              <w:rPr>
                <w:rFonts w:hint="eastAsia"/>
                <w:i/>
                <w:iCs/>
                <w:sz w:val="21"/>
                <w:szCs w:val="21"/>
                <w:u w:val="single"/>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50" w:type="pct"/>
            <w:vMerge w:val="continue"/>
            <w:noWrap w:val="0"/>
            <w:vAlign w:val="center"/>
          </w:tcPr>
          <w:p>
            <w:pPr>
              <w:pStyle w:val="317"/>
              <w:rPr>
                <w:i/>
                <w:iCs/>
                <w:sz w:val="21"/>
                <w:szCs w:val="21"/>
                <w:u w:val="single"/>
              </w:rPr>
            </w:pPr>
          </w:p>
        </w:tc>
        <w:tc>
          <w:tcPr>
            <w:tcW w:w="998" w:type="dxa"/>
            <w:noWrap w:val="0"/>
            <w:vAlign w:val="center"/>
          </w:tcPr>
          <w:p>
            <w:pPr>
              <w:jc w:val="center"/>
              <w:rPr>
                <w:rFonts w:hint="default" w:eastAsia="宋体"/>
                <w:i/>
                <w:iCs/>
                <w:sz w:val="21"/>
                <w:szCs w:val="21"/>
                <w:u w:val="single"/>
                <w:lang w:val="en-US" w:eastAsia="zh-CN"/>
              </w:rPr>
            </w:pPr>
            <w:r>
              <w:rPr>
                <w:rFonts w:hint="eastAsia"/>
                <w:i/>
                <w:iCs/>
                <w:sz w:val="21"/>
                <w:szCs w:val="21"/>
                <w:u w:val="single"/>
                <w:lang w:val="en-US" w:eastAsia="zh-CN"/>
              </w:rPr>
              <w:t>15</w:t>
            </w:r>
          </w:p>
        </w:tc>
        <w:tc>
          <w:tcPr>
            <w:tcW w:w="1190" w:type="pct"/>
            <w:noWrap w:val="0"/>
            <w:vAlign w:val="center"/>
          </w:tcPr>
          <w:p>
            <w:pPr>
              <w:pStyle w:val="24"/>
              <w:tabs>
                <w:tab w:val="left" w:pos="0"/>
                <w:tab w:val="left" w:pos="1260"/>
              </w:tabs>
              <w:spacing w:line="240" w:lineRule="auto"/>
              <w:rPr>
                <w:rFonts w:hint="eastAsia"/>
                <w:i/>
                <w:iCs/>
                <w:sz w:val="21"/>
                <w:szCs w:val="21"/>
                <w:u w:val="single"/>
              </w:rPr>
            </w:pPr>
            <w:r>
              <w:rPr>
                <w:rFonts w:hint="eastAsia"/>
                <w:i/>
                <w:iCs/>
                <w:sz w:val="21"/>
                <w:szCs w:val="21"/>
                <w:u w:val="single"/>
              </w:rPr>
              <w:t>新华二组</w:t>
            </w:r>
          </w:p>
        </w:tc>
        <w:tc>
          <w:tcPr>
            <w:tcW w:w="688" w:type="pct"/>
            <w:noWrap w:val="0"/>
            <w:vAlign w:val="center"/>
          </w:tcPr>
          <w:p>
            <w:pPr>
              <w:pStyle w:val="24"/>
              <w:tabs>
                <w:tab w:val="left" w:pos="0"/>
                <w:tab w:val="left" w:pos="1260"/>
              </w:tabs>
              <w:spacing w:line="240" w:lineRule="auto"/>
              <w:rPr>
                <w:rFonts w:hint="eastAsia"/>
                <w:i/>
                <w:iCs/>
                <w:sz w:val="21"/>
                <w:szCs w:val="21"/>
                <w:u w:val="single"/>
              </w:rPr>
            </w:pPr>
            <w:r>
              <w:rPr>
                <w:rFonts w:hint="eastAsia"/>
                <w:i/>
                <w:iCs/>
                <w:sz w:val="21"/>
                <w:szCs w:val="21"/>
                <w:u w:val="single"/>
              </w:rPr>
              <w:t>西北侧</w:t>
            </w:r>
          </w:p>
        </w:tc>
        <w:tc>
          <w:tcPr>
            <w:tcW w:w="643" w:type="pct"/>
            <w:gridSpan w:val="2"/>
            <w:noWrap w:val="0"/>
            <w:vAlign w:val="center"/>
          </w:tcPr>
          <w:p>
            <w:pPr>
              <w:pStyle w:val="24"/>
              <w:tabs>
                <w:tab w:val="left" w:pos="0"/>
                <w:tab w:val="left" w:pos="1260"/>
              </w:tabs>
              <w:spacing w:line="240" w:lineRule="auto"/>
              <w:rPr>
                <w:i/>
                <w:iCs/>
                <w:sz w:val="21"/>
                <w:szCs w:val="21"/>
                <w:u w:val="single"/>
              </w:rPr>
            </w:pPr>
            <w:r>
              <w:rPr>
                <w:rFonts w:hint="eastAsia"/>
                <w:i/>
                <w:iCs/>
                <w:sz w:val="21"/>
                <w:szCs w:val="21"/>
                <w:u w:val="single"/>
              </w:rPr>
              <w:t>67</w:t>
            </w:r>
          </w:p>
        </w:tc>
        <w:tc>
          <w:tcPr>
            <w:tcW w:w="654" w:type="pct"/>
            <w:gridSpan w:val="3"/>
            <w:noWrap w:val="0"/>
            <w:vAlign w:val="center"/>
          </w:tcPr>
          <w:p>
            <w:pPr>
              <w:jc w:val="center"/>
              <w:rPr>
                <w:rFonts w:hint="eastAsia"/>
                <w:i/>
                <w:iCs/>
                <w:sz w:val="21"/>
                <w:szCs w:val="21"/>
                <w:u w:val="single"/>
              </w:rPr>
            </w:pPr>
            <w:r>
              <w:rPr>
                <w:i/>
                <w:iCs/>
                <w:sz w:val="21"/>
                <w:szCs w:val="21"/>
                <w:u w:val="single"/>
              </w:rPr>
              <w:t>居住区</w:t>
            </w:r>
          </w:p>
        </w:tc>
        <w:tc>
          <w:tcPr>
            <w:tcW w:w="925" w:type="pct"/>
            <w:gridSpan w:val="2"/>
            <w:noWrap w:val="0"/>
            <w:vAlign w:val="center"/>
          </w:tcPr>
          <w:p>
            <w:pPr>
              <w:jc w:val="center"/>
              <w:rPr>
                <w:i/>
                <w:iCs/>
                <w:sz w:val="21"/>
                <w:szCs w:val="21"/>
                <w:u w:val="single"/>
              </w:rPr>
            </w:pPr>
            <w:r>
              <w:rPr>
                <w:rFonts w:hint="eastAsia"/>
                <w:i/>
                <w:iCs/>
                <w:sz w:val="21"/>
                <w:szCs w:val="21"/>
                <w:u w:val="single"/>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50" w:type="pct"/>
            <w:vMerge w:val="continue"/>
            <w:noWrap w:val="0"/>
            <w:vAlign w:val="center"/>
          </w:tcPr>
          <w:p>
            <w:pPr>
              <w:pStyle w:val="317"/>
              <w:rPr>
                <w:i/>
                <w:iCs/>
                <w:sz w:val="21"/>
                <w:szCs w:val="21"/>
                <w:u w:val="single"/>
              </w:rPr>
            </w:pPr>
          </w:p>
        </w:tc>
        <w:tc>
          <w:tcPr>
            <w:tcW w:w="547" w:type="pct"/>
            <w:noWrap w:val="0"/>
            <w:vAlign w:val="center"/>
          </w:tcPr>
          <w:p>
            <w:pPr>
              <w:jc w:val="center"/>
              <w:rPr>
                <w:rFonts w:hint="default" w:eastAsia="宋体"/>
                <w:i/>
                <w:iCs/>
                <w:sz w:val="21"/>
                <w:szCs w:val="21"/>
                <w:u w:val="single"/>
                <w:lang w:val="en-US" w:eastAsia="zh-CN"/>
              </w:rPr>
            </w:pPr>
            <w:r>
              <w:rPr>
                <w:rFonts w:hint="eastAsia"/>
                <w:i/>
                <w:iCs/>
                <w:sz w:val="21"/>
                <w:szCs w:val="21"/>
                <w:u w:val="single"/>
                <w:lang w:val="en-US" w:eastAsia="zh-CN"/>
              </w:rPr>
              <w:t>16</w:t>
            </w:r>
          </w:p>
        </w:tc>
        <w:tc>
          <w:tcPr>
            <w:tcW w:w="1190" w:type="pct"/>
            <w:noWrap w:val="0"/>
            <w:vAlign w:val="center"/>
          </w:tcPr>
          <w:p>
            <w:pPr>
              <w:pStyle w:val="24"/>
              <w:tabs>
                <w:tab w:val="left" w:pos="0"/>
                <w:tab w:val="left" w:pos="1260"/>
              </w:tabs>
              <w:spacing w:line="240" w:lineRule="auto"/>
              <w:rPr>
                <w:rFonts w:hint="eastAsia"/>
                <w:i/>
                <w:iCs/>
                <w:sz w:val="21"/>
                <w:szCs w:val="21"/>
                <w:u w:val="single"/>
              </w:rPr>
            </w:pPr>
            <w:r>
              <w:rPr>
                <w:rFonts w:hint="eastAsia"/>
                <w:i/>
                <w:iCs/>
                <w:sz w:val="21"/>
                <w:szCs w:val="21"/>
                <w:u w:val="single"/>
              </w:rPr>
              <w:t>绿色家园小区</w:t>
            </w:r>
          </w:p>
        </w:tc>
        <w:tc>
          <w:tcPr>
            <w:tcW w:w="688" w:type="pct"/>
            <w:noWrap w:val="0"/>
            <w:vAlign w:val="center"/>
          </w:tcPr>
          <w:p>
            <w:pPr>
              <w:pStyle w:val="24"/>
              <w:tabs>
                <w:tab w:val="left" w:pos="0"/>
                <w:tab w:val="left" w:pos="1260"/>
              </w:tabs>
              <w:spacing w:line="240" w:lineRule="auto"/>
              <w:rPr>
                <w:rFonts w:hint="eastAsia"/>
                <w:i/>
                <w:iCs/>
                <w:sz w:val="21"/>
                <w:szCs w:val="21"/>
                <w:u w:val="single"/>
              </w:rPr>
            </w:pPr>
            <w:r>
              <w:rPr>
                <w:rFonts w:hint="eastAsia"/>
                <w:i/>
                <w:iCs/>
                <w:sz w:val="21"/>
                <w:szCs w:val="21"/>
                <w:u w:val="single"/>
              </w:rPr>
              <w:t>北侧</w:t>
            </w:r>
          </w:p>
        </w:tc>
        <w:tc>
          <w:tcPr>
            <w:tcW w:w="643" w:type="pct"/>
            <w:gridSpan w:val="2"/>
            <w:noWrap w:val="0"/>
            <w:vAlign w:val="center"/>
          </w:tcPr>
          <w:p>
            <w:pPr>
              <w:pStyle w:val="24"/>
              <w:tabs>
                <w:tab w:val="left" w:pos="0"/>
                <w:tab w:val="left" w:pos="1260"/>
              </w:tabs>
              <w:spacing w:line="240" w:lineRule="auto"/>
              <w:rPr>
                <w:rFonts w:hint="eastAsia"/>
                <w:i/>
                <w:iCs/>
                <w:sz w:val="21"/>
                <w:szCs w:val="21"/>
                <w:u w:val="single"/>
              </w:rPr>
            </w:pPr>
            <w:r>
              <w:rPr>
                <w:rFonts w:hint="eastAsia"/>
                <w:i/>
                <w:iCs/>
                <w:sz w:val="21"/>
                <w:szCs w:val="21"/>
                <w:u w:val="single"/>
              </w:rPr>
              <w:t>1204</w:t>
            </w:r>
          </w:p>
        </w:tc>
        <w:tc>
          <w:tcPr>
            <w:tcW w:w="654" w:type="pct"/>
            <w:gridSpan w:val="3"/>
            <w:noWrap w:val="0"/>
            <w:vAlign w:val="center"/>
          </w:tcPr>
          <w:p>
            <w:pPr>
              <w:jc w:val="center"/>
              <w:rPr>
                <w:i/>
                <w:iCs/>
                <w:sz w:val="21"/>
                <w:szCs w:val="21"/>
                <w:u w:val="single"/>
              </w:rPr>
            </w:pPr>
            <w:r>
              <w:rPr>
                <w:i/>
                <w:iCs/>
                <w:sz w:val="21"/>
                <w:szCs w:val="21"/>
                <w:u w:val="single"/>
              </w:rPr>
              <w:t>居住区</w:t>
            </w:r>
          </w:p>
        </w:tc>
        <w:tc>
          <w:tcPr>
            <w:tcW w:w="925" w:type="pct"/>
            <w:gridSpan w:val="2"/>
            <w:noWrap w:val="0"/>
            <w:vAlign w:val="center"/>
          </w:tcPr>
          <w:p>
            <w:pPr>
              <w:jc w:val="center"/>
              <w:rPr>
                <w:rFonts w:hint="default" w:eastAsia="宋体"/>
                <w:i/>
                <w:iCs/>
                <w:sz w:val="21"/>
                <w:szCs w:val="21"/>
                <w:u w:val="single"/>
                <w:lang w:val="en-US" w:eastAsia="zh-CN"/>
              </w:rPr>
            </w:pPr>
            <w:r>
              <w:rPr>
                <w:rFonts w:hint="eastAsia"/>
                <w:i/>
                <w:iCs/>
                <w:sz w:val="21"/>
                <w:szCs w:val="21"/>
                <w:u w:val="single"/>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50" w:type="pct"/>
            <w:vMerge w:val="continue"/>
            <w:noWrap w:val="0"/>
            <w:vAlign w:val="center"/>
          </w:tcPr>
          <w:p>
            <w:pPr>
              <w:pStyle w:val="317"/>
              <w:rPr>
                <w:i/>
                <w:iCs/>
                <w:sz w:val="21"/>
                <w:szCs w:val="21"/>
                <w:u w:val="single"/>
              </w:rPr>
            </w:pPr>
          </w:p>
        </w:tc>
        <w:tc>
          <w:tcPr>
            <w:tcW w:w="547" w:type="pct"/>
            <w:noWrap w:val="0"/>
            <w:vAlign w:val="center"/>
          </w:tcPr>
          <w:p>
            <w:pPr>
              <w:jc w:val="center"/>
              <w:rPr>
                <w:rFonts w:hint="default" w:eastAsia="宋体"/>
                <w:i/>
                <w:iCs/>
                <w:sz w:val="21"/>
                <w:szCs w:val="21"/>
                <w:u w:val="single"/>
                <w:lang w:val="en-US" w:eastAsia="zh-CN"/>
              </w:rPr>
            </w:pPr>
            <w:r>
              <w:rPr>
                <w:rFonts w:hint="eastAsia"/>
                <w:i/>
                <w:iCs/>
                <w:sz w:val="21"/>
                <w:szCs w:val="21"/>
                <w:u w:val="single"/>
                <w:lang w:val="en-US" w:eastAsia="zh-CN"/>
              </w:rPr>
              <w:t>17</w:t>
            </w:r>
          </w:p>
        </w:tc>
        <w:tc>
          <w:tcPr>
            <w:tcW w:w="1190" w:type="pct"/>
            <w:noWrap w:val="0"/>
            <w:vAlign w:val="center"/>
          </w:tcPr>
          <w:p>
            <w:pPr>
              <w:pStyle w:val="24"/>
              <w:tabs>
                <w:tab w:val="left" w:pos="0"/>
                <w:tab w:val="left" w:pos="1260"/>
              </w:tabs>
              <w:spacing w:line="240" w:lineRule="auto"/>
              <w:rPr>
                <w:rFonts w:hint="eastAsia"/>
                <w:i/>
                <w:iCs/>
                <w:sz w:val="21"/>
                <w:szCs w:val="21"/>
                <w:u w:val="single"/>
              </w:rPr>
            </w:pPr>
            <w:r>
              <w:rPr>
                <w:rFonts w:hint="eastAsia"/>
                <w:i/>
                <w:iCs/>
                <w:sz w:val="21"/>
                <w:szCs w:val="21"/>
                <w:u w:val="single"/>
                <w:lang w:eastAsia="zh-CN"/>
              </w:rPr>
              <w:t>白山市第二十七中学</w:t>
            </w:r>
          </w:p>
        </w:tc>
        <w:tc>
          <w:tcPr>
            <w:tcW w:w="1256" w:type="dxa"/>
            <w:noWrap w:val="0"/>
            <w:vAlign w:val="center"/>
          </w:tcPr>
          <w:p>
            <w:pPr>
              <w:pStyle w:val="24"/>
              <w:tabs>
                <w:tab w:val="left" w:pos="0"/>
                <w:tab w:val="left" w:pos="1260"/>
              </w:tabs>
              <w:spacing w:line="240" w:lineRule="auto"/>
              <w:rPr>
                <w:rFonts w:hint="eastAsia" w:eastAsia="宋体"/>
                <w:i/>
                <w:iCs/>
                <w:sz w:val="21"/>
                <w:szCs w:val="21"/>
                <w:u w:val="single"/>
                <w:lang w:eastAsia="zh-CN"/>
              </w:rPr>
            </w:pPr>
            <w:r>
              <w:rPr>
                <w:rFonts w:hint="eastAsia"/>
                <w:i/>
                <w:iCs/>
                <w:sz w:val="21"/>
                <w:szCs w:val="21"/>
                <w:u w:val="single"/>
                <w:lang w:eastAsia="zh-CN"/>
              </w:rPr>
              <w:t>东北侧</w:t>
            </w:r>
          </w:p>
        </w:tc>
        <w:tc>
          <w:tcPr>
            <w:tcW w:w="1174" w:type="dxa"/>
            <w:gridSpan w:val="2"/>
            <w:noWrap w:val="0"/>
            <w:vAlign w:val="center"/>
          </w:tcPr>
          <w:p>
            <w:pPr>
              <w:pStyle w:val="24"/>
              <w:tabs>
                <w:tab w:val="left" w:pos="0"/>
                <w:tab w:val="left" w:pos="1260"/>
              </w:tabs>
              <w:spacing w:line="240" w:lineRule="auto"/>
              <w:rPr>
                <w:rFonts w:hint="eastAsia"/>
                <w:i/>
                <w:iCs/>
                <w:sz w:val="21"/>
                <w:szCs w:val="21"/>
                <w:u w:val="single"/>
              </w:rPr>
            </w:pPr>
            <w:r>
              <w:rPr>
                <w:rFonts w:hint="eastAsia"/>
                <w:i/>
                <w:iCs/>
                <w:sz w:val="21"/>
                <w:szCs w:val="21"/>
                <w:u w:val="single"/>
                <w:lang w:val="en-US" w:eastAsia="zh-CN"/>
              </w:rPr>
              <w:t>636</w:t>
            </w:r>
          </w:p>
        </w:tc>
        <w:tc>
          <w:tcPr>
            <w:tcW w:w="654" w:type="pct"/>
            <w:gridSpan w:val="3"/>
            <w:noWrap w:val="0"/>
            <w:vAlign w:val="center"/>
          </w:tcPr>
          <w:p>
            <w:pPr>
              <w:jc w:val="center"/>
              <w:rPr>
                <w:rFonts w:hint="eastAsia" w:eastAsia="宋体"/>
                <w:i/>
                <w:iCs/>
                <w:sz w:val="21"/>
                <w:szCs w:val="21"/>
                <w:u w:val="single"/>
                <w:lang w:eastAsia="zh-CN"/>
              </w:rPr>
            </w:pPr>
            <w:r>
              <w:rPr>
                <w:rFonts w:hint="eastAsia"/>
                <w:i/>
                <w:iCs/>
                <w:sz w:val="21"/>
                <w:szCs w:val="21"/>
                <w:u w:val="single"/>
                <w:lang w:eastAsia="zh-CN"/>
              </w:rPr>
              <w:t>学校</w:t>
            </w:r>
          </w:p>
        </w:tc>
        <w:tc>
          <w:tcPr>
            <w:tcW w:w="925" w:type="pct"/>
            <w:gridSpan w:val="2"/>
            <w:noWrap w:val="0"/>
            <w:vAlign w:val="center"/>
          </w:tcPr>
          <w:p>
            <w:pPr>
              <w:jc w:val="center"/>
              <w:rPr>
                <w:rFonts w:hint="default" w:eastAsia="宋体"/>
                <w:i/>
                <w:iCs/>
                <w:sz w:val="21"/>
                <w:szCs w:val="21"/>
                <w:u w:val="single"/>
                <w:lang w:val="en-US" w:eastAsia="zh-CN"/>
              </w:rPr>
            </w:pPr>
            <w:r>
              <w:rPr>
                <w:rFonts w:hint="eastAsia"/>
                <w:i/>
                <w:iCs/>
                <w:sz w:val="21"/>
                <w:szCs w:val="21"/>
                <w:u w:val="single"/>
                <w:lang w:val="en-US" w:eastAsia="zh-CN"/>
              </w:rPr>
              <w:t>2000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50" w:type="pct"/>
            <w:vMerge w:val="continue"/>
            <w:noWrap w:val="0"/>
            <w:vAlign w:val="center"/>
          </w:tcPr>
          <w:p>
            <w:pPr>
              <w:pStyle w:val="317"/>
              <w:rPr>
                <w:i/>
                <w:iCs/>
                <w:sz w:val="21"/>
                <w:szCs w:val="21"/>
                <w:u w:val="single"/>
              </w:rPr>
            </w:pPr>
          </w:p>
        </w:tc>
        <w:tc>
          <w:tcPr>
            <w:tcW w:w="3723" w:type="pct"/>
            <w:gridSpan w:val="8"/>
            <w:noWrap w:val="0"/>
            <w:vAlign w:val="center"/>
          </w:tcPr>
          <w:p>
            <w:pPr>
              <w:pStyle w:val="317"/>
              <w:rPr>
                <w:i/>
                <w:iCs/>
                <w:sz w:val="21"/>
                <w:szCs w:val="21"/>
                <w:u w:val="single"/>
              </w:rPr>
            </w:pPr>
            <w:r>
              <w:rPr>
                <w:i/>
                <w:iCs/>
                <w:sz w:val="21"/>
                <w:szCs w:val="21"/>
                <w:u w:val="single"/>
              </w:rPr>
              <w:t>厂址周边500m范围内人口数统计</w:t>
            </w:r>
          </w:p>
        </w:tc>
        <w:tc>
          <w:tcPr>
            <w:tcW w:w="925" w:type="pct"/>
            <w:gridSpan w:val="2"/>
            <w:noWrap w:val="0"/>
            <w:vAlign w:val="center"/>
          </w:tcPr>
          <w:p>
            <w:pPr>
              <w:pStyle w:val="317"/>
              <w:rPr>
                <w:i/>
                <w:iCs/>
                <w:sz w:val="21"/>
                <w:szCs w:val="21"/>
                <w:u w:val="single"/>
              </w:rPr>
            </w:pPr>
            <w:r>
              <w:rPr>
                <w:rFonts w:hint="eastAsia"/>
                <w:i/>
                <w:iCs/>
                <w:sz w:val="21"/>
                <w:szCs w:val="21"/>
                <w:u w:val="single"/>
              </w:rPr>
              <w:t>300</w:t>
            </w:r>
            <w:r>
              <w:rPr>
                <w:i/>
                <w:iCs/>
                <w:sz w:val="21"/>
                <w:szCs w:val="21"/>
                <w:u w:val="single"/>
              </w:rPr>
              <w:t>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50" w:type="pct"/>
            <w:vMerge w:val="continue"/>
            <w:noWrap w:val="0"/>
            <w:vAlign w:val="center"/>
          </w:tcPr>
          <w:p>
            <w:pPr>
              <w:pStyle w:val="317"/>
              <w:rPr>
                <w:i/>
                <w:iCs/>
                <w:sz w:val="21"/>
                <w:szCs w:val="21"/>
                <w:u w:val="single"/>
              </w:rPr>
            </w:pPr>
          </w:p>
        </w:tc>
        <w:tc>
          <w:tcPr>
            <w:tcW w:w="3723" w:type="pct"/>
            <w:gridSpan w:val="8"/>
            <w:noWrap w:val="0"/>
            <w:vAlign w:val="center"/>
          </w:tcPr>
          <w:p>
            <w:pPr>
              <w:pStyle w:val="317"/>
              <w:rPr>
                <w:i/>
                <w:iCs/>
                <w:sz w:val="21"/>
                <w:szCs w:val="21"/>
                <w:u w:val="single"/>
              </w:rPr>
            </w:pPr>
            <w:r>
              <w:rPr>
                <w:i/>
                <w:iCs/>
                <w:sz w:val="21"/>
                <w:szCs w:val="21"/>
                <w:u w:val="single"/>
              </w:rPr>
              <w:t>厂址周边5km范围内人口数统计</w:t>
            </w:r>
          </w:p>
        </w:tc>
        <w:tc>
          <w:tcPr>
            <w:tcW w:w="925" w:type="pct"/>
            <w:gridSpan w:val="2"/>
            <w:noWrap w:val="0"/>
            <w:vAlign w:val="center"/>
          </w:tcPr>
          <w:p>
            <w:pPr>
              <w:pStyle w:val="317"/>
              <w:rPr>
                <w:i/>
                <w:iCs/>
                <w:sz w:val="21"/>
                <w:szCs w:val="21"/>
                <w:u w:val="single"/>
              </w:rPr>
            </w:pPr>
            <w:r>
              <w:rPr>
                <w:rFonts w:hint="eastAsia"/>
                <w:i/>
                <w:iCs/>
                <w:sz w:val="21"/>
                <w:szCs w:val="21"/>
                <w:u w:val="single"/>
              </w:rPr>
              <w:t>100000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50" w:type="pct"/>
            <w:vMerge w:val="continue"/>
            <w:noWrap w:val="0"/>
            <w:vAlign w:val="center"/>
          </w:tcPr>
          <w:p>
            <w:pPr>
              <w:pStyle w:val="317"/>
              <w:rPr>
                <w:i/>
                <w:iCs/>
                <w:sz w:val="21"/>
                <w:szCs w:val="21"/>
                <w:u w:val="single"/>
              </w:rPr>
            </w:pPr>
          </w:p>
        </w:tc>
        <w:tc>
          <w:tcPr>
            <w:tcW w:w="3723" w:type="pct"/>
            <w:gridSpan w:val="8"/>
            <w:noWrap w:val="0"/>
            <w:vAlign w:val="center"/>
          </w:tcPr>
          <w:p>
            <w:pPr>
              <w:pStyle w:val="317"/>
              <w:rPr>
                <w:i/>
                <w:iCs/>
                <w:sz w:val="21"/>
                <w:szCs w:val="21"/>
                <w:u w:val="single"/>
              </w:rPr>
            </w:pPr>
            <w:r>
              <w:rPr>
                <w:i/>
                <w:iCs/>
                <w:sz w:val="21"/>
                <w:szCs w:val="21"/>
                <w:u w:val="single"/>
              </w:rPr>
              <w:t>大气环境敏感程度E值</w:t>
            </w:r>
          </w:p>
        </w:tc>
        <w:tc>
          <w:tcPr>
            <w:tcW w:w="925" w:type="pct"/>
            <w:gridSpan w:val="2"/>
            <w:noWrap w:val="0"/>
            <w:vAlign w:val="center"/>
          </w:tcPr>
          <w:p>
            <w:pPr>
              <w:pStyle w:val="317"/>
              <w:rPr>
                <w:rFonts w:hint="eastAsia"/>
                <w:i/>
                <w:iCs/>
                <w:sz w:val="21"/>
                <w:szCs w:val="21"/>
                <w:u w:val="single"/>
              </w:rPr>
            </w:pPr>
            <w:r>
              <w:rPr>
                <w:i/>
                <w:iCs/>
                <w:sz w:val="21"/>
                <w:szCs w:val="21"/>
                <w:u w:val="single"/>
              </w:rPr>
              <w:t>E</w:t>
            </w:r>
            <w:r>
              <w:rPr>
                <w:rFonts w:hint="eastAsia"/>
                <w:i/>
                <w:iCs/>
                <w:sz w:val="21"/>
                <w:szCs w:val="21"/>
                <w:u w:val="single"/>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50" w:type="pct"/>
            <w:vMerge w:val="restart"/>
            <w:noWrap w:val="0"/>
            <w:vAlign w:val="center"/>
          </w:tcPr>
          <w:p>
            <w:pPr>
              <w:pStyle w:val="317"/>
              <w:rPr>
                <w:i/>
                <w:iCs/>
                <w:sz w:val="21"/>
                <w:szCs w:val="21"/>
                <w:u w:val="single"/>
              </w:rPr>
            </w:pPr>
            <w:r>
              <w:rPr>
                <w:i/>
                <w:iCs/>
                <w:sz w:val="21"/>
                <w:szCs w:val="21"/>
                <w:u w:val="single"/>
              </w:rPr>
              <w:t>地表水</w:t>
            </w:r>
          </w:p>
        </w:tc>
        <w:tc>
          <w:tcPr>
            <w:tcW w:w="4649" w:type="pct"/>
            <w:gridSpan w:val="10"/>
            <w:noWrap w:val="0"/>
            <w:vAlign w:val="center"/>
          </w:tcPr>
          <w:p>
            <w:pPr>
              <w:pStyle w:val="317"/>
              <w:rPr>
                <w:i/>
                <w:iCs/>
                <w:sz w:val="21"/>
                <w:szCs w:val="21"/>
                <w:u w:val="single"/>
              </w:rPr>
            </w:pPr>
            <w:r>
              <w:rPr>
                <w:i/>
                <w:iCs/>
                <w:sz w:val="21"/>
                <w:szCs w:val="21"/>
                <w:u w:val="single"/>
              </w:rPr>
              <w:t>受纳水体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50" w:type="pct"/>
            <w:vMerge w:val="continue"/>
            <w:noWrap w:val="0"/>
            <w:vAlign w:val="center"/>
          </w:tcPr>
          <w:p>
            <w:pPr>
              <w:pStyle w:val="317"/>
              <w:rPr>
                <w:i/>
                <w:iCs/>
                <w:sz w:val="21"/>
                <w:szCs w:val="21"/>
                <w:u w:val="single"/>
              </w:rPr>
            </w:pPr>
          </w:p>
        </w:tc>
        <w:tc>
          <w:tcPr>
            <w:tcW w:w="547" w:type="pct"/>
            <w:noWrap w:val="0"/>
            <w:vAlign w:val="center"/>
          </w:tcPr>
          <w:p>
            <w:pPr>
              <w:pStyle w:val="317"/>
              <w:rPr>
                <w:i/>
                <w:iCs/>
                <w:sz w:val="21"/>
                <w:szCs w:val="21"/>
                <w:u w:val="single"/>
              </w:rPr>
            </w:pPr>
            <w:r>
              <w:rPr>
                <w:i/>
                <w:iCs/>
                <w:sz w:val="21"/>
                <w:szCs w:val="21"/>
                <w:u w:val="single"/>
              </w:rPr>
              <w:t>序号</w:t>
            </w:r>
          </w:p>
        </w:tc>
        <w:tc>
          <w:tcPr>
            <w:tcW w:w="1190" w:type="pct"/>
            <w:noWrap w:val="0"/>
            <w:vAlign w:val="center"/>
          </w:tcPr>
          <w:p>
            <w:pPr>
              <w:pStyle w:val="317"/>
              <w:rPr>
                <w:i/>
                <w:iCs/>
                <w:sz w:val="21"/>
                <w:szCs w:val="21"/>
                <w:u w:val="single"/>
              </w:rPr>
            </w:pPr>
            <w:r>
              <w:rPr>
                <w:i/>
                <w:iCs/>
                <w:sz w:val="21"/>
                <w:szCs w:val="21"/>
                <w:u w:val="single"/>
              </w:rPr>
              <w:t>受纳水体名称</w:t>
            </w:r>
          </w:p>
        </w:tc>
        <w:tc>
          <w:tcPr>
            <w:tcW w:w="1482" w:type="pct"/>
            <w:gridSpan w:val="4"/>
            <w:noWrap w:val="0"/>
            <w:vAlign w:val="center"/>
          </w:tcPr>
          <w:p>
            <w:pPr>
              <w:pStyle w:val="317"/>
              <w:rPr>
                <w:i/>
                <w:iCs/>
                <w:sz w:val="21"/>
                <w:szCs w:val="21"/>
                <w:u w:val="single"/>
              </w:rPr>
            </w:pPr>
            <w:r>
              <w:rPr>
                <w:i/>
                <w:iCs/>
                <w:sz w:val="21"/>
                <w:szCs w:val="21"/>
                <w:u w:val="single"/>
              </w:rPr>
              <w:t>排放点水域环境功能</w:t>
            </w:r>
          </w:p>
        </w:tc>
        <w:tc>
          <w:tcPr>
            <w:tcW w:w="1429" w:type="pct"/>
            <w:gridSpan w:val="4"/>
            <w:noWrap w:val="0"/>
            <w:vAlign w:val="center"/>
          </w:tcPr>
          <w:p>
            <w:pPr>
              <w:pStyle w:val="317"/>
              <w:rPr>
                <w:i/>
                <w:iCs/>
                <w:sz w:val="21"/>
                <w:szCs w:val="21"/>
                <w:u w:val="single"/>
              </w:rPr>
            </w:pPr>
            <w:r>
              <w:rPr>
                <w:i/>
                <w:iCs/>
                <w:sz w:val="21"/>
                <w:szCs w:val="21"/>
                <w:u w:val="single"/>
              </w:rPr>
              <w:t>24h内流经范围/km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50" w:type="pct"/>
            <w:vMerge w:val="continue"/>
            <w:noWrap w:val="0"/>
            <w:vAlign w:val="center"/>
          </w:tcPr>
          <w:p>
            <w:pPr>
              <w:pStyle w:val="317"/>
              <w:rPr>
                <w:i/>
                <w:iCs/>
                <w:sz w:val="21"/>
                <w:szCs w:val="21"/>
                <w:u w:val="single"/>
              </w:rPr>
            </w:pPr>
          </w:p>
        </w:tc>
        <w:tc>
          <w:tcPr>
            <w:tcW w:w="547" w:type="pct"/>
            <w:noWrap w:val="0"/>
            <w:vAlign w:val="center"/>
          </w:tcPr>
          <w:p>
            <w:pPr>
              <w:pStyle w:val="317"/>
              <w:rPr>
                <w:i/>
                <w:iCs/>
                <w:sz w:val="21"/>
                <w:szCs w:val="21"/>
                <w:u w:val="single"/>
              </w:rPr>
            </w:pPr>
            <w:r>
              <w:rPr>
                <w:i/>
                <w:iCs/>
                <w:sz w:val="21"/>
                <w:szCs w:val="21"/>
                <w:u w:val="single"/>
              </w:rPr>
              <w:t>1</w:t>
            </w:r>
          </w:p>
        </w:tc>
        <w:tc>
          <w:tcPr>
            <w:tcW w:w="1190" w:type="pct"/>
            <w:noWrap w:val="0"/>
            <w:vAlign w:val="center"/>
          </w:tcPr>
          <w:p>
            <w:pPr>
              <w:pStyle w:val="317"/>
              <w:rPr>
                <w:i/>
                <w:iCs/>
                <w:sz w:val="21"/>
                <w:szCs w:val="21"/>
                <w:u w:val="single"/>
              </w:rPr>
            </w:pPr>
            <w:r>
              <w:rPr>
                <w:rFonts w:hint="eastAsia"/>
                <w:i/>
                <w:iCs/>
                <w:sz w:val="21"/>
                <w:szCs w:val="21"/>
                <w:u w:val="single"/>
              </w:rPr>
              <w:t>--</w:t>
            </w:r>
          </w:p>
        </w:tc>
        <w:tc>
          <w:tcPr>
            <w:tcW w:w="1482" w:type="pct"/>
            <w:gridSpan w:val="4"/>
            <w:noWrap w:val="0"/>
            <w:vAlign w:val="center"/>
          </w:tcPr>
          <w:p>
            <w:pPr>
              <w:pStyle w:val="317"/>
              <w:rPr>
                <w:i/>
                <w:iCs/>
                <w:sz w:val="21"/>
                <w:szCs w:val="21"/>
                <w:u w:val="single"/>
              </w:rPr>
            </w:pPr>
            <w:r>
              <w:rPr>
                <w:rFonts w:hint="eastAsia"/>
                <w:i/>
                <w:iCs/>
                <w:sz w:val="21"/>
                <w:szCs w:val="21"/>
                <w:u w:val="single"/>
              </w:rPr>
              <w:t>--</w:t>
            </w:r>
          </w:p>
        </w:tc>
        <w:tc>
          <w:tcPr>
            <w:tcW w:w="1429" w:type="pct"/>
            <w:gridSpan w:val="4"/>
            <w:noWrap w:val="0"/>
            <w:vAlign w:val="center"/>
          </w:tcPr>
          <w:p>
            <w:pPr>
              <w:pStyle w:val="317"/>
              <w:rPr>
                <w:i/>
                <w:iCs/>
                <w:sz w:val="21"/>
                <w:szCs w:val="21"/>
                <w:u w:val="single"/>
              </w:rPr>
            </w:pPr>
            <w:r>
              <w:rPr>
                <w:rFonts w:hint="eastAsia"/>
                <w:i/>
                <w:iCs/>
                <w:sz w:val="21"/>
                <w:szCs w:val="21"/>
                <w:u w:val="singl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50" w:type="pct"/>
            <w:vMerge w:val="continue"/>
            <w:noWrap w:val="0"/>
            <w:vAlign w:val="center"/>
          </w:tcPr>
          <w:p>
            <w:pPr>
              <w:pStyle w:val="317"/>
              <w:rPr>
                <w:i/>
                <w:iCs/>
                <w:sz w:val="21"/>
                <w:szCs w:val="21"/>
                <w:u w:val="single"/>
              </w:rPr>
            </w:pPr>
          </w:p>
        </w:tc>
        <w:tc>
          <w:tcPr>
            <w:tcW w:w="4649" w:type="pct"/>
            <w:gridSpan w:val="10"/>
            <w:noWrap w:val="0"/>
            <w:vAlign w:val="center"/>
          </w:tcPr>
          <w:p>
            <w:pPr>
              <w:pStyle w:val="317"/>
              <w:rPr>
                <w:i/>
                <w:iCs/>
                <w:sz w:val="21"/>
                <w:szCs w:val="21"/>
                <w:u w:val="single"/>
              </w:rPr>
            </w:pPr>
            <w:r>
              <w:rPr>
                <w:i/>
                <w:iCs/>
                <w:sz w:val="21"/>
                <w:szCs w:val="21"/>
                <w:u w:val="single"/>
              </w:rPr>
              <w:t>内陆水体排放点下游10km（近岸海域一个潮周期最大水平距离两倍）范围内敏感目标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50" w:type="pct"/>
            <w:vMerge w:val="continue"/>
            <w:noWrap w:val="0"/>
            <w:vAlign w:val="center"/>
          </w:tcPr>
          <w:p>
            <w:pPr>
              <w:pStyle w:val="317"/>
              <w:rPr>
                <w:i/>
                <w:iCs/>
                <w:sz w:val="21"/>
                <w:szCs w:val="21"/>
                <w:u w:val="single"/>
              </w:rPr>
            </w:pPr>
          </w:p>
        </w:tc>
        <w:tc>
          <w:tcPr>
            <w:tcW w:w="547" w:type="pct"/>
            <w:noWrap w:val="0"/>
            <w:vAlign w:val="center"/>
          </w:tcPr>
          <w:p>
            <w:pPr>
              <w:pStyle w:val="317"/>
              <w:rPr>
                <w:i/>
                <w:iCs/>
                <w:sz w:val="21"/>
                <w:szCs w:val="21"/>
                <w:u w:val="single"/>
              </w:rPr>
            </w:pPr>
            <w:r>
              <w:rPr>
                <w:i/>
                <w:iCs/>
                <w:sz w:val="21"/>
                <w:szCs w:val="21"/>
                <w:u w:val="single"/>
              </w:rPr>
              <w:t>序号</w:t>
            </w:r>
          </w:p>
        </w:tc>
        <w:tc>
          <w:tcPr>
            <w:tcW w:w="1190" w:type="pct"/>
            <w:noWrap w:val="0"/>
            <w:vAlign w:val="center"/>
          </w:tcPr>
          <w:p>
            <w:pPr>
              <w:pStyle w:val="317"/>
              <w:rPr>
                <w:i/>
                <w:iCs/>
                <w:sz w:val="21"/>
                <w:szCs w:val="21"/>
                <w:u w:val="single"/>
              </w:rPr>
            </w:pPr>
            <w:r>
              <w:rPr>
                <w:i/>
                <w:iCs/>
                <w:sz w:val="21"/>
                <w:szCs w:val="21"/>
                <w:u w:val="single"/>
              </w:rPr>
              <w:t>敏感目标名称</w:t>
            </w:r>
          </w:p>
        </w:tc>
        <w:tc>
          <w:tcPr>
            <w:tcW w:w="856" w:type="pct"/>
            <w:gridSpan w:val="2"/>
            <w:noWrap w:val="0"/>
            <w:vAlign w:val="center"/>
          </w:tcPr>
          <w:p>
            <w:pPr>
              <w:pStyle w:val="317"/>
              <w:rPr>
                <w:i/>
                <w:iCs/>
                <w:sz w:val="21"/>
                <w:szCs w:val="21"/>
                <w:u w:val="single"/>
              </w:rPr>
            </w:pPr>
            <w:r>
              <w:rPr>
                <w:i/>
                <w:iCs/>
                <w:sz w:val="21"/>
                <w:szCs w:val="21"/>
                <w:u w:val="single"/>
              </w:rPr>
              <w:t>环境敏感特性</w:t>
            </w:r>
          </w:p>
        </w:tc>
        <w:tc>
          <w:tcPr>
            <w:tcW w:w="736" w:type="pct"/>
            <w:gridSpan w:val="3"/>
            <w:noWrap w:val="0"/>
            <w:vAlign w:val="center"/>
          </w:tcPr>
          <w:p>
            <w:pPr>
              <w:pStyle w:val="317"/>
              <w:rPr>
                <w:i/>
                <w:iCs/>
                <w:sz w:val="21"/>
                <w:szCs w:val="21"/>
                <w:u w:val="single"/>
              </w:rPr>
            </w:pPr>
            <w:r>
              <w:rPr>
                <w:i/>
                <w:iCs/>
                <w:sz w:val="21"/>
                <w:szCs w:val="21"/>
                <w:u w:val="single"/>
              </w:rPr>
              <w:t>水质目标</w:t>
            </w:r>
          </w:p>
        </w:tc>
        <w:tc>
          <w:tcPr>
            <w:tcW w:w="1317" w:type="pct"/>
            <w:gridSpan w:val="3"/>
            <w:noWrap w:val="0"/>
            <w:vAlign w:val="center"/>
          </w:tcPr>
          <w:p>
            <w:pPr>
              <w:pStyle w:val="317"/>
              <w:rPr>
                <w:i/>
                <w:iCs/>
                <w:sz w:val="21"/>
                <w:szCs w:val="21"/>
                <w:u w:val="single"/>
              </w:rPr>
            </w:pPr>
            <w:r>
              <w:rPr>
                <w:i/>
                <w:iCs/>
                <w:sz w:val="21"/>
                <w:szCs w:val="21"/>
                <w:u w:val="single"/>
              </w:rPr>
              <w:t>与排放点距离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50" w:type="pct"/>
            <w:vMerge w:val="continue"/>
            <w:noWrap w:val="0"/>
            <w:vAlign w:val="center"/>
          </w:tcPr>
          <w:p>
            <w:pPr>
              <w:pStyle w:val="317"/>
              <w:rPr>
                <w:i/>
                <w:iCs/>
                <w:sz w:val="21"/>
                <w:szCs w:val="21"/>
                <w:u w:val="single"/>
              </w:rPr>
            </w:pPr>
          </w:p>
        </w:tc>
        <w:tc>
          <w:tcPr>
            <w:tcW w:w="547" w:type="pct"/>
            <w:noWrap w:val="0"/>
            <w:vAlign w:val="center"/>
          </w:tcPr>
          <w:p>
            <w:pPr>
              <w:pStyle w:val="317"/>
              <w:rPr>
                <w:i/>
                <w:iCs/>
                <w:sz w:val="21"/>
                <w:szCs w:val="21"/>
                <w:u w:val="single"/>
              </w:rPr>
            </w:pPr>
            <w:r>
              <w:rPr>
                <w:i/>
                <w:iCs/>
                <w:sz w:val="21"/>
                <w:szCs w:val="21"/>
                <w:u w:val="single"/>
              </w:rPr>
              <w:t>1</w:t>
            </w:r>
          </w:p>
        </w:tc>
        <w:tc>
          <w:tcPr>
            <w:tcW w:w="1190" w:type="pct"/>
            <w:noWrap w:val="0"/>
            <w:vAlign w:val="center"/>
          </w:tcPr>
          <w:p>
            <w:pPr>
              <w:pStyle w:val="317"/>
              <w:rPr>
                <w:i/>
                <w:iCs/>
                <w:sz w:val="21"/>
                <w:szCs w:val="21"/>
                <w:u w:val="single"/>
              </w:rPr>
            </w:pPr>
            <w:r>
              <w:rPr>
                <w:i/>
                <w:iCs/>
                <w:sz w:val="21"/>
                <w:szCs w:val="21"/>
                <w:u w:val="single"/>
              </w:rPr>
              <w:t>--</w:t>
            </w:r>
          </w:p>
        </w:tc>
        <w:tc>
          <w:tcPr>
            <w:tcW w:w="856" w:type="pct"/>
            <w:gridSpan w:val="2"/>
            <w:noWrap w:val="0"/>
            <w:vAlign w:val="center"/>
          </w:tcPr>
          <w:p>
            <w:pPr>
              <w:pStyle w:val="317"/>
              <w:rPr>
                <w:i/>
                <w:iCs/>
                <w:sz w:val="21"/>
                <w:szCs w:val="21"/>
                <w:u w:val="single"/>
              </w:rPr>
            </w:pPr>
            <w:r>
              <w:rPr>
                <w:i/>
                <w:iCs/>
                <w:sz w:val="21"/>
                <w:szCs w:val="21"/>
                <w:u w:val="single"/>
              </w:rPr>
              <w:t>--</w:t>
            </w:r>
          </w:p>
        </w:tc>
        <w:tc>
          <w:tcPr>
            <w:tcW w:w="736" w:type="pct"/>
            <w:gridSpan w:val="3"/>
            <w:noWrap w:val="0"/>
            <w:vAlign w:val="center"/>
          </w:tcPr>
          <w:p>
            <w:pPr>
              <w:pStyle w:val="317"/>
              <w:rPr>
                <w:i/>
                <w:iCs/>
                <w:sz w:val="21"/>
                <w:szCs w:val="21"/>
                <w:u w:val="single"/>
              </w:rPr>
            </w:pPr>
            <w:r>
              <w:rPr>
                <w:i/>
                <w:iCs/>
                <w:sz w:val="21"/>
                <w:szCs w:val="21"/>
                <w:u w:val="single"/>
              </w:rPr>
              <w:t>--</w:t>
            </w:r>
          </w:p>
        </w:tc>
        <w:tc>
          <w:tcPr>
            <w:tcW w:w="1317" w:type="pct"/>
            <w:gridSpan w:val="3"/>
            <w:noWrap w:val="0"/>
            <w:vAlign w:val="center"/>
          </w:tcPr>
          <w:p>
            <w:pPr>
              <w:pStyle w:val="317"/>
              <w:rPr>
                <w:i/>
                <w:iCs/>
                <w:sz w:val="21"/>
                <w:szCs w:val="21"/>
                <w:u w:val="single"/>
              </w:rPr>
            </w:pPr>
            <w:r>
              <w:rPr>
                <w:i/>
                <w:iCs/>
                <w:sz w:val="21"/>
                <w:szCs w:val="21"/>
                <w:u w:val="singl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50" w:type="pct"/>
            <w:vMerge w:val="continue"/>
            <w:noWrap w:val="0"/>
            <w:vAlign w:val="center"/>
          </w:tcPr>
          <w:p>
            <w:pPr>
              <w:pStyle w:val="317"/>
              <w:rPr>
                <w:i/>
                <w:iCs/>
                <w:sz w:val="21"/>
                <w:szCs w:val="21"/>
                <w:u w:val="single"/>
              </w:rPr>
            </w:pPr>
          </w:p>
        </w:tc>
        <w:tc>
          <w:tcPr>
            <w:tcW w:w="3331" w:type="pct"/>
            <w:gridSpan w:val="7"/>
            <w:noWrap w:val="0"/>
            <w:vAlign w:val="center"/>
          </w:tcPr>
          <w:p>
            <w:pPr>
              <w:pStyle w:val="317"/>
              <w:rPr>
                <w:i/>
                <w:iCs/>
                <w:sz w:val="21"/>
                <w:szCs w:val="21"/>
                <w:u w:val="single"/>
              </w:rPr>
            </w:pPr>
            <w:r>
              <w:rPr>
                <w:i/>
                <w:iCs/>
                <w:sz w:val="21"/>
                <w:szCs w:val="21"/>
                <w:u w:val="single"/>
              </w:rPr>
              <w:t>地表水环境敏感程度E值</w:t>
            </w:r>
          </w:p>
        </w:tc>
        <w:tc>
          <w:tcPr>
            <w:tcW w:w="1317" w:type="pct"/>
            <w:gridSpan w:val="3"/>
            <w:noWrap w:val="0"/>
            <w:vAlign w:val="center"/>
          </w:tcPr>
          <w:p>
            <w:pPr>
              <w:pStyle w:val="317"/>
              <w:rPr>
                <w:i/>
                <w:iCs/>
                <w:sz w:val="21"/>
                <w:szCs w:val="21"/>
                <w:u w:val="single"/>
              </w:rPr>
            </w:pPr>
            <w:r>
              <w:rPr>
                <w:i/>
                <w:iCs/>
                <w:sz w:val="21"/>
                <w:szCs w:val="21"/>
                <w:u w:val="single"/>
              </w:rPr>
              <w:t>E3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50" w:type="pct"/>
            <w:vMerge w:val="restart"/>
            <w:noWrap w:val="0"/>
            <w:vAlign w:val="center"/>
          </w:tcPr>
          <w:p>
            <w:pPr>
              <w:pStyle w:val="317"/>
              <w:rPr>
                <w:i/>
                <w:iCs/>
                <w:sz w:val="21"/>
                <w:szCs w:val="21"/>
                <w:u w:val="single"/>
              </w:rPr>
            </w:pPr>
            <w:r>
              <w:rPr>
                <w:rFonts w:hint="eastAsia"/>
                <w:i/>
                <w:iCs/>
                <w:sz w:val="21"/>
                <w:szCs w:val="21"/>
                <w:u w:val="single"/>
              </w:rPr>
              <w:t>地下水</w:t>
            </w:r>
          </w:p>
        </w:tc>
        <w:tc>
          <w:tcPr>
            <w:tcW w:w="547" w:type="pct"/>
            <w:noWrap w:val="0"/>
            <w:vAlign w:val="center"/>
          </w:tcPr>
          <w:p>
            <w:pPr>
              <w:pStyle w:val="317"/>
              <w:rPr>
                <w:i/>
                <w:iCs/>
                <w:sz w:val="21"/>
                <w:szCs w:val="21"/>
                <w:u w:val="single"/>
              </w:rPr>
            </w:pPr>
            <w:r>
              <w:rPr>
                <w:i/>
                <w:iCs/>
                <w:sz w:val="21"/>
                <w:szCs w:val="21"/>
                <w:u w:val="single"/>
              </w:rPr>
              <w:t>序号</w:t>
            </w:r>
          </w:p>
        </w:tc>
        <w:tc>
          <w:tcPr>
            <w:tcW w:w="1190" w:type="pct"/>
            <w:noWrap w:val="0"/>
            <w:vAlign w:val="center"/>
          </w:tcPr>
          <w:p>
            <w:pPr>
              <w:pStyle w:val="317"/>
              <w:rPr>
                <w:i/>
                <w:iCs/>
                <w:sz w:val="21"/>
                <w:szCs w:val="21"/>
                <w:u w:val="single"/>
              </w:rPr>
            </w:pPr>
            <w:r>
              <w:rPr>
                <w:i/>
                <w:iCs/>
                <w:sz w:val="21"/>
                <w:szCs w:val="21"/>
                <w:u w:val="single"/>
              </w:rPr>
              <w:t>环境敏感区名称</w:t>
            </w:r>
          </w:p>
        </w:tc>
        <w:tc>
          <w:tcPr>
            <w:tcW w:w="856" w:type="pct"/>
            <w:gridSpan w:val="2"/>
            <w:noWrap w:val="0"/>
            <w:vAlign w:val="center"/>
          </w:tcPr>
          <w:p>
            <w:pPr>
              <w:pStyle w:val="317"/>
              <w:rPr>
                <w:i/>
                <w:iCs/>
                <w:sz w:val="21"/>
                <w:szCs w:val="21"/>
                <w:u w:val="single"/>
              </w:rPr>
            </w:pPr>
            <w:r>
              <w:rPr>
                <w:i/>
                <w:iCs/>
                <w:sz w:val="21"/>
                <w:szCs w:val="21"/>
                <w:u w:val="single"/>
              </w:rPr>
              <w:t>环境敏感特征</w:t>
            </w:r>
          </w:p>
        </w:tc>
        <w:tc>
          <w:tcPr>
            <w:tcW w:w="736" w:type="pct"/>
            <w:gridSpan w:val="3"/>
            <w:noWrap w:val="0"/>
            <w:vAlign w:val="center"/>
          </w:tcPr>
          <w:p>
            <w:pPr>
              <w:pStyle w:val="317"/>
              <w:rPr>
                <w:i/>
                <w:iCs/>
                <w:sz w:val="21"/>
                <w:szCs w:val="21"/>
                <w:u w:val="single"/>
              </w:rPr>
            </w:pPr>
            <w:r>
              <w:rPr>
                <w:i/>
                <w:iCs/>
                <w:sz w:val="21"/>
                <w:szCs w:val="21"/>
                <w:u w:val="single"/>
              </w:rPr>
              <w:t>水质目标</w:t>
            </w:r>
          </w:p>
        </w:tc>
        <w:tc>
          <w:tcPr>
            <w:tcW w:w="641" w:type="pct"/>
            <w:gridSpan w:val="2"/>
            <w:noWrap w:val="0"/>
            <w:vAlign w:val="center"/>
          </w:tcPr>
          <w:p>
            <w:pPr>
              <w:pStyle w:val="317"/>
              <w:rPr>
                <w:i/>
                <w:iCs/>
                <w:sz w:val="21"/>
                <w:szCs w:val="21"/>
                <w:u w:val="single"/>
              </w:rPr>
            </w:pPr>
            <w:r>
              <w:rPr>
                <w:i/>
                <w:iCs/>
                <w:sz w:val="21"/>
                <w:szCs w:val="21"/>
                <w:u w:val="single"/>
              </w:rPr>
              <w:t>包气带防</w:t>
            </w:r>
          </w:p>
          <w:p>
            <w:pPr>
              <w:pStyle w:val="317"/>
              <w:rPr>
                <w:i/>
                <w:iCs/>
                <w:sz w:val="21"/>
                <w:szCs w:val="21"/>
                <w:u w:val="single"/>
              </w:rPr>
            </w:pPr>
            <w:r>
              <w:rPr>
                <w:i/>
                <w:iCs/>
                <w:sz w:val="21"/>
                <w:szCs w:val="21"/>
                <w:u w:val="single"/>
              </w:rPr>
              <w:t>污性能</w:t>
            </w:r>
          </w:p>
        </w:tc>
        <w:tc>
          <w:tcPr>
            <w:tcW w:w="676" w:type="pct"/>
            <w:noWrap w:val="0"/>
            <w:vAlign w:val="center"/>
          </w:tcPr>
          <w:p>
            <w:pPr>
              <w:pStyle w:val="317"/>
              <w:rPr>
                <w:i/>
                <w:iCs/>
                <w:sz w:val="21"/>
                <w:szCs w:val="21"/>
                <w:u w:val="single"/>
              </w:rPr>
            </w:pPr>
            <w:r>
              <w:rPr>
                <w:i/>
                <w:iCs/>
                <w:sz w:val="21"/>
                <w:szCs w:val="21"/>
                <w:u w:val="single"/>
              </w:rPr>
              <w:t>与下游厂</w:t>
            </w:r>
          </w:p>
          <w:p>
            <w:pPr>
              <w:pStyle w:val="317"/>
              <w:rPr>
                <w:i/>
                <w:iCs/>
                <w:sz w:val="21"/>
                <w:szCs w:val="21"/>
                <w:u w:val="single"/>
              </w:rPr>
            </w:pPr>
            <w:r>
              <w:rPr>
                <w:i/>
                <w:iCs/>
                <w:sz w:val="21"/>
                <w:szCs w:val="21"/>
                <w:u w:val="single"/>
              </w:rPr>
              <w:t>界距离/m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50" w:type="pct"/>
            <w:vMerge w:val="continue"/>
            <w:noWrap w:val="0"/>
            <w:vAlign w:val="center"/>
          </w:tcPr>
          <w:p>
            <w:pPr>
              <w:pStyle w:val="317"/>
              <w:rPr>
                <w:i/>
                <w:iCs/>
                <w:sz w:val="21"/>
                <w:szCs w:val="21"/>
                <w:u w:val="single"/>
              </w:rPr>
            </w:pPr>
          </w:p>
        </w:tc>
        <w:tc>
          <w:tcPr>
            <w:tcW w:w="547" w:type="pct"/>
            <w:noWrap w:val="0"/>
            <w:vAlign w:val="center"/>
          </w:tcPr>
          <w:p>
            <w:pPr>
              <w:pStyle w:val="317"/>
              <w:rPr>
                <w:i/>
                <w:iCs/>
                <w:sz w:val="21"/>
                <w:szCs w:val="21"/>
                <w:u w:val="single"/>
              </w:rPr>
            </w:pPr>
            <w:r>
              <w:rPr>
                <w:i/>
                <w:iCs/>
                <w:sz w:val="21"/>
                <w:szCs w:val="21"/>
                <w:u w:val="single"/>
              </w:rPr>
              <w:t>1</w:t>
            </w:r>
          </w:p>
        </w:tc>
        <w:tc>
          <w:tcPr>
            <w:tcW w:w="1190" w:type="pct"/>
            <w:noWrap w:val="0"/>
            <w:vAlign w:val="center"/>
          </w:tcPr>
          <w:p>
            <w:pPr>
              <w:pStyle w:val="317"/>
              <w:rPr>
                <w:i/>
                <w:iCs/>
                <w:sz w:val="21"/>
                <w:szCs w:val="21"/>
                <w:u w:val="single"/>
              </w:rPr>
            </w:pPr>
            <w:r>
              <w:rPr>
                <w:i/>
                <w:iCs/>
                <w:sz w:val="21"/>
                <w:szCs w:val="21"/>
                <w:u w:val="single"/>
              </w:rPr>
              <w:t>-</w:t>
            </w:r>
            <w:r>
              <w:rPr>
                <w:rFonts w:hint="eastAsia"/>
                <w:i/>
                <w:iCs/>
                <w:sz w:val="21"/>
                <w:szCs w:val="21"/>
                <w:u w:val="single"/>
              </w:rPr>
              <w:t>-</w:t>
            </w:r>
          </w:p>
        </w:tc>
        <w:tc>
          <w:tcPr>
            <w:tcW w:w="856" w:type="pct"/>
            <w:gridSpan w:val="2"/>
            <w:noWrap w:val="0"/>
            <w:vAlign w:val="center"/>
          </w:tcPr>
          <w:p>
            <w:pPr>
              <w:pStyle w:val="317"/>
              <w:rPr>
                <w:i/>
                <w:iCs/>
                <w:sz w:val="21"/>
                <w:szCs w:val="21"/>
                <w:u w:val="single"/>
              </w:rPr>
            </w:pPr>
            <w:r>
              <w:rPr>
                <w:i/>
                <w:iCs/>
                <w:sz w:val="21"/>
                <w:szCs w:val="21"/>
                <w:u w:val="single"/>
              </w:rPr>
              <w:t>G3</w:t>
            </w:r>
          </w:p>
        </w:tc>
        <w:tc>
          <w:tcPr>
            <w:tcW w:w="736" w:type="pct"/>
            <w:gridSpan w:val="3"/>
            <w:noWrap w:val="0"/>
            <w:vAlign w:val="center"/>
          </w:tcPr>
          <w:p>
            <w:pPr>
              <w:pStyle w:val="317"/>
              <w:rPr>
                <w:i/>
                <w:iCs/>
                <w:sz w:val="21"/>
                <w:szCs w:val="21"/>
                <w:u w:val="single"/>
              </w:rPr>
            </w:pPr>
            <w:r>
              <w:rPr>
                <w:rFonts w:hint="eastAsia" w:ascii="宋体" w:hAnsi="宋体"/>
                <w:i/>
                <w:iCs/>
                <w:sz w:val="21"/>
                <w:szCs w:val="21"/>
                <w:u w:val="single"/>
              </w:rPr>
              <w:t>Ⅲ</w:t>
            </w:r>
          </w:p>
        </w:tc>
        <w:tc>
          <w:tcPr>
            <w:tcW w:w="641" w:type="pct"/>
            <w:gridSpan w:val="2"/>
            <w:noWrap w:val="0"/>
            <w:vAlign w:val="center"/>
          </w:tcPr>
          <w:p>
            <w:pPr>
              <w:pStyle w:val="317"/>
              <w:rPr>
                <w:i/>
                <w:iCs/>
                <w:sz w:val="21"/>
                <w:szCs w:val="21"/>
                <w:u w:val="single"/>
              </w:rPr>
            </w:pPr>
            <w:r>
              <w:rPr>
                <w:i/>
                <w:iCs/>
                <w:sz w:val="21"/>
                <w:szCs w:val="21"/>
                <w:u w:val="single"/>
              </w:rPr>
              <w:t>D</w:t>
            </w:r>
            <w:r>
              <w:rPr>
                <w:rFonts w:hint="eastAsia"/>
                <w:i/>
                <w:iCs/>
                <w:sz w:val="21"/>
                <w:szCs w:val="21"/>
                <w:u w:val="single"/>
              </w:rPr>
              <w:t>2</w:t>
            </w:r>
          </w:p>
        </w:tc>
        <w:tc>
          <w:tcPr>
            <w:tcW w:w="676" w:type="pct"/>
            <w:noWrap w:val="0"/>
            <w:vAlign w:val="center"/>
          </w:tcPr>
          <w:p>
            <w:pPr>
              <w:pStyle w:val="317"/>
              <w:rPr>
                <w:i/>
                <w:iCs/>
                <w:sz w:val="21"/>
                <w:szCs w:val="21"/>
                <w:u w:val="single"/>
              </w:rPr>
            </w:pPr>
            <w:r>
              <w:rPr>
                <w:rFonts w:hint="eastAsia"/>
                <w:i/>
                <w:iCs/>
                <w:sz w:val="21"/>
                <w:szCs w:val="21"/>
                <w:u w:val="singl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50" w:type="pct"/>
            <w:vMerge w:val="continue"/>
            <w:noWrap w:val="0"/>
            <w:vAlign w:val="center"/>
          </w:tcPr>
          <w:p>
            <w:pPr>
              <w:pStyle w:val="317"/>
              <w:rPr>
                <w:i/>
                <w:iCs/>
                <w:sz w:val="21"/>
                <w:szCs w:val="21"/>
                <w:u w:val="single"/>
              </w:rPr>
            </w:pPr>
          </w:p>
        </w:tc>
        <w:tc>
          <w:tcPr>
            <w:tcW w:w="3972" w:type="pct"/>
            <w:gridSpan w:val="9"/>
            <w:noWrap w:val="0"/>
            <w:vAlign w:val="center"/>
          </w:tcPr>
          <w:p>
            <w:pPr>
              <w:pStyle w:val="317"/>
              <w:rPr>
                <w:i/>
                <w:iCs/>
                <w:sz w:val="21"/>
                <w:szCs w:val="21"/>
                <w:u w:val="single"/>
              </w:rPr>
            </w:pPr>
            <w:r>
              <w:rPr>
                <w:i/>
                <w:iCs/>
                <w:sz w:val="21"/>
                <w:szCs w:val="21"/>
                <w:u w:val="single"/>
              </w:rPr>
              <w:t>地下水环境敏感程度E值</w:t>
            </w:r>
          </w:p>
        </w:tc>
        <w:tc>
          <w:tcPr>
            <w:tcW w:w="676" w:type="pct"/>
            <w:noWrap w:val="0"/>
            <w:vAlign w:val="center"/>
          </w:tcPr>
          <w:p>
            <w:pPr>
              <w:pStyle w:val="317"/>
              <w:rPr>
                <w:i/>
                <w:iCs/>
                <w:sz w:val="21"/>
                <w:szCs w:val="21"/>
                <w:u w:val="single"/>
              </w:rPr>
            </w:pPr>
            <w:r>
              <w:rPr>
                <w:i/>
                <w:iCs/>
                <w:sz w:val="21"/>
                <w:szCs w:val="21"/>
                <w:u w:val="single"/>
              </w:rPr>
              <w:t>E</w:t>
            </w:r>
            <w:r>
              <w:rPr>
                <w:rFonts w:hint="eastAsia"/>
                <w:i/>
                <w:iCs/>
                <w:sz w:val="21"/>
                <w:szCs w:val="21"/>
                <w:u w:val="single"/>
              </w:rPr>
              <w:t>3</w:t>
            </w:r>
          </w:p>
        </w:tc>
      </w:tr>
    </w:tbl>
    <w:p>
      <w:pPr>
        <w:pStyle w:val="90"/>
        <w:adjustRightInd/>
        <w:spacing w:line="360" w:lineRule="auto"/>
        <w:ind w:firstLine="480" w:firstLineChars="200"/>
        <w:rPr>
          <w:rFonts w:hint="eastAsia"/>
          <w:i w:val="0"/>
          <w:iCs w:val="0"/>
          <w:color w:val="auto"/>
          <w:lang w:val="zh-CN"/>
        </w:rPr>
      </w:pPr>
      <w:r>
        <w:rPr>
          <w:rFonts w:hint="eastAsia"/>
          <w:i w:val="0"/>
          <w:iCs w:val="0"/>
          <w:color w:val="auto"/>
        </w:rPr>
        <w:t>4、</w:t>
      </w:r>
      <w:r>
        <w:rPr>
          <w:rFonts w:hint="eastAsia"/>
          <w:i w:val="0"/>
          <w:iCs w:val="0"/>
          <w:color w:val="auto"/>
          <w:lang w:val="zh-CN"/>
        </w:rPr>
        <w:t>环境风险潜势初判</w:t>
      </w:r>
    </w:p>
    <w:p>
      <w:pPr>
        <w:pStyle w:val="90"/>
        <w:adjustRightInd/>
        <w:spacing w:line="360" w:lineRule="auto"/>
        <w:ind w:firstLine="480" w:firstLineChars="200"/>
        <w:rPr>
          <w:rFonts w:hint="eastAsia"/>
          <w:i w:val="0"/>
          <w:iCs w:val="0"/>
          <w:color w:val="auto"/>
          <w:lang w:val="zh-CN"/>
        </w:rPr>
      </w:pPr>
      <w:r>
        <w:rPr>
          <w:rFonts w:hint="eastAsia"/>
          <w:i w:val="0"/>
          <w:iCs w:val="0"/>
          <w:color w:val="auto"/>
          <w:lang w:val="zh-CN"/>
        </w:rPr>
        <w:t>（</w:t>
      </w:r>
      <w:r>
        <w:rPr>
          <w:rFonts w:hint="eastAsia"/>
          <w:i w:val="0"/>
          <w:iCs w:val="0"/>
          <w:color w:val="auto"/>
        </w:rPr>
        <w:t>1</w:t>
      </w:r>
      <w:r>
        <w:rPr>
          <w:rFonts w:hint="eastAsia"/>
          <w:i w:val="0"/>
          <w:iCs w:val="0"/>
          <w:color w:val="auto"/>
          <w:lang w:val="zh-CN"/>
        </w:rPr>
        <w:t>）P的分级确定</w:t>
      </w:r>
    </w:p>
    <w:p>
      <w:pPr>
        <w:pStyle w:val="90"/>
        <w:adjustRightInd/>
        <w:spacing w:line="360" w:lineRule="auto"/>
        <w:ind w:firstLine="480" w:firstLineChars="200"/>
        <w:rPr>
          <w:rFonts w:hint="eastAsia"/>
          <w:i w:val="0"/>
          <w:iCs w:val="0"/>
          <w:color w:val="auto"/>
          <w:lang w:val="zh-CN"/>
        </w:rPr>
      </w:pPr>
      <w:r>
        <w:rPr>
          <w:rFonts w:hint="eastAsia"/>
          <w:i w:val="0"/>
          <w:iCs w:val="0"/>
          <w:color w:val="auto"/>
          <w:lang w:val="zh-CN"/>
        </w:rPr>
        <w:t>本项目生产、使用、储存过程中涉及的有毒有害、易燃、易爆物质在厂区内分布情况详见表</w:t>
      </w:r>
      <w:r>
        <w:rPr>
          <w:rFonts w:hint="eastAsia"/>
          <w:i w:val="0"/>
          <w:iCs w:val="0"/>
          <w:color w:val="auto"/>
        </w:rPr>
        <w:t>1</w:t>
      </w:r>
      <w:r>
        <w:rPr>
          <w:rFonts w:hint="eastAsia"/>
          <w:i w:val="0"/>
          <w:iCs w:val="0"/>
          <w:color w:val="auto"/>
          <w:lang w:val="zh-CN"/>
        </w:rPr>
        <w:t>。对照《建设项目环境风险评价技术导则》HJ169-2018中附录B，本项目涉及的危险物质及临界量详见表</w:t>
      </w:r>
      <w:r>
        <w:rPr>
          <w:rFonts w:hint="eastAsia"/>
          <w:i w:val="0"/>
          <w:iCs w:val="0"/>
          <w:color w:val="auto"/>
        </w:rPr>
        <w:t>3</w:t>
      </w:r>
      <w:r>
        <w:rPr>
          <w:rFonts w:hint="eastAsia"/>
          <w:i w:val="0"/>
          <w:iCs w:val="0"/>
          <w:color w:val="auto"/>
          <w:lang w:val="zh-CN"/>
        </w:rPr>
        <w:t>。</w:t>
      </w:r>
    </w:p>
    <w:p>
      <w:pPr>
        <w:pStyle w:val="90"/>
        <w:adjustRightInd/>
        <w:spacing w:line="360" w:lineRule="auto"/>
        <w:ind w:firstLine="480" w:firstLineChars="200"/>
        <w:rPr>
          <w:rFonts w:hint="eastAsia"/>
          <w:i w:val="0"/>
          <w:iCs w:val="0"/>
          <w:color w:val="auto"/>
          <w:lang w:val="zh-CN"/>
        </w:rPr>
      </w:pPr>
      <w:r>
        <w:rPr>
          <w:rFonts w:hint="eastAsia"/>
          <w:i w:val="0"/>
          <w:iCs w:val="0"/>
          <w:color w:val="auto"/>
          <w:lang w:val="zh-CN"/>
        </w:rPr>
        <w:t>1）危险物质数量与临界量比值（Q）</w:t>
      </w:r>
    </w:p>
    <w:p>
      <w:pPr>
        <w:pStyle w:val="90"/>
        <w:adjustRightInd/>
        <w:spacing w:line="360" w:lineRule="auto"/>
        <w:ind w:firstLine="480" w:firstLineChars="200"/>
        <w:rPr>
          <w:rFonts w:hint="eastAsia"/>
          <w:i w:val="0"/>
          <w:iCs w:val="0"/>
          <w:color w:val="auto"/>
          <w:lang w:val="zh-CN"/>
        </w:rPr>
      </w:pPr>
      <w:r>
        <w:rPr>
          <w:rFonts w:hint="eastAsia"/>
          <w:i w:val="0"/>
          <w:iCs w:val="0"/>
          <w:color w:val="auto"/>
          <w:lang w:val="zh-CN"/>
        </w:rPr>
        <w:t>计算所涉及的每种危险物质在厂界内的最大存在总量与其在附录B中对应临界量的比值Q。在不同厂区的同一种物质，按其在厂界内的最大存在总量计算。对于长输管线项目，按照两个截断阀室之间管道危险物质最大存在总量计算。</w:t>
      </w:r>
    </w:p>
    <w:p>
      <w:pPr>
        <w:pStyle w:val="90"/>
        <w:adjustRightInd/>
        <w:spacing w:line="360" w:lineRule="auto"/>
        <w:ind w:firstLine="480" w:firstLineChars="200"/>
        <w:rPr>
          <w:rFonts w:hint="eastAsia"/>
          <w:i w:val="0"/>
          <w:iCs w:val="0"/>
          <w:color w:val="auto"/>
          <w:lang w:val="zh-CN"/>
        </w:rPr>
      </w:pPr>
      <w:r>
        <w:rPr>
          <w:rFonts w:hint="eastAsia"/>
          <w:i w:val="0"/>
          <w:iCs w:val="0"/>
          <w:color w:val="auto"/>
          <w:lang w:val="zh-CN"/>
        </w:rPr>
        <w:t>当只涉及一种危险物质时，计算该物质的总量与其临界量比值，即为Q；</w:t>
      </w:r>
    </w:p>
    <w:p>
      <w:pPr>
        <w:pStyle w:val="90"/>
        <w:adjustRightInd/>
        <w:spacing w:line="360" w:lineRule="auto"/>
        <w:ind w:firstLine="480" w:firstLineChars="200"/>
        <w:rPr>
          <w:rFonts w:hint="eastAsia"/>
          <w:i w:val="0"/>
          <w:iCs w:val="0"/>
          <w:color w:val="auto"/>
          <w:lang w:val="zh-CN"/>
        </w:rPr>
      </w:pPr>
      <w:r>
        <w:rPr>
          <w:rFonts w:hint="eastAsia"/>
          <w:i w:val="0"/>
          <w:iCs w:val="0"/>
          <w:color w:val="auto"/>
          <w:lang w:val="zh-CN"/>
        </w:rPr>
        <w:t>当存在多种危险物质时，则按式（C.1）计算物质总量与其临界量比值（Q）；</w:t>
      </w:r>
    </w:p>
    <w:p>
      <w:pPr>
        <w:pStyle w:val="90"/>
        <w:adjustRightInd/>
        <w:spacing w:line="360" w:lineRule="auto"/>
        <w:ind w:firstLine="480" w:firstLineChars="200"/>
        <w:rPr>
          <w:rFonts w:hint="eastAsia"/>
          <w:i w:val="0"/>
          <w:iCs w:val="0"/>
          <w:color w:val="auto"/>
          <w:lang w:val="zh-CN"/>
        </w:rPr>
      </w:pPr>
      <w:r>
        <w:rPr>
          <w:rFonts w:hint="eastAsia"/>
          <w:i w:val="0"/>
          <w:iCs w:val="0"/>
          <w:color w:val="auto"/>
          <w:lang w:val="zh-CN"/>
        </w:rPr>
        <w:t>Q=q1/Q1+q2/Q2+…+qn/Qn………………………（C.1）</w:t>
      </w:r>
    </w:p>
    <w:p>
      <w:pPr>
        <w:pStyle w:val="90"/>
        <w:adjustRightInd/>
        <w:spacing w:line="360" w:lineRule="auto"/>
        <w:ind w:firstLine="480" w:firstLineChars="200"/>
        <w:rPr>
          <w:rFonts w:hint="eastAsia"/>
          <w:i w:val="0"/>
          <w:iCs w:val="0"/>
          <w:color w:val="auto"/>
          <w:lang w:val="zh-CN"/>
        </w:rPr>
      </w:pPr>
      <w:r>
        <w:rPr>
          <w:rFonts w:hint="eastAsia"/>
          <w:i w:val="0"/>
          <w:iCs w:val="0"/>
          <w:color w:val="auto"/>
          <w:lang w:val="zh-CN"/>
        </w:rPr>
        <w:t>式中：q1，q2，…，qn———每种危险物质的最大存在总量，t；</w:t>
      </w:r>
    </w:p>
    <w:p>
      <w:pPr>
        <w:pStyle w:val="90"/>
        <w:adjustRightInd/>
        <w:spacing w:line="360" w:lineRule="auto"/>
        <w:ind w:firstLine="480" w:firstLineChars="200"/>
        <w:rPr>
          <w:rFonts w:hint="eastAsia"/>
          <w:i w:val="0"/>
          <w:iCs w:val="0"/>
          <w:color w:val="auto"/>
          <w:lang w:val="zh-CN"/>
        </w:rPr>
      </w:pPr>
      <w:r>
        <w:rPr>
          <w:rFonts w:hint="eastAsia"/>
          <w:i w:val="0"/>
          <w:iCs w:val="0"/>
          <w:color w:val="auto"/>
          <w:lang w:val="zh-CN"/>
        </w:rPr>
        <w:t>Q1，Q2，…，Qn———每种危险物质的临界量，t。</w:t>
      </w:r>
    </w:p>
    <w:p>
      <w:pPr>
        <w:pStyle w:val="90"/>
        <w:adjustRightInd/>
        <w:spacing w:line="360" w:lineRule="auto"/>
        <w:ind w:firstLine="480" w:firstLineChars="200"/>
        <w:rPr>
          <w:rFonts w:hint="eastAsia"/>
          <w:i w:val="0"/>
          <w:iCs w:val="0"/>
          <w:color w:val="auto"/>
          <w:lang w:val="zh-CN"/>
        </w:rPr>
      </w:pPr>
      <w:r>
        <w:rPr>
          <w:rFonts w:hint="eastAsia"/>
          <w:i w:val="0"/>
          <w:iCs w:val="0"/>
          <w:color w:val="auto"/>
          <w:lang w:val="zh-CN"/>
        </w:rPr>
        <w:t>当Q&lt;1时，该项目环境风险潜势为Ⅰ。</w:t>
      </w:r>
    </w:p>
    <w:p>
      <w:pPr>
        <w:pStyle w:val="90"/>
        <w:adjustRightInd/>
        <w:spacing w:line="360" w:lineRule="auto"/>
        <w:ind w:firstLine="480" w:firstLineChars="200"/>
        <w:rPr>
          <w:rFonts w:hint="eastAsia"/>
          <w:i w:val="0"/>
          <w:iCs w:val="0"/>
          <w:color w:val="auto"/>
          <w:lang w:val="zh-CN"/>
        </w:rPr>
      </w:pPr>
      <w:r>
        <w:rPr>
          <w:rFonts w:hint="eastAsia"/>
          <w:i w:val="0"/>
          <w:iCs w:val="0"/>
          <w:color w:val="auto"/>
          <w:lang w:val="zh-CN"/>
        </w:rPr>
        <w:t>当Q≥1时，将Q值划分为：（1）1≤Q&lt;10；（2）10≤Q&lt;100；（3）Q≥100。</w:t>
      </w:r>
    </w:p>
    <w:p>
      <w:pPr>
        <w:pStyle w:val="413"/>
        <w:numPr>
          <w:ilvl w:val="4"/>
          <w:numId w:val="0"/>
        </w:numPr>
        <w:spacing w:line="240" w:lineRule="auto"/>
        <w:rPr>
          <w:rFonts w:hint="eastAsia"/>
          <w:bCs/>
          <w:i w:val="0"/>
          <w:iCs w:val="0"/>
        </w:rPr>
      </w:pPr>
      <w:r>
        <w:rPr>
          <w:rFonts w:hint="eastAsia"/>
          <w:bCs/>
          <w:i w:val="0"/>
          <w:iCs w:val="0"/>
        </w:rPr>
        <w:t>表2-2</w:t>
      </w:r>
      <w:r>
        <w:rPr>
          <w:rFonts w:hint="eastAsia"/>
          <w:bCs/>
          <w:i w:val="0"/>
          <w:iCs w:val="0"/>
          <w:lang w:val="en-US" w:eastAsia="zh-CN"/>
        </w:rPr>
        <w:t>4</w:t>
      </w:r>
      <w:r>
        <w:rPr>
          <w:rFonts w:hint="eastAsia"/>
          <w:bCs/>
          <w:i w:val="0"/>
          <w:iCs w:val="0"/>
        </w:rPr>
        <w:t xml:space="preserve"> 本项目涉及危险物质临界量一览表</w:t>
      </w:r>
    </w:p>
    <w:tbl>
      <w:tblPr>
        <w:tblStyle w:val="5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980"/>
        <w:gridCol w:w="1776"/>
        <w:gridCol w:w="2018"/>
        <w:gridCol w:w="2524"/>
        <w:gridCol w:w="182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68" w:hRule="atLeast"/>
        </w:trPr>
        <w:tc>
          <w:tcPr>
            <w:tcW w:w="537" w:type="pct"/>
            <w:noWrap w:val="0"/>
            <w:vAlign w:val="center"/>
          </w:tcPr>
          <w:p>
            <w:pPr>
              <w:pStyle w:val="317"/>
              <w:rPr>
                <w:i w:val="0"/>
                <w:iCs w:val="0"/>
                <w:sz w:val="21"/>
                <w:szCs w:val="21"/>
              </w:rPr>
            </w:pPr>
            <w:r>
              <w:rPr>
                <w:i w:val="0"/>
                <w:iCs w:val="0"/>
                <w:sz w:val="21"/>
                <w:szCs w:val="21"/>
              </w:rPr>
              <w:t>序号</w:t>
            </w:r>
          </w:p>
        </w:tc>
        <w:tc>
          <w:tcPr>
            <w:tcW w:w="973" w:type="pct"/>
            <w:noWrap w:val="0"/>
            <w:vAlign w:val="center"/>
          </w:tcPr>
          <w:p>
            <w:pPr>
              <w:pStyle w:val="317"/>
              <w:rPr>
                <w:i w:val="0"/>
                <w:iCs w:val="0"/>
                <w:sz w:val="21"/>
                <w:szCs w:val="21"/>
              </w:rPr>
            </w:pPr>
            <w:r>
              <w:rPr>
                <w:i w:val="0"/>
                <w:iCs w:val="0"/>
                <w:sz w:val="21"/>
                <w:szCs w:val="21"/>
              </w:rPr>
              <w:t>物质名称</w:t>
            </w:r>
          </w:p>
        </w:tc>
        <w:tc>
          <w:tcPr>
            <w:tcW w:w="1106" w:type="pct"/>
            <w:noWrap w:val="0"/>
            <w:vAlign w:val="center"/>
          </w:tcPr>
          <w:p>
            <w:pPr>
              <w:pStyle w:val="317"/>
              <w:rPr>
                <w:i w:val="0"/>
                <w:iCs w:val="0"/>
                <w:sz w:val="21"/>
                <w:szCs w:val="21"/>
              </w:rPr>
            </w:pPr>
            <w:r>
              <w:rPr>
                <w:i w:val="0"/>
                <w:iCs w:val="0"/>
                <w:sz w:val="21"/>
                <w:szCs w:val="21"/>
              </w:rPr>
              <w:t>临界量Qn/t</w:t>
            </w:r>
          </w:p>
        </w:tc>
        <w:tc>
          <w:tcPr>
            <w:tcW w:w="1382" w:type="pct"/>
            <w:noWrap w:val="0"/>
            <w:vAlign w:val="center"/>
          </w:tcPr>
          <w:p>
            <w:pPr>
              <w:pStyle w:val="317"/>
              <w:rPr>
                <w:i w:val="0"/>
                <w:iCs w:val="0"/>
                <w:sz w:val="21"/>
                <w:szCs w:val="21"/>
              </w:rPr>
            </w:pPr>
            <w:r>
              <w:rPr>
                <w:i w:val="0"/>
                <w:iCs w:val="0"/>
                <w:sz w:val="21"/>
                <w:szCs w:val="21"/>
              </w:rPr>
              <w:t>本项目最大储存量qn/t</w:t>
            </w:r>
          </w:p>
        </w:tc>
        <w:tc>
          <w:tcPr>
            <w:tcW w:w="1000" w:type="pct"/>
            <w:noWrap w:val="0"/>
            <w:vAlign w:val="center"/>
          </w:tcPr>
          <w:p>
            <w:pPr>
              <w:pStyle w:val="317"/>
              <w:rPr>
                <w:i w:val="0"/>
                <w:iCs w:val="0"/>
                <w:sz w:val="21"/>
                <w:szCs w:val="21"/>
              </w:rPr>
            </w:pPr>
            <w:r>
              <w:rPr>
                <w:i w:val="0"/>
                <w:iCs w:val="0"/>
                <w:sz w:val="21"/>
                <w:szCs w:val="21"/>
              </w:rPr>
              <w:t>Q值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537" w:type="pct"/>
            <w:noWrap w:val="0"/>
            <w:vAlign w:val="center"/>
          </w:tcPr>
          <w:p>
            <w:pPr>
              <w:pStyle w:val="317"/>
              <w:rPr>
                <w:i w:val="0"/>
                <w:iCs w:val="0"/>
                <w:sz w:val="21"/>
                <w:szCs w:val="21"/>
              </w:rPr>
            </w:pPr>
            <w:r>
              <w:rPr>
                <w:rFonts w:hint="eastAsia"/>
                <w:i w:val="0"/>
                <w:iCs w:val="0"/>
                <w:sz w:val="21"/>
                <w:szCs w:val="21"/>
              </w:rPr>
              <w:t>1</w:t>
            </w:r>
          </w:p>
        </w:tc>
        <w:tc>
          <w:tcPr>
            <w:tcW w:w="973" w:type="pct"/>
            <w:noWrap w:val="0"/>
            <w:vAlign w:val="center"/>
          </w:tcPr>
          <w:p>
            <w:pPr>
              <w:pStyle w:val="317"/>
              <w:rPr>
                <w:i w:val="0"/>
                <w:iCs w:val="0"/>
                <w:sz w:val="21"/>
                <w:szCs w:val="21"/>
              </w:rPr>
            </w:pPr>
            <w:r>
              <w:rPr>
                <w:rFonts w:hint="eastAsia"/>
                <w:i w:val="0"/>
                <w:iCs w:val="0"/>
                <w:sz w:val="21"/>
                <w:szCs w:val="21"/>
              </w:rPr>
              <w:t>氨水</w:t>
            </w:r>
          </w:p>
        </w:tc>
        <w:tc>
          <w:tcPr>
            <w:tcW w:w="2018" w:type="dxa"/>
            <w:noWrap w:val="0"/>
            <w:vAlign w:val="center"/>
          </w:tcPr>
          <w:p>
            <w:pPr>
              <w:pStyle w:val="317"/>
              <w:rPr>
                <w:i w:val="0"/>
                <w:iCs w:val="0"/>
                <w:sz w:val="21"/>
                <w:szCs w:val="21"/>
              </w:rPr>
            </w:pPr>
            <w:r>
              <w:rPr>
                <w:rFonts w:hint="eastAsia"/>
                <w:i w:val="0"/>
                <w:iCs w:val="0"/>
                <w:sz w:val="21"/>
                <w:szCs w:val="21"/>
              </w:rPr>
              <w:t>10</w:t>
            </w:r>
          </w:p>
        </w:tc>
        <w:tc>
          <w:tcPr>
            <w:tcW w:w="2524" w:type="dxa"/>
            <w:noWrap w:val="0"/>
            <w:vAlign w:val="center"/>
          </w:tcPr>
          <w:p>
            <w:pPr>
              <w:pStyle w:val="317"/>
              <w:rPr>
                <w:i w:val="0"/>
                <w:iCs w:val="0"/>
                <w:sz w:val="21"/>
                <w:szCs w:val="21"/>
              </w:rPr>
            </w:pPr>
            <w:r>
              <w:rPr>
                <w:rFonts w:hint="eastAsia"/>
                <w:i w:val="0"/>
                <w:iCs w:val="0"/>
                <w:sz w:val="21"/>
                <w:szCs w:val="21"/>
                <w:lang w:val="en-US" w:eastAsia="zh-CN"/>
              </w:rPr>
              <w:t>17.2</w:t>
            </w:r>
          </w:p>
        </w:tc>
        <w:tc>
          <w:tcPr>
            <w:tcW w:w="1825" w:type="dxa"/>
            <w:noWrap w:val="0"/>
            <w:vAlign w:val="center"/>
          </w:tcPr>
          <w:p>
            <w:pPr>
              <w:jc w:val="center"/>
              <w:rPr>
                <w:i w:val="0"/>
                <w:iCs w:val="0"/>
                <w:sz w:val="21"/>
                <w:szCs w:val="21"/>
              </w:rPr>
            </w:pPr>
            <w:r>
              <w:rPr>
                <w:rFonts w:hint="eastAsia"/>
                <w:i w:val="0"/>
                <w:iCs w:val="0"/>
                <w:sz w:val="21"/>
                <w:szCs w:val="21"/>
                <w:lang w:val="en-US" w:eastAsia="zh-CN"/>
              </w:rPr>
              <w:t>1.72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537" w:type="pct"/>
            <w:noWrap w:val="0"/>
            <w:vAlign w:val="center"/>
          </w:tcPr>
          <w:p>
            <w:pPr>
              <w:pStyle w:val="317"/>
              <w:rPr>
                <w:i w:val="0"/>
                <w:iCs w:val="0"/>
                <w:sz w:val="21"/>
                <w:szCs w:val="21"/>
              </w:rPr>
            </w:pPr>
            <w:r>
              <w:rPr>
                <w:rFonts w:hint="eastAsia"/>
                <w:i w:val="0"/>
                <w:iCs w:val="0"/>
                <w:sz w:val="21"/>
                <w:szCs w:val="21"/>
              </w:rPr>
              <w:t>2</w:t>
            </w:r>
          </w:p>
        </w:tc>
        <w:tc>
          <w:tcPr>
            <w:tcW w:w="973" w:type="pct"/>
            <w:noWrap w:val="0"/>
            <w:vAlign w:val="center"/>
          </w:tcPr>
          <w:p>
            <w:pPr>
              <w:pStyle w:val="317"/>
              <w:rPr>
                <w:rFonts w:hint="eastAsia"/>
                <w:i w:val="0"/>
                <w:iCs w:val="0"/>
                <w:color w:val="000000"/>
                <w:sz w:val="21"/>
                <w:szCs w:val="21"/>
              </w:rPr>
            </w:pPr>
            <w:r>
              <w:rPr>
                <w:rFonts w:hint="eastAsia"/>
                <w:i w:val="0"/>
                <w:iCs w:val="0"/>
                <w:sz w:val="21"/>
                <w:szCs w:val="21"/>
              </w:rPr>
              <w:t>乙醇</w:t>
            </w:r>
          </w:p>
        </w:tc>
        <w:tc>
          <w:tcPr>
            <w:tcW w:w="2018" w:type="dxa"/>
            <w:noWrap w:val="0"/>
            <w:vAlign w:val="center"/>
          </w:tcPr>
          <w:p>
            <w:pPr>
              <w:pStyle w:val="317"/>
              <w:rPr>
                <w:i w:val="0"/>
                <w:iCs w:val="0"/>
                <w:sz w:val="21"/>
                <w:szCs w:val="21"/>
              </w:rPr>
            </w:pPr>
            <w:r>
              <w:rPr>
                <w:rFonts w:hint="eastAsia"/>
                <w:i w:val="0"/>
                <w:iCs w:val="0"/>
                <w:sz w:val="21"/>
                <w:szCs w:val="21"/>
              </w:rPr>
              <w:t>500</w:t>
            </w:r>
          </w:p>
        </w:tc>
        <w:tc>
          <w:tcPr>
            <w:tcW w:w="2524" w:type="dxa"/>
            <w:noWrap w:val="0"/>
            <w:vAlign w:val="center"/>
          </w:tcPr>
          <w:p>
            <w:pPr>
              <w:pStyle w:val="317"/>
              <w:rPr>
                <w:rFonts w:hint="eastAsia"/>
                <w:i w:val="0"/>
                <w:iCs w:val="0"/>
                <w:sz w:val="21"/>
                <w:szCs w:val="21"/>
              </w:rPr>
            </w:pPr>
            <w:r>
              <w:rPr>
                <w:rFonts w:hint="eastAsia"/>
                <w:i w:val="0"/>
                <w:iCs w:val="0"/>
                <w:sz w:val="21"/>
                <w:szCs w:val="21"/>
                <w:lang w:val="en-US" w:eastAsia="zh-CN"/>
              </w:rPr>
              <w:t>8.6</w:t>
            </w:r>
          </w:p>
        </w:tc>
        <w:tc>
          <w:tcPr>
            <w:tcW w:w="1825" w:type="dxa"/>
            <w:noWrap w:val="0"/>
            <w:vAlign w:val="center"/>
          </w:tcPr>
          <w:p>
            <w:pPr>
              <w:jc w:val="center"/>
              <w:rPr>
                <w:rFonts w:hint="eastAsia"/>
                <w:i w:val="0"/>
                <w:iCs w:val="0"/>
                <w:sz w:val="21"/>
                <w:szCs w:val="21"/>
              </w:rPr>
            </w:pPr>
            <w:r>
              <w:rPr>
                <w:rFonts w:hint="eastAsia"/>
                <w:i w:val="0"/>
                <w:iCs w:val="0"/>
                <w:sz w:val="21"/>
                <w:szCs w:val="21"/>
                <w:lang w:val="en-US" w:eastAsia="zh-CN"/>
              </w:rPr>
              <w:t>0.0172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537" w:type="pct"/>
            <w:noWrap w:val="0"/>
            <w:vAlign w:val="center"/>
          </w:tcPr>
          <w:p>
            <w:pPr>
              <w:pStyle w:val="317"/>
              <w:rPr>
                <w:i w:val="0"/>
                <w:iCs w:val="0"/>
                <w:sz w:val="21"/>
                <w:szCs w:val="21"/>
              </w:rPr>
            </w:pPr>
            <w:r>
              <w:rPr>
                <w:rFonts w:hint="eastAsia"/>
                <w:i w:val="0"/>
                <w:iCs w:val="0"/>
                <w:sz w:val="21"/>
                <w:szCs w:val="21"/>
              </w:rPr>
              <w:t>3</w:t>
            </w:r>
          </w:p>
        </w:tc>
        <w:tc>
          <w:tcPr>
            <w:tcW w:w="973" w:type="pct"/>
            <w:noWrap w:val="0"/>
            <w:vAlign w:val="center"/>
          </w:tcPr>
          <w:p>
            <w:pPr>
              <w:pStyle w:val="317"/>
              <w:rPr>
                <w:rFonts w:hint="eastAsia"/>
                <w:i w:val="0"/>
                <w:iCs w:val="0"/>
                <w:color w:val="000000"/>
                <w:sz w:val="21"/>
                <w:szCs w:val="21"/>
              </w:rPr>
            </w:pPr>
            <w:r>
              <w:rPr>
                <w:rFonts w:hint="eastAsia"/>
                <w:i w:val="0"/>
                <w:iCs w:val="0"/>
                <w:sz w:val="21"/>
                <w:szCs w:val="21"/>
              </w:rPr>
              <w:t>乙醚</w:t>
            </w:r>
          </w:p>
        </w:tc>
        <w:tc>
          <w:tcPr>
            <w:tcW w:w="2018" w:type="dxa"/>
            <w:noWrap w:val="0"/>
            <w:vAlign w:val="center"/>
          </w:tcPr>
          <w:p>
            <w:pPr>
              <w:pStyle w:val="317"/>
              <w:rPr>
                <w:i w:val="0"/>
                <w:iCs w:val="0"/>
                <w:sz w:val="21"/>
                <w:szCs w:val="21"/>
              </w:rPr>
            </w:pPr>
            <w:r>
              <w:rPr>
                <w:rFonts w:hint="eastAsia"/>
                <w:i w:val="0"/>
                <w:iCs w:val="0"/>
                <w:sz w:val="21"/>
                <w:szCs w:val="21"/>
              </w:rPr>
              <w:t>10</w:t>
            </w:r>
          </w:p>
        </w:tc>
        <w:tc>
          <w:tcPr>
            <w:tcW w:w="2524" w:type="dxa"/>
            <w:noWrap w:val="0"/>
            <w:vAlign w:val="center"/>
          </w:tcPr>
          <w:p>
            <w:pPr>
              <w:pStyle w:val="317"/>
              <w:rPr>
                <w:rFonts w:hint="eastAsia"/>
                <w:i w:val="0"/>
                <w:iCs w:val="0"/>
                <w:sz w:val="21"/>
                <w:szCs w:val="21"/>
              </w:rPr>
            </w:pPr>
            <w:r>
              <w:rPr>
                <w:rFonts w:hint="eastAsia"/>
                <w:i w:val="0"/>
                <w:iCs w:val="0"/>
                <w:sz w:val="21"/>
                <w:szCs w:val="21"/>
              </w:rPr>
              <w:t>0.01</w:t>
            </w:r>
          </w:p>
        </w:tc>
        <w:tc>
          <w:tcPr>
            <w:tcW w:w="1825" w:type="dxa"/>
            <w:noWrap w:val="0"/>
            <w:vAlign w:val="center"/>
          </w:tcPr>
          <w:p>
            <w:pPr>
              <w:jc w:val="center"/>
              <w:rPr>
                <w:rFonts w:hint="eastAsia"/>
                <w:i w:val="0"/>
                <w:iCs w:val="0"/>
                <w:sz w:val="21"/>
                <w:szCs w:val="21"/>
              </w:rPr>
            </w:pPr>
            <w:r>
              <w:rPr>
                <w:rFonts w:hint="eastAsia"/>
                <w:i w:val="0"/>
                <w:iCs w:val="0"/>
                <w:sz w:val="21"/>
                <w:szCs w:val="21"/>
              </w:rPr>
              <w:t xml:space="preserve">0.0010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537" w:type="pct"/>
            <w:noWrap w:val="0"/>
            <w:vAlign w:val="center"/>
          </w:tcPr>
          <w:p>
            <w:pPr>
              <w:pStyle w:val="317"/>
              <w:rPr>
                <w:i w:val="0"/>
                <w:iCs w:val="0"/>
                <w:sz w:val="21"/>
                <w:szCs w:val="21"/>
              </w:rPr>
            </w:pPr>
            <w:r>
              <w:rPr>
                <w:rFonts w:hint="eastAsia"/>
                <w:i w:val="0"/>
                <w:iCs w:val="0"/>
                <w:sz w:val="21"/>
                <w:szCs w:val="21"/>
              </w:rPr>
              <w:t>4</w:t>
            </w:r>
          </w:p>
        </w:tc>
        <w:tc>
          <w:tcPr>
            <w:tcW w:w="973" w:type="pct"/>
            <w:noWrap w:val="0"/>
            <w:vAlign w:val="center"/>
          </w:tcPr>
          <w:p>
            <w:pPr>
              <w:pStyle w:val="317"/>
              <w:rPr>
                <w:rFonts w:hint="eastAsia"/>
                <w:i w:val="0"/>
                <w:iCs w:val="0"/>
                <w:color w:val="000000"/>
                <w:sz w:val="21"/>
                <w:szCs w:val="21"/>
              </w:rPr>
            </w:pPr>
            <w:r>
              <w:rPr>
                <w:rFonts w:hint="eastAsia"/>
                <w:i w:val="0"/>
                <w:iCs w:val="0"/>
                <w:sz w:val="21"/>
                <w:szCs w:val="21"/>
              </w:rPr>
              <w:t>盐酸</w:t>
            </w:r>
          </w:p>
        </w:tc>
        <w:tc>
          <w:tcPr>
            <w:tcW w:w="2018" w:type="dxa"/>
            <w:noWrap w:val="0"/>
            <w:vAlign w:val="center"/>
          </w:tcPr>
          <w:p>
            <w:pPr>
              <w:pStyle w:val="317"/>
              <w:rPr>
                <w:i w:val="0"/>
                <w:iCs w:val="0"/>
                <w:sz w:val="21"/>
                <w:szCs w:val="21"/>
              </w:rPr>
            </w:pPr>
            <w:r>
              <w:rPr>
                <w:rFonts w:hint="eastAsia"/>
                <w:i w:val="0"/>
                <w:iCs w:val="0"/>
                <w:sz w:val="21"/>
                <w:szCs w:val="21"/>
              </w:rPr>
              <w:t>7.5</w:t>
            </w:r>
          </w:p>
        </w:tc>
        <w:tc>
          <w:tcPr>
            <w:tcW w:w="2524" w:type="dxa"/>
            <w:noWrap w:val="0"/>
            <w:vAlign w:val="center"/>
          </w:tcPr>
          <w:p>
            <w:pPr>
              <w:pStyle w:val="317"/>
              <w:rPr>
                <w:rFonts w:hint="eastAsia"/>
                <w:i w:val="0"/>
                <w:iCs w:val="0"/>
                <w:sz w:val="21"/>
                <w:szCs w:val="21"/>
              </w:rPr>
            </w:pPr>
            <w:r>
              <w:rPr>
                <w:rFonts w:hint="eastAsia"/>
                <w:i w:val="0"/>
                <w:iCs w:val="0"/>
                <w:sz w:val="21"/>
                <w:szCs w:val="21"/>
              </w:rPr>
              <w:t>0.005</w:t>
            </w:r>
          </w:p>
        </w:tc>
        <w:tc>
          <w:tcPr>
            <w:tcW w:w="1825" w:type="dxa"/>
            <w:noWrap w:val="0"/>
            <w:vAlign w:val="center"/>
          </w:tcPr>
          <w:p>
            <w:pPr>
              <w:jc w:val="center"/>
              <w:rPr>
                <w:rFonts w:hint="eastAsia"/>
                <w:i w:val="0"/>
                <w:iCs w:val="0"/>
                <w:sz w:val="21"/>
                <w:szCs w:val="21"/>
              </w:rPr>
            </w:pPr>
            <w:r>
              <w:rPr>
                <w:rFonts w:hint="eastAsia"/>
                <w:i w:val="0"/>
                <w:iCs w:val="0"/>
                <w:sz w:val="21"/>
                <w:szCs w:val="21"/>
              </w:rPr>
              <w:t xml:space="preserve">0.0007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537" w:type="pct"/>
            <w:noWrap w:val="0"/>
            <w:vAlign w:val="center"/>
          </w:tcPr>
          <w:p>
            <w:pPr>
              <w:pStyle w:val="317"/>
              <w:rPr>
                <w:i w:val="0"/>
                <w:iCs w:val="0"/>
                <w:sz w:val="21"/>
                <w:szCs w:val="21"/>
              </w:rPr>
            </w:pPr>
            <w:r>
              <w:rPr>
                <w:rFonts w:hint="eastAsia"/>
                <w:i w:val="0"/>
                <w:iCs w:val="0"/>
                <w:sz w:val="21"/>
                <w:szCs w:val="21"/>
              </w:rPr>
              <w:t>5</w:t>
            </w:r>
          </w:p>
        </w:tc>
        <w:tc>
          <w:tcPr>
            <w:tcW w:w="973" w:type="pct"/>
            <w:noWrap w:val="0"/>
            <w:vAlign w:val="center"/>
          </w:tcPr>
          <w:p>
            <w:pPr>
              <w:pStyle w:val="317"/>
              <w:rPr>
                <w:rFonts w:hint="eastAsia"/>
                <w:i w:val="0"/>
                <w:iCs w:val="0"/>
                <w:color w:val="000000"/>
                <w:sz w:val="21"/>
                <w:szCs w:val="21"/>
              </w:rPr>
            </w:pPr>
            <w:r>
              <w:rPr>
                <w:rFonts w:hint="eastAsia"/>
                <w:i w:val="0"/>
                <w:iCs w:val="0"/>
                <w:sz w:val="21"/>
                <w:szCs w:val="21"/>
              </w:rPr>
              <w:t>硫酸</w:t>
            </w:r>
          </w:p>
        </w:tc>
        <w:tc>
          <w:tcPr>
            <w:tcW w:w="2018" w:type="dxa"/>
            <w:noWrap w:val="0"/>
            <w:vAlign w:val="center"/>
          </w:tcPr>
          <w:p>
            <w:pPr>
              <w:pStyle w:val="317"/>
              <w:rPr>
                <w:i w:val="0"/>
                <w:iCs w:val="0"/>
                <w:sz w:val="21"/>
                <w:szCs w:val="21"/>
              </w:rPr>
            </w:pPr>
            <w:r>
              <w:rPr>
                <w:rFonts w:hint="eastAsia"/>
                <w:i w:val="0"/>
                <w:iCs w:val="0"/>
                <w:sz w:val="21"/>
                <w:szCs w:val="21"/>
              </w:rPr>
              <w:t>10</w:t>
            </w:r>
          </w:p>
        </w:tc>
        <w:tc>
          <w:tcPr>
            <w:tcW w:w="2524" w:type="dxa"/>
            <w:noWrap w:val="0"/>
            <w:vAlign w:val="center"/>
          </w:tcPr>
          <w:p>
            <w:pPr>
              <w:pStyle w:val="317"/>
              <w:rPr>
                <w:rFonts w:hint="eastAsia"/>
                <w:i w:val="0"/>
                <w:iCs w:val="0"/>
                <w:sz w:val="21"/>
                <w:szCs w:val="21"/>
              </w:rPr>
            </w:pPr>
            <w:r>
              <w:rPr>
                <w:rFonts w:hint="eastAsia"/>
                <w:i w:val="0"/>
                <w:iCs w:val="0"/>
                <w:sz w:val="21"/>
                <w:szCs w:val="21"/>
              </w:rPr>
              <w:t>0.005</w:t>
            </w:r>
          </w:p>
        </w:tc>
        <w:tc>
          <w:tcPr>
            <w:tcW w:w="1825" w:type="dxa"/>
            <w:noWrap w:val="0"/>
            <w:vAlign w:val="center"/>
          </w:tcPr>
          <w:p>
            <w:pPr>
              <w:jc w:val="center"/>
              <w:rPr>
                <w:rFonts w:hint="eastAsia"/>
                <w:i w:val="0"/>
                <w:iCs w:val="0"/>
                <w:sz w:val="21"/>
                <w:szCs w:val="21"/>
              </w:rPr>
            </w:pPr>
            <w:r>
              <w:rPr>
                <w:rFonts w:hint="eastAsia"/>
                <w:i w:val="0"/>
                <w:iCs w:val="0"/>
                <w:sz w:val="21"/>
                <w:szCs w:val="21"/>
              </w:rPr>
              <w:t xml:space="preserve">0.0005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537" w:type="pct"/>
            <w:noWrap w:val="0"/>
            <w:vAlign w:val="center"/>
          </w:tcPr>
          <w:p>
            <w:pPr>
              <w:pStyle w:val="317"/>
              <w:rPr>
                <w:i w:val="0"/>
                <w:iCs w:val="0"/>
                <w:sz w:val="21"/>
                <w:szCs w:val="21"/>
              </w:rPr>
            </w:pPr>
            <w:r>
              <w:rPr>
                <w:rFonts w:hint="eastAsia"/>
                <w:i w:val="0"/>
                <w:iCs w:val="0"/>
                <w:sz w:val="21"/>
                <w:szCs w:val="21"/>
              </w:rPr>
              <w:t>6</w:t>
            </w:r>
          </w:p>
        </w:tc>
        <w:tc>
          <w:tcPr>
            <w:tcW w:w="973" w:type="pct"/>
            <w:noWrap w:val="0"/>
            <w:vAlign w:val="center"/>
          </w:tcPr>
          <w:p>
            <w:pPr>
              <w:jc w:val="center"/>
              <w:rPr>
                <w:rFonts w:hint="eastAsia"/>
                <w:i w:val="0"/>
                <w:iCs w:val="0"/>
                <w:color w:val="000000"/>
                <w:sz w:val="21"/>
                <w:szCs w:val="21"/>
              </w:rPr>
            </w:pPr>
            <w:r>
              <w:rPr>
                <w:rFonts w:hint="eastAsia"/>
                <w:i w:val="0"/>
                <w:iCs w:val="0"/>
                <w:sz w:val="21"/>
                <w:szCs w:val="21"/>
              </w:rPr>
              <w:t>三氯甲烷</w:t>
            </w:r>
          </w:p>
        </w:tc>
        <w:tc>
          <w:tcPr>
            <w:tcW w:w="2018" w:type="dxa"/>
            <w:noWrap w:val="0"/>
            <w:vAlign w:val="center"/>
          </w:tcPr>
          <w:p>
            <w:pPr>
              <w:pStyle w:val="317"/>
              <w:rPr>
                <w:i w:val="0"/>
                <w:iCs w:val="0"/>
                <w:sz w:val="21"/>
                <w:szCs w:val="21"/>
              </w:rPr>
            </w:pPr>
            <w:r>
              <w:rPr>
                <w:rFonts w:hint="eastAsia"/>
                <w:i w:val="0"/>
                <w:iCs w:val="0"/>
                <w:sz w:val="21"/>
                <w:szCs w:val="21"/>
              </w:rPr>
              <w:t>10</w:t>
            </w:r>
          </w:p>
        </w:tc>
        <w:tc>
          <w:tcPr>
            <w:tcW w:w="2524" w:type="dxa"/>
            <w:noWrap w:val="0"/>
            <w:vAlign w:val="center"/>
          </w:tcPr>
          <w:p>
            <w:pPr>
              <w:jc w:val="center"/>
              <w:rPr>
                <w:rFonts w:hint="eastAsia"/>
                <w:i w:val="0"/>
                <w:iCs w:val="0"/>
                <w:sz w:val="21"/>
                <w:szCs w:val="21"/>
              </w:rPr>
            </w:pPr>
            <w:r>
              <w:rPr>
                <w:rFonts w:hint="eastAsia"/>
                <w:i w:val="0"/>
                <w:iCs w:val="0"/>
                <w:sz w:val="21"/>
                <w:szCs w:val="21"/>
              </w:rPr>
              <w:t>0.01</w:t>
            </w:r>
          </w:p>
        </w:tc>
        <w:tc>
          <w:tcPr>
            <w:tcW w:w="1825" w:type="dxa"/>
            <w:noWrap w:val="0"/>
            <w:vAlign w:val="center"/>
          </w:tcPr>
          <w:p>
            <w:pPr>
              <w:jc w:val="center"/>
              <w:rPr>
                <w:rFonts w:hint="eastAsia"/>
                <w:i w:val="0"/>
                <w:iCs w:val="0"/>
                <w:sz w:val="21"/>
                <w:szCs w:val="21"/>
              </w:rPr>
            </w:pPr>
            <w:r>
              <w:rPr>
                <w:rFonts w:hint="eastAsia"/>
                <w:i w:val="0"/>
                <w:iCs w:val="0"/>
                <w:sz w:val="21"/>
                <w:szCs w:val="21"/>
              </w:rPr>
              <w:t xml:space="preserve">0.0010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537" w:type="pct"/>
            <w:noWrap w:val="0"/>
            <w:vAlign w:val="center"/>
          </w:tcPr>
          <w:p>
            <w:pPr>
              <w:pStyle w:val="317"/>
              <w:rPr>
                <w:i w:val="0"/>
                <w:iCs w:val="0"/>
                <w:sz w:val="21"/>
                <w:szCs w:val="21"/>
              </w:rPr>
            </w:pPr>
            <w:r>
              <w:rPr>
                <w:rFonts w:hint="eastAsia"/>
                <w:i w:val="0"/>
                <w:iCs w:val="0"/>
                <w:sz w:val="21"/>
                <w:szCs w:val="21"/>
              </w:rPr>
              <w:t>7</w:t>
            </w:r>
          </w:p>
        </w:tc>
        <w:tc>
          <w:tcPr>
            <w:tcW w:w="973" w:type="pct"/>
            <w:noWrap w:val="0"/>
            <w:vAlign w:val="center"/>
          </w:tcPr>
          <w:p>
            <w:pPr>
              <w:jc w:val="center"/>
              <w:rPr>
                <w:rFonts w:hint="eastAsia"/>
                <w:i w:val="0"/>
                <w:iCs w:val="0"/>
                <w:color w:val="000000"/>
                <w:sz w:val="21"/>
                <w:szCs w:val="21"/>
              </w:rPr>
            </w:pPr>
            <w:r>
              <w:rPr>
                <w:rFonts w:hint="eastAsia"/>
                <w:i w:val="0"/>
                <w:iCs w:val="0"/>
                <w:sz w:val="21"/>
                <w:szCs w:val="21"/>
              </w:rPr>
              <w:t>甲苯</w:t>
            </w:r>
          </w:p>
        </w:tc>
        <w:tc>
          <w:tcPr>
            <w:tcW w:w="2018" w:type="dxa"/>
            <w:noWrap w:val="0"/>
            <w:vAlign w:val="center"/>
          </w:tcPr>
          <w:p>
            <w:pPr>
              <w:pStyle w:val="317"/>
              <w:rPr>
                <w:i w:val="0"/>
                <w:iCs w:val="0"/>
                <w:sz w:val="21"/>
                <w:szCs w:val="21"/>
              </w:rPr>
            </w:pPr>
            <w:r>
              <w:rPr>
                <w:rFonts w:hint="eastAsia"/>
                <w:i w:val="0"/>
                <w:iCs w:val="0"/>
                <w:sz w:val="21"/>
                <w:szCs w:val="21"/>
              </w:rPr>
              <w:t>10</w:t>
            </w:r>
          </w:p>
        </w:tc>
        <w:tc>
          <w:tcPr>
            <w:tcW w:w="2524" w:type="dxa"/>
            <w:noWrap w:val="0"/>
            <w:vAlign w:val="center"/>
          </w:tcPr>
          <w:p>
            <w:pPr>
              <w:jc w:val="center"/>
              <w:rPr>
                <w:rFonts w:hint="eastAsia"/>
                <w:i w:val="0"/>
                <w:iCs w:val="0"/>
                <w:sz w:val="21"/>
                <w:szCs w:val="21"/>
              </w:rPr>
            </w:pPr>
            <w:r>
              <w:rPr>
                <w:rFonts w:hint="eastAsia"/>
                <w:i w:val="0"/>
                <w:iCs w:val="0"/>
                <w:sz w:val="21"/>
                <w:szCs w:val="21"/>
              </w:rPr>
              <w:t>0.001</w:t>
            </w:r>
          </w:p>
        </w:tc>
        <w:tc>
          <w:tcPr>
            <w:tcW w:w="1825" w:type="dxa"/>
            <w:noWrap w:val="0"/>
            <w:vAlign w:val="center"/>
          </w:tcPr>
          <w:p>
            <w:pPr>
              <w:jc w:val="center"/>
              <w:rPr>
                <w:rFonts w:hint="eastAsia"/>
                <w:i w:val="0"/>
                <w:iCs w:val="0"/>
                <w:sz w:val="21"/>
                <w:szCs w:val="21"/>
              </w:rPr>
            </w:pPr>
            <w:r>
              <w:rPr>
                <w:rFonts w:hint="eastAsia"/>
                <w:i w:val="0"/>
                <w:iCs w:val="0"/>
                <w:sz w:val="21"/>
                <w:szCs w:val="21"/>
              </w:rPr>
              <w:t xml:space="preserve">0.0001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537" w:type="pct"/>
            <w:noWrap w:val="0"/>
            <w:vAlign w:val="center"/>
          </w:tcPr>
          <w:p>
            <w:pPr>
              <w:pStyle w:val="317"/>
              <w:rPr>
                <w:i w:val="0"/>
                <w:iCs w:val="0"/>
                <w:sz w:val="21"/>
                <w:szCs w:val="21"/>
              </w:rPr>
            </w:pPr>
            <w:r>
              <w:rPr>
                <w:rFonts w:hint="eastAsia"/>
                <w:i w:val="0"/>
                <w:iCs w:val="0"/>
                <w:sz w:val="21"/>
                <w:szCs w:val="21"/>
              </w:rPr>
              <w:t>8</w:t>
            </w:r>
          </w:p>
        </w:tc>
        <w:tc>
          <w:tcPr>
            <w:tcW w:w="973" w:type="pct"/>
            <w:noWrap w:val="0"/>
            <w:vAlign w:val="center"/>
          </w:tcPr>
          <w:p>
            <w:pPr>
              <w:jc w:val="center"/>
              <w:rPr>
                <w:rFonts w:hint="eastAsia"/>
                <w:i w:val="0"/>
                <w:iCs w:val="0"/>
                <w:color w:val="000000"/>
                <w:sz w:val="21"/>
                <w:szCs w:val="21"/>
              </w:rPr>
            </w:pPr>
            <w:r>
              <w:rPr>
                <w:rFonts w:hint="eastAsia"/>
                <w:i w:val="0"/>
                <w:iCs w:val="0"/>
                <w:sz w:val="21"/>
                <w:szCs w:val="21"/>
              </w:rPr>
              <w:t>丙酮</w:t>
            </w:r>
          </w:p>
        </w:tc>
        <w:tc>
          <w:tcPr>
            <w:tcW w:w="2018" w:type="dxa"/>
            <w:noWrap w:val="0"/>
            <w:vAlign w:val="center"/>
          </w:tcPr>
          <w:p>
            <w:pPr>
              <w:pStyle w:val="317"/>
              <w:rPr>
                <w:i w:val="0"/>
                <w:iCs w:val="0"/>
                <w:sz w:val="21"/>
                <w:szCs w:val="21"/>
              </w:rPr>
            </w:pPr>
            <w:r>
              <w:rPr>
                <w:rFonts w:hint="eastAsia"/>
                <w:i w:val="0"/>
                <w:iCs w:val="0"/>
                <w:sz w:val="21"/>
                <w:szCs w:val="21"/>
              </w:rPr>
              <w:t>10</w:t>
            </w:r>
          </w:p>
        </w:tc>
        <w:tc>
          <w:tcPr>
            <w:tcW w:w="2524" w:type="dxa"/>
            <w:noWrap w:val="0"/>
            <w:vAlign w:val="center"/>
          </w:tcPr>
          <w:p>
            <w:pPr>
              <w:jc w:val="center"/>
              <w:rPr>
                <w:rFonts w:hint="eastAsia"/>
                <w:i w:val="0"/>
                <w:iCs w:val="0"/>
                <w:sz w:val="21"/>
                <w:szCs w:val="21"/>
              </w:rPr>
            </w:pPr>
            <w:r>
              <w:rPr>
                <w:rFonts w:hint="eastAsia"/>
                <w:i w:val="0"/>
                <w:iCs w:val="0"/>
                <w:sz w:val="21"/>
                <w:szCs w:val="21"/>
              </w:rPr>
              <w:t>0.01</w:t>
            </w:r>
          </w:p>
        </w:tc>
        <w:tc>
          <w:tcPr>
            <w:tcW w:w="1825" w:type="dxa"/>
            <w:noWrap w:val="0"/>
            <w:vAlign w:val="center"/>
          </w:tcPr>
          <w:p>
            <w:pPr>
              <w:jc w:val="center"/>
              <w:rPr>
                <w:rFonts w:hint="eastAsia"/>
                <w:i w:val="0"/>
                <w:iCs w:val="0"/>
                <w:sz w:val="21"/>
                <w:szCs w:val="21"/>
              </w:rPr>
            </w:pPr>
            <w:r>
              <w:rPr>
                <w:rFonts w:hint="eastAsia"/>
                <w:i w:val="0"/>
                <w:iCs w:val="0"/>
                <w:sz w:val="21"/>
                <w:szCs w:val="21"/>
              </w:rPr>
              <w:t xml:space="preserve">0.0010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537" w:type="pct"/>
            <w:noWrap w:val="0"/>
            <w:vAlign w:val="center"/>
          </w:tcPr>
          <w:p>
            <w:pPr>
              <w:pStyle w:val="317"/>
              <w:rPr>
                <w:i w:val="0"/>
                <w:iCs w:val="0"/>
                <w:sz w:val="21"/>
                <w:szCs w:val="21"/>
              </w:rPr>
            </w:pPr>
            <w:r>
              <w:rPr>
                <w:rFonts w:hint="eastAsia"/>
                <w:i w:val="0"/>
                <w:iCs w:val="0"/>
                <w:sz w:val="21"/>
                <w:szCs w:val="21"/>
              </w:rPr>
              <w:t>9</w:t>
            </w:r>
          </w:p>
        </w:tc>
        <w:tc>
          <w:tcPr>
            <w:tcW w:w="973" w:type="pct"/>
            <w:noWrap w:val="0"/>
            <w:vAlign w:val="center"/>
          </w:tcPr>
          <w:p>
            <w:pPr>
              <w:jc w:val="center"/>
              <w:rPr>
                <w:rFonts w:hint="eastAsia"/>
                <w:i w:val="0"/>
                <w:iCs w:val="0"/>
                <w:color w:val="000000"/>
                <w:sz w:val="21"/>
                <w:szCs w:val="21"/>
              </w:rPr>
            </w:pPr>
            <w:r>
              <w:rPr>
                <w:rFonts w:hint="eastAsia"/>
                <w:i w:val="0"/>
                <w:iCs w:val="0"/>
                <w:sz w:val="21"/>
                <w:szCs w:val="21"/>
              </w:rPr>
              <w:t>硝酸</w:t>
            </w:r>
          </w:p>
        </w:tc>
        <w:tc>
          <w:tcPr>
            <w:tcW w:w="2018" w:type="dxa"/>
            <w:noWrap w:val="0"/>
            <w:vAlign w:val="center"/>
          </w:tcPr>
          <w:p>
            <w:pPr>
              <w:pStyle w:val="317"/>
              <w:rPr>
                <w:i w:val="0"/>
                <w:iCs w:val="0"/>
                <w:sz w:val="21"/>
                <w:szCs w:val="21"/>
              </w:rPr>
            </w:pPr>
            <w:r>
              <w:rPr>
                <w:rFonts w:hint="eastAsia"/>
                <w:i w:val="0"/>
                <w:iCs w:val="0"/>
                <w:sz w:val="21"/>
                <w:szCs w:val="21"/>
              </w:rPr>
              <w:t>7.5</w:t>
            </w:r>
          </w:p>
        </w:tc>
        <w:tc>
          <w:tcPr>
            <w:tcW w:w="2524" w:type="dxa"/>
            <w:noWrap w:val="0"/>
            <w:vAlign w:val="center"/>
          </w:tcPr>
          <w:p>
            <w:pPr>
              <w:jc w:val="center"/>
              <w:rPr>
                <w:rFonts w:hint="eastAsia"/>
                <w:i w:val="0"/>
                <w:iCs w:val="0"/>
                <w:sz w:val="21"/>
                <w:szCs w:val="21"/>
              </w:rPr>
            </w:pPr>
            <w:r>
              <w:rPr>
                <w:rFonts w:hint="eastAsia"/>
                <w:i w:val="0"/>
                <w:iCs w:val="0"/>
                <w:color w:val="000000"/>
                <w:sz w:val="21"/>
                <w:szCs w:val="21"/>
              </w:rPr>
              <w:t>0.005</w:t>
            </w:r>
          </w:p>
        </w:tc>
        <w:tc>
          <w:tcPr>
            <w:tcW w:w="1825" w:type="dxa"/>
            <w:noWrap w:val="0"/>
            <w:vAlign w:val="center"/>
          </w:tcPr>
          <w:p>
            <w:pPr>
              <w:jc w:val="center"/>
              <w:rPr>
                <w:rFonts w:hint="eastAsia"/>
                <w:i w:val="0"/>
                <w:iCs w:val="0"/>
                <w:sz w:val="21"/>
                <w:szCs w:val="21"/>
              </w:rPr>
            </w:pPr>
            <w:r>
              <w:rPr>
                <w:rFonts w:hint="eastAsia"/>
                <w:i w:val="0"/>
                <w:iCs w:val="0"/>
                <w:sz w:val="21"/>
                <w:szCs w:val="21"/>
              </w:rPr>
              <w:t xml:space="preserve">0.0007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3999" w:type="pct"/>
            <w:gridSpan w:val="4"/>
            <w:noWrap w:val="0"/>
            <w:vAlign w:val="center"/>
          </w:tcPr>
          <w:p>
            <w:pPr>
              <w:pStyle w:val="317"/>
              <w:rPr>
                <w:i w:val="0"/>
                <w:iCs w:val="0"/>
                <w:color w:val="FF0000"/>
                <w:kern w:val="21"/>
                <w:sz w:val="21"/>
                <w:szCs w:val="21"/>
              </w:rPr>
            </w:pPr>
            <w:r>
              <w:rPr>
                <w:i w:val="0"/>
                <w:iCs w:val="0"/>
                <w:kern w:val="21"/>
                <w:sz w:val="21"/>
                <w:szCs w:val="21"/>
              </w:rPr>
              <w:t>项目Q值∑</w:t>
            </w:r>
          </w:p>
        </w:tc>
        <w:tc>
          <w:tcPr>
            <w:tcW w:w="1000" w:type="pct"/>
            <w:noWrap w:val="0"/>
            <w:vAlign w:val="center"/>
          </w:tcPr>
          <w:p>
            <w:pPr>
              <w:jc w:val="center"/>
              <w:rPr>
                <w:rFonts w:hint="default" w:eastAsia="宋体"/>
                <w:i w:val="0"/>
                <w:iCs w:val="0"/>
                <w:sz w:val="21"/>
                <w:szCs w:val="21"/>
                <w:lang w:val="en-US" w:eastAsia="zh-CN"/>
              </w:rPr>
            </w:pPr>
            <w:r>
              <w:rPr>
                <w:rFonts w:hint="eastAsia"/>
                <w:i w:val="0"/>
                <w:iCs w:val="0"/>
                <w:sz w:val="21"/>
                <w:szCs w:val="21"/>
              </w:rPr>
              <w:t>1.</w:t>
            </w:r>
            <w:r>
              <w:rPr>
                <w:rFonts w:hint="eastAsia"/>
                <w:i w:val="0"/>
                <w:iCs w:val="0"/>
                <w:sz w:val="21"/>
                <w:szCs w:val="21"/>
                <w:lang w:val="en-US" w:eastAsia="zh-CN"/>
              </w:rPr>
              <w:t>7422</w:t>
            </w:r>
          </w:p>
        </w:tc>
      </w:tr>
    </w:tbl>
    <w:p>
      <w:pPr>
        <w:pStyle w:val="90"/>
        <w:adjustRightInd/>
        <w:spacing w:line="360" w:lineRule="auto"/>
        <w:ind w:firstLine="480" w:firstLineChars="200"/>
        <w:rPr>
          <w:rFonts w:hint="eastAsia"/>
          <w:i w:val="0"/>
          <w:iCs w:val="0"/>
          <w:color w:val="auto"/>
          <w:lang w:val="zh-CN"/>
        </w:rPr>
      </w:pPr>
      <w:r>
        <w:rPr>
          <w:rFonts w:hint="eastAsia"/>
          <w:i w:val="0"/>
          <w:iCs w:val="0"/>
          <w:color w:val="auto"/>
          <w:lang w:val="zh-CN"/>
        </w:rPr>
        <w:t>本项目危险源辨识结果为Q=</w:t>
      </w:r>
      <w:r>
        <w:rPr>
          <w:rFonts w:hint="eastAsia"/>
          <w:i w:val="0"/>
          <w:iCs w:val="0"/>
          <w:color w:val="auto"/>
        </w:rPr>
        <w:t>1.</w:t>
      </w:r>
      <w:r>
        <w:rPr>
          <w:rFonts w:hint="eastAsia"/>
          <w:i w:val="0"/>
          <w:iCs w:val="0"/>
          <w:color w:val="auto"/>
          <w:lang w:val="en-US" w:eastAsia="zh-CN"/>
        </w:rPr>
        <w:t>7422</w:t>
      </w:r>
      <w:r>
        <w:rPr>
          <w:rFonts w:hint="eastAsia"/>
          <w:i w:val="0"/>
          <w:iCs w:val="0"/>
          <w:color w:val="auto"/>
          <w:lang w:val="zh-CN"/>
        </w:rPr>
        <w:t>。</w:t>
      </w:r>
    </w:p>
    <w:p>
      <w:pPr>
        <w:pStyle w:val="90"/>
        <w:adjustRightInd/>
        <w:spacing w:line="360" w:lineRule="auto"/>
        <w:ind w:firstLine="480" w:firstLineChars="200"/>
        <w:rPr>
          <w:rFonts w:hint="eastAsia"/>
          <w:i w:val="0"/>
          <w:iCs w:val="0"/>
          <w:color w:val="auto"/>
          <w:lang w:val="zh-CN"/>
        </w:rPr>
      </w:pPr>
      <w:r>
        <w:rPr>
          <w:rFonts w:hint="eastAsia"/>
          <w:i w:val="0"/>
          <w:iCs w:val="0"/>
          <w:color w:val="auto"/>
          <w:lang w:val="zh-CN"/>
        </w:rPr>
        <w:t>（</w:t>
      </w:r>
      <w:r>
        <w:rPr>
          <w:rFonts w:hint="eastAsia"/>
          <w:i w:val="0"/>
          <w:iCs w:val="0"/>
          <w:color w:val="auto"/>
        </w:rPr>
        <w:t>2</w:t>
      </w:r>
      <w:r>
        <w:rPr>
          <w:rFonts w:hint="eastAsia"/>
          <w:i w:val="0"/>
          <w:iCs w:val="0"/>
          <w:color w:val="auto"/>
          <w:lang w:val="zh-CN"/>
        </w:rPr>
        <w:t>）行业及生产工艺（M）</w:t>
      </w:r>
    </w:p>
    <w:p>
      <w:pPr>
        <w:pStyle w:val="90"/>
        <w:adjustRightInd/>
        <w:spacing w:line="360" w:lineRule="auto"/>
        <w:ind w:firstLine="480" w:firstLineChars="200"/>
        <w:rPr>
          <w:rFonts w:hint="eastAsia"/>
          <w:i w:val="0"/>
          <w:iCs w:val="0"/>
          <w:color w:val="auto"/>
          <w:lang w:val="zh-CN"/>
        </w:rPr>
      </w:pPr>
      <w:r>
        <w:rPr>
          <w:rFonts w:hint="eastAsia"/>
          <w:i w:val="0"/>
          <w:iCs w:val="0"/>
          <w:color w:val="auto"/>
          <w:lang w:val="zh-CN"/>
        </w:rPr>
        <w:t>参照《建设项目环境风险评价技术导则》（HJ169-2018）附录C评估本项目生产工艺情况。具有多套工艺单元的项目，对每套工艺单元分别评分并求和。将M值划分为（1）M&gt;20；（2）10&lt;M≤20；（3）5&lt;M≤10；（4）M≤5，分别以M1、M2、M3和M4。</w:t>
      </w:r>
    </w:p>
    <w:tbl>
      <w:tblPr>
        <w:tblStyle w:val="58"/>
        <w:tblpPr w:leftFromText="180" w:rightFromText="180" w:vertAnchor="text" w:horzAnchor="page" w:tblpX="1715" w:tblpY="312"/>
        <w:tblOverlap w:val="never"/>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1143"/>
        <w:gridCol w:w="5542"/>
        <w:gridCol w:w="1219"/>
        <w:gridCol w:w="121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626" w:type="pct"/>
            <w:noWrap w:val="0"/>
            <w:vAlign w:val="center"/>
          </w:tcPr>
          <w:p>
            <w:pPr>
              <w:pStyle w:val="317"/>
              <w:rPr>
                <w:i w:val="0"/>
                <w:iCs w:val="0"/>
                <w:sz w:val="21"/>
                <w:szCs w:val="21"/>
              </w:rPr>
            </w:pPr>
            <w:r>
              <w:rPr>
                <w:i w:val="0"/>
                <w:iCs w:val="0"/>
                <w:sz w:val="21"/>
                <w:szCs w:val="21"/>
              </w:rPr>
              <w:t>行业</w:t>
            </w:r>
          </w:p>
        </w:tc>
        <w:tc>
          <w:tcPr>
            <w:tcW w:w="3036" w:type="pct"/>
            <w:noWrap w:val="0"/>
            <w:vAlign w:val="center"/>
          </w:tcPr>
          <w:p>
            <w:pPr>
              <w:pStyle w:val="317"/>
              <w:rPr>
                <w:i w:val="0"/>
                <w:iCs w:val="0"/>
                <w:sz w:val="21"/>
                <w:szCs w:val="21"/>
              </w:rPr>
            </w:pPr>
            <w:r>
              <w:rPr>
                <w:i w:val="0"/>
                <w:iCs w:val="0"/>
                <w:sz w:val="21"/>
                <w:szCs w:val="21"/>
              </w:rPr>
              <w:t>评估依据</w:t>
            </w:r>
          </w:p>
        </w:tc>
        <w:tc>
          <w:tcPr>
            <w:tcW w:w="668" w:type="pct"/>
            <w:noWrap w:val="0"/>
            <w:vAlign w:val="center"/>
          </w:tcPr>
          <w:p>
            <w:pPr>
              <w:pStyle w:val="317"/>
              <w:rPr>
                <w:i w:val="0"/>
                <w:iCs w:val="0"/>
                <w:sz w:val="21"/>
                <w:szCs w:val="21"/>
              </w:rPr>
            </w:pPr>
            <w:r>
              <w:rPr>
                <w:i w:val="0"/>
                <w:iCs w:val="0"/>
                <w:sz w:val="21"/>
                <w:szCs w:val="21"/>
              </w:rPr>
              <w:t>分值</w:t>
            </w:r>
          </w:p>
        </w:tc>
        <w:tc>
          <w:tcPr>
            <w:tcW w:w="668" w:type="pct"/>
            <w:noWrap w:val="0"/>
            <w:vAlign w:val="center"/>
          </w:tcPr>
          <w:p>
            <w:pPr>
              <w:pStyle w:val="317"/>
              <w:rPr>
                <w:rFonts w:hint="eastAsia"/>
                <w:i w:val="0"/>
                <w:iCs w:val="0"/>
                <w:sz w:val="21"/>
                <w:szCs w:val="21"/>
              </w:rPr>
            </w:pPr>
            <w:r>
              <w:rPr>
                <w:rFonts w:hint="eastAsia"/>
                <w:i w:val="0"/>
                <w:iCs w:val="0"/>
                <w:sz w:val="21"/>
                <w:szCs w:val="21"/>
              </w:rPr>
              <w:t>得分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626" w:type="pct"/>
            <w:vMerge w:val="restart"/>
            <w:noWrap w:val="0"/>
            <w:vAlign w:val="center"/>
          </w:tcPr>
          <w:p>
            <w:pPr>
              <w:pStyle w:val="317"/>
              <w:rPr>
                <w:i w:val="0"/>
                <w:iCs w:val="0"/>
                <w:sz w:val="21"/>
                <w:szCs w:val="21"/>
              </w:rPr>
            </w:pPr>
            <w:r>
              <w:rPr>
                <w:i w:val="0"/>
                <w:iCs w:val="0"/>
                <w:sz w:val="21"/>
                <w:szCs w:val="21"/>
              </w:rPr>
              <w:t>石化、化工、医药、轻工、化纤有色冶炼等</w:t>
            </w:r>
          </w:p>
        </w:tc>
        <w:tc>
          <w:tcPr>
            <w:tcW w:w="3036" w:type="pct"/>
            <w:noWrap w:val="0"/>
            <w:vAlign w:val="center"/>
          </w:tcPr>
          <w:p>
            <w:pPr>
              <w:pStyle w:val="317"/>
              <w:rPr>
                <w:i w:val="0"/>
                <w:iCs w:val="0"/>
                <w:sz w:val="21"/>
                <w:szCs w:val="21"/>
              </w:rPr>
            </w:pPr>
            <w:r>
              <w:rPr>
                <w:i w:val="0"/>
                <w:iCs w:val="0"/>
                <w:sz w:val="21"/>
                <w:szCs w:val="21"/>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668" w:type="pct"/>
            <w:noWrap w:val="0"/>
            <w:vAlign w:val="center"/>
          </w:tcPr>
          <w:p>
            <w:pPr>
              <w:pStyle w:val="317"/>
              <w:rPr>
                <w:i w:val="0"/>
                <w:iCs w:val="0"/>
                <w:sz w:val="21"/>
                <w:szCs w:val="21"/>
              </w:rPr>
            </w:pPr>
            <w:r>
              <w:rPr>
                <w:i w:val="0"/>
                <w:iCs w:val="0"/>
                <w:sz w:val="21"/>
                <w:szCs w:val="21"/>
              </w:rPr>
              <w:t>10/套</w:t>
            </w:r>
          </w:p>
        </w:tc>
        <w:tc>
          <w:tcPr>
            <w:tcW w:w="668" w:type="pct"/>
            <w:noWrap w:val="0"/>
            <w:vAlign w:val="center"/>
          </w:tcPr>
          <w:p>
            <w:pPr>
              <w:pStyle w:val="317"/>
              <w:rPr>
                <w:i w:val="0"/>
                <w:iCs w:val="0"/>
                <w:sz w:val="21"/>
                <w:szCs w:val="21"/>
              </w:rPr>
            </w:pPr>
            <w:r>
              <w:rPr>
                <w:rFonts w:hint="eastAsia"/>
                <w:i w:val="0"/>
                <w:iCs w:val="0"/>
                <w:sz w:val="21"/>
                <w:szCs w:val="21"/>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626" w:type="pct"/>
            <w:vMerge w:val="continue"/>
            <w:noWrap w:val="0"/>
            <w:vAlign w:val="center"/>
          </w:tcPr>
          <w:p>
            <w:pPr>
              <w:pStyle w:val="317"/>
              <w:rPr>
                <w:i w:val="0"/>
                <w:iCs w:val="0"/>
                <w:sz w:val="21"/>
                <w:szCs w:val="21"/>
              </w:rPr>
            </w:pPr>
          </w:p>
        </w:tc>
        <w:tc>
          <w:tcPr>
            <w:tcW w:w="3036" w:type="pct"/>
            <w:noWrap w:val="0"/>
            <w:vAlign w:val="center"/>
          </w:tcPr>
          <w:p>
            <w:pPr>
              <w:pStyle w:val="317"/>
              <w:rPr>
                <w:i w:val="0"/>
                <w:iCs w:val="0"/>
                <w:sz w:val="21"/>
                <w:szCs w:val="21"/>
              </w:rPr>
            </w:pPr>
            <w:r>
              <w:rPr>
                <w:i w:val="0"/>
                <w:iCs w:val="0"/>
                <w:sz w:val="21"/>
                <w:szCs w:val="21"/>
              </w:rPr>
              <w:t>无机酸制酸工艺、焦化工艺</w:t>
            </w:r>
          </w:p>
        </w:tc>
        <w:tc>
          <w:tcPr>
            <w:tcW w:w="668" w:type="pct"/>
            <w:noWrap w:val="0"/>
            <w:vAlign w:val="center"/>
          </w:tcPr>
          <w:p>
            <w:pPr>
              <w:pStyle w:val="317"/>
              <w:rPr>
                <w:i w:val="0"/>
                <w:iCs w:val="0"/>
                <w:sz w:val="21"/>
                <w:szCs w:val="21"/>
              </w:rPr>
            </w:pPr>
            <w:r>
              <w:rPr>
                <w:i w:val="0"/>
                <w:iCs w:val="0"/>
                <w:sz w:val="21"/>
                <w:szCs w:val="21"/>
              </w:rPr>
              <w:t>5/套</w:t>
            </w:r>
          </w:p>
        </w:tc>
        <w:tc>
          <w:tcPr>
            <w:tcW w:w="668" w:type="pct"/>
            <w:noWrap w:val="0"/>
            <w:vAlign w:val="center"/>
          </w:tcPr>
          <w:p>
            <w:pPr>
              <w:pStyle w:val="317"/>
              <w:rPr>
                <w:rFonts w:hint="eastAsia"/>
                <w:i w:val="0"/>
                <w:iCs w:val="0"/>
                <w:sz w:val="21"/>
                <w:szCs w:val="21"/>
              </w:rPr>
            </w:pPr>
            <w:r>
              <w:rPr>
                <w:rFonts w:hint="eastAsia"/>
                <w:i w:val="0"/>
                <w:iCs w:val="0"/>
                <w:sz w:val="21"/>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626" w:type="pct"/>
            <w:vMerge w:val="continue"/>
            <w:noWrap w:val="0"/>
            <w:vAlign w:val="center"/>
          </w:tcPr>
          <w:p>
            <w:pPr>
              <w:pStyle w:val="317"/>
              <w:rPr>
                <w:i w:val="0"/>
                <w:iCs w:val="0"/>
                <w:sz w:val="21"/>
                <w:szCs w:val="21"/>
              </w:rPr>
            </w:pPr>
          </w:p>
        </w:tc>
        <w:tc>
          <w:tcPr>
            <w:tcW w:w="3036" w:type="pct"/>
            <w:noWrap w:val="0"/>
            <w:vAlign w:val="center"/>
          </w:tcPr>
          <w:p>
            <w:pPr>
              <w:pStyle w:val="317"/>
              <w:rPr>
                <w:i w:val="0"/>
                <w:iCs w:val="0"/>
                <w:sz w:val="21"/>
                <w:szCs w:val="21"/>
              </w:rPr>
            </w:pPr>
            <w:r>
              <w:rPr>
                <w:i w:val="0"/>
                <w:iCs w:val="0"/>
                <w:sz w:val="21"/>
                <w:szCs w:val="21"/>
              </w:rPr>
              <w:t>其他高温或高压，且涉及危险物质的工艺过程a、危险物质贮存罐区</w:t>
            </w:r>
          </w:p>
        </w:tc>
        <w:tc>
          <w:tcPr>
            <w:tcW w:w="668" w:type="pct"/>
            <w:noWrap w:val="0"/>
            <w:vAlign w:val="center"/>
          </w:tcPr>
          <w:p>
            <w:pPr>
              <w:pStyle w:val="317"/>
              <w:rPr>
                <w:i w:val="0"/>
                <w:iCs w:val="0"/>
                <w:sz w:val="21"/>
                <w:szCs w:val="21"/>
              </w:rPr>
            </w:pPr>
            <w:r>
              <w:rPr>
                <w:i w:val="0"/>
                <w:iCs w:val="0"/>
                <w:sz w:val="21"/>
                <w:szCs w:val="21"/>
              </w:rPr>
              <w:t>5/套（罐区）</w:t>
            </w:r>
          </w:p>
        </w:tc>
        <w:tc>
          <w:tcPr>
            <w:tcW w:w="668" w:type="pct"/>
            <w:noWrap w:val="0"/>
            <w:vAlign w:val="center"/>
          </w:tcPr>
          <w:p>
            <w:pPr>
              <w:pStyle w:val="317"/>
              <w:rPr>
                <w:i w:val="0"/>
                <w:iCs w:val="0"/>
                <w:sz w:val="21"/>
                <w:szCs w:val="21"/>
              </w:rPr>
            </w:pPr>
            <w:r>
              <w:rPr>
                <w:rFonts w:hint="eastAsia"/>
                <w:i w:val="0"/>
                <w:iCs w:val="0"/>
                <w:sz w:val="21"/>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626" w:type="pct"/>
            <w:noWrap w:val="0"/>
            <w:vAlign w:val="center"/>
          </w:tcPr>
          <w:p>
            <w:pPr>
              <w:pStyle w:val="317"/>
              <w:rPr>
                <w:i w:val="0"/>
                <w:iCs w:val="0"/>
                <w:sz w:val="21"/>
                <w:szCs w:val="21"/>
              </w:rPr>
            </w:pPr>
            <w:r>
              <w:rPr>
                <w:i w:val="0"/>
                <w:iCs w:val="0"/>
                <w:sz w:val="21"/>
                <w:szCs w:val="21"/>
              </w:rPr>
              <w:t>管道、港口/</w:t>
            </w:r>
          </w:p>
          <w:p>
            <w:pPr>
              <w:pStyle w:val="317"/>
              <w:rPr>
                <w:i w:val="0"/>
                <w:iCs w:val="0"/>
                <w:sz w:val="21"/>
                <w:szCs w:val="21"/>
              </w:rPr>
            </w:pPr>
            <w:r>
              <w:rPr>
                <w:i w:val="0"/>
                <w:iCs w:val="0"/>
                <w:sz w:val="21"/>
                <w:szCs w:val="21"/>
              </w:rPr>
              <w:t>码头等</w:t>
            </w:r>
          </w:p>
        </w:tc>
        <w:tc>
          <w:tcPr>
            <w:tcW w:w="3036" w:type="pct"/>
            <w:noWrap w:val="0"/>
            <w:vAlign w:val="center"/>
          </w:tcPr>
          <w:p>
            <w:pPr>
              <w:pStyle w:val="317"/>
              <w:rPr>
                <w:i w:val="0"/>
                <w:iCs w:val="0"/>
                <w:sz w:val="21"/>
                <w:szCs w:val="21"/>
              </w:rPr>
            </w:pPr>
            <w:r>
              <w:rPr>
                <w:i w:val="0"/>
                <w:iCs w:val="0"/>
                <w:sz w:val="21"/>
                <w:szCs w:val="21"/>
              </w:rPr>
              <w:t>涉及危险物质管道运输项目、港口/码头等</w:t>
            </w:r>
          </w:p>
        </w:tc>
        <w:tc>
          <w:tcPr>
            <w:tcW w:w="668" w:type="pct"/>
            <w:noWrap w:val="0"/>
            <w:vAlign w:val="center"/>
          </w:tcPr>
          <w:p>
            <w:pPr>
              <w:pStyle w:val="317"/>
              <w:rPr>
                <w:i w:val="0"/>
                <w:iCs w:val="0"/>
                <w:sz w:val="21"/>
                <w:szCs w:val="21"/>
              </w:rPr>
            </w:pPr>
            <w:r>
              <w:rPr>
                <w:i w:val="0"/>
                <w:iCs w:val="0"/>
                <w:sz w:val="21"/>
                <w:szCs w:val="21"/>
              </w:rPr>
              <w:t>10</w:t>
            </w:r>
          </w:p>
        </w:tc>
        <w:tc>
          <w:tcPr>
            <w:tcW w:w="668" w:type="pct"/>
            <w:noWrap w:val="0"/>
            <w:vAlign w:val="center"/>
          </w:tcPr>
          <w:p>
            <w:pPr>
              <w:pStyle w:val="317"/>
              <w:rPr>
                <w:rFonts w:hint="eastAsia"/>
                <w:i w:val="0"/>
                <w:iCs w:val="0"/>
                <w:sz w:val="21"/>
                <w:szCs w:val="21"/>
              </w:rPr>
            </w:pPr>
            <w:r>
              <w:rPr>
                <w:rFonts w:hint="eastAsia"/>
                <w:i w:val="0"/>
                <w:iCs w:val="0"/>
                <w:sz w:val="21"/>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626" w:type="pct"/>
            <w:noWrap w:val="0"/>
            <w:vAlign w:val="center"/>
          </w:tcPr>
          <w:p>
            <w:pPr>
              <w:pStyle w:val="317"/>
              <w:rPr>
                <w:i w:val="0"/>
                <w:iCs w:val="0"/>
                <w:sz w:val="21"/>
                <w:szCs w:val="21"/>
              </w:rPr>
            </w:pPr>
            <w:r>
              <w:rPr>
                <w:i w:val="0"/>
                <w:iCs w:val="0"/>
                <w:sz w:val="21"/>
                <w:szCs w:val="21"/>
              </w:rPr>
              <w:t>石油天然气</w:t>
            </w:r>
          </w:p>
        </w:tc>
        <w:tc>
          <w:tcPr>
            <w:tcW w:w="3036" w:type="pct"/>
            <w:noWrap w:val="0"/>
            <w:vAlign w:val="center"/>
          </w:tcPr>
          <w:p>
            <w:pPr>
              <w:pStyle w:val="317"/>
              <w:rPr>
                <w:i w:val="0"/>
                <w:iCs w:val="0"/>
                <w:sz w:val="21"/>
                <w:szCs w:val="21"/>
              </w:rPr>
            </w:pPr>
            <w:r>
              <w:rPr>
                <w:i w:val="0"/>
                <w:iCs w:val="0"/>
                <w:sz w:val="21"/>
                <w:szCs w:val="21"/>
              </w:rPr>
              <w:t>石油、天然气、页岩气开采（含净化），气库（不含加气站的气库），油库（不含加气站的油库）、油气管线b（不含城镇燃气管线）</w:t>
            </w:r>
          </w:p>
        </w:tc>
        <w:tc>
          <w:tcPr>
            <w:tcW w:w="668" w:type="pct"/>
            <w:noWrap w:val="0"/>
            <w:vAlign w:val="center"/>
          </w:tcPr>
          <w:p>
            <w:pPr>
              <w:pStyle w:val="317"/>
              <w:rPr>
                <w:i w:val="0"/>
                <w:iCs w:val="0"/>
                <w:sz w:val="21"/>
                <w:szCs w:val="21"/>
              </w:rPr>
            </w:pPr>
            <w:r>
              <w:rPr>
                <w:i w:val="0"/>
                <w:iCs w:val="0"/>
                <w:sz w:val="21"/>
                <w:szCs w:val="21"/>
              </w:rPr>
              <w:t>10</w:t>
            </w:r>
          </w:p>
        </w:tc>
        <w:tc>
          <w:tcPr>
            <w:tcW w:w="668" w:type="pct"/>
            <w:noWrap w:val="0"/>
            <w:vAlign w:val="center"/>
          </w:tcPr>
          <w:p>
            <w:pPr>
              <w:pStyle w:val="317"/>
              <w:rPr>
                <w:rFonts w:hint="eastAsia"/>
                <w:i w:val="0"/>
                <w:iCs w:val="0"/>
                <w:sz w:val="21"/>
                <w:szCs w:val="21"/>
              </w:rPr>
            </w:pPr>
            <w:r>
              <w:rPr>
                <w:rFonts w:hint="eastAsia"/>
                <w:i w:val="0"/>
                <w:iCs w:val="0"/>
                <w:sz w:val="21"/>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626" w:type="pct"/>
            <w:noWrap w:val="0"/>
            <w:vAlign w:val="center"/>
          </w:tcPr>
          <w:p>
            <w:pPr>
              <w:pStyle w:val="317"/>
              <w:rPr>
                <w:i w:val="0"/>
                <w:iCs w:val="0"/>
                <w:sz w:val="21"/>
                <w:szCs w:val="21"/>
              </w:rPr>
            </w:pPr>
            <w:r>
              <w:rPr>
                <w:i w:val="0"/>
                <w:iCs w:val="0"/>
                <w:sz w:val="21"/>
                <w:szCs w:val="21"/>
              </w:rPr>
              <w:t>其它</w:t>
            </w:r>
          </w:p>
        </w:tc>
        <w:tc>
          <w:tcPr>
            <w:tcW w:w="3036" w:type="pct"/>
            <w:noWrap w:val="0"/>
            <w:vAlign w:val="center"/>
          </w:tcPr>
          <w:p>
            <w:pPr>
              <w:pStyle w:val="317"/>
              <w:rPr>
                <w:i w:val="0"/>
                <w:iCs w:val="0"/>
                <w:sz w:val="21"/>
                <w:szCs w:val="21"/>
              </w:rPr>
            </w:pPr>
            <w:r>
              <w:rPr>
                <w:b/>
                <w:bCs/>
                <w:i w:val="0"/>
                <w:iCs w:val="0"/>
                <w:sz w:val="21"/>
                <w:szCs w:val="21"/>
              </w:rPr>
              <w:t>涉及危险物质使用、贮存的项目</w:t>
            </w:r>
          </w:p>
        </w:tc>
        <w:tc>
          <w:tcPr>
            <w:tcW w:w="668" w:type="pct"/>
            <w:noWrap w:val="0"/>
            <w:vAlign w:val="center"/>
          </w:tcPr>
          <w:p>
            <w:pPr>
              <w:pStyle w:val="317"/>
              <w:rPr>
                <w:i w:val="0"/>
                <w:iCs w:val="0"/>
                <w:sz w:val="21"/>
                <w:szCs w:val="21"/>
              </w:rPr>
            </w:pPr>
            <w:r>
              <w:rPr>
                <w:i w:val="0"/>
                <w:iCs w:val="0"/>
                <w:sz w:val="21"/>
                <w:szCs w:val="21"/>
              </w:rPr>
              <w:t>5</w:t>
            </w:r>
          </w:p>
        </w:tc>
        <w:tc>
          <w:tcPr>
            <w:tcW w:w="668" w:type="pct"/>
            <w:noWrap w:val="0"/>
            <w:vAlign w:val="center"/>
          </w:tcPr>
          <w:p>
            <w:pPr>
              <w:pStyle w:val="317"/>
              <w:rPr>
                <w:rFonts w:hint="eastAsia"/>
                <w:i w:val="0"/>
                <w:iCs w:val="0"/>
                <w:sz w:val="21"/>
                <w:szCs w:val="21"/>
              </w:rPr>
            </w:pPr>
            <w:r>
              <w:rPr>
                <w:rFonts w:hint="eastAsia"/>
                <w:i w:val="0"/>
                <w:iCs w:val="0"/>
                <w:sz w:val="21"/>
                <w:szCs w:val="21"/>
              </w:rPr>
              <w:t>5</w:t>
            </w:r>
          </w:p>
        </w:tc>
      </w:tr>
    </w:tbl>
    <w:p>
      <w:pPr>
        <w:pStyle w:val="413"/>
        <w:numPr>
          <w:ilvl w:val="4"/>
          <w:numId w:val="0"/>
        </w:numPr>
        <w:spacing w:line="240" w:lineRule="auto"/>
        <w:rPr>
          <w:rFonts w:hint="eastAsia"/>
          <w:bCs/>
          <w:i w:val="0"/>
          <w:iCs w:val="0"/>
        </w:rPr>
      </w:pPr>
      <w:r>
        <w:rPr>
          <w:rFonts w:hint="eastAsia"/>
          <w:bCs/>
          <w:i w:val="0"/>
          <w:iCs w:val="0"/>
        </w:rPr>
        <w:t>表2-2</w:t>
      </w:r>
      <w:r>
        <w:rPr>
          <w:rFonts w:hint="eastAsia"/>
          <w:bCs/>
          <w:i w:val="0"/>
          <w:iCs w:val="0"/>
          <w:lang w:val="en-US" w:eastAsia="zh-CN"/>
        </w:rPr>
        <w:t>5</w:t>
      </w:r>
      <w:r>
        <w:rPr>
          <w:rFonts w:hint="eastAsia"/>
          <w:bCs/>
          <w:i w:val="0"/>
          <w:iCs w:val="0"/>
        </w:rPr>
        <w:t>项目行业及生产工艺过程评估</w:t>
      </w:r>
    </w:p>
    <w:p>
      <w:pPr>
        <w:jc w:val="left"/>
        <w:rPr>
          <w:b/>
          <w:i w:val="0"/>
          <w:iCs w:val="0"/>
          <w:kern w:val="21"/>
          <w:sz w:val="21"/>
          <w:szCs w:val="21"/>
        </w:rPr>
      </w:pPr>
      <w:r>
        <w:rPr>
          <w:b/>
          <w:i w:val="0"/>
          <w:iCs w:val="0"/>
          <w:kern w:val="21"/>
          <w:sz w:val="21"/>
          <w:szCs w:val="21"/>
        </w:rPr>
        <w:t>注：a高温指工艺温度≥300℃，高压指压力容器的设计压力（P）≥10.0 MPa；b长输管道运输项目应按站场、管线分段进行评价。</w:t>
      </w:r>
    </w:p>
    <w:p>
      <w:pPr>
        <w:pStyle w:val="90"/>
        <w:adjustRightInd/>
        <w:spacing w:line="360" w:lineRule="auto"/>
        <w:ind w:firstLine="480" w:firstLineChars="200"/>
        <w:rPr>
          <w:rFonts w:hint="eastAsia"/>
          <w:i w:val="0"/>
          <w:iCs w:val="0"/>
          <w:color w:val="auto"/>
          <w:lang w:val="zh-CN"/>
        </w:rPr>
      </w:pPr>
      <w:r>
        <w:rPr>
          <w:rFonts w:hint="eastAsia"/>
          <w:i w:val="0"/>
          <w:iCs w:val="0"/>
          <w:color w:val="auto"/>
          <w:lang w:val="zh-CN"/>
        </w:rPr>
        <w:t>本项目主要生产饲料添加剂，不属于“石化、化工、医药、轻工、化纤有色冶炼等行业，且不涉及危险物质的工业过程a、危险物质贮存罐区”，5/套（罐区），根据工艺可知，本项目工艺不属于高温、高压，由于本项目含有氨储罐及乙醇储罐，因此属于危险物质贮存罐区，本项目罐区涉及为</w:t>
      </w:r>
      <w:r>
        <w:rPr>
          <w:rFonts w:hint="eastAsia"/>
          <w:i w:val="0"/>
          <w:iCs w:val="0"/>
          <w:color w:val="auto"/>
        </w:rPr>
        <w:t>1</w:t>
      </w:r>
      <w:r>
        <w:rPr>
          <w:rFonts w:hint="eastAsia"/>
          <w:i w:val="0"/>
          <w:iCs w:val="0"/>
          <w:color w:val="auto"/>
          <w:lang w:val="zh-CN"/>
        </w:rPr>
        <w:t>套，M分值为</w:t>
      </w:r>
      <w:r>
        <w:rPr>
          <w:rFonts w:hint="eastAsia"/>
          <w:i w:val="0"/>
          <w:iCs w:val="0"/>
          <w:color w:val="auto"/>
        </w:rPr>
        <w:t>5</w:t>
      </w:r>
      <w:r>
        <w:rPr>
          <w:rFonts w:hint="eastAsia"/>
          <w:i w:val="0"/>
          <w:iCs w:val="0"/>
          <w:color w:val="auto"/>
          <w:lang w:val="zh-CN"/>
        </w:rPr>
        <w:t>，即行业及生产工艺风险值为M</w:t>
      </w:r>
      <w:r>
        <w:rPr>
          <w:rFonts w:hint="eastAsia"/>
          <w:i w:val="0"/>
          <w:iCs w:val="0"/>
          <w:color w:val="auto"/>
        </w:rPr>
        <w:t>4</w:t>
      </w:r>
      <w:r>
        <w:rPr>
          <w:rFonts w:hint="eastAsia"/>
          <w:i w:val="0"/>
          <w:iCs w:val="0"/>
          <w:color w:val="auto"/>
          <w:lang w:val="zh-CN"/>
        </w:rPr>
        <w:t>。</w:t>
      </w:r>
    </w:p>
    <w:p>
      <w:pPr>
        <w:pStyle w:val="90"/>
        <w:adjustRightInd/>
        <w:spacing w:line="360" w:lineRule="auto"/>
        <w:ind w:firstLine="480" w:firstLineChars="200"/>
        <w:rPr>
          <w:rFonts w:hint="eastAsia"/>
          <w:i w:val="0"/>
          <w:iCs w:val="0"/>
          <w:color w:val="auto"/>
          <w:lang w:val="zh-CN"/>
        </w:rPr>
      </w:pPr>
      <w:r>
        <w:rPr>
          <w:rFonts w:hint="eastAsia"/>
          <w:i w:val="0"/>
          <w:iCs w:val="0"/>
          <w:color w:val="auto"/>
          <w:lang w:val="zh-CN"/>
        </w:rPr>
        <w:t>（</w:t>
      </w:r>
      <w:r>
        <w:rPr>
          <w:rFonts w:hint="eastAsia"/>
          <w:i w:val="0"/>
          <w:iCs w:val="0"/>
          <w:color w:val="auto"/>
        </w:rPr>
        <w:t>3</w:t>
      </w:r>
      <w:r>
        <w:rPr>
          <w:rFonts w:hint="eastAsia"/>
          <w:i w:val="0"/>
          <w:iCs w:val="0"/>
          <w:color w:val="auto"/>
          <w:lang w:val="zh-CN"/>
        </w:rPr>
        <w:t>）危险物质及工艺系统危险性（P）分级</w:t>
      </w:r>
    </w:p>
    <w:p>
      <w:pPr>
        <w:pStyle w:val="90"/>
        <w:adjustRightInd/>
        <w:spacing w:line="360" w:lineRule="auto"/>
        <w:ind w:firstLine="480" w:firstLineChars="200"/>
        <w:rPr>
          <w:rFonts w:hint="eastAsia"/>
          <w:i w:val="0"/>
          <w:iCs w:val="0"/>
          <w:color w:val="auto"/>
          <w:lang w:val="zh-CN"/>
        </w:rPr>
      </w:pPr>
      <w:r>
        <w:rPr>
          <w:rFonts w:hint="eastAsia"/>
          <w:i w:val="0"/>
          <w:iCs w:val="0"/>
          <w:color w:val="auto"/>
          <w:lang w:val="zh-CN"/>
        </w:rPr>
        <w:t>根据危险物质数量与临界量比值（Q）和行业及生产工艺（M），按照《建设项目环境风险评价技术导则》（HJ169-2018）附录C表C.2确定危险物质及工艺系统危险性等级（P），分别以P1、P2、P3、P4表示。</w:t>
      </w:r>
    </w:p>
    <w:p>
      <w:pPr>
        <w:pStyle w:val="413"/>
        <w:numPr>
          <w:ilvl w:val="4"/>
          <w:numId w:val="0"/>
        </w:numPr>
        <w:spacing w:line="240" w:lineRule="auto"/>
        <w:rPr>
          <w:rFonts w:hint="eastAsia"/>
          <w:bCs/>
          <w:i w:val="0"/>
          <w:iCs w:val="0"/>
        </w:rPr>
      </w:pPr>
      <w:r>
        <w:rPr>
          <w:rFonts w:hint="eastAsia"/>
          <w:bCs/>
          <w:i w:val="0"/>
          <w:iCs w:val="0"/>
        </w:rPr>
        <w:t>表2-2</w:t>
      </w:r>
      <w:r>
        <w:rPr>
          <w:rFonts w:hint="eastAsia"/>
          <w:bCs/>
          <w:i w:val="0"/>
          <w:iCs w:val="0"/>
          <w:lang w:val="en-US" w:eastAsia="zh-CN"/>
        </w:rPr>
        <w:t>6</w:t>
      </w:r>
      <w:r>
        <w:rPr>
          <w:rFonts w:hint="eastAsia"/>
          <w:bCs/>
          <w:i w:val="0"/>
          <w:iCs w:val="0"/>
        </w:rPr>
        <w:t xml:space="preserve"> 本项目危险物质及工艺系统危险性等级判断</w:t>
      </w:r>
    </w:p>
    <w:tbl>
      <w:tblPr>
        <w:tblStyle w:val="58"/>
        <w:tblW w:w="8844"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3261"/>
        <w:gridCol w:w="1395"/>
        <w:gridCol w:w="1396"/>
        <w:gridCol w:w="1396"/>
        <w:gridCol w:w="139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261" w:type="dxa"/>
            <w:vMerge w:val="restart"/>
            <w:noWrap w:val="0"/>
            <w:vAlign w:val="center"/>
          </w:tcPr>
          <w:p>
            <w:pPr>
              <w:pStyle w:val="317"/>
              <w:rPr>
                <w:i w:val="0"/>
                <w:iCs w:val="0"/>
                <w:sz w:val="21"/>
                <w:szCs w:val="21"/>
              </w:rPr>
            </w:pPr>
            <w:r>
              <w:rPr>
                <w:i w:val="0"/>
                <w:iCs w:val="0"/>
                <w:sz w:val="21"/>
                <w:szCs w:val="21"/>
              </w:rPr>
              <w:t>危险物质数量与临界量比值（Q）</w:t>
            </w:r>
          </w:p>
        </w:tc>
        <w:tc>
          <w:tcPr>
            <w:tcW w:w="5583" w:type="dxa"/>
            <w:gridSpan w:val="4"/>
            <w:noWrap w:val="0"/>
            <w:vAlign w:val="center"/>
          </w:tcPr>
          <w:p>
            <w:pPr>
              <w:pStyle w:val="317"/>
              <w:rPr>
                <w:i w:val="0"/>
                <w:iCs w:val="0"/>
                <w:sz w:val="21"/>
                <w:szCs w:val="21"/>
              </w:rPr>
            </w:pPr>
            <w:r>
              <w:rPr>
                <w:i w:val="0"/>
                <w:iCs w:val="0"/>
                <w:sz w:val="21"/>
                <w:szCs w:val="21"/>
              </w:rPr>
              <w:t>行业及生产工艺（M）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261" w:type="dxa"/>
            <w:vMerge w:val="continue"/>
            <w:noWrap w:val="0"/>
            <w:vAlign w:val="center"/>
          </w:tcPr>
          <w:p>
            <w:pPr>
              <w:pStyle w:val="317"/>
              <w:rPr>
                <w:i w:val="0"/>
                <w:iCs w:val="0"/>
                <w:sz w:val="21"/>
                <w:szCs w:val="21"/>
              </w:rPr>
            </w:pPr>
          </w:p>
        </w:tc>
        <w:tc>
          <w:tcPr>
            <w:tcW w:w="1395" w:type="dxa"/>
            <w:noWrap w:val="0"/>
            <w:vAlign w:val="center"/>
          </w:tcPr>
          <w:p>
            <w:pPr>
              <w:pStyle w:val="317"/>
              <w:rPr>
                <w:i w:val="0"/>
                <w:iCs w:val="0"/>
                <w:sz w:val="21"/>
                <w:szCs w:val="21"/>
              </w:rPr>
            </w:pPr>
            <w:r>
              <w:rPr>
                <w:i w:val="0"/>
                <w:iCs w:val="0"/>
                <w:sz w:val="21"/>
                <w:szCs w:val="21"/>
              </w:rPr>
              <w:t>M1</w:t>
            </w:r>
          </w:p>
        </w:tc>
        <w:tc>
          <w:tcPr>
            <w:tcW w:w="1396" w:type="dxa"/>
            <w:noWrap w:val="0"/>
            <w:vAlign w:val="center"/>
          </w:tcPr>
          <w:p>
            <w:pPr>
              <w:pStyle w:val="317"/>
              <w:rPr>
                <w:i w:val="0"/>
                <w:iCs w:val="0"/>
                <w:sz w:val="21"/>
                <w:szCs w:val="21"/>
              </w:rPr>
            </w:pPr>
            <w:r>
              <w:rPr>
                <w:i w:val="0"/>
                <w:iCs w:val="0"/>
                <w:sz w:val="21"/>
                <w:szCs w:val="21"/>
              </w:rPr>
              <w:t>M2</w:t>
            </w:r>
          </w:p>
        </w:tc>
        <w:tc>
          <w:tcPr>
            <w:tcW w:w="1396" w:type="dxa"/>
            <w:noWrap w:val="0"/>
            <w:vAlign w:val="center"/>
          </w:tcPr>
          <w:p>
            <w:pPr>
              <w:pStyle w:val="317"/>
              <w:rPr>
                <w:i w:val="0"/>
                <w:iCs w:val="0"/>
                <w:sz w:val="21"/>
                <w:szCs w:val="21"/>
              </w:rPr>
            </w:pPr>
            <w:r>
              <w:rPr>
                <w:i w:val="0"/>
                <w:iCs w:val="0"/>
                <w:sz w:val="21"/>
                <w:szCs w:val="21"/>
              </w:rPr>
              <w:t>M3</w:t>
            </w:r>
          </w:p>
        </w:tc>
        <w:tc>
          <w:tcPr>
            <w:tcW w:w="1396" w:type="dxa"/>
            <w:noWrap w:val="0"/>
            <w:vAlign w:val="center"/>
          </w:tcPr>
          <w:p>
            <w:pPr>
              <w:pStyle w:val="317"/>
              <w:rPr>
                <w:i w:val="0"/>
                <w:iCs w:val="0"/>
                <w:sz w:val="21"/>
                <w:szCs w:val="21"/>
              </w:rPr>
            </w:pPr>
            <w:r>
              <w:rPr>
                <w:i w:val="0"/>
                <w:iCs w:val="0"/>
                <w:sz w:val="21"/>
                <w:szCs w:val="21"/>
              </w:rPr>
              <w:t>M4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11" w:hRule="atLeast"/>
        </w:trPr>
        <w:tc>
          <w:tcPr>
            <w:tcW w:w="3261" w:type="dxa"/>
            <w:noWrap w:val="0"/>
            <w:vAlign w:val="center"/>
          </w:tcPr>
          <w:p>
            <w:pPr>
              <w:pStyle w:val="317"/>
              <w:rPr>
                <w:i w:val="0"/>
                <w:iCs w:val="0"/>
                <w:sz w:val="21"/>
                <w:szCs w:val="21"/>
              </w:rPr>
            </w:pPr>
            <w:r>
              <w:rPr>
                <w:i w:val="0"/>
                <w:iCs w:val="0"/>
                <w:sz w:val="21"/>
                <w:szCs w:val="21"/>
              </w:rPr>
              <w:t>Q≥100</w:t>
            </w:r>
          </w:p>
        </w:tc>
        <w:tc>
          <w:tcPr>
            <w:tcW w:w="1395" w:type="dxa"/>
            <w:noWrap w:val="0"/>
            <w:vAlign w:val="center"/>
          </w:tcPr>
          <w:p>
            <w:pPr>
              <w:pStyle w:val="317"/>
              <w:rPr>
                <w:b/>
                <w:bCs/>
                <w:i w:val="0"/>
                <w:iCs w:val="0"/>
                <w:sz w:val="21"/>
                <w:szCs w:val="21"/>
              </w:rPr>
            </w:pPr>
            <w:r>
              <w:rPr>
                <w:i w:val="0"/>
                <w:iCs w:val="0"/>
                <w:sz w:val="21"/>
                <w:szCs w:val="21"/>
              </w:rPr>
              <w:t>P1</w:t>
            </w:r>
          </w:p>
        </w:tc>
        <w:tc>
          <w:tcPr>
            <w:tcW w:w="1396" w:type="dxa"/>
            <w:noWrap w:val="0"/>
            <w:vAlign w:val="center"/>
          </w:tcPr>
          <w:p>
            <w:pPr>
              <w:pStyle w:val="317"/>
              <w:rPr>
                <w:i w:val="0"/>
                <w:iCs w:val="0"/>
                <w:sz w:val="21"/>
                <w:szCs w:val="21"/>
              </w:rPr>
            </w:pPr>
            <w:r>
              <w:rPr>
                <w:i w:val="0"/>
                <w:iCs w:val="0"/>
                <w:sz w:val="21"/>
                <w:szCs w:val="21"/>
              </w:rPr>
              <w:t>P1</w:t>
            </w:r>
          </w:p>
        </w:tc>
        <w:tc>
          <w:tcPr>
            <w:tcW w:w="1396" w:type="dxa"/>
            <w:noWrap w:val="0"/>
            <w:vAlign w:val="center"/>
          </w:tcPr>
          <w:p>
            <w:pPr>
              <w:pStyle w:val="317"/>
              <w:rPr>
                <w:i w:val="0"/>
                <w:iCs w:val="0"/>
                <w:sz w:val="21"/>
                <w:szCs w:val="21"/>
              </w:rPr>
            </w:pPr>
            <w:r>
              <w:rPr>
                <w:i w:val="0"/>
                <w:iCs w:val="0"/>
                <w:sz w:val="21"/>
                <w:szCs w:val="21"/>
              </w:rPr>
              <w:t>P2</w:t>
            </w:r>
          </w:p>
        </w:tc>
        <w:tc>
          <w:tcPr>
            <w:tcW w:w="1396" w:type="dxa"/>
            <w:noWrap w:val="0"/>
            <w:vAlign w:val="center"/>
          </w:tcPr>
          <w:p>
            <w:pPr>
              <w:pStyle w:val="317"/>
              <w:rPr>
                <w:i w:val="0"/>
                <w:iCs w:val="0"/>
                <w:sz w:val="21"/>
                <w:szCs w:val="21"/>
              </w:rPr>
            </w:pPr>
            <w:r>
              <w:rPr>
                <w:i w:val="0"/>
                <w:iCs w:val="0"/>
                <w:sz w:val="21"/>
                <w:szCs w:val="21"/>
              </w:rPr>
              <w:t>P3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261" w:type="dxa"/>
            <w:noWrap w:val="0"/>
            <w:vAlign w:val="center"/>
          </w:tcPr>
          <w:p>
            <w:pPr>
              <w:pStyle w:val="317"/>
              <w:rPr>
                <w:i w:val="0"/>
                <w:iCs w:val="0"/>
                <w:sz w:val="21"/>
                <w:szCs w:val="21"/>
              </w:rPr>
            </w:pPr>
            <w:r>
              <w:rPr>
                <w:i w:val="0"/>
                <w:iCs w:val="0"/>
                <w:sz w:val="21"/>
                <w:szCs w:val="21"/>
              </w:rPr>
              <w:t>10≤Q＜100</w:t>
            </w:r>
          </w:p>
        </w:tc>
        <w:tc>
          <w:tcPr>
            <w:tcW w:w="1395" w:type="dxa"/>
            <w:noWrap w:val="0"/>
            <w:vAlign w:val="center"/>
          </w:tcPr>
          <w:p>
            <w:pPr>
              <w:pStyle w:val="317"/>
              <w:rPr>
                <w:i w:val="0"/>
                <w:iCs w:val="0"/>
                <w:sz w:val="21"/>
                <w:szCs w:val="21"/>
              </w:rPr>
            </w:pPr>
            <w:r>
              <w:rPr>
                <w:i w:val="0"/>
                <w:iCs w:val="0"/>
                <w:sz w:val="21"/>
                <w:szCs w:val="21"/>
              </w:rPr>
              <w:t>P1</w:t>
            </w:r>
          </w:p>
        </w:tc>
        <w:tc>
          <w:tcPr>
            <w:tcW w:w="1396" w:type="dxa"/>
            <w:noWrap w:val="0"/>
            <w:vAlign w:val="center"/>
          </w:tcPr>
          <w:p>
            <w:pPr>
              <w:pStyle w:val="317"/>
              <w:rPr>
                <w:i w:val="0"/>
                <w:iCs w:val="0"/>
                <w:sz w:val="21"/>
                <w:szCs w:val="21"/>
              </w:rPr>
            </w:pPr>
            <w:r>
              <w:rPr>
                <w:i w:val="0"/>
                <w:iCs w:val="0"/>
                <w:sz w:val="21"/>
                <w:szCs w:val="21"/>
              </w:rPr>
              <w:t>P2</w:t>
            </w:r>
          </w:p>
        </w:tc>
        <w:tc>
          <w:tcPr>
            <w:tcW w:w="1396" w:type="dxa"/>
            <w:noWrap w:val="0"/>
            <w:vAlign w:val="center"/>
          </w:tcPr>
          <w:p>
            <w:pPr>
              <w:pStyle w:val="317"/>
              <w:rPr>
                <w:i w:val="0"/>
                <w:iCs w:val="0"/>
                <w:sz w:val="21"/>
                <w:szCs w:val="21"/>
              </w:rPr>
            </w:pPr>
            <w:r>
              <w:rPr>
                <w:i w:val="0"/>
                <w:iCs w:val="0"/>
                <w:sz w:val="21"/>
                <w:szCs w:val="21"/>
              </w:rPr>
              <w:t>P3</w:t>
            </w:r>
          </w:p>
        </w:tc>
        <w:tc>
          <w:tcPr>
            <w:tcW w:w="1396" w:type="dxa"/>
            <w:noWrap w:val="0"/>
            <w:vAlign w:val="center"/>
          </w:tcPr>
          <w:p>
            <w:pPr>
              <w:pStyle w:val="317"/>
              <w:rPr>
                <w:i w:val="0"/>
                <w:iCs w:val="0"/>
                <w:sz w:val="21"/>
                <w:szCs w:val="21"/>
              </w:rPr>
            </w:pPr>
            <w:r>
              <w:rPr>
                <w:i w:val="0"/>
                <w:iCs w:val="0"/>
                <w:sz w:val="21"/>
                <w:szCs w:val="21"/>
              </w:rPr>
              <w:t>P4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261" w:type="dxa"/>
            <w:noWrap w:val="0"/>
            <w:vAlign w:val="center"/>
          </w:tcPr>
          <w:p>
            <w:pPr>
              <w:pStyle w:val="317"/>
              <w:rPr>
                <w:i w:val="0"/>
                <w:iCs w:val="0"/>
                <w:sz w:val="21"/>
                <w:szCs w:val="21"/>
              </w:rPr>
            </w:pPr>
            <w:r>
              <w:rPr>
                <w:i w:val="0"/>
                <w:iCs w:val="0"/>
                <w:sz w:val="21"/>
                <w:szCs w:val="21"/>
              </w:rPr>
              <w:t>1≤Q＜10</w:t>
            </w:r>
          </w:p>
        </w:tc>
        <w:tc>
          <w:tcPr>
            <w:tcW w:w="1395" w:type="dxa"/>
            <w:noWrap w:val="0"/>
            <w:vAlign w:val="center"/>
          </w:tcPr>
          <w:p>
            <w:pPr>
              <w:pStyle w:val="317"/>
              <w:rPr>
                <w:i w:val="0"/>
                <w:iCs w:val="0"/>
                <w:sz w:val="21"/>
                <w:szCs w:val="21"/>
              </w:rPr>
            </w:pPr>
            <w:r>
              <w:rPr>
                <w:i w:val="0"/>
                <w:iCs w:val="0"/>
                <w:sz w:val="21"/>
                <w:szCs w:val="21"/>
              </w:rPr>
              <w:t>P2</w:t>
            </w:r>
          </w:p>
        </w:tc>
        <w:tc>
          <w:tcPr>
            <w:tcW w:w="1396" w:type="dxa"/>
            <w:noWrap w:val="0"/>
            <w:vAlign w:val="center"/>
          </w:tcPr>
          <w:p>
            <w:pPr>
              <w:pStyle w:val="317"/>
              <w:rPr>
                <w:i w:val="0"/>
                <w:iCs w:val="0"/>
                <w:sz w:val="21"/>
                <w:szCs w:val="21"/>
              </w:rPr>
            </w:pPr>
            <w:r>
              <w:rPr>
                <w:i w:val="0"/>
                <w:iCs w:val="0"/>
                <w:sz w:val="21"/>
                <w:szCs w:val="21"/>
              </w:rPr>
              <w:t>P3</w:t>
            </w:r>
          </w:p>
        </w:tc>
        <w:tc>
          <w:tcPr>
            <w:tcW w:w="1396" w:type="dxa"/>
            <w:noWrap w:val="0"/>
            <w:vAlign w:val="center"/>
          </w:tcPr>
          <w:p>
            <w:pPr>
              <w:pStyle w:val="317"/>
              <w:rPr>
                <w:i w:val="0"/>
                <w:iCs w:val="0"/>
                <w:sz w:val="21"/>
                <w:szCs w:val="21"/>
              </w:rPr>
            </w:pPr>
            <w:r>
              <w:rPr>
                <w:i w:val="0"/>
                <w:iCs w:val="0"/>
                <w:sz w:val="21"/>
                <w:szCs w:val="21"/>
              </w:rPr>
              <w:t>P4</w:t>
            </w:r>
          </w:p>
        </w:tc>
        <w:tc>
          <w:tcPr>
            <w:tcW w:w="1396" w:type="dxa"/>
            <w:noWrap w:val="0"/>
            <w:vAlign w:val="center"/>
          </w:tcPr>
          <w:p>
            <w:pPr>
              <w:pStyle w:val="317"/>
              <w:rPr>
                <w:i w:val="0"/>
                <w:iCs w:val="0"/>
                <w:sz w:val="21"/>
                <w:szCs w:val="21"/>
              </w:rPr>
            </w:pPr>
            <w:r>
              <w:rPr>
                <w:b/>
                <w:bCs/>
                <w:i w:val="0"/>
                <w:iCs w:val="0"/>
                <w:sz w:val="21"/>
                <w:szCs w:val="21"/>
              </w:rPr>
              <w:t>P4</w:t>
            </w:r>
          </w:p>
        </w:tc>
      </w:tr>
    </w:tbl>
    <w:p>
      <w:pPr>
        <w:pStyle w:val="6"/>
        <w:spacing w:line="360" w:lineRule="auto"/>
        <w:ind w:firstLine="480"/>
        <w:rPr>
          <w:i w:val="0"/>
          <w:iCs w:val="0"/>
        </w:rPr>
      </w:pPr>
      <w:r>
        <w:rPr>
          <w:rFonts w:hint="eastAsia"/>
          <w:i w:val="0"/>
          <w:iCs w:val="0"/>
        </w:rPr>
        <w:t>本项目危险物质数量与临界量比值Q=1.0319，</w:t>
      </w:r>
      <w:r>
        <w:rPr>
          <w:i w:val="0"/>
          <w:iCs w:val="0"/>
        </w:rPr>
        <w:t>1≤Q＜10</w:t>
      </w:r>
      <w:r>
        <w:rPr>
          <w:rFonts w:hint="eastAsia"/>
          <w:i w:val="0"/>
          <w:iCs w:val="0"/>
        </w:rPr>
        <w:t>，行业及生产工艺M为M4，因此本项目危险物质及工艺系统危险性分级为P4。</w:t>
      </w:r>
    </w:p>
    <w:p>
      <w:pPr>
        <w:pStyle w:val="6"/>
        <w:spacing w:line="360" w:lineRule="auto"/>
        <w:ind w:firstLine="480"/>
        <w:rPr>
          <w:i w:val="0"/>
          <w:iCs w:val="0"/>
        </w:rPr>
      </w:pPr>
      <w:r>
        <w:rPr>
          <w:rFonts w:hint="eastAsia"/>
          <w:i w:val="0"/>
          <w:iCs w:val="0"/>
        </w:rPr>
        <w:t>（4）</w:t>
      </w:r>
      <w:r>
        <w:rPr>
          <w:i w:val="0"/>
          <w:iCs w:val="0"/>
        </w:rPr>
        <w:t>E的分级确定</w:t>
      </w:r>
    </w:p>
    <w:p>
      <w:pPr>
        <w:pStyle w:val="6"/>
        <w:spacing w:line="360" w:lineRule="auto"/>
        <w:ind w:firstLine="480"/>
        <w:rPr>
          <w:i w:val="0"/>
          <w:iCs w:val="0"/>
        </w:rPr>
      </w:pPr>
      <w:r>
        <w:rPr>
          <w:rFonts w:hint="eastAsia"/>
          <w:i w:val="0"/>
          <w:iCs w:val="0"/>
        </w:rPr>
        <w:t>1）</w:t>
      </w:r>
      <w:r>
        <w:rPr>
          <w:i w:val="0"/>
          <w:iCs w:val="0"/>
        </w:rPr>
        <w:t>大气环境</w:t>
      </w:r>
    </w:p>
    <w:p>
      <w:pPr>
        <w:pStyle w:val="6"/>
        <w:spacing w:line="360" w:lineRule="auto"/>
        <w:ind w:firstLine="480"/>
        <w:rPr>
          <w:i w:val="0"/>
          <w:iCs w:val="0"/>
        </w:rPr>
      </w:pPr>
      <w:r>
        <w:rPr>
          <w:i w:val="0"/>
          <w:iCs w:val="0"/>
        </w:rPr>
        <w:t>依据环境敏感目标环境敏感性及人口密度划分环境风险受体的敏感性，共分为三种类型，E1为环境高度敏感区，E2为环境中度敏感区，E3为环境低度敏感区，分级原则见下表。</w:t>
      </w:r>
    </w:p>
    <w:p>
      <w:pPr>
        <w:pStyle w:val="413"/>
        <w:numPr>
          <w:ilvl w:val="4"/>
          <w:numId w:val="0"/>
        </w:numPr>
        <w:spacing w:line="240" w:lineRule="auto"/>
        <w:rPr>
          <w:rFonts w:hint="eastAsia"/>
          <w:bCs/>
          <w:i w:val="0"/>
          <w:iCs w:val="0"/>
        </w:rPr>
      </w:pPr>
      <w:r>
        <w:rPr>
          <w:rFonts w:hint="eastAsia"/>
          <w:bCs/>
          <w:i w:val="0"/>
          <w:iCs w:val="0"/>
        </w:rPr>
        <w:t>表2-2</w:t>
      </w:r>
      <w:r>
        <w:rPr>
          <w:rFonts w:hint="eastAsia"/>
          <w:bCs/>
          <w:i w:val="0"/>
          <w:iCs w:val="0"/>
          <w:lang w:val="en-US" w:eastAsia="zh-CN"/>
        </w:rPr>
        <w:t>7</w:t>
      </w:r>
      <w:r>
        <w:rPr>
          <w:rFonts w:hint="eastAsia"/>
          <w:bCs/>
          <w:i w:val="0"/>
          <w:iCs w:val="0"/>
        </w:rPr>
        <w:t>大气环境敏感程度分级</w:t>
      </w:r>
    </w:p>
    <w:tbl>
      <w:tblPr>
        <w:tblStyle w:val="58"/>
        <w:tblW w:w="8844"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548"/>
        <w:gridCol w:w="829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8" w:type="dxa"/>
            <w:noWrap w:val="0"/>
            <w:vAlign w:val="center"/>
          </w:tcPr>
          <w:p>
            <w:pPr>
              <w:pStyle w:val="317"/>
              <w:rPr>
                <w:i w:val="0"/>
                <w:iCs w:val="0"/>
                <w:sz w:val="21"/>
                <w:szCs w:val="21"/>
              </w:rPr>
            </w:pPr>
            <w:r>
              <w:rPr>
                <w:i w:val="0"/>
                <w:iCs w:val="0"/>
                <w:sz w:val="21"/>
                <w:szCs w:val="21"/>
              </w:rPr>
              <w:t>分级</w:t>
            </w:r>
          </w:p>
        </w:tc>
        <w:tc>
          <w:tcPr>
            <w:tcW w:w="8296" w:type="dxa"/>
            <w:noWrap w:val="0"/>
            <w:vAlign w:val="center"/>
          </w:tcPr>
          <w:p>
            <w:pPr>
              <w:pStyle w:val="317"/>
              <w:rPr>
                <w:i w:val="0"/>
                <w:iCs w:val="0"/>
                <w:sz w:val="21"/>
                <w:szCs w:val="21"/>
              </w:rPr>
            </w:pPr>
            <w:r>
              <w:rPr>
                <w:i w:val="0"/>
                <w:iCs w:val="0"/>
                <w:sz w:val="21"/>
                <w:szCs w:val="21"/>
              </w:rPr>
              <w:t>大气环境敏感性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8" w:type="dxa"/>
            <w:noWrap w:val="0"/>
            <w:vAlign w:val="center"/>
          </w:tcPr>
          <w:p>
            <w:pPr>
              <w:pStyle w:val="317"/>
              <w:rPr>
                <w:rFonts w:eastAsia="Times New Roman"/>
                <w:i w:val="0"/>
                <w:iCs w:val="0"/>
                <w:sz w:val="21"/>
                <w:szCs w:val="21"/>
              </w:rPr>
            </w:pPr>
            <w:r>
              <w:rPr>
                <w:i w:val="0"/>
                <w:iCs w:val="0"/>
                <w:sz w:val="21"/>
                <w:szCs w:val="21"/>
              </w:rPr>
              <w:t>E1</w:t>
            </w:r>
          </w:p>
        </w:tc>
        <w:tc>
          <w:tcPr>
            <w:tcW w:w="8296" w:type="dxa"/>
            <w:noWrap w:val="0"/>
            <w:vAlign w:val="center"/>
          </w:tcPr>
          <w:p>
            <w:pPr>
              <w:pStyle w:val="317"/>
              <w:rPr>
                <w:i w:val="0"/>
                <w:iCs w:val="0"/>
                <w:sz w:val="21"/>
                <w:szCs w:val="21"/>
              </w:rPr>
            </w:pPr>
            <w:r>
              <w:rPr>
                <w:i w:val="0"/>
                <w:iCs w:val="0"/>
                <w:sz w:val="21"/>
                <w:szCs w:val="21"/>
              </w:rPr>
              <w:t>周边</w:t>
            </w:r>
            <w:r>
              <w:rPr>
                <w:rFonts w:eastAsia="Times New Roman"/>
                <w:i w:val="0"/>
                <w:iCs w:val="0"/>
                <w:sz w:val="21"/>
                <w:szCs w:val="21"/>
              </w:rPr>
              <w:t>5 km</w:t>
            </w:r>
            <w:r>
              <w:rPr>
                <w:i w:val="0"/>
                <w:iCs w:val="0"/>
                <w:sz w:val="21"/>
                <w:szCs w:val="21"/>
              </w:rPr>
              <w:t>范围内居住区、医疗卫生、文化教育、科研、行政办公等机构人口总数大于</w:t>
            </w:r>
            <w:r>
              <w:rPr>
                <w:rFonts w:eastAsia="Times New Roman"/>
                <w:i w:val="0"/>
                <w:iCs w:val="0"/>
                <w:sz w:val="21"/>
                <w:szCs w:val="21"/>
              </w:rPr>
              <w:t>5</w:t>
            </w:r>
            <w:r>
              <w:rPr>
                <w:i w:val="0"/>
                <w:iCs w:val="0"/>
                <w:sz w:val="21"/>
                <w:szCs w:val="21"/>
              </w:rPr>
              <w:t>万人，或其他需要特殊保护区域；或周边</w:t>
            </w:r>
            <w:r>
              <w:rPr>
                <w:rFonts w:eastAsia="Times New Roman"/>
                <w:i w:val="0"/>
                <w:iCs w:val="0"/>
                <w:sz w:val="21"/>
                <w:szCs w:val="21"/>
              </w:rPr>
              <w:t>500 m</w:t>
            </w:r>
            <w:r>
              <w:rPr>
                <w:i w:val="0"/>
                <w:iCs w:val="0"/>
                <w:sz w:val="21"/>
                <w:szCs w:val="21"/>
              </w:rPr>
              <w:t>范围内人口总数大于</w:t>
            </w:r>
            <w:r>
              <w:rPr>
                <w:rFonts w:eastAsia="Times New Roman"/>
                <w:i w:val="0"/>
                <w:iCs w:val="0"/>
                <w:sz w:val="21"/>
                <w:szCs w:val="21"/>
              </w:rPr>
              <w:t>1000</w:t>
            </w:r>
            <w:r>
              <w:rPr>
                <w:i w:val="0"/>
                <w:iCs w:val="0"/>
                <w:sz w:val="21"/>
                <w:szCs w:val="21"/>
              </w:rPr>
              <w:t>人；油气、化学品输送管线管段周边</w:t>
            </w:r>
            <w:r>
              <w:rPr>
                <w:rFonts w:eastAsia="Times New Roman"/>
                <w:i w:val="0"/>
                <w:iCs w:val="0"/>
                <w:sz w:val="21"/>
                <w:szCs w:val="21"/>
              </w:rPr>
              <w:t>200 m</w:t>
            </w:r>
            <w:r>
              <w:rPr>
                <w:i w:val="0"/>
                <w:iCs w:val="0"/>
                <w:sz w:val="21"/>
                <w:szCs w:val="21"/>
              </w:rPr>
              <w:t>范围内，每千米管段人口数大于</w:t>
            </w:r>
            <w:r>
              <w:rPr>
                <w:rFonts w:eastAsia="Times New Roman"/>
                <w:i w:val="0"/>
                <w:iCs w:val="0"/>
                <w:sz w:val="21"/>
                <w:szCs w:val="21"/>
              </w:rPr>
              <w:t>200</w:t>
            </w:r>
            <w:r>
              <w:rPr>
                <w:i w:val="0"/>
                <w:iCs w:val="0"/>
                <w:sz w:val="21"/>
                <w:szCs w:val="21"/>
              </w:rPr>
              <w:t>人</w:t>
            </w:r>
            <w:r>
              <w:rPr>
                <w:rFonts w:hint="eastAsia"/>
                <w:i w:val="0"/>
                <w:iCs w:val="0"/>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8" w:type="dxa"/>
            <w:noWrap w:val="0"/>
            <w:vAlign w:val="center"/>
          </w:tcPr>
          <w:p>
            <w:pPr>
              <w:pStyle w:val="317"/>
              <w:rPr>
                <w:rFonts w:eastAsia="Times New Roman"/>
                <w:i w:val="0"/>
                <w:iCs w:val="0"/>
                <w:sz w:val="21"/>
                <w:szCs w:val="21"/>
              </w:rPr>
            </w:pPr>
            <w:r>
              <w:rPr>
                <w:i w:val="0"/>
                <w:iCs w:val="0"/>
                <w:sz w:val="21"/>
                <w:szCs w:val="21"/>
              </w:rPr>
              <w:t>E2</w:t>
            </w:r>
          </w:p>
        </w:tc>
        <w:tc>
          <w:tcPr>
            <w:tcW w:w="8296" w:type="dxa"/>
            <w:noWrap w:val="0"/>
            <w:vAlign w:val="center"/>
          </w:tcPr>
          <w:p>
            <w:pPr>
              <w:pStyle w:val="317"/>
              <w:rPr>
                <w:i w:val="0"/>
                <w:iCs w:val="0"/>
                <w:sz w:val="21"/>
                <w:szCs w:val="21"/>
              </w:rPr>
            </w:pPr>
            <w:r>
              <w:rPr>
                <w:i w:val="0"/>
                <w:iCs w:val="0"/>
                <w:sz w:val="21"/>
                <w:szCs w:val="21"/>
              </w:rPr>
              <w:t>周边</w:t>
            </w:r>
            <w:r>
              <w:rPr>
                <w:rFonts w:eastAsia="Times New Roman"/>
                <w:i w:val="0"/>
                <w:iCs w:val="0"/>
                <w:sz w:val="21"/>
                <w:szCs w:val="21"/>
              </w:rPr>
              <w:t>5 km</w:t>
            </w:r>
            <w:r>
              <w:rPr>
                <w:i w:val="0"/>
                <w:iCs w:val="0"/>
                <w:sz w:val="21"/>
                <w:szCs w:val="21"/>
              </w:rPr>
              <w:t>范围内居住区、医疗卫生、文化教育、科研、行政办公等机构人口总数大于</w:t>
            </w:r>
            <w:r>
              <w:rPr>
                <w:rFonts w:eastAsia="Times New Roman"/>
                <w:i w:val="0"/>
                <w:iCs w:val="0"/>
                <w:sz w:val="21"/>
                <w:szCs w:val="21"/>
              </w:rPr>
              <w:t>1</w:t>
            </w:r>
            <w:r>
              <w:rPr>
                <w:i w:val="0"/>
                <w:iCs w:val="0"/>
                <w:sz w:val="21"/>
                <w:szCs w:val="21"/>
              </w:rPr>
              <w:t>万人，小于</w:t>
            </w:r>
            <w:r>
              <w:rPr>
                <w:rFonts w:eastAsia="Times New Roman"/>
                <w:i w:val="0"/>
                <w:iCs w:val="0"/>
                <w:sz w:val="21"/>
                <w:szCs w:val="21"/>
              </w:rPr>
              <w:t>5</w:t>
            </w:r>
            <w:r>
              <w:rPr>
                <w:i w:val="0"/>
                <w:iCs w:val="0"/>
                <w:sz w:val="21"/>
                <w:szCs w:val="21"/>
              </w:rPr>
              <w:t>万人；或周边</w:t>
            </w:r>
            <w:r>
              <w:rPr>
                <w:rFonts w:eastAsia="Times New Roman"/>
                <w:i w:val="0"/>
                <w:iCs w:val="0"/>
                <w:sz w:val="21"/>
                <w:szCs w:val="21"/>
              </w:rPr>
              <w:t>500 m</w:t>
            </w:r>
            <w:r>
              <w:rPr>
                <w:i w:val="0"/>
                <w:iCs w:val="0"/>
                <w:sz w:val="21"/>
                <w:szCs w:val="21"/>
              </w:rPr>
              <w:t>范围内人口总数大于</w:t>
            </w:r>
            <w:r>
              <w:rPr>
                <w:rFonts w:eastAsia="Times New Roman"/>
                <w:i w:val="0"/>
                <w:iCs w:val="0"/>
                <w:sz w:val="21"/>
                <w:szCs w:val="21"/>
              </w:rPr>
              <w:t>500</w:t>
            </w:r>
            <w:r>
              <w:rPr>
                <w:i w:val="0"/>
                <w:iCs w:val="0"/>
                <w:sz w:val="21"/>
                <w:szCs w:val="21"/>
              </w:rPr>
              <w:t>人，小于</w:t>
            </w:r>
            <w:r>
              <w:rPr>
                <w:rFonts w:eastAsia="Times New Roman"/>
                <w:i w:val="0"/>
                <w:iCs w:val="0"/>
                <w:sz w:val="21"/>
                <w:szCs w:val="21"/>
              </w:rPr>
              <w:t>1000</w:t>
            </w:r>
            <w:r>
              <w:rPr>
                <w:i w:val="0"/>
                <w:iCs w:val="0"/>
                <w:sz w:val="21"/>
                <w:szCs w:val="21"/>
              </w:rPr>
              <w:t>人；油气、化学品输送管线管段周边</w:t>
            </w:r>
            <w:r>
              <w:rPr>
                <w:rFonts w:eastAsia="Times New Roman"/>
                <w:i w:val="0"/>
                <w:iCs w:val="0"/>
                <w:sz w:val="21"/>
                <w:szCs w:val="21"/>
              </w:rPr>
              <w:t>200 m</w:t>
            </w:r>
            <w:r>
              <w:rPr>
                <w:i w:val="0"/>
                <w:iCs w:val="0"/>
                <w:sz w:val="21"/>
                <w:szCs w:val="21"/>
              </w:rPr>
              <w:t>范围内，每千米管段人口数大于</w:t>
            </w:r>
            <w:r>
              <w:rPr>
                <w:rFonts w:eastAsia="Times New Roman"/>
                <w:i w:val="0"/>
                <w:iCs w:val="0"/>
                <w:sz w:val="21"/>
                <w:szCs w:val="21"/>
              </w:rPr>
              <w:t>100</w:t>
            </w:r>
            <w:r>
              <w:rPr>
                <w:i w:val="0"/>
                <w:iCs w:val="0"/>
                <w:sz w:val="21"/>
                <w:szCs w:val="21"/>
              </w:rPr>
              <w:t>人，小于</w:t>
            </w:r>
            <w:r>
              <w:rPr>
                <w:rFonts w:eastAsia="Times New Roman"/>
                <w:i w:val="0"/>
                <w:iCs w:val="0"/>
                <w:sz w:val="21"/>
                <w:szCs w:val="21"/>
              </w:rPr>
              <w:t>200</w:t>
            </w:r>
            <w:r>
              <w:rPr>
                <w:i w:val="0"/>
                <w:iCs w:val="0"/>
                <w:sz w:val="21"/>
                <w:szCs w:val="21"/>
              </w:rPr>
              <w:t>人</w:t>
            </w:r>
            <w:r>
              <w:rPr>
                <w:rFonts w:hint="eastAsia"/>
                <w:i w:val="0"/>
                <w:iCs w:val="0"/>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8" w:type="dxa"/>
            <w:noWrap w:val="0"/>
            <w:vAlign w:val="center"/>
          </w:tcPr>
          <w:p>
            <w:pPr>
              <w:pStyle w:val="317"/>
              <w:rPr>
                <w:rFonts w:eastAsia="Times New Roman"/>
                <w:i w:val="0"/>
                <w:iCs w:val="0"/>
                <w:sz w:val="21"/>
                <w:szCs w:val="21"/>
              </w:rPr>
            </w:pPr>
            <w:r>
              <w:rPr>
                <w:i w:val="0"/>
                <w:iCs w:val="0"/>
                <w:sz w:val="21"/>
                <w:szCs w:val="21"/>
              </w:rPr>
              <w:t>E3</w:t>
            </w:r>
          </w:p>
        </w:tc>
        <w:tc>
          <w:tcPr>
            <w:tcW w:w="8296" w:type="dxa"/>
            <w:noWrap w:val="0"/>
            <w:vAlign w:val="center"/>
          </w:tcPr>
          <w:p>
            <w:pPr>
              <w:pStyle w:val="317"/>
              <w:rPr>
                <w:i w:val="0"/>
                <w:iCs w:val="0"/>
                <w:sz w:val="21"/>
                <w:szCs w:val="21"/>
              </w:rPr>
            </w:pPr>
            <w:r>
              <w:rPr>
                <w:i w:val="0"/>
                <w:iCs w:val="0"/>
                <w:sz w:val="21"/>
                <w:szCs w:val="21"/>
              </w:rPr>
              <w:t>周边</w:t>
            </w:r>
            <w:r>
              <w:rPr>
                <w:rFonts w:eastAsia="Times New Roman"/>
                <w:i w:val="0"/>
                <w:iCs w:val="0"/>
                <w:sz w:val="21"/>
                <w:szCs w:val="21"/>
              </w:rPr>
              <w:t>5 km</w:t>
            </w:r>
            <w:r>
              <w:rPr>
                <w:i w:val="0"/>
                <w:iCs w:val="0"/>
                <w:sz w:val="21"/>
                <w:szCs w:val="21"/>
              </w:rPr>
              <w:t>范围内居住区、医疗卫生、文化教育、科研、行政办公等机构人口总数小于</w:t>
            </w:r>
            <w:r>
              <w:rPr>
                <w:rFonts w:eastAsia="Times New Roman"/>
                <w:i w:val="0"/>
                <w:iCs w:val="0"/>
                <w:sz w:val="21"/>
                <w:szCs w:val="21"/>
              </w:rPr>
              <w:t>1</w:t>
            </w:r>
            <w:r>
              <w:rPr>
                <w:i w:val="0"/>
                <w:iCs w:val="0"/>
                <w:sz w:val="21"/>
                <w:szCs w:val="21"/>
              </w:rPr>
              <w:t>万人；或周边</w:t>
            </w:r>
            <w:r>
              <w:rPr>
                <w:rFonts w:eastAsia="Times New Roman"/>
                <w:i w:val="0"/>
                <w:iCs w:val="0"/>
                <w:sz w:val="21"/>
                <w:szCs w:val="21"/>
              </w:rPr>
              <w:t>500 m</w:t>
            </w:r>
            <w:r>
              <w:rPr>
                <w:i w:val="0"/>
                <w:iCs w:val="0"/>
                <w:sz w:val="21"/>
                <w:szCs w:val="21"/>
              </w:rPr>
              <w:t>范围内人口总数小于</w:t>
            </w:r>
            <w:r>
              <w:rPr>
                <w:rFonts w:eastAsia="Times New Roman"/>
                <w:i w:val="0"/>
                <w:iCs w:val="0"/>
                <w:sz w:val="21"/>
                <w:szCs w:val="21"/>
              </w:rPr>
              <w:t>500</w:t>
            </w:r>
            <w:r>
              <w:rPr>
                <w:i w:val="0"/>
                <w:iCs w:val="0"/>
                <w:sz w:val="21"/>
                <w:szCs w:val="21"/>
              </w:rPr>
              <w:t>人；油气、化学品输送管线管段周边</w:t>
            </w:r>
            <w:r>
              <w:rPr>
                <w:rFonts w:eastAsia="Times New Roman"/>
                <w:i w:val="0"/>
                <w:iCs w:val="0"/>
                <w:sz w:val="21"/>
                <w:szCs w:val="21"/>
              </w:rPr>
              <w:t>200 m</w:t>
            </w:r>
            <w:r>
              <w:rPr>
                <w:i w:val="0"/>
                <w:iCs w:val="0"/>
                <w:sz w:val="21"/>
                <w:szCs w:val="21"/>
              </w:rPr>
              <w:t>范围内，每千米管段人口数小于</w:t>
            </w:r>
            <w:r>
              <w:rPr>
                <w:rFonts w:eastAsia="Times New Roman"/>
                <w:i w:val="0"/>
                <w:iCs w:val="0"/>
                <w:sz w:val="21"/>
                <w:szCs w:val="21"/>
              </w:rPr>
              <w:t>100</w:t>
            </w:r>
            <w:r>
              <w:rPr>
                <w:i w:val="0"/>
                <w:iCs w:val="0"/>
                <w:sz w:val="21"/>
                <w:szCs w:val="21"/>
              </w:rPr>
              <w:t>人</w:t>
            </w:r>
            <w:r>
              <w:rPr>
                <w:rFonts w:hint="eastAsia"/>
                <w:i w:val="0"/>
                <w:iCs w:val="0"/>
                <w:sz w:val="21"/>
                <w:szCs w:val="21"/>
              </w:rPr>
              <w:t>。</w:t>
            </w:r>
          </w:p>
        </w:tc>
      </w:tr>
    </w:tbl>
    <w:p>
      <w:pPr>
        <w:pStyle w:val="6"/>
        <w:spacing w:line="360" w:lineRule="auto"/>
        <w:ind w:firstLine="480"/>
        <w:rPr>
          <w:i w:val="0"/>
          <w:iCs w:val="0"/>
        </w:rPr>
      </w:pPr>
      <w:r>
        <w:rPr>
          <w:rFonts w:hint="eastAsia"/>
          <w:i w:val="0"/>
          <w:iCs w:val="0"/>
        </w:rPr>
        <w:t>本项目周边5km范围内居民区、医疗卫生、文化教育、科研等机构，行政办公机构总人数大于5万人，由上表可知，项目大气环境敏感程度为环境低度敏感区（E1）。</w:t>
      </w:r>
    </w:p>
    <w:p>
      <w:pPr>
        <w:pStyle w:val="6"/>
        <w:spacing w:line="360" w:lineRule="auto"/>
        <w:ind w:firstLine="480"/>
        <w:rPr>
          <w:i w:val="0"/>
          <w:iCs w:val="0"/>
        </w:rPr>
      </w:pPr>
      <w:r>
        <w:rPr>
          <w:rFonts w:hint="eastAsia"/>
          <w:i w:val="0"/>
          <w:iCs w:val="0"/>
        </w:rPr>
        <w:t>2）</w:t>
      </w:r>
      <w:r>
        <w:rPr>
          <w:i w:val="0"/>
          <w:iCs w:val="0"/>
        </w:rPr>
        <w:t>地表水环境</w:t>
      </w:r>
    </w:p>
    <w:p>
      <w:pPr>
        <w:pStyle w:val="6"/>
        <w:spacing w:line="360" w:lineRule="auto"/>
        <w:ind w:firstLine="480"/>
        <w:rPr>
          <w:rFonts w:hint="eastAsia"/>
          <w:i w:val="0"/>
          <w:iCs w:val="0"/>
        </w:rPr>
      </w:pPr>
      <w:r>
        <w:rPr>
          <w:rFonts w:hint="eastAsia"/>
          <w:i w:val="0"/>
          <w:iCs w:val="0"/>
        </w:rPr>
        <w:t>依据事故情况下危险物质泄漏到水体的排放点受纳地表水体功能敏感性，与下游环境敏感目标情况，共分为三种类型，E1为环境高度敏感区，E2为环境中度敏感区，E3为环境低度敏感区，分级原则见下表。</w:t>
      </w:r>
    </w:p>
    <w:p>
      <w:pPr>
        <w:pStyle w:val="6"/>
        <w:spacing w:line="360" w:lineRule="auto"/>
        <w:ind w:firstLine="480"/>
        <w:rPr>
          <w:rFonts w:hint="eastAsia"/>
          <w:i w:val="0"/>
          <w:iCs w:val="0"/>
        </w:rPr>
      </w:pPr>
      <w:r>
        <w:rPr>
          <w:rFonts w:hint="eastAsia"/>
          <w:i w:val="0"/>
          <w:iCs w:val="0"/>
        </w:rPr>
        <w:t>本项目区域地表水系为浑江，为</w:t>
      </w:r>
      <w:r>
        <w:rPr>
          <w:rFonts w:hint="eastAsia"/>
          <w:i w:val="0"/>
          <w:iCs w:val="0"/>
          <w:lang w:val="zh-CN"/>
        </w:rPr>
        <w:fldChar w:fldCharType="begin"/>
      </w:r>
      <w:r>
        <w:rPr>
          <w:rFonts w:hint="eastAsia"/>
          <w:i w:val="0"/>
          <w:iCs w:val="0"/>
          <w:lang w:val="zh-CN"/>
        </w:rPr>
        <w:instrText xml:space="preserve"> = 3 \* ROMAN \* MERGEFORMAT </w:instrText>
      </w:r>
      <w:r>
        <w:rPr>
          <w:rFonts w:hint="eastAsia"/>
          <w:i w:val="0"/>
          <w:iCs w:val="0"/>
          <w:lang w:val="zh-CN"/>
        </w:rPr>
        <w:fldChar w:fldCharType="separate"/>
      </w:r>
      <w:r>
        <w:rPr>
          <w:rFonts w:hint="eastAsia"/>
          <w:i w:val="0"/>
          <w:iCs w:val="0"/>
        </w:rPr>
        <w:t>III</w:t>
      </w:r>
      <w:r>
        <w:rPr>
          <w:rFonts w:hint="eastAsia"/>
          <w:i w:val="0"/>
          <w:iCs w:val="0"/>
          <w:lang w:val="zh-CN"/>
        </w:rPr>
        <w:fldChar w:fldCharType="end"/>
      </w:r>
      <w:r>
        <w:rPr>
          <w:rFonts w:hint="eastAsia"/>
          <w:i w:val="0"/>
          <w:iCs w:val="0"/>
        </w:rPr>
        <w:t>类水体。本项目产生的食堂废水由油水分离器处理后与生活污水、生产废水经厂内污水管道收集，经过厂内污水处理站采用“水解+UASB+A/O”工艺处理，处理后废水达到《污水综合排放标准》GB8978-1996表2三级标准排放限值及园区污水处理厂进水指标后排入污水管网内，进入园区污水处理厂处理后排放。根据地表水功能敏感性分区判断，地表水功能敏感性为低敏感（F3）。同时区域地表水系无重要水生生物的自然产卵场及索饵场、越冬场和洄游通道；红树林、珊瑚礁等湿地生态系统、水产养殖区、天然渔场、风景游览区以及具有重要经济价值的水生生物生存区域等敏感保护目标，因此环境敏感目标分级为S3。</w:t>
      </w:r>
    </w:p>
    <w:p>
      <w:pPr>
        <w:pStyle w:val="6"/>
        <w:ind w:firstLine="480"/>
        <w:rPr>
          <w:i w:val="0"/>
          <w:iCs w:val="0"/>
        </w:rPr>
      </w:pPr>
      <w:r>
        <w:rPr>
          <w:rFonts w:hint="eastAsia"/>
          <w:i w:val="0"/>
          <w:iCs w:val="0"/>
        </w:rPr>
        <w:t>根据地表水环境敏感程度分级原则，本项目地表水环境敏感程度为E3。</w:t>
      </w:r>
    </w:p>
    <w:p>
      <w:pPr>
        <w:pStyle w:val="413"/>
        <w:numPr>
          <w:ilvl w:val="4"/>
          <w:numId w:val="0"/>
        </w:numPr>
        <w:spacing w:line="240" w:lineRule="auto"/>
        <w:rPr>
          <w:rFonts w:hint="eastAsia"/>
          <w:bCs/>
          <w:i w:val="0"/>
          <w:iCs w:val="0"/>
        </w:rPr>
      </w:pPr>
      <w:r>
        <w:rPr>
          <w:rFonts w:hint="eastAsia"/>
          <w:bCs/>
          <w:i w:val="0"/>
          <w:iCs w:val="0"/>
        </w:rPr>
        <w:t>表2-2</w:t>
      </w:r>
      <w:r>
        <w:rPr>
          <w:rFonts w:hint="eastAsia"/>
          <w:bCs/>
          <w:i w:val="0"/>
          <w:iCs w:val="0"/>
          <w:lang w:val="en-US" w:eastAsia="zh-CN"/>
        </w:rPr>
        <w:t>8</w:t>
      </w:r>
      <w:r>
        <w:rPr>
          <w:rFonts w:hint="eastAsia"/>
          <w:bCs/>
          <w:i w:val="0"/>
          <w:iCs w:val="0"/>
        </w:rPr>
        <w:t>地表水环境敏感程度分级</w:t>
      </w:r>
    </w:p>
    <w:tbl>
      <w:tblPr>
        <w:tblStyle w:val="5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2703"/>
        <w:gridCol w:w="2054"/>
        <w:gridCol w:w="2256"/>
        <w:gridCol w:w="211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81" w:type="pct"/>
            <w:vMerge w:val="restart"/>
            <w:noWrap w:val="0"/>
            <w:vAlign w:val="center"/>
          </w:tcPr>
          <w:p>
            <w:pPr>
              <w:pStyle w:val="317"/>
              <w:rPr>
                <w:i w:val="0"/>
                <w:iCs w:val="0"/>
                <w:sz w:val="21"/>
                <w:szCs w:val="21"/>
              </w:rPr>
            </w:pPr>
            <w:r>
              <w:rPr>
                <w:i w:val="0"/>
                <w:iCs w:val="0"/>
                <w:sz w:val="21"/>
                <w:szCs w:val="21"/>
              </w:rPr>
              <w:t>环境敏感目标</w:t>
            </w:r>
          </w:p>
        </w:tc>
        <w:tc>
          <w:tcPr>
            <w:tcW w:w="3519" w:type="pct"/>
            <w:gridSpan w:val="3"/>
            <w:noWrap w:val="0"/>
            <w:vAlign w:val="center"/>
          </w:tcPr>
          <w:p>
            <w:pPr>
              <w:pStyle w:val="317"/>
              <w:rPr>
                <w:i w:val="0"/>
                <w:iCs w:val="0"/>
                <w:sz w:val="21"/>
                <w:szCs w:val="21"/>
              </w:rPr>
            </w:pPr>
            <w:r>
              <w:rPr>
                <w:i w:val="0"/>
                <w:iCs w:val="0"/>
                <w:sz w:val="21"/>
                <w:szCs w:val="21"/>
              </w:rPr>
              <w:t>地表水功能敏感性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81" w:type="pct"/>
            <w:vMerge w:val="continue"/>
            <w:noWrap w:val="0"/>
            <w:vAlign w:val="center"/>
          </w:tcPr>
          <w:p>
            <w:pPr>
              <w:pStyle w:val="317"/>
              <w:rPr>
                <w:i w:val="0"/>
                <w:iCs w:val="0"/>
                <w:sz w:val="21"/>
                <w:szCs w:val="21"/>
              </w:rPr>
            </w:pPr>
          </w:p>
        </w:tc>
        <w:tc>
          <w:tcPr>
            <w:tcW w:w="1125" w:type="pct"/>
            <w:noWrap w:val="0"/>
            <w:vAlign w:val="center"/>
          </w:tcPr>
          <w:p>
            <w:pPr>
              <w:pStyle w:val="317"/>
              <w:rPr>
                <w:rFonts w:eastAsia="Times New Roman"/>
                <w:i w:val="0"/>
                <w:iCs w:val="0"/>
                <w:sz w:val="21"/>
                <w:szCs w:val="21"/>
              </w:rPr>
            </w:pPr>
            <w:r>
              <w:rPr>
                <w:i w:val="0"/>
                <w:iCs w:val="0"/>
                <w:sz w:val="21"/>
                <w:szCs w:val="21"/>
              </w:rPr>
              <w:t>F1</w:t>
            </w:r>
          </w:p>
        </w:tc>
        <w:tc>
          <w:tcPr>
            <w:tcW w:w="1236" w:type="pct"/>
            <w:noWrap w:val="0"/>
            <w:vAlign w:val="center"/>
          </w:tcPr>
          <w:p>
            <w:pPr>
              <w:pStyle w:val="317"/>
              <w:rPr>
                <w:rFonts w:eastAsia="Times New Roman"/>
                <w:i w:val="0"/>
                <w:iCs w:val="0"/>
                <w:sz w:val="21"/>
                <w:szCs w:val="21"/>
              </w:rPr>
            </w:pPr>
            <w:r>
              <w:rPr>
                <w:i w:val="0"/>
                <w:iCs w:val="0"/>
                <w:sz w:val="21"/>
                <w:szCs w:val="21"/>
              </w:rPr>
              <w:t>F2</w:t>
            </w:r>
          </w:p>
        </w:tc>
        <w:tc>
          <w:tcPr>
            <w:tcW w:w="1158" w:type="pct"/>
            <w:noWrap w:val="0"/>
            <w:vAlign w:val="center"/>
          </w:tcPr>
          <w:p>
            <w:pPr>
              <w:pStyle w:val="317"/>
              <w:rPr>
                <w:rFonts w:eastAsia="Times New Roman"/>
                <w:i w:val="0"/>
                <w:iCs w:val="0"/>
                <w:sz w:val="21"/>
                <w:szCs w:val="21"/>
              </w:rPr>
            </w:pPr>
            <w:r>
              <w:rPr>
                <w:i w:val="0"/>
                <w:iCs w:val="0"/>
                <w:sz w:val="21"/>
                <w:szCs w:val="21"/>
              </w:rPr>
              <w:t>F3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81" w:type="pct"/>
            <w:noWrap w:val="0"/>
            <w:vAlign w:val="center"/>
          </w:tcPr>
          <w:p>
            <w:pPr>
              <w:pStyle w:val="317"/>
              <w:rPr>
                <w:rFonts w:eastAsia="Times New Roman"/>
                <w:i w:val="0"/>
                <w:iCs w:val="0"/>
                <w:sz w:val="21"/>
                <w:szCs w:val="21"/>
              </w:rPr>
            </w:pPr>
            <w:r>
              <w:rPr>
                <w:i w:val="0"/>
                <w:iCs w:val="0"/>
                <w:sz w:val="21"/>
                <w:szCs w:val="21"/>
              </w:rPr>
              <w:t>S1</w:t>
            </w:r>
          </w:p>
        </w:tc>
        <w:tc>
          <w:tcPr>
            <w:tcW w:w="1125" w:type="pct"/>
            <w:noWrap w:val="0"/>
            <w:vAlign w:val="center"/>
          </w:tcPr>
          <w:p>
            <w:pPr>
              <w:pStyle w:val="317"/>
              <w:rPr>
                <w:rFonts w:eastAsia="Times New Roman"/>
                <w:i w:val="0"/>
                <w:iCs w:val="0"/>
                <w:sz w:val="21"/>
                <w:szCs w:val="21"/>
              </w:rPr>
            </w:pPr>
            <w:r>
              <w:rPr>
                <w:i w:val="0"/>
                <w:iCs w:val="0"/>
                <w:sz w:val="21"/>
                <w:szCs w:val="21"/>
              </w:rPr>
              <w:t>E1</w:t>
            </w:r>
          </w:p>
        </w:tc>
        <w:tc>
          <w:tcPr>
            <w:tcW w:w="1236" w:type="pct"/>
            <w:noWrap w:val="0"/>
            <w:vAlign w:val="center"/>
          </w:tcPr>
          <w:p>
            <w:pPr>
              <w:pStyle w:val="317"/>
              <w:rPr>
                <w:rFonts w:eastAsia="Times New Roman"/>
                <w:i w:val="0"/>
                <w:iCs w:val="0"/>
                <w:sz w:val="21"/>
                <w:szCs w:val="21"/>
              </w:rPr>
            </w:pPr>
            <w:r>
              <w:rPr>
                <w:i w:val="0"/>
                <w:iCs w:val="0"/>
                <w:sz w:val="21"/>
                <w:szCs w:val="21"/>
              </w:rPr>
              <w:t>E1</w:t>
            </w:r>
          </w:p>
        </w:tc>
        <w:tc>
          <w:tcPr>
            <w:tcW w:w="1158" w:type="pct"/>
            <w:noWrap w:val="0"/>
            <w:vAlign w:val="center"/>
          </w:tcPr>
          <w:p>
            <w:pPr>
              <w:pStyle w:val="317"/>
              <w:rPr>
                <w:rFonts w:eastAsia="Times New Roman"/>
                <w:i w:val="0"/>
                <w:iCs w:val="0"/>
                <w:sz w:val="21"/>
                <w:szCs w:val="21"/>
              </w:rPr>
            </w:pPr>
            <w:r>
              <w:rPr>
                <w:i w:val="0"/>
                <w:iCs w:val="0"/>
                <w:sz w:val="21"/>
                <w:szCs w:val="21"/>
              </w:rPr>
              <w:t>E2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81" w:type="pct"/>
            <w:noWrap w:val="0"/>
            <w:vAlign w:val="center"/>
          </w:tcPr>
          <w:p>
            <w:pPr>
              <w:pStyle w:val="317"/>
              <w:rPr>
                <w:rFonts w:eastAsia="Times New Roman"/>
                <w:i w:val="0"/>
                <w:iCs w:val="0"/>
                <w:sz w:val="21"/>
                <w:szCs w:val="21"/>
              </w:rPr>
            </w:pPr>
            <w:r>
              <w:rPr>
                <w:i w:val="0"/>
                <w:iCs w:val="0"/>
                <w:sz w:val="21"/>
                <w:szCs w:val="21"/>
              </w:rPr>
              <w:t>S2</w:t>
            </w:r>
          </w:p>
        </w:tc>
        <w:tc>
          <w:tcPr>
            <w:tcW w:w="1125" w:type="pct"/>
            <w:noWrap w:val="0"/>
            <w:vAlign w:val="center"/>
          </w:tcPr>
          <w:p>
            <w:pPr>
              <w:pStyle w:val="317"/>
              <w:rPr>
                <w:rFonts w:eastAsia="Times New Roman"/>
                <w:i w:val="0"/>
                <w:iCs w:val="0"/>
                <w:sz w:val="21"/>
                <w:szCs w:val="21"/>
              </w:rPr>
            </w:pPr>
            <w:r>
              <w:rPr>
                <w:i w:val="0"/>
                <w:iCs w:val="0"/>
                <w:sz w:val="21"/>
                <w:szCs w:val="21"/>
              </w:rPr>
              <w:t>E1</w:t>
            </w:r>
          </w:p>
        </w:tc>
        <w:tc>
          <w:tcPr>
            <w:tcW w:w="1236" w:type="pct"/>
            <w:noWrap w:val="0"/>
            <w:vAlign w:val="center"/>
          </w:tcPr>
          <w:p>
            <w:pPr>
              <w:pStyle w:val="317"/>
              <w:rPr>
                <w:rFonts w:eastAsia="Times New Roman"/>
                <w:i w:val="0"/>
                <w:iCs w:val="0"/>
                <w:sz w:val="21"/>
                <w:szCs w:val="21"/>
              </w:rPr>
            </w:pPr>
            <w:r>
              <w:rPr>
                <w:i w:val="0"/>
                <w:iCs w:val="0"/>
                <w:sz w:val="21"/>
                <w:szCs w:val="21"/>
              </w:rPr>
              <w:t>E2</w:t>
            </w:r>
          </w:p>
        </w:tc>
        <w:tc>
          <w:tcPr>
            <w:tcW w:w="1158" w:type="pct"/>
            <w:noWrap w:val="0"/>
            <w:vAlign w:val="center"/>
          </w:tcPr>
          <w:p>
            <w:pPr>
              <w:pStyle w:val="317"/>
              <w:rPr>
                <w:rFonts w:eastAsia="Times New Roman"/>
                <w:i w:val="0"/>
                <w:iCs w:val="0"/>
                <w:sz w:val="21"/>
                <w:szCs w:val="21"/>
              </w:rPr>
            </w:pPr>
            <w:r>
              <w:rPr>
                <w:i w:val="0"/>
                <w:iCs w:val="0"/>
                <w:sz w:val="21"/>
                <w:szCs w:val="21"/>
              </w:rPr>
              <w:t>E3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81" w:type="pct"/>
            <w:noWrap w:val="0"/>
            <w:vAlign w:val="center"/>
          </w:tcPr>
          <w:p>
            <w:pPr>
              <w:pStyle w:val="317"/>
              <w:rPr>
                <w:rFonts w:eastAsia="Times New Roman"/>
                <w:i w:val="0"/>
                <w:iCs w:val="0"/>
                <w:sz w:val="21"/>
                <w:szCs w:val="21"/>
              </w:rPr>
            </w:pPr>
            <w:r>
              <w:rPr>
                <w:i w:val="0"/>
                <w:iCs w:val="0"/>
                <w:sz w:val="21"/>
                <w:szCs w:val="21"/>
              </w:rPr>
              <w:t>S3</w:t>
            </w:r>
          </w:p>
        </w:tc>
        <w:tc>
          <w:tcPr>
            <w:tcW w:w="1125" w:type="pct"/>
            <w:noWrap w:val="0"/>
            <w:vAlign w:val="center"/>
          </w:tcPr>
          <w:p>
            <w:pPr>
              <w:pStyle w:val="317"/>
              <w:rPr>
                <w:rFonts w:eastAsia="Times New Roman"/>
                <w:i w:val="0"/>
                <w:iCs w:val="0"/>
                <w:sz w:val="21"/>
                <w:szCs w:val="21"/>
              </w:rPr>
            </w:pPr>
            <w:r>
              <w:rPr>
                <w:i w:val="0"/>
                <w:iCs w:val="0"/>
                <w:sz w:val="21"/>
                <w:szCs w:val="21"/>
              </w:rPr>
              <w:t>E1</w:t>
            </w:r>
          </w:p>
        </w:tc>
        <w:tc>
          <w:tcPr>
            <w:tcW w:w="1236" w:type="pct"/>
            <w:noWrap w:val="0"/>
            <w:vAlign w:val="center"/>
          </w:tcPr>
          <w:p>
            <w:pPr>
              <w:pStyle w:val="317"/>
              <w:rPr>
                <w:rFonts w:eastAsia="Times New Roman"/>
                <w:i w:val="0"/>
                <w:iCs w:val="0"/>
                <w:sz w:val="21"/>
                <w:szCs w:val="21"/>
              </w:rPr>
            </w:pPr>
            <w:r>
              <w:rPr>
                <w:i w:val="0"/>
                <w:iCs w:val="0"/>
                <w:sz w:val="21"/>
                <w:szCs w:val="21"/>
              </w:rPr>
              <w:t>E2</w:t>
            </w:r>
          </w:p>
        </w:tc>
        <w:tc>
          <w:tcPr>
            <w:tcW w:w="1158" w:type="pct"/>
            <w:noWrap w:val="0"/>
            <w:vAlign w:val="center"/>
          </w:tcPr>
          <w:p>
            <w:pPr>
              <w:pStyle w:val="317"/>
              <w:rPr>
                <w:rFonts w:eastAsia="Times New Roman"/>
                <w:i w:val="0"/>
                <w:iCs w:val="0"/>
                <w:sz w:val="21"/>
                <w:szCs w:val="21"/>
              </w:rPr>
            </w:pPr>
            <w:r>
              <w:rPr>
                <w:b/>
                <w:bCs/>
                <w:i w:val="0"/>
                <w:iCs w:val="0"/>
                <w:sz w:val="21"/>
                <w:szCs w:val="21"/>
              </w:rPr>
              <w:t>E3</w:t>
            </w:r>
          </w:p>
        </w:tc>
      </w:tr>
    </w:tbl>
    <w:p>
      <w:pPr>
        <w:pStyle w:val="413"/>
        <w:numPr>
          <w:ilvl w:val="4"/>
          <w:numId w:val="0"/>
        </w:numPr>
        <w:spacing w:line="240" w:lineRule="auto"/>
        <w:rPr>
          <w:i w:val="0"/>
          <w:iCs w:val="0"/>
        </w:rPr>
      </w:pPr>
      <w:r>
        <w:rPr>
          <w:rFonts w:hint="eastAsia"/>
          <w:i w:val="0"/>
          <w:iCs w:val="0"/>
        </w:rPr>
        <w:t>表2-2</w:t>
      </w:r>
      <w:r>
        <w:rPr>
          <w:rFonts w:hint="eastAsia"/>
          <w:i w:val="0"/>
          <w:iCs w:val="0"/>
          <w:lang w:val="en-US" w:eastAsia="zh-CN"/>
        </w:rPr>
        <w:t>9</w:t>
      </w:r>
      <w:r>
        <w:rPr>
          <w:i w:val="0"/>
          <w:iCs w:val="0"/>
        </w:rPr>
        <w:t>地表水功能敏感性分区</w:t>
      </w:r>
    </w:p>
    <w:tbl>
      <w:tblPr>
        <w:tblStyle w:val="5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1245"/>
        <w:gridCol w:w="788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682" w:type="pct"/>
            <w:noWrap w:val="0"/>
            <w:vAlign w:val="center"/>
          </w:tcPr>
          <w:p>
            <w:pPr>
              <w:pStyle w:val="317"/>
              <w:rPr>
                <w:i w:val="0"/>
                <w:iCs w:val="0"/>
                <w:sz w:val="21"/>
                <w:szCs w:val="21"/>
              </w:rPr>
            </w:pPr>
            <w:r>
              <w:rPr>
                <w:i w:val="0"/>
                <w:iCs w:val="0"/>
                <w:sz w:val="21"/>
                <w:szCs w:val="21"/>
              </w:rPr>
              <w:t>敏感性</w:t>
            </w:r>
          </w:p>
        </w:tc>
        <w:tc>
          <w:tcPr>
            <w:tcW w:w="4318" w:type="pct"/>
            <w:noWrap w:val="0"/>
            <w:vAlign w:val="center"/>
          </w:tcPr>
          <w:p>
            <w:pPr>
              <w:pStyle w:val="317"/>
              <w:rPr>
                <w:i w:val="0"/>
                <w:iCs w:val="0"/>
                <w:sz w:val="21"/>
                <w:szCs w:val="21"/>
              </w:rPr>
            </w:pPr>
            <w:r>
              <w:rPr>
                <w:i w:val="0"/>
                <w:iCs w:val="0"/>
                <w:sz w:val="21"/>
                <w:szCs w:val="21"/>
              </w:rPr>
              <w:t>地表水环境敏感特征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682" w:type="pct"/>
            <w:noWrap w:val="0"/>
            <w:vAlign w:val="center"/>
          </w:tcPr>
          <w:p>
            <w:pPr>
              <w:pStyle w:val="317"/>
              <w:rPr>
                <w:i w:val="0"/>
                <w:iCs w:val="0"/>
                <w:sz w:val="21"/>
                <w:szCs w:val="21"/>
              </w:rPr>
            </w:pPr>
            <w:r>
              <w:rPr>
                <w:i w:val="0"/>
                <w:iCs w:val="0"/>
                <w:sz w:val="21"/>
                <w:szCs w:val="21"/>
              </w:rPr>
              <w:t>敏感F1</w:t>
            </w:r>
          </w:p>
        </w:tc>
        <w:tc>
          <w:tcPr>
            <w:tcW w:w="4318" w:type="pct"/>
            <w:noWrap w:val="0"/>
            <w:vAlign w:val="center"/>
          </w:tcPr>
          <w:p>
            <w:pPr>
              <w:pStyle w:val="317"/>
              <w:jc w:val="both"/>
              <w:rPr>
                <w:i w:val="0"/>
                <w:iCs w:val="0"/>
                <w:sz w:val="21"/>
                <w:szCs w:val="21"/>
              </w:rPr>
            </w:pPr>
            <w:r>
              <w:rPr>
                <w:i w:val="0"/>
                <w:iCs w:val="0"/>
                <w:sz w:val="21"/>
                <w:szCs w:val="21"/>
              </w:rPr>
              <w:t>排放点进入地表水水域环境功能为</w:t>
            </w:r>
            <w:r>
              <w:rPr>
                <w:rFonts w:hint="eastAsia" w:ascii="宋体" w:hAnsi="宋体"/>
                <w:i w:val="0"/>
                <w:iCs w:val="0"/>
                <w:sz w:val="21"/>
                <w:szCs w:val="21"/>
              </w:rPr>
              <w:t>Ⅱ</w:t>
            </w:r>
            <w:r>
              <w:rPr>
                <w:i w:val="0"/>
                <w:iCs w:val="0"/>
                <w:sz w:val="21"/>
                <w:szCs w:val="21"/>
              </w:rPr>
              <w:t>类及以上，或海水水质分类第一类；或以发生事故时，危险物质泄漏到水体的排放点算起，排放进入受纳河流最大流速时，24 h流经范围内涉跨国界的</w:t>
            </w:r>
            <w:r>
              <w:rPr>
                <w:rFonts w:hint="eastAsia"/>
                <w:i w:val="0"/>
                <w:iCs w:val="0"/>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682" w:type="pct"/>
            <w:noWrap w:val="0"/>
            <w:vAlign w:val="center"/>
          </w:tcPr>
          <w:p>
            <w:pPr>
              <w:pStyle w:val="317"/>
              <w:rPr>
                <w:i w:val="0"/>
                <w:iCs w:val="0"/>
                <w:sz w:val="21"/>
                <w:szCs w:val="21"/>
              </w:rPr>
            </w:pPr>
            <w:r>
              <w:rPr>
                <w:i w:val="0"/>
                <w:iCs w:val="0"/>
                <w:sz w:val="21"/>
                <w:szCs w:val="21"/>
              </w:rPr>
              <w:t>较敏感F2</w:t>
            </w:r>
          </w:p>
        </w:tc>
        <w:tc>
          <w:tcPr>
            <w:tcW w:w="4318" w:type="pct"/>
            <w:noWrap w:val="0"/>
            <w:vAlign w:val="center"/>
          </w:tcPr>
          <w:p>
            <w:pPr>
              <w:pStyle w:val="317"/>
              <w:jc w:val="both"/>
              <w:rPr>
                <w:i w:val="0"/>
                <w:iCs w:val="0"/>
                <w:sz w:val="21"/>
                <w:szCs w:val="21"/>
              </w:rPr>
            </w:pPr>
            <w:r>
              <w:rPr>
                <w:i w:val="0"/>
                <w:iCs w:val="0"/>
                <w:sz w:val="21"/>
                <w:szCs w:val="21"/>
              </w:rPr>
              <w:t>排放点进入地表水水域环境功能为</w:t>
            </w:r>
            <w:r>
              <w:rPr>
                <w:rFonts w:hint="eastAsia" w:ascii="宋体" w:hAnsi="宋体"/>
                <w:i w:val="0"/>
                <w:iCs w:val="0"/>
                <w:sz w:val="21"/>
                <w:szCs w:val="21"/>
              </w:rPr>
              <w:t>Ⅲ</w:t>
            </w:r>
            <w:r>
              <w:rPr>
                <w:i w:val="0"/>
                <w:iCs w:val="0"/>
                <w:sz w:val="21"/>
                <w:szCs w:val="21"/>
              </w:rPr>
              <w:t>类，或海水水质分类第二类；或以发生事故时，危险物质泄漏到水体的排放点算起，排放进入受纳河流最大流速时，24 h流经范围内涉跨省界的</w:t>
            </w:r>
            <w:r>
              <w:rPr>
                <w:rFonts w:hint="eastAsia"/>
                <w:i w:val="0"/>
                <w:iCs w:val="0"/>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682" w:type="pct"/>
            <w:noWrap w:val="0"/>
            <w:vAlign w:val="center"/>
          </w:tcPr>
          <w:p>
            <w:pPr>
              <w:pStyle w:val="317"/>
              <w:rPr>
                <w:i w:val="0"/>
                <w:iCs w:val="0"/>
                <w:sz w:val="21"/>
                <w:szCs w:val="21"/>
              </w:rPr>
            </w:pPr>
            <w:r>
              <w:rPr>
                <w:i w:val="0"/>
                <w:iCs w:val="0"/>
                <w:sz w:val="21"/>
                <w:szCs w:val="21"/>
              </w:rPr>
              <w:t>低敏感F3</w:t>
            </w:r>
          </w:p>
        </w:tc>
        <w:tc>
          <w:tcPr>
            <w:tcW w:w="4318" w:type="pct"/>
            <w:noWrap w:val="0"/>
            <w:vAlign w:val="center"/>
          </w:tcPr>
          <w:p>
            <w:pPr>
              <w:pStyle w:val="317"/>
              <w:jc w:val="both"/>
              <w:rPr>
                <w:i w:val="0"/>
                <w:iCs w:val="0"/>
                <w:sz w:val="21"/>
                <w:szCs w:val="21"/>
              </w:rPr>
            </w:pPr>
            <w:r>
              <w:rPr>
                <w:i w:val="0"/>
                <w:iCs w:val="0"/>
                <w:sz w:val="21"/>
                <w:szCs w:val="21"/>
              </w:rPr>
              <w:t>上述地区之外的其他地区</w:t>
            </w:r>
          </w:p>
        </w:tc>
      </w:tr>
    </w:tbl>
    <w:p>
      <w:pPr>
        <w:pStyle w:val="413"/>
        <w:numPr>
          <w:ilvl w:val="4"/>
          <w:numId w:val="0"/>
        </w:numPr>
        <w:spacing w:line="240" w:lineRule="auto"/>
        <w:rPr>
          <w:i w:val="0"/>
          <w:iCs w:val="0"/>
          <w:lang w:val="zh-CN"/>
        </w:rPr>
      </w:pPr>
      <w:r>
        <w:rPr>
          <w:rFonts w:hint="eastAsia"/>
          <w:i w:val="0"/>
          <w:iCs w:val="0"/>
        </w:rPr>
        <w:t>表2-</w:t>
      </w:r>
      <w:r>
        <w:rPr>
          <w:rFonts w:hint="eastAsia"/>
          <w:i w:val="0"/>
          <w:iCs w:val="0"/>
          <w:lang w:val="en-US" w:eastAsia="zh-CN"/>
        </w:rPr>
        <w:t>30</w:t>
      </w:r>
      <w:r>
        <w:rPr>
          <w:i w:val="0"/>
          <w:iCs w:val="0"/>
        </w:rPr>
        <w:t>环境敏感目标分级</w:t>
      </w:r>
    </w:p>
    <w:tbl>
      <w:tblPr>
        <w:tblStyle w:val="5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612"/>
        <w:gridCol w:w="851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35" w:type="pct"/>
            <w:noWrap w:val="0"/>
            <w:vAlign w:val="center"/>
          </w:tcPr>
          <w:p>
            <w:pPr>
              <w:pStyle w:val="317"/>
              <w:rPr>
                <w:i w:val="0"/>
                <w:iCs w:val="0"/>
                <w:sz w:val="21"/>
                <w:szCs w:val="21"/>
              </w:rPr>
            </w:pPr>
            <w:r>
              <w:rPr>
                <w:i w:val="0"/>
                <w:iCs w:val="0"/>
                <w:sz w:val="21"/>
                <w:szCs w:val="21"/>
              </w:rPr>
              <w:t>分级</w:t>
            </w:r>
          </w:p>
        </w:tc>
        <w:tc>
          <w:tcPr>
            <w:tcW w:w="4665" w:type="pct"/>
            <w:noWrap w:val="0"/>
            <w:vAlign w:val="center"/>
          </w:tcPr>
          <w:p>
            <w:pPr>
              <w:pStyle w:val="317"/>
              <w:rPr>
                <w:i w:val="0"/>
                <w:iCs w:val="0"/>
                <w:sz w:val="21"/>
                <w:szCs w:val="21"/>
              </w:rPr>
            </w:pPr>
            <w:r>
              <w:rPr>
                <w:i w:val="0"/>
                <w:iCs w:val="0"/>
                <w:sz w:val="21"/>
                <w:szCs w:val="21"/>
              </w:rPr>
              <w:t>环境敏感目标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35" w:type="pct"/>
            <w:noWrap w:val="0"/>
            <w:vAlign w:val="center"/>
          </w:tcPr>
          <w:p>
            <w:pPr>
              <w:pStyle w:val="317"/>
              <w:rPr>
                <w:i w:val="0"/>
                <w:iCs w:val="0"/>
                <w:sz w:val="21"/>
                <w:szCs w:val="21"/>
              </w:rPr>
            </w:pPr>
            <w:r>
              <w:rPr>
                <w:i w:val="0"/>
                <w:iCs w:val="0"/>
                <w:sz w:val="21"/>
                <w:szCs w:val="21"/>
              </w:rPr>
              <w:t>S1</w:t>
            </w:r>
          </w:p>
        </w:tc>
        <w:tc>
          <w:tcPr>
            <w:tcW w:w="4665" w:type="pct"/>
            <w:noWrap w:val="0"/>
            <w:vAlign w:val="center"/>
          </w:tcPr>
          <w:p>
            <w:pPr>
              <w:pStyle w:val="317"/>
              <w:jc w:val="both"/>
              <w:rPr>
                <w:i w:val="0"/>
                <w:iCs w:val="0"/>
                <w:sz w:val="21"/>
                <w:szCs w:val="21"/>
              </w:rPr>
            </w:pPr>
            <w:r>
              <w:rPr>
                <w:i w:val="0"/>
                <w:iCs w:val="0"/>
                <w:sz w:val="21"/>
                <w:szCs w:val="21"/>
              </w:rPr>
              <w:t>发生事故时，危险物质泄漏到内陆水体的排放点下游（顺水流向）10 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r>
              <w:rPr>
                <w:rFonts w:hint="eastAsia"/>
                <w:i w:val="0"/>
                <w:iCs w:val="0"/>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35" w:type="pct"/>
            <w:noWrap w:val="0"/>
            <w:vAlign w:val="center"/>
          </w:tcPr>
          <w:p>
            <w:pPr>
              <w:pStyle w:val="317"/>
              <w:rPr>
                <w:i w:val="0"/>
                <w:iCs w:val="0"/>
                <w:sz w:val="21"/>
                <w:szCs w:val="21"/>
              </w:rPr>
            </w:pPr>
            <w:r>
              <w:rPr>
                <w:i w:val="0"/>
                <w:iCs w:val="0"/>
                <w:sz w:val="21"/>
                <w:szCs w:val="21"/>
              </w:rPr>
              <w:t>S2</w:t>
            </w:r>
          </w:p>
        </w:tc>
        <w:tc>
          <w:tcPr>
            <w:tcW w:w="4665" w:type="pct"/>
            <w:noWrap w:val="0"/>
            <w:vAlign w:val="center"/>
          </w:tcPr>
          <w:p>
            <w:pPr>
              <w:pStyle w:val="317"/>
              <w:jc w:val="both"/>
              <w:rPr>
                <w:i w:val="0"/>
                <w:iCs w:val="0"/>
                <w:sz w:val="21"/>
                <w:szCs w:val="21"/>
              </w:rPr>
            </w:pPr>
            <w:r>
              <w:rPr>
                <w:i w:val="0"/>
                <w:iCs w:val="0"/>
                <w:sz w:val="21"/>
                <w:szCs w:val="21"/>
              </w:rPr>
              <w:t>发生事故时，危险物质泄漏到内陆水体的排放点下游（顺水流向）10 km范围内、近岸海域一个潮周期水质点可能达到的最大水平距离的两倍范围内，有如下一类或多类环境风险受体的：水产养殖区；天然渔场；森林公园；地质公园；海滨风景游览区；具有重要经济价值的海洋生物生存区域</w:t>
            </w:r>
            <w:r>
              <w:rPr>
                <w:rFonts w:hint="eastAsia"/>
                <w:i w:val="0"/>
                <w:iCs w:val="0"/>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35" w:type="pct"/>
            <w:noWrap w:val="0"/>
            <w:vAlign w:val="center"/>
          </w:tcPr>
          <w:p>
            <w:pPr>
              <w:pStyle w:val="317"/>
              <w:rPr>
                <w:i w:val="0"/>
                <w:iCs w:val="0"/>
                <w:sz w:val="21"/>
                <w:szCs w:val="21"/>
              </w:rPr>
            </w:pPr>
            <w:r>
              <w:rPr>
                <w:i w:val="0"/>
                <w:iCs w:val="0"/>
                <w:sz w:val="21"/>
                <w:szCs w:val="21"/>
              </w:rPr>
              <w:t>S3</w:t>
            </w:r>
          </w:p>
        </w:tc>
        <w:tc>
          <w:tcPr>
            <w:tcW w:w="4665" w:type="pct"/>
            <w:noWrap w:val="0"/>
            <w:vAlign w:val="center"/>
          </w:tcPr>
          <w:p>
            <w:pPr>
              <w:pStyle w:val="317"/>
              <w:jc w:val="both"/>
              <w:rPr>
                <w:i w:val="0"/>
                <w:iCs w:val="0"/>
                <w:sz w:val="21"/>
                <w:szCs w:val="21"/>
              </w:rPr>
            </w:pPr>
            <w:r>
              <w:rPr>
                <w:i w:val="0"/>
                <w:iCs w:val="0"/>
                <w:sz w:val="21"/>
                <w:szCs w:val="21"/>
              </w:rPr>
              <w:t>排放点下游（顺水流向）10 km范围、近岸海域一个潮周期水质点可能达到的最大水平距离的两倍范围内无上述类型1和类型2包括的敏感保护目标</w:t>
            </w:r>
            <w:r>
              <w:rPr>
                <w:rFonts w:hint="eastAsia"/>
                <w:i w:val="0"/>
                <w:iCs w:val="0"/>
                <w:sz w:val="21"/>
                <w:szCs w:val="21"/>
              </w:rPr>
              <w:t>。</w:t>
            </w:r>
          </w:p>
        </w:tc>
      </w:tr>
    </w:tbl>
    <w:p>
      <w:pPr>
        <w:pStyle w:val="6"/>
        <w:spacing w:line="360" w:lineRule="auto"/>
        <w:ind w:firstLine="480"/>
        <w:rPr>
          <w:i w:val="0"/>
          <w:iCs w:val="0"/>
          <w:lang w:val="zh-CN"/>
        </w:rPr>
      </w:pPr>
      <w:r>
        <w:rPr>
          <w:i w:val="0"/>
          <w:iCs w:val="0"/>
        </w:rPr>
        <w:t>3</w:t>
      </w:r>
      <w:r>
        <w:rPr>
          <w:i w:val="0"/>
          <w:iCs w:val="0"/>
          <w:lang w:val="zh-CN"/>
        </w:rPr>
        <w:t>）地下水环境</w:t>
      </w:r>
    </w:p>
    <w:p>
      <w:pPr>
        <w:pStyle w:val="6"/>
        <w:spacing w:line="360" w:lineRule="auto"/>
        <w:ind w:firstLine="480"/>
        <w:rPr>
          <w:i w:val="0"/>
          <w:iCs w:val="0"/>
          <w:lang w:val="zh-CN"/>
        </w:rPr>
      </w:pPr>
      <w:r>
        <w:rPr>
          <w:i w:val="0"/>
          <w:iCs w:val="0"/>
          <w:lang w:val="zh-CN"/>
        </w:rPr>
        <w:t>《建设项目环境风险评价技术导则》（HJ169-2018）附录D中地下水环境敏感程度分级，项目地下水评价范围内不涉及集中式饮用水水源（包括已建成的在用、备用、应急水源，在建和规划的饮用水水源）准保护区；除集中式饮用水水源以外的国家或地方政府设定的与地下水环境相关的其他保护区，如热水、矿泉水、温泉等特殊地下水资源保护区；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Pr>
          <w:rFonts w:hint="eastAsia"/>
          <w:i w:val="0"/>
          <w:iCs w:val="0"/>
          <w:lang w:val="zh-CN"/>
        </w:rPr>
        <w:t>本项目所在没在环境敏感区，</w:t>
      </w:r>
      <w:r>
        <w:rPr>
          <w:i w:val="0"/>
          <w:iCs w:val="0"/>
          <w:lang w:val="zh-CN"/>
        </w:rPr>
        <w:t>因此地下水功能敏感性为G3。</w:t>
      </w:r>
    </w:p>
    <w:p>
      <w:pPr>
        <w:pStyle w:val="6"/>
        <w:spacing w:line="360" w:lineRule="auto"/>
        <w:ind w:firstLine="480"/>
        <w:rPr>
          <w:i w:val="0"/>
          <w:iCs w:val="0"/>
          <w:lang w:val="zh-CN"/>
        </w:rPr>
      </w:pPr>
      <w:r>
        <w:rPr>
          <w:rFonts w:hint="eastAsia"/>
          <w:i w:val="0"/>
          <w:iCs w:val="0"/>
          <w:lang w:val="zh-CN"/>
        </w:rPr>
        <w:t>同时根据对项目地水文地质条件分析，根据项目区域附近的地勘报告，本项目所在地包气带岩土由粉质黏土、中粗砂及卵石组成，主要为粉质黏土，因此采用粉质黏土的渗透系数，为1.16×10</w:t>
      </w:r>
      <w:r>
        <w:rPr>
          <w:rFonts w:hint="eastAsia"/>
          <w:i w:val="0"/>
          <w:iCs w:val="0"/>
          <w:vertAlign w:val="superscript"/>
          <w:lang w:val="zh-CN"/>
        </w:rPr>
        <w:t>-4</w:t>
      </w:r>
      <w:r>
        <w:rPr>
          <w:rFonts w:hint="eastAsia"/>
          <w:i w:val="0"/>
          <w:iCs w:val="0"/>
          <w:lang w:val="zh-CN"/>
        </w:rPr>
        <w:t>cm/s~2.89×10</w:t>
      </w:r>
      <w:r>
        <w:rPr>
          <w:rFonts w:hint="eastAsia"/>
          <w:i w:val="0"/>
          <w:iCs w:val="0"/>
          <w:vertAlign w:val="superscript"/>
          <w:lang w:val="zh-CN"/>
        </w:rPr>
        <w:t>-4</w:t>
      </w:r>
      <w:r>
        <w:rPr>
          <w:rFonts w:hint="eastAsia"/>
          <w:i w:val="0"/>
          <w:iCs w:val="0"/>
          <w:lang w:val="zh-CN"/>
        </w:rPr>
        <w:t>cm/s，Mb取值为7~12m，因此地下水环境功能敏感性为D2。</w:t>
      </w:r>
    </w:p>
    <w:p>
      <w:pPr>
        <w:pStyle w:val="6"/>
        <w:spacing w:line="360" w:lineRule="auto"/>
        <w:ind w:firstLine="480"/>
        <w:rPr>
          <w:bCs/>
          <w:i w:val="0"/>
          <w:iCs w:val="0"/>
          <w:kern w:val="21"/>
          <w:lang w:val="zh-CN"/>
        </w:rPr>
      </w:pPr>
      <w:r>
        <w:rPr>
          <w:rFonts w:hint="eastAsia"/>
          <w:i w:val="0"/>
          <w:iCs w:val="0"/>
          <w:lang w:val="zh-CN"/>
        </w:rPr>
        <w:t>根据《建设项目环境风险评价技术导则》（HJ169-2018）附录D中地下水环境敏感程度分级，本项目地下水环境敏感程度为E3。</w:t>
      </w:r>
    </w:p>
    <w:p>
      <w:pPr>
        <w:pStyle w:val="413"/>
        <w:numPr>
          <w:ilvl w:val="4"/>
          <w:numId w:val="0"/>
        </w:numPr>
        <w:spacing w:line="240" w:lineRule="auto"/>
        <w:rPr>
          <w:i w:val="0"/>
          <w:iCs w:val="0"/>
        </w:rPr>
      </w:pPr>
      <w:r>
        <w:rPr>
          <w:rFonts w:hint="eastAsia"/>
          <w:i w:val="0"/>
          <w:iCs w:val="0"/>
        </w:rPr>
        <w:t>表2-3</w:t>
      </w:r>
      <w:r>
        <w:rPr>
          <w:rFonts w:hint="eastAsia"/>
          <w:i w:val="0"/>
          <w:iCs w:val="0"/>
          <w:lang w:val="en-US" w:eastAsia="zh-CN"/>
        </w:rPr>
        <w:t>1</w:t>
      </w:r>
      <w:r>
        <w:rPr>
          <w:i w:val="0"/>
          <w:iCs w:val="0"/>
        </w:rPr>
        <w:t>地下水环境敏感程度分级</w:t>
      </w:r>
    </w:p>
    <w:tbl>
      <w:tblPr>
        <w:tblStyle w:val="58"/>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269"/>
        <w:gridCol w:w="2270"/>
        <w:gridCol w:w="2264"/>
        <w:gridCol w:w="226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51" w:type="pct"/>
            <w:vMerge w:val="restart"/>
            <w:noWrap w:val="0"/>
            <w:vAlign w:val="center"/>
          </w:tcPr>
          <w:p>
            <w:pPr>
              <w:pStyle w:val="394"/>
              <w:jc w:val="center"/>
              <w:rPr>
                <w:i w:val="0"/>
                <w:iCs w:val="0"/>
                <w:kern w:val="21"/>
                <w:sz w:val="21"/>
                <w:szCs w:val="21"/>
              </w:rPr>
            </w:pPr>
            <w:r>
              <w:rPr>
                <w:i w:val="0"/>
                <w:iCs w:val="0"/>
                <w:kern w:val="21"/>
                <w:sz w:val="21"/>
                <w:szCs w:val="21"/>
              </w:rPr>
              <w:t>环境敏感目标</w:t>
            </w:r>
          </w:p>
        </w:tc>
        <w:tc>
          <w:tcPr>
            <w:tcW w:w="3749" w:type="pct"/>
            <w:gridSpan w:val="3"/>
            <w:noWrap w:val="0"/>
            <w:vAlign w:val="center"/>
          </w:tcPr>
          <w:p>
            <w:pPr>
              <w:pStyle w:val="394"/>
              <w:jc w:val="center"/>
              <w:rPr>
                <w:i w:val="0"/>
                <w:iCs w:val="0"/>
                <w:kern w:val="21"/>
                <w:sz w:val="21"/>
                <w:szCs w:val="21"/>
              </w:rPr>
            </w:pPr>
            <w:r>
              <w:rPr>
                <w:i w:val="0"/>
                <w:iCs w:val="0"/>
                <w:kern w:val="21"/>
                <w:sz w:val="21"/>
                <w:szCs w:val="21"/>
              </w:rPr>
              <w:t>地下水功能敏感性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51" w:type="pct"/>
            <w:vMerge w:val="continue"/>
            <w:noWrap w:val="0"/>
            <w:vAlign w:val="center"/>
          </w:tcPr>
          <w:p>
            <w:pPr>
              <w:jc w:val="center"/>
              <w:rPr>
                <w:i w:val="0"/>
                <w:iCs w:val="0"/>
                <w:kern w:val="21"/>
                <w:szCs w:val="21"/>
              </w:rPr>
            </w:pPr>
          </w:p>
        </w:tc>
        <w:tc>
          <w:tcPr>
            <w:tcW w:w="1251" w:type="pct"/>
            <w:noWrap w:val="0"/>
            <w:vAlign w:val="center"/>
          </w:tcPr>
          <w:p>
            <w:pPr>
              <w:pStyle w:val="394"/>
              <w:jc w:val="center"/>
              <w:rPr>
                <w:i w:val="0"/>
                <w:iCs w:val="0"/>
                <w:kern w:val="21"/>
                <w:sz w:val="21"/>
                <w:szCs w:val="21"/>
              </w:rPr>
            </w:pPr>
            <w:r>
              <w:rPr>
                <w:i w:val="0"/>
                <w:iCs w:val="0"/>
                <w:kern w:val="21"/>
                <w:sz w:val="21"/>
                <w:szCs w:val="21"/>
              </w:rPr>
              <w:t>G1</w:t>
            </w:r>
          </w:p>
        </w:tc>
        <w:tc>
          <w:tcPr>
            <w:tcW w:w="1248" w:type="pct"/>
            <w:noWrap w:val="0"/>
            <w:vAlign w:val="center"/>
          </w:tcPr>
          <w:p>
            <w:pPr>
              <w:pStyle w:val="394"/>
              <w:jc w:val="center"/>
              <w:rPr>
                <w:i w:val="0"/>
                <w:iCs w:val="0"/>
                <w:kern w:val="21"/>
                <w:sz w:val="21"/>
                <w:szCs w:val="21"/>
              </w:rPr>
            </w:pPr>
            <w:r>
              <w:rPr>
                <w:i w:val="0"/>
                <w:iCs w:val="0"/>
                <w:kern w:val="21"/>
                <w:sz w:val="21"/>
                <w:szCs w:val="21"/>
              </w:rPr>
              <w:t>G2</w:t>
            </w:r>
          </w:p>
        </w:tc>
        <w:tc>
          <w:tcPr>
            <w:tcW w:w="1251" w:type="pct"/>
            <w:noWrap w:val="0"/>
            <w:vAlign w:val="center"/>
          </w:tcPr>
          <w:p>
            <w:pPr>
              <w:pStyle w:val="394"/>
              <w:jc w:val="center"/>
              <w:rPr>
                <w:i w:val="0"/>
                <w:iCs w:val="0"/>
                <w:kern w:val="21"/>
                <w:sz w:val="21"/>
                <w:szCs w:val="21"/>
              </w:rPr>
            </w:pPr>
            <w:r>
              <w:rPr>
                <w:i w:val="0"/>
                <w:iCs w:val="0"/>
                <w:kern w:val="21"/>
                <w:sz w:val="21"/>
                <w:szCs w:val="21"/>
              </w:rPr>
              <w:t>G3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51" w:type="pct"/>
            <w:noWrap w:val="0"/>
            <w:vAlign w:val="center"/>
          </w:tcPr>
          <w:p>
            <w:pPr>
              <w:pStyle w:val="394"/>
              <w:jc w:val="center"/>
              <w:rPr>
                <w:i w:val="0"/>
                <w:iCs w:val="0"/>
                <w:kern w:val="21"/>
                <w:sz w:val="21"/>
                <w:szCs w:val="21"/>
              </w:rPr>
            </w:pPr>
            <w:r>
              <w:rPr>
                <w:i w:val="0"/>
                <w:iCs w:val="0"/>
                <w:kern w:val="21"/>
                <w:sz w:val="21"/>
                <w:szCs w:val="21"/>
              </w:rPr>
              <w:t>D1</w:t>
            </w:r>
          </w:p>
        </w:tc>
        <w:tc>
          <w:tcPr>
            <w:tcW w:w="1251" w:type="pct"/>
            <w:noWrap w:val="0"/>
            <w:vAlign w:val="center"/>
          </w:tcPr>
          <w:p>
            <w:pPr>
              <w:pStyle w:val="394"/>
              <w:jc w:val="center"/>
              <w:rPr>
                <w:i w:val="0"/>
                <w:iCs w:val="0"/>
                <w:kern w:val="21"/>
                <w:sz w:val="21"/>
                <w:szCs w:val="21"/>
              </w:rPr>
            </w:pPr>
            <w:r>
              <w:rPr>
                <w:i w:val="0"/>
                <w:iCs w:val="0"/>
                <w:kern w:val="21"/>
                <w:sz w:val="21"/>
                <w:szCs w:val="21"/>
              </w:rPr>
              <w:t>E1</w:t>
            </w:r>
          </w:p>
        </w:tc>
        <w:tc>
          <w:tcPr>
            <w:tcW w:w="1248" w:type="pct"/>
            <w:noWrap w:val="0"/>
            <w:vAlign w:val="center"/>
          </w:tcPr>
          <w:p>
            <w:pPr>
              <w:pStyle w:val="394"/>
              <w:jc w:val="center"/>
              <w:rPr>
                <w:i w:val="0"/>
                <w:iCs w:val="0"/>
                <w:kern w:val="21"/>
                <w:sz w:val="21"/>
                <w:szCs w:val="21"/>
              </w:rPr>
            </w:pPr>
            <w:r>
              <w:rPr>
                <w:i w:val="0"/>
                <w:iCs w:val="0"/>
                <w:kern w:val="21"/>
                <w:sz w:val="21"/>
                <w:szCs w:val="21"/>
              </w:rPr>
              <w:t>E1</w:t>
            </w:r>
          </w:p>
        </w:tc>
        <w:tc>
          <w:tcPr>
            <w:tcW w:w="1251" w:type="pct"/>
            <w:noWrap w:val="0"/>
            <w:vAlign w:val="center"/>
          </w:tcPr>
          <w:p>
            <w:pPr>
              <w:pStyle w:val="394"/>
              <w:jc w:val="center"/>
              <w:rPr>
                <w:i w:val="0"/>
                <w:iCs w:val="0"/>
                <w:kern w:val="21"/>
                <w:sz w:val="21"/>
                <w:szCs w:val="21"/>
              </w:rPr>
            </w:pPr>
            <w:r>
              <w:rPr>
                <w:i w:val="0"/>
                <w:iCs w:val="0"/>
                <w:kern w:val="21"/>
                <w:sz w:val="21"/>
                <w:szCs w:val="21"/>
              </w:rPr>
              <w:t>E2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51" w:type="pct"/>
            <w:noWrap w:val="0"/>
            <w:vAlign w:val="center"/>
          </w:tcPr>
          <w:p>
            <w:pPr>
              <w:pStyle w:val="394"/>
              <w:jc w:val="center"/>
              <w:rPr>
                <w:i w:val="0"/>
                <w:iCs w:val="0"/>
                <w:kern w:val="21"/>
                <w:sz w:val="21"/>
                <w:szCs w:val="21"/>
              </w:rPr>
            </w:pPr>
            <w:r>
              <w:rPr>
                <w:i w:val="0"/>
                <w:iCs w:val="0"/>
                <w:kern w:val="21"/>
                <w:sz w:val="21"/>
                <w:szCs w:val="21"/>
              </w:rPr>
              <w:t>D2</w:t>
            </w:r>
          </w:p>
        </w:tc>
        <w:tc>
          <w:tcPr>
            <w:tcW w:w="1251" w:type="pct"/>
            <w:noWrap w:val="0"/>
            <w:vAlign w:val="center"/>
          </w:tcPr>
          <w:p>
            <w:pPr>
              <w:pStyle w:val="394"/>
              <w:jc w:val="center"/>
              <w:rPr>
                <w:i w:val="0"/>
                <w:iCs w:val="0"/>
                <w:kern w:val="21"/>
                <w:sz w:val="21"/>
                <w:szCs w:val="21"/>
              </w:rPr>
            </w:pPr>
            <w:r>
              <w:rPr>
                <w:i w:val="0"/>
                <w:iCs w:val="0"/>
                <w:kern w:val="21"/>
                <w:sz w:val="21"/>
                <w:szCs w:val="21"/>
              </w:rPr>
              <w:t>E1</w:t>
            </w:r>
          </w:p>
        </w:tc>
        <w:tc>
          <w:tcPr>
            <w:tcW w:w="1248" w:type="pct"/>
            <w:noWrap w:val="0"/>
            <w:vAlign w:val="center"/>
          </w:tcPr>
          <w:p>
            <w:pPr>
              <w:pStyle w:val="394"/>
              <w:jc w:val="center"/>
              <w:rPr>
                <w:i w:val="0"/>
                <w:iCs w:val="0"/>
                <w:kern w:val="21"/>
                <w:sz w:val="21"/>
                <w:szCs w:val="21"/>
              </w:rPr>
            </w:pPr>
            <w:r>
              <w:rPr>
                <w:i w:val="0"/>
                <w:iCs w:val="0"/>
                <w:kern w:val="21"/>
                <w:sz w:val="21"/>
                <w:szCs w:val="21"/>
              </w:rPr>
              <w:t>E2</w:t>
            </w:r>
          </w:p>
        </w:tc>
        <w:tc>
          <w:tcPr>
            <w:tcW w:w="1251" w:type="pct"/>
            <w:noWrap w:val="0"/>
            <w:vAlign w:val="center"/>
          </w:tcPr>
          <w:p>
            <w:pPr>
              <w:pStyle w:val="394"/>
              <w:jc w:val="center"/>
              <w:rPr>
                <w:i w:val="0"/>
                <w:iCs w:val="0"/>
                <w:kern w:val="21"/>
                <w:sz w:val="21"/>
                <w:szCs w:val="21"/>
              </w:rPr>
            </w:pPr>
            <w:r>
              <w:rPr>
                <w:b/>
                <w:bCs/>
                <w:i w:val="0"/>
                <w:iCs w:val="0"/>
                <w:kern w:val="21"/>
                <w:sz w:val="21"/>
                <w:szCs w:val="21"/>
              </w:rPr>
              <w:t>E3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51" w:type="pct"/>
            <w:noWrap w:val="0"/>
            <w:vAlign w:val="center"/>
          </w:tcPr>
          <w:p>
            <w:pPr>
              <w:pStyle w:val="394"/>
              <w:jc w:val="center"/>
              <w:rPr>
                <w:i w:val="0"/>
                <w:iCs w:val="0"/>
                <w:kern w:val="21"/>
                <w:sz w:val="21"/>
                <w:szCs w:val="21"/>
              </w:rPr>
            </w:pPr>
            <w:r>
              <w:rPr>
                <w:i w:val="0"/>
                <w:iCs w:val="0"/>
                <w:kern w:val="21"/>
                <w:sz w:val="21"/>
                <w:szCs w:val="21"/>
              </w:rPr>
              <w:t>D3</w:t>
            </w:r>
          </w:p>
        </w:tc>
        <w:tc>
          <w:tcPr>
            <w:tcW w:w="1251" w:type="pct"/>
            <w:noWrap w:val="0"/>
            <w:vAlign w:val="center"/>
          </w:tcPr>
          <w:p>
            <w:pPr>
              <w:pStyle w:val="394"/>
              <w:jc w:val="center"/>
              <w:rPr>
                <w:i w:val="0"/>
                <w:iCs w:val="0"/>
                <w:kern w:val="21"/>
                <w:sz w:val="21"/>
                <w:szCs w:val="21"/>
              </w:rPr>
            </w:pPr>
            <w:r>
              <w:rPr>
                <w:i w:val="0"/>
                <w:iCs w:val="0"/>
                <w:kern w:val="21"/>
                <w:sz w:val="21"/>
                <w:szCs w:val="21"/>
              </w:rPr>
              <w:t>E1</w:t>
            </w:r>
          </w:p>
        </w:tc>
        <w:tc>
          <w:tcPr>
            <w:tcW w:w="1248" w:type="pct"/>
            <w:noWrap w:val="0"/>
            <w:vAlign w:val="center"/>
          </w:tcPr>
          <w:p>
            <w:pPr>
              <w:pStyle w:val="394"/>
              <w:jc w:val="center"/>
              <w:rPr>
                <w:i w:val="0"/>
                <w:iCs w:val="0"/>
                <w:kern w:val="21"/>
                <w:sz w:val="21"/>
                <w:szCs w:val="21"/>
              </w:rPr>
            </w:pPr>
            <w:r>
              <w:rPr>
                <w:i w:val="0"/>
                <w:iCs w:val="0"/>
                <w:kern w:val="21"/>
                <w:sz w:val="21"/>
                <w:szCs w:val="21"/>
              </w:rPr>
              <w:t>E3</w:t>
            </w:r>
          </w:p>
        </w:tc>
        <w:tc>
          <w:tcPr>
            <w:tcW w:w="1251" w:type="pct"/>
            <w:noWrap w:val="0"/>
            <w:vAlign w:val="center"/>
          </w:tcPr>
          <w:p>
            <w:pPr>
              <w:pStyle w:val="394"/>
              <w:jc w:val="center"/>
              <w:rPr>
                <w:i w:val="0"/>
                <w:iCs w:val="0"/>
                <w:kern w:val="21"/>
                <w:sz w:val="21"/>
                <w:szCs w:val="21"/>
              </w:rPr>
            </w:pPr>
            <w:r>
              <w:rPr>
                <w:i w:val="0"/>
                <w:iCs w:val="0"/>
                <w:kern w:val="21"/>
                <w:sz w:val="21"/>
                <w:szCs w:val="21"/>
              </w:rPr>
              <w:t>E3</w:t>
            </w:r>
          </w:p>
        </w:tc>
      </w:tr>
    </w:tbl>
    <w:p>
      <w:pPr>
        <w:pStyle w:val="413"/>
        <w:numPr>
          <w:ilvl w:val="4"/>
          <w:numId w:val="0"/>
        </w:numPr>
        <w:spacing w:line="240" w:lineRule="auto"/>
        <w:rPr>
          <w:i w:val="0"/>
          <w:iCs w:val="0"/>
        </w:rPr>
      </w:pPr>
      <w:r>
        <w:rPr>
          <w:rFonts w:hint="eastAsia"/>
          <w:i w:val="0"/>
          <w:iCs w:val="0"/>
        </w:rPr>
        <w:t>表2-3</w:t>
      </w:r>
      <w:r>
        <w:rPr>
          <w:rFonts w:hint="eastAsia"/>
          <w:i w:val="0"/>
          <w:iCs w:val="0"/>
          <w:lang w:val="en-US" w:eastAsia="zh-CN"/>
        </w:rPr>
        <w:t>2</w:t>
      </w:r>
      <w:r>
        <w:rPr>
          <w:i w:val="0"/>
          <w:iCs w:val="0"/>
        </w:rPr>
        <w:t>地下水功能敏感性分区</w:t>
      </w:r>
    </w:p>
    <w:tbl>
      <w:tblPr>
        <w:tblStyle w:val="58"/>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47"/>
        <w:gridCol w:w="802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77" w:type="pct"/>
            <w:noWrap w:val="0"/>
            <w:vAlign w:val="center"/>
          </w:tcPr>
          <w:p>
            <w:pPr>
              <w:pStyle w:val="394"/>
              <w:jc w:val="center"/>
              <w:rPr>
                <w:i w:val="0"/>
                <w:iCs w:val="0"/>
                <w:kern w:val="21"/>
                <w:sz w:val="21"/>
                <w:szCs w:val="21"/>
              </w:rPr>
            </w:pPr>
            <w:r>
              <w:rPr>
                <w:i w:val="0"/>
                <w:iCs w:val="0"/>
                <w:kern w:val="21"/>
                <w:sz w:val="21"/>
                <w:szCs w:val="21"/>
              </w:rPr>
              <w:t>敏感性</w:t>
            </w:r>
          </w:p>
        </w:tc>
        <w:tc>
          <w:tcPr>
            <w:tcW w:w="4423" w:type="pct"/>
            <w:noWrap w:val="0"/>
            <w:vAlign w:val="center"/>
          </w:tcPr>
          <w:p>
            <w:pPr>
              <w:pStyle w:val="394"/>
              <w:jc w:val="center"/>
              <w:rPr>
                <w:i w:val="0"/>
                <w:iCs w:val="0"/>
                <w:kern w:val="21"/>
                <w:sz w:val="21"/>
                <w:szCs w:val="21"/>
              </w:rPr>
            </w:pPr>
            <w:r>
              <w:rPr>
                <w:i w:val="0"/>
                <w:iCs w:val="0"/>
                <w:kern w:val="21"/>
                <w:sz w:val="21"/>
                <w:szCs w:val="21"/>
              </w:rPr>
              <w:t>地表水环境敏感特征</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77" w:type="pct"/>
            <w:noWrap w:val="0"/>
            <w:vAlign w:val="center"/>
          </w:tcPr>
          <w:p>
            <w:pPr>
              <w:pStyle w:val="394"/>
              <w:jc w:val="center"/>
              <w:rPr>
                <w:i w:val="0"/>
                <w:iCs w:val="0"/>
                <w:kern w:val="21"/>
                <w:sz w:val="21"/>
                <w:szCs w:val="21"/>
              </w:rPr>
            </w:pPr>
            <w:r>
              <w:rPr>
                <w:i w:val="0"/>
                <w:iCs w:val="0"/>
                <w:kern w:val="21"/>
                <w:sz w:val="21"/>
                <w:szCs w:val="21"/>
              </w:rPr>
              <w:t>敏感G1</w:t>
            </w:r>
          </w:p>
        </w:tc>
        <w:tc>
          <w:tcPr>
            <w:tcW w:w="4423" w:type="pct"/>
            <w:noWrap w:val="0"/>
            <w:vAlign w:val="center"/>
          </w:tcPr>
          <w:p>
            <w:pPr>
              <w:pStyle w:val="394"/>
              <w:jc w:val="both"/>
              <w:rPr>
                <w:i w:val="0"/>
                <w:iCs w:val="0"/>
                <w:kern w:val="21"/>
                <w:sz w:val="21"/>
                <w:szCs w:val="21"/>
              </w:rPr>
            </w:pPr>
            <w:r>
              <w:rPr>
                <w:i w:val="0"/>
                <w:iCs w:val="0"/>
                <w:kern w:val="21"/>
                <w:sz w:val="2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77" w:type="pct"/>
            <w:noWrap w:val="0"/>
            <w:vAlign w:val="center"/>
          </w:tcPr>
          <w:p>
            <w:pPr>
              <w:pStyle w:val="394"/>
              <w:jc w:val="center"/>
              <w:rPr>
                <w:i w:val="0"/>
                <w:iCs w:val="0"/>
                <w:kern w:val="21"/>
                <w:sz w:val="21"/>
                <w:szCs w:val="21"/>
              </w:rPr>
            </w:pPr>
            <w:r>
              <w:rPr>
                <w:i w:val="0"/>
                <w:iCs w:val="0"/>
                <w:kern w:val="21"/>
                <w:sz w:val="21"/>
                <w:szCs w:val="21"/>
              </w:rPr>
              <w:t>较敏感G2</w:t>
            </w:r>
          </w:p>
        </w:tc>
        <w:tc>
          <w:tcPr>
            <w:tcW w:w="4423" w:type="pct"/>
            <w:noWrap w:val="0"/>
            <w:vAlign w:val="center"/>
          </w:tcPr>
          <w:p>
            <w:pPr>
              <w:pStyle w:val="394"/>
              <w:jc w:val="both"/>
              <w:rPr>
                <w:i w:val="0"/>
                <w:iCs w:val="0"/>
                <w:kern w:val="21"/>
                <w:sz w:val="21"/>
                <w:szCs w:val="21"/>
              </w:rPr>
            </w:pPr>
            <w:r>
              <w:rPr>
                <w:i w:val="0"/>
                <w:iCs w:val="0"/>
                <w:kern w:val="21"/>
                <w:sz w:val="21"/>
                <w:szCs w:val="21"/>
              </w:rPr>
              <w:t>集中式饮用水水源（包括已建成的在用、备用、应急水源，在建和规划的饮用水水源）准保护区以外的补给径流区；未规定准保护区的集中式饮用水水源，其保护区以外的补给径流区；分散式饮用水水源地；特殊地下水资源（如热水、矿泉水、温泉等）保护区以外的分布区等其他未列入上述敏感分级的环境敏感区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77" w:type="pct"/>
            <w:noWrap w:val="0"/>
            <w:vAlign w:val="center"/>
          </w:tcPr>
          <w:p>
            <w:pPr>
              <w:pStyle w:val="394"/>
              <w:jc w:val="center"/>
              <w:rPr>
                <w:i w:val="0"/>
                <w:iCs w:val="0"/>
                <w:kern w:val="21"/>
                <w:sz w:val="21"/>
                <w:szCs w:val="21"/>
              </w:rPr>
            </w:pPr>
            <w:r>
              <w:rPr>
                <w:i w:val="0"/>
                <w:iCs w:val="0"/>
                <w:kern w:val="21"/>
                <w:sz w:val="21"/>
                <w:szCs w:val="21"/>
              </w:rPr>
              <w:t>不敏感G3</w:t>
            </w:r>
          </w:p>
        </w:tc>
        <w:tc>
          <w:tcPr>
            <w:tcW w:w="4423" w:type="pct"/>
            <w:noWrap w:val="0"/>
            <w:vAlign w:val="center"/>
          </w:tcPr>
          <w:p>
            <w:pPr>
              <w:pStyle w:val="394"/>
              <w:jc w:val="both"/>
              <w:rPr>
                <w:i w:val="0"/>
                <w:iCs w:val="0"/>
                <w:kern w:val="21"/>
                <w:sz w:val="21"/>
                <w:szCs w:val="21"/>
              </w:rPr>
            </w:pPr>
            <w:r>
              <w:rPr>
                <w:i w:val="0"/>
                <w:iCs w:val="0"/>
                <w:kern w:val="21"/>
                <w:sz w:val="21"/>
                <w:szCs w:val="21"/>
              </w:rPr>
              <w:t>上述地区之外的其他地区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000" w:type="pct"/>
            <w:gridSpan w:val="2"/>
            <w:noWrap w:val="0"/>
            <w:vAlign w:val="center"/>
          </w:tcPr>
          <w:p>
            <w:pPr>
              <w:pStyle w:val="394"/>
              <w:jc w:val="both"/>
              <w:rPr>
                <w:i w:val="0"/>
                <w:iCs w:val="0"/>
                <w:kern w:val="21"/>
                <w:sz w:val="21"/>
                <w:szCs w:val="21"/>
              </w:rPr>
            </w:pPr>
            <w:r>
              <w:rPr>
                <w:i w:val="0"/>
                <w:iCs w:val="0"/>
                <w:kern w:val="21"/>
                <w:sz w:val="21"/>
                <w:szCs w:val="21"/>
              </w:rPr>
              <w:t>a “环境敏感区”是指《建设项目环境影响评价分类管理名录》中所界定的涉及地下水的环境敏感区</w:t>
            </w:r>
          </w:p>
        </w:tc>
      </w:tr>
    </w:tbl>
    <w:p>
      <w:pPr>
        <w:pStyle w:val="413"/>
        <w:numPr>
          <w:ilvl w:val="4"/>
          <w:numId w:val="0"/>
        </w:numPr>
        <w:spacing w:line="240" w:lineRule="auto"/>
        <w:rPr>
          <w:i w:val="0"/>
          <w:iCs w:val="0"/>
        </w:rPr>
      </w:pPr>
      <w:r>
        <w:rPr>
          <w:rFonts w:hint="eastAsia"/>
          <w:i w:val="0"/>
          <w:iCs w:val="0"/>
        </w:rPr>
        <w:t>表2-3</w:t>
      </w:r>
      <w:r>
        <w:rPr>
          <w:rFonts w:hint="eastAsia"/>
          <w:i w:val="0"/>
          <w:iCs w:val="0"/>
          <w:lang w:val="en-US" w:eastAsia="zh-CN"/>
        </w:rPr>
        <w:t>3</w:t>
      </w:r>
      <w:r>
        <w:rPr>
          <w:i w:val="0"/>
          <w:iCs w:val="0"/>
        </w:rPr>
        <w:t>包气带防污性能分级</w:t>
      </w:r>
    </w:p>
    <w:tbl>
      <w:tblPr>
        <w:tblStyle w:val="58"/>
        <w:tblW w:w="5000" w:type="pct"/>
        <w:tblInd w:w="0" w:type="dxa"/>
        <w:tblLayout w:type="autofit"/>
        <w:tblCellMar>
          <w:top w:w="0" w:type="dxa"/>
          <w:left w:w="0" w:type="dxa"/>
          <w:bottom w:w="0" w:type="dxa"/>
          <w:right w:w="0" w:type="dxa"/>
        </w:tblCellMar>
      </w:tblPr>
      <w:tblGrid>
        <w:gridCol w:w="1047"/>
        <w:gridCol w:w="8024"/>
      </w:tblGrid>
      <w:tr>
        <w:tblPrEx>
          <w:tblCellMar>
            <w:top w:w="0" w:type="dxa"/>
            <w:left w:w="0" w:type="dxa"/>
            <w:bottom w:w="0" w:type="dxa"/>
            <w:right w:w="0" w:type="dxa"/>
          </w:tblCellMar>
        </w:tblPrEx>
        <w:trPr>
          <w:trHeight w:val="23" w:hRule="atLeast"/>
        </w:trPr>
        <w:tc>
          <w:tcPr>
            <w:tcW w:w="577" w:type="pct"/>
            <w:tcBorders>
              <w:top w:val="single" w:color="000000" w:sz="12" w:space="0"/>
              <w:left w:val="nil"/>
              <w:bottom w:val="single" w:color="000000" w:sz="4" w:space="0"/>
              <w:right w:val="single" w:color="000000" w:sz="4" w:space="0"/>
            </w:tcBorders>
            <w:noWrap w:val="0"/>
            <w:vAlign w:val="center"/>
          </w:tcPr>
          <w:p>
            <w:pPr>
              <w:pStyle w:val="394"/>
              <w:jc w:val="center"/>
              <w:rPr>
                <w:i w:val="0"/>
                <w:iCs w:val="0"/>
                <w:kern w:val="21"/>
                <w:sz w:val="21"/>
                <w:szCs w:val="21"/>
              </w:rPr>
            </w:pPr>
            <w:r>
              <w:rPr>
                <w:i w:val="0"/>
                <w:iCs w:val="0"/>
                <w:kern w:val="21"/>
                <w:sz w:val="21"/>
                <w:szCs w:val="21"/>
              </w:rPr>
              <w:t>分级</w:t>
            </w:r>
          </w:p>
        </w:tc>
        <w:tc>
          <w:tcPr>
            <w:tcW w:w="4423" w:type="pct"/>
            <w:tcBorders>
              <w:top w:val="single" w:color="000000" w:sz="12" w:space="0"/>
              <w:left w:val="single" w:color="000000" w:sz="4" w:space="0"/>
              <w:bottom w:val="single" w:color="000000" w:sz="4" w:space="0"/>
              <w:right w:val="nil"/>
            </w:tcBorders>
            <w:noWrap w:val="0"/>
            <w:vAlign w:val="center"/>
          </w:tcPr>
          <w:p>
            <w:pPr>
              <w:pStyle w:val="394"/>
              <w:jc w:val="both"/>
              <w:rPr>
                <w:i w:val="0"/>
                <w:iCs w:val="0"/>
                <w:kern w:val="21"/>
                <w:sz w:val="21"/>
                <w:szCs w:val="21"/>
              </w:rPr>
            </w:pPr>
            <w:r>
              <w:rPr>
                <w:i w:val="0"/>
                <w:iCs w:val="0"/>
                <w:kern w:val="21"/>
                <w:sz w:val="21"/>
                <w:szCs w:val="21"/>
              </w:rPr>
              <w:t>包气带岩土的渗透性能</w:t>
            </w:r>
          </w:p>
        </w:tc>
      </w:tr>
      <w:tr>
        <w:tblPrEx>
          <w:tblCellMar>
            <w:top w:w="0" w:type="dxa"/>
            <w:left w:w="0" w:type="dxa"/>
            <w:bottom w:w="0" w:type="dxa"/>
            <w:right w:w="0" w:type="dxa"/>
          </w:tblCellMar>
        </w:tblPrEx>
        <w:trPr>
          <w:trHeight w:val="23" w:hRule="atLeast"/>
        </w:trPr>
        <w:tc>
          <w:tcPr>
            <w:tcW w:w="577" w:type="pct"/>
            <w:tcBorders>
              <w:top w:val="single" w:color="000000" w:sz="4" w:space="0"/>
              <w:left w:val="nil"/>
              <w:bottom w:val="single" w:color="000000" w:sz="4" w:space="0"/>
              <w:right w:val="single" w:color="000000" w:sz="4" w:space="0"/>
            </w:tcBorders>
            <w:noWrap w:val="0"/>
            <w:vAlign w:val="center"/>
          </w:tcPr>
          <w:p>
            <w:pPr>
              <w:pStyle w:val="394"/>
              <w:jc w:val="center"/>
              <w:rPr>
                <w:i w:val="0"/>
                <w:iCs w:val="0"/>
                <w:kern w:val="21"/>
                <w:sz w:val="21"/>
                <w:szCs w:val="21"/>
              </w:rPr>
            </w:pPr>
            <w:r>
              <w:rPr>
                <w:i w:val="0"/>
                <w:iCs w:val="0"/>
                <w:kern w:val="21"/>
                <w:sz w:val="21"/>
                <w:szCs w:val="21"/>
              </w:rPr>
              <w:t>D3</w:t>
            </w:r>
          </w:p>
        </w:tc>
        <w:tc>
          <w:tcPr>
            <w:tcW w:w="4423" w:type="pct"/>
            <w:tcBorders>
              <w:top w:val="single" w:color="000000" w:sz="4" w:space="0"/>
              <w:left w:val="single" w:color="000000" w:sz="4" w:space="0"/>
              <w:bottom w:val="single" w:color="000000" w:sz="4" w:space="0"/>
              <w:right w:val="nil"/>
            </w:tcBorders>
            <w:noWrap w:val="0"/>
            <w:vAlign w:val="center"/>
          </w:tcPr>
          <w:p>
            <w:pPr>
              <w:pStyle w:val="394"/>
              <w:jc w:val="both"/>
              <w:rPr>
                <w:i w:val="0"/>
                <w:iCs w:val="0"/>
                <w:kern w:val="21"/>
                <w:sz w:val="21"/>
                <w:szCs w:val="21"/>
              </w:rPr>
            </w:pPr>
            <w:r>
              <w:rPr>
                <w:i w:val="0"/>
                <w:iCs w:val="0"/>
                <w:kern w:val="21"/>
                <w:sz w:val="21"/>
                <w:szCs w:val="21"/>
              </w:rPr>
              <w:t>Mb≥1.0m，K≤1.0×10</w:t>
            </w:r>
            <w:r>
              <w:rPr>
                <w:i w:val="0"/>
                <w:iCs w:val="0"/>
                <w:kern w:val="21"/>
                <w:sz w:val="21"/>
                <w:szCs w:val="21"/>
                <w:vertAlign w:val="superscript"/>
              </w:rPr>
              <w:t>-6</w:t>
            </w:r>
            <w:r>
              <w:rPr>
                <w:i w:val="0"/>
                <w:iCs w:val="0"/>
                <w:kern w:val="21"/>
                <w:sz w:val="21"/>
                <w:szCs w:val="21"/>
              </w:rPr>
              <w:t>cm/s，且分布连续、稳定</w:t>
            </w:r>
          </w:p>
        </w:tc>
      </w:tr>
      <w:tr>
        <w:tblPrEx>
          <w:tblCellMar>
            <w:top w:w="0" w:type="dxa"/>
            <w:left w:w="0" w:type="dxa"/>
            <w:bottom w:w="0" w:type="dxa"/>
            <w:right w:w="0" w:type="dxa"/>
          </w:tblCellMar>
        </w:tblPrEx>
        <w:trPr>
          <w:trHeight w:val="23" w:hRule="atLeast"/>
        </w:trPr>
        <w:tc>
          <w:tcPr>
            <w:tcW w:w="577" w:type="pct"/>
            <w:tcBorders>
              <w:top w:val="single" w:color="000000" w:sz="4" w:space="0"/>
              <w:left w:val="nil"/>
              <w:bottom w:val="single" w:color="000000" w:sz="4" w:space="0"/>
              <w:right w:val="single" w:color="000000" w:sz="4" w:space="0"/>
            </w:tcBorders>
            <w:noWrap w:val="0"/>
            <w:vAlign w:val="center"/>
          </w:tcPr>
          <w:p>
            <w:pPr>
              <w:pStyle w:val="394"/>
              <w:jc w:val="center"/>
              <w:rPr>
                <w:i w:val="0"/>
                <w:iCs w:val="0"/>
                <w:kern w:val="21"/>
                <w:sz w:val="21"/>
                <w:szCs w:val="21"/>
              </w:rPr>
            </w:pPr>
            <w:r>
              <w:rPr>
                <w:i w:val="0"/>
                <w:iCs w:val="0"/>
                <w:kern w:val="21"/>
                <w:sz w:val="21"/>
                <w:szCs w:val="21"/>
              </w:rPr>
              <w:t>D2</w:t>
            </w:r>
          </w:p>
        </w:tc>
        <w:tc>
          <w:tcPr>
            <w:tcW w:w="4423" w:type="pct"/>
            <w:tcBorders>
              <w:top w:val="single" w:color="000000" w:sz="4" w:space="0"/>
              <w:left w:val="single" w:color="000000" w:sz="4" w:space="0"/>
              <w:bottom w:val="single" w:color="000000" w:sz="4" w:space="0"/>
              <w:right w:val="nil"/>
            </w:tcBorders>
            <w:noWrap w:val="0"/>
            <w:vAlign w:val="center"/>
          </w:tcPr>
          <w:p>
            <w:pPr>
              <w:pStyle w:val="394"/>
              <w:keepNext w:val="0"/>
              <w:keepLines w:val="0"/>
              <w:pageBreakBefore w:val="0"/>
              <w:widowControl w:val="0"/>
              <w:kinsoku/>
              <w:wordWrap w:val="0"/>
              <w:overflowPunct/>
              <w:topLinePunct w:val="0"/>
              <w:autoSpaceDE w:val="0"/>
              <w:autoSpaceDN w:val="0"/>
              <w:bidi w:val="0"/>
              <w:adjustRightInd w:val="0"/>
              <w:snapToGrid/>
              <w:jc w:val="both"/>
              <w:textAlignment w:val="auto"/>
              <w:rPr>
                <w:i w:val="0"/>
                <w:iCs w:val="0"/>
                <w:kern w:val="21"/>
                <w:sz w:val="21"/>
                <w:szCs w:val="21"/>
              </w:rPr>
            </w:pPr>
            <w:r>
              <w:rPr>
                <w:i w:val="0"/>
                <w:iCs w:val="0"/>
                <w:kern w:val="21"/>
                <w:sz w:val="21"/>
                <w:szCs w:val="21"/>
              </w:rPr>
              <w:t>0.5m≤Mb≤1.0m，K≤1.0×10</w:t>
            </w:r>
            <w:r>
              <w:rPr>
                <w:i w:val="0"/>
                <w:iCs w:val="0"/>
                <w:kern w:val="21"/>
                <w:sz w:val="21"/>
                <w:szCs w:val="21"/>
                <w:vertAlign w:val="superscript"/>
              </w:rPr>
              <w:t>-6</w:t>
            </w:r>
            <w:r>
              <w:rPr>
                <w:i w:val="0"/>
                <w:iCs w:val="0"/>
                <w:kern w:val="21"/>
                <w:sz w:val="21"/>
                <w:szCs w:val="21"/>
              </w:rPr>
              <w:t>cm/s，且分布连续、稳定Mb≥1.0m，1.0×10</w:t>
            </w:r>
            <w:r>
              <w:rPr>
                <w:i w:val="0"/>
                <w:iCs w:val="0"/>
                <w:kern w:val="21"/>
                <w:sz w:val="21"/>
                <w:szCs w:val="21"/>
                <w:vertAlign w:val="superscript"/>
              </w:rPr>
              <w:t>-6</w:t>
            </w:r>
            <w:r>
              <w:rPr>
                <w:i w:val="0"/>
                <w:iCs w:val="0"/>
                <w:kern w:val="21"/>
                <w:sz w:val="21"/>
                <w:szCs w:val="21"/>
              </w:rPr>
              <w:t>cm/s&lt;K≤1.0×10</w:t>
            </w:r>
            <w:r>
              <w:rPr>
                <w:i w:val="0"/>
                <w:iCs w:val="0"/>
                <w:kern w:val="21"/>
                <w:sz w:val="21"/>
                <w:szCs w:val="21"/>
                <w:vertAlign w:val="superscript"/>
              </w:rPr>
              <w:t>-4</w:t>
            </w:r>
            <w:r>
              <w:rPr>
                <w:i w:val="0"/>
                <w:iCs w:val="0"/>
                <w:kern w:val="21"/>
                <w:sz w:val="21"/>
                <w:szCs w:val="21"/>
              </w:rPr>
              <w:t>cm/s，且分布连续、稳定</w:t>
            </w:r>
          </w:p>
        </w:tc>
      </w:tr>
      <w:tr>
        <w:tblPrEx>
          <w:tblCellMar>
            <w:top w:w="0" w:type="dxa"/>
            <w:left w:w="0" w:type="dxa"/>
            <w:bottom w:w="0" w:type="dxa"/>
            <w:right w:w="0" w:type="dxa"/>
          </w:tblCellMar>
        </w:tblPrEx>
        <w:trPr>
          <w:trHeight w:val="23" w:hRule="atLeast"/>
        </w:trPr>
        <w:tc>
          <w:tcPr>
            <w:tcW w:w="577" w:type="pct"/>
            <w:tcBorders>
              <w:top w:val="single" w:color="000000" w:sz="4" w:space="0"/>
              <w:left w:val="nil"/>
              <w:bottom w:val="single" w:color="000000" w:sz="4" w:space="0"/>
              <w:right w:val="single" w:color="000000" w:sz="4" w:space="0"/>
            </w:tcBorders>
            <w:noWrap w:val="0"/>
            <w:vAlign w:val="center"/>
          </w:tcPr>
          <w:p>
            <w:pPr>
              <w:pStyle w:val="394"/>
              <w:jc w:val="center"/>
              <w:rPr>
                <w:i w:val="0"/>
                <w:iCs w:val="0"/>
                <w:kern w:val="21"/>
                <w:sz w:val="21"/>
                <w:szCs w:val="21"/>
              </w:rPr>
            </w:pPr>
            <w:r>
              <w:rPr>
                <w:i w:val="0"/>
                <w:iCs w:val="0"/>
                <w:kern w:val="21"/>
                <w:sz w:val="21"/>
                <w:szCs w:val="21"/>
              </w:rPr>
              <w:t>D1</w:t>
            </w:r>
          </w:p>
        </w:tc>
        <w:tc>
          <w:tcPr>
            <w:tcW w:w="4423" w:type="pct"/>
            <w:tcBorders>
              <w:top w:val="single" w:color="000000" w:sz="4" w:space="0"/>
              <w:left w:val="single" w:color="000000" w:sz="4" w:space="0"/>
              <w:bottom w:val="single" w:color="000000" w:sz="4" w:space="0"/>
              <w:right w:val="nil"/>
            </w:tcBorders>
            <w:noWrap w:val="0"/>
            <w:vAlign w:val="center"/>
          </w:tcPr>
          <w:p>
            <w:pPr>
              <w:pStyle w:val="394"/>
              <w:jc w:val="both"/>
              <w:rPr>
                <w:i w:val="0"/>
                <w:iCs w:val="0"/>
                <w:kern w:val="21"/>
                <w:sz w:val="21"/>
                <w:szCs w:val="21"/>
              </w:rPr>
            </w:pPr>
            <w:r>
              <w:rPr>
                <w:i w:val="0"/>
                <w:iCs w:val="0"/>
                <w:kern w:val="21"/>
                <w:sz w:val="21"/>
                <w:szCs w:val="21"/>
              </w:rPr>
              <w:t>岩（土）层不满足上述“D2”和“D3”条件</w:t>
            </w:r>
          </w:p>
        </w:tc>
      </w:tr>
      <w:tr>
        <w:tblPrEx>
          <w:tblCellMar>
            <w:top w:w="0" w:type="dxa"/>
            <w:left w:w="0" w:type="dxa"/>
            <w:bottom w:w="0" w:type="dxa"/>
            <w:right w:w="0" w:type="dxa"/>
          </w:tblCellMar>
        </w:tblPrEx>
        <w:trPr>
          <w:trHeight w:val="23" w:hRule="atLeast"/>
        </w:trPr>
        <w:tc>
          <w:tcPr>
            <w:tcW w:w="5000" w:type="pct"/>
            <w:gridSpan w:val="2"/>
            <w:tcBorders>
              <w:top w:val="single" w:color="000000" w:sz="4" w:space="0"/>
              <w:left w:val="nil"/>
              <w:bottom w:val="single" w:color="000000" w:sz="12" w:space="0"/>
              <w:right w:val="nil"/>
            </w:tcBorders>
            <w:noWrap w:val="0"/>
            <w:vAlign w:val="center"/>
          </w:tcPr>
          <w:p>
            <w:pPr>
              <w:pStyle w:val="394"/>
              <w:jc w:val="center"/>
              <w:rPr>
                <w:i w:val="0"/>
                <w:iCs w:val="0"/>
                <w:kern w:val="21"/>
                <w:sz w:val="21"/>
                <w:szCs w:val="21"/>
              </w:rPr>
            </w:pPr>
            <w:r>
              <w:rPr>
                <w:rFonts w:eastAsia="Times New Roman"/>
                <w:i w:val="0"/>
                <w:iCs w:val="0"/>
                <w:kern w:val="21"/>
                <w:sz w:val="21"/>
                <w:szCs w:val="21"/>
              </w:rPr>
              <w:t>Mb:</w:t>
            </w:r>
            <w:r>
              <w:rPr>
                <w:i w:val="0"/>
                <w:iCs w:val="0"/>
                <w:kern w:val="21"/>
                <w:sz w:val="21"/>
                <w:szCs w:val="21"/>
              </w:rPr>
              <w:t>岩土层单层厚度。</w:t>
            </w:r>
            <w:r>
              <w:rPr>
                <w:rFonts w:eastAsia="Times New Roman"/>
                <w:i w:val="0"/>
                <w:iCs w:val="0"/>
                <w:kern w:val="21"/>
                <w:sz w:val="21"/>
                <w:szCs w:val="21"/>
              </w:rPr>
              <w:t>K</w:t>
            </w:r>
            <w:r>
              <w:rPr>
                <w:i w:val="0"/>
                <w:iCs w:val="0"/>
                <w:kern w:val="21"/>
                <w:sz w:val="21"/>
                <w:szCs w:val="21"/>
              </w:rPr>
              <w:t>：渗透系数。</w:t>
            </w:r>
          </w:p>
        </w:tc>
      </w:tr>
    </w:tbl>
    <w:p>
      <w:pPr>
        <w:pStyle w:val="6"/>
        <w:ind w:firstLine="480"/>
        <w:rPr>
          <w:i w:val="0"/>
          <w:iCs w:val="0"/>
          <w:lang w:val="zh-CN"/>
        </w:rPr>
      </w:pPr>
      <w:r>
        <w:rPr>
          <w:rFonts w:hint="eastAsia"/>
          <w:i w:val="0"/>
          <w:iCs w:val="0"/>
          <w:lang w:val="zh-CN"/>
        </w:rPr>
        <w:t>（</w:t>
      </w:r>
      <w:r>
        <w:rPr>
          <w:rFonts w:hint="eastAsia"/>
          <w:i w:val="0"/>
          <w:iCs w:val="0"/>
        </w:rPr>
        <w:t>5</w:t>
      </w:r>
      <w:r>
        <w:rPr>
          <w:rFonts w:hint="eastAsia"/>
          <w:i w:val="0"/>
          <w:iCs w:val="0"/>
          <w:lang w:val="zh-CN"/>
        </w:rPr>
        <w:t>）</w:t>
      </w:r>
      <w:r>
        <w:rPr>
          <w:i w:val="0"/>
          <w:iCs w:val="0"/>
          <w:lang w:val="zh-CN"/>
        </w:rPr>
        <w:t>E值的判定</w:t>
      </w:r>
    </w:p>
    <w:p>
      <w:pPr>
        <w:pStyle w:val="6"/>
        <w:ind w:firstLine="480"/>
        <w:rPr>
          <w:i w:val="0"/>
          <w:iCs w:val="0"/>
          <w:lang w:val="zh-CN"/>
        </w:rPr>
      </w:pPr>
      <w:r>
        <w:rPr>
          <w:i w:val="0"/>
          <w:iCs w:val="0"/>
          <w:lang w:val="zh-CN"/>
        </w:rPr>
        <w:t>根据《建设项目环境风险评价技术导则》（HJ169-2018）附录D，本项目环境敏感程度均为E</w:t>
      </w:r>
      <w:r>
        <w:rPr>
          <w:rFonts w:hint="eastAsia"/>
          <w:i w:val="0"/>
          <w:iCs w:val="0"/>
        </w:rPr>
        <w:t>1</w:t>
      </w:r>
      <w:r>
        <w:rPr>
          <w:rFonts w:hint="eastAsia"/>
          <w:i w:val="0"/>
          <w:iCs w:val="0"/>
          <w:lang w:val="zh-CN"/>
        </w:rPr>
        <w:t>，</w:t>
      </w:r>
      <w:r>
        <w:rPr>
          <w:i w:val="0"/>
          <w:iCs w:val="0"/>
          <w:lang w:val="zh-CN"/>
        </w:rPr>
        <w:t>地表水、地下水环境敏感程度均为E3。故本项目确定环境敏感程度（E）为E</w:t>
      </w:r>
      <w:r>
        <w:rPr>
          <w:rFonts w:hint="eastAsia"/>
          <w:i w:val="0"/>
          <w:iCs w:val="0"/>
        </w:rPr>
        <w:t>1</w:t>
      </w:r>
      <w:r>
        <w:rPr>
          <w:rFonts w:hint="eastAsia"/>
          <w:i w:val="0"/>
          <w:iCs w:val="0"/>
          <w:lang w:val="zh-CN"/>
        </w:rPr>
        <w:t>。</w:t>
      </w:r>
    </w:p>
    <w:p>
      <w:pPr>
        <w:pStyle w:val="90"/>
        <w:adjustRightInd/>
        <w:spacing w:line="360" w:lineRule="auto"/>
        <w:ind w:firstLine="480" w:firstLineChars="200"/>
        <w:rPr>
          <w:rFonts w:hint="eastAsia"/>
          <w:i w:val="0"/>
          <w:iCs w:val="0"/>
          <w:color w:val="auto"/>
        </w:rPr>
      </w:pPr>
      <w:r>
        <w:rPr>
          <w:rFonts w:hint="eastAsia"/>
          <w:i w:val="0"/>
          <w:iCs w:val="0"/>
          <w:color w:val="auto"/>
        </w:rPr>
        <w:t>5、建设项目风险潜势判断</w:t>
      </w:r>
    </w:p>
    <w:p>
      <w:pPr>
        <w:pStyle w:val="6"/>
        <w:ind w:firstLine="480"/>
        <w:rPr>
          <w:i w:val="0"/>
          <w:iCs w:val="0"/>
          <w:lang w:val="zh-CN"/>
        </w:rPr>
      </w:pPr>
      <w:r>
        <w:rPr>
          <w:i w:val="0"/>
          <w:iCs w:val="0"/>
          <w:lang w:val="zh-CN"/>
        </w:rPr>
        <w:t>按照《建设项目环境风险评价技术导则》（HJ169-2018），各要素环境风险潜势判断依据见</w:t>
      </w:r>
      <w:r>
        <w:rPr>
          <w:rFonts w:hint="eastAsia"/>
          <w:i w:val="0"/>
          <w:iCs w:val="0"/>
          <w:lang w:val="zh-CN"/>
        </w:rPr>
        <w:t>下表</w:t>
      </w:r>
      <w:r>
        <w:rPr>
          <w:i w:val="0"/>
          <w:iCs w:val="0"/>
          <w:lang w:val="zh-CN"/>
        </w:rPr>
        <w:t>。建设项目环境风险潜势综合等级取各要素等级的相对高值。</w:t>
      </w:r>
    </w:p>
    <w:p>
      <w:pPr>
        <w:pStyle w:val="413"/>
        <w:numPr>
          <w:ilvl w:val="4"/>
          <w:numId w:val="0"/>
        </w:numPr>
        <w:spacing w:line="240" w:lineRule="auto"/>
        <w:rPr>
          <w:i w:val="0"/>
          <w:iCs w:val="0"/>
        </w:rPr>
      </w:pPr>
      <w:r>
        <w:rPr>
          <w:rFonts w:hint="eastAsia"/>
          <w:i w:val="0"/>
          <w:iCs w:val="0"/>
        </w:rPr>
        <w:t>表2-3</w:t>
      </w:r>
      <w:r>
        <w:rPr>
          <w:rFonts w:hint="eastAsia"/>
          <w:i w:val="0"/>
          <w:iCs w:val="0"/>
          <w:lang w:val="en-US" w:eastAsia="zh-CN"/>
        </w:rPr>
        <w:t>4</w:t>
      </w:r>
      <w:r>
        <w:rPr>
          <w:i w:val="0"/>
          <w:iCs w:val="0"/>
        </w:rPr>
        <w:t>环境风险潜势划分</w:t>
      </w:r>
    </w:p>
    <w:tbl>
      <w:tblPr>
        <w:tblStyle w:val="58"/>
        <w:tblW w:w="5000" w:type="pct"/>
        <w:jc w:val="center"/>
        <w:tblLayout w:type="autofit"/>
        <w:tblCellMar>
          <w:top w:w="0" w:type="dxa"/>
          <w:left w:w="0" w:type="dxa"/>
          <w:bottom w:w="0" w:type="dxa"/>
          <w:right w:w="0" w:type="dxa"/>
        </w:tblCellMar>
      </w:tblPr>
      <w:tblGrid>
        <w:gridCol w:w="2311"/>
        <w:gridCol w:w="1689"/>
        <w:gridCol w:w="1691"/>
        <w:gridCol w:w="1691"/>
        <w:gridCol w:w="1689"/>
      </w:tblGrid>
      <w:tr>
        <w:tblPrEx>
          <w:tblCellMar>
            <w:top w:w="0" w:type="dxa"/>
            <w:left w:w="0" w:type="dxa"/>
            <w:bottom w:w="0" w:type="dxa"/>
            <w:right w:w="0" w:type="dxa"/>
          </w:tblCellMar>
        </w:tblPrEx>
        <w:trPr>
          <w:trHeight w:val="348" w:hRule="exact"/>
          <w:jc w:val="center"/>
        </w:trPr>
        <w:tc>
          <w:tcPr>
            <w:tcW w:w="1274" w:type="pct"/>
            <w:vMerge w:val="restart"/>
            <w:tcBorders>
              <w:top w:val="single" w:color="000000" w:sz="12" w:space="0"/>
              <w:left w:val="nil"/>
              <w:right w:val="single" w:color="000000" w:sz="4" w:space="0"/>
            </w:tcBorders>
            <w:noWrap w:val="0"/>
            <w:vAlign w:val="center"/>
          </w:tcPr>
          <w:p>
            <w:pPr>
              <w:pStyle w:val="394"/>
              <w:jc w:val="center"/>
              <w:rPr>
                <w:i w:val="0"/>
                <w:iCs w:val="0"/>
                <w:kern w:val="21"/>
                <w:sz w:val="21"/>
                <w:szCs w:val="21"/>
              </w:rPr>
            </w:pPr>
            <w:r>
              <w:rPr>
                <w:i w:val="0"/>
                <w:iCs w:val="0"/>
                <w:kern w:val="21"/>
                <w:sz w:val="21"/>
                <w:szCs w:val="21"/>
              </w:rPr>
              <w:t>环境敏感程度（E）</w:t>
            </w:r>
          </w:p>
        </w:tc>
        <w:tc>
          <w:tcPr>
            <w:tcW w:w="3726" w:type="pct"/>
            <w:gridSpan w:val="4"/>
            <w:tcBorders>
              <w:top w:val="single" w:color="000000" w:sz="12" w:space="0"/>
              <w:left w:val="single" w:color="000000" w:sz="4" w:space="0"/>
              <w:bottom w:val="single" w:color="000000" w:sz="2" w:space="0"/>
              <w:right w:val="nil"/>
            </w:tcBorders>
            <w:noWrap w:val="0"/>
            <w:vAlign w:val="center"/>
          </w:tcPr>
          <w:p>
            <w:pPr>
              <w:pStyle w:val="394"/>
              <w:jc w:val="center"/>
              <w:rPr>
                <w:i w:val="0"/>
                <w:iCs w:val="0"/>
                <w:kern w:val="21"/>
                <w:sz w:val="21"/>
                <w:szCs w:val="21"/>
              </w:rPr>
            </w:pPr>
            <w:r>
              <w:rPr>
                <w:i w:val="0"/>
                <w:iCs w:val="0"/>
                <w:kern w:val="21"/>
                <w:sz w:val="21"/>
                <w:szCs w:val="21"/>
              </w:rPr>
              <w:t>危险物质及工艺系统危险性（P）</w:t>
            </w:r>
          </w:p>
        </w:tc>
      </w:tr>
      <w:tr>
        <w:tblPrEx>
          <w:tblCellMar>
            <w:top w:w="0" w:type="dxa"/>
            <w:left w:w="0" w:type="dxa"/>
            <w:bottom w:w="0" w:type="dxa"/>
            <w:right w:w="0" w:type="dxa"/>
          </w:tblCellMar>
        </w:tblPrEx>
        <w:trPr>
          <w:trHeight w:val="333" w:hRule="exact"/>
          <w:jc w:val="center"/>
        </w:trPr>
        <w:tc>
          <w:tcPr>
            <w:tcW w:w="1274" w:type="pct"/>
            <w:vMerge w:val="continue"/>
            <w:tcBorders>
              <w:left w:val="nil"/>
              <w:bottom w:val="single" w:color="000000" w:sz="2" w:space="0"/>
              <w:right w:val="single" w:color="000000" w:sz="4" w:space="0"/>
            </w:tcBorders>
            <w:noWrap w:val="0"/>
            <w:vAlign w:val="center"/>
          </w:tcPr>
          <w:p>
            <w:pPr>
              <w:jc w:val="center"/>
              <w:rPr>
                <w:i w:val="0"/>
                <w:iCs w:val="0"/>
                <w:kern w:val="21"/>
                <w:sz w:val="21"/>
                <w:szCs w:val="21"/>
              </w:rPr>
            </w:pPr>
          </w:p>
        </w:tc>
        <w:tc>
          <w:tcPr>
            <w:tcW w:w="931" w:type="pct"/>
            <w:tcBorders>
              <w:top w:val="single" w:color="000000" w:sz="2" w:space="0"/>
              <w:left w:val="single" w:color="000000" w:sz="4" w:space="0"/>
              <w:bottom w:val="single" w:color="000000" w:sz="2" w:space="0"/>
              <w:right w:val="single" w:color="000000" w:sz="4" w:space="0"/>
            </w:tcBorders>
            <w:noWrap w:val="0"/>
            <w:vAlign w:val="center"/>
          </w:tcPr>
          <w:p>
            <w:pPr>
              <w:pStyle w:val="394"/>
              <w:jc w:val="center"/>
              <w:rPr>
                <w:i w:val="0"/>
                <w:iCs w:val="0"/>
                <w:kern w:val="21"/>
                <w:sz w:val="21"/>
                <w:szCs w:val="21"/>
              </w:rPr>
            </w:pPr>
            <w:r>
              <w:rPr>
                <w:i w:val="0"/>
                <w:iCs w:val="0"/>
                <w:kern w:val="21"/>
                <w:sz w:val="21"/>
                <w:szCs w:val="21"/>
              </w:rPr>
              <w:t>极高危害（P1）</w:t>
            </w:r>
          </w:p>
        </w:tc>
        <w:tc>
          <w:tcPr>
            <w:tcW w:w="932" w:type="pct"/>
            <w:tcBorders>
              <w:top w:val="single" w:color="000000" w:sz="2" w:space="0"/>
              <w:left w:val="single" w:color="000000" w:sz="4" w:space="0"/>
              <w:bottom w:val="single" w:color="000000" w:sz="2" w:space="0"/>
              <w:right w:val="single" w:color="000000" w:sz="4" w:space="0"/>
            </w:tcBorders>
            <w:noWrap w:val="0"/>
            <w:vAlign w:val="center"/>
          </w:tcPr>
          <w:p>
            <w:pPr>
              <w:pStyle w:val="394"/>
              <w:jc w:val="center"/>
              <w:rPr>
                <w:i w:val="0"/>
                <w:iCs w:val="0"/>
                <w:kern w:val="21"/>
                <w:sz w:val="21"/>
                <w:szCs w:val="21"/>
              </w:rPr>
            </w:pPr>
            <w:r>
              <w:rPr>
                <w:i w:val="0"/>
                <w:iCs w:val="0"/>
                <w:kern w:val="21"/>
                <w:sz w:val="21"/>
                <w:szCs w:val="21"/>
              </w:rPr>
              <w:t>高度危害（P2）</w:t>
            </w:r>
          </w:p>
        </w:tc>
        <w:tc>
          <w:tcPr>
            <w:tcW w:w="932" w:type="pct"/>
            <w:tcBorders>
              <w:top w:val="single" w:color="000000" w:sz="2" w:space="0"/>
              <w:left w:val="single" w:color="000000" w:sz="4" w:space="0"/>
              <w:bottom w:val="single" w:color="000000" w:sz="2" w:space="0"/>
              <w:right w:val="single" w:color="000000" w:sz="4" w:space="0"/>
            </w:tcBorders>
            <w:noWrap w:val="0"/>
            <w:vAlign w:val="center"/>
          </w:tcPr>
          <w:p>
            <w:pPr>
              <w:pStyle w:val="394"/>
              <w:jc w:val="center"/>
              <w:rPr>
                <w:i w:val="0"/>
                <w:iCs w:val="0"/>
                <w:kern w:val="21"/>
                <w:sz w:val="21"/>
                <w:szCs w:val="21"/>
              </w:rPr>
            </w:pPr>
            <w:r>
              <w:rPr>
                <w:i w:val="0"/>
                <w:iCs w:val="0"/>
                <w:kern w:val="21"/>
                <w:sz w:val="21"/>
                <w:szCs w:val="21"/>
              </w:rPr>
              <w:t>中度危害（P3）</w:t>
            </w:r>
          </w:p>
        </w:tc>
        <w:tc>
          <w:tcPr>
            <w:tcW w:w="931" w:type="pct"/>
            <w:tcBorders>
              <w:top w:val="single" w:color="000000" w:sz="2" w:space="0"/>
              <w:left w:val="single" w:color="000000" w:sz="4" w:space="0"/>
              <w:bottom w:val="single" w:color="000000" w:sz="2" w:space="0"/>
              <w:right w:val="nil"/>
            </w:tcBorders>
            <w:noWrap w:val="0"/>
            <w:vAlign w:val="center"/>
          </w:tcPr>
          <w:p>
            <w:pPr>
              <w:pStyle w:val="394"/>
              <w:jc w:val="center"/>
              <w:rPr>
                <w:i w:val="0"/>
                <w:iCs w:val="0"/>
                <w:kern w:val="21"/>
                <w:sz w:val="21"/>
                <w:szCs w:val="21"/>
              </w:rPr>
            </w:pPr>
            <w:r>
              <w:rPr>
                <w:i w:val="0"/>
                <w:iCs w:val="0"/>
                <w:kern w:val="21"/>
                <w:sz w:val="21"/>
                <w:szCs w:val="21"/>
              </w:rPr>
              <w:t>轻度危害（P4）</w:t>
            </w:r>
          </w:p>
        </w:tc>
      </w:tr>
      <w:tr>
        <w:tblPrEx>
          <w:tblCellMar>
            <w:top w:w="0" w:type="dxa"/>
            <w:left w:w="0" w:type="dxa"/>
            <w:bottom w:w="0" w:type="dxa"/>
            <w:right w:w="0" w:type="dxa"/>
          </w:tblCellMar>
        </w:tblPrEx>
        <w:trPr>
          <w:trHeight w:val="333" w:hRule="exact"/>
          <w:jc w:val="center"/>
        </w:trPr>
        <w:tc>
          <w:tcPr>
            <w:tcW w:w="1274" w:type="pct"/>
            <w:tcBorders>
              <w:top w:val="single" w:color="000000" w:sz="2" w:space="0"/>
              <w:left w:val="nil"/>
              <w:bottom w:val="single" w:color="000000" w:sz="2" w:space="0"/>
              <w:right w:val="single" w:color="000000" w:sz="4" w:space="0"/>
            </w:tcBorders>
            <w:noWrap w:val="0"/>
            <w:vAlign w:val="center"/>
          </w:tcPr>
          <w:p>
            <w:pPr>
              <w:pStyle w:val="394"/>
              <w:jc w:val="center"/>
              <w:rPr>
                <w:i w:val="0"/>
                <w:iCs w:val="0"/>
                <w:kern w:val="21"/>
                <w:sz w:val="21"/>
                <w:szCs w:val="21"/>
              </w:rPr>
            </w:pPr>
            <w:r>
              <w:rPr>
                <w:i w:val="0"/>
                <w:iCs w:val="0"/>
                <w:kern w:val="21"/>
                <w:sz w:val="21"/>
                <w:szCs w:val="21"/>
              </w:rPr>
              <w:t>环境敏感程度（E1）</w:t>
            </w:r>
          </w:p>
        </w:tc>
        <w:tc>
          <w:tcPr>
            <w:tcW w:w="931" w:type="pct"/>
            <w:tcBorders>
              <w:top w:val="single" w:color="000000" w:sz="2" w:space="0"/>
              <w:left w:val="single" w:color="000000" w:sz="4" w:space="0"/>
              <w:bottom w:val="single" w:color="000000" w:sz="2" w:space="0"/>
              <w:right w:val="single" w:color="000000" w:sz="4" w:space="0"/>
            </w:tcBorders>
            <w:noWrap w:val="0"/>
            <w:vAlign w:val="center"/>
          </w:tcPr>
          <w:p>
            <w:pPr>
              <w:pStyle w:val="394"/>
              <w:jc w:val="center"/>
              <w:rPr>
                <w:i w:val="0"/>
                <w:iCs w:val="0"/>
                <w:kern w:val="21"/>
                <w:sz w:val="21"/>
                <w:szCs w:val="21"/>
              </w:rPr>
            </w:pPr>
            <w:r>
              <w:rPr>
                <w:i w:val="0"/>
                <w:iCs w:val="0"/>
                <w:kern w:val="21"/>
                <w:sz w:val="21"/>
                <w:szCs w:val="21"/>
              </w:rPr>
              <w:t>Ⅳ+</w:t>
            </w:r>
          </w:p>
        </w:tc>
        <w:tc>
          <w:tcPr>
            <w:tcW w:w="932" w:type="pct"/>
            <w:tcBorders>
              <w:top w:val="single" w:color="000000" w:sz="2" w:space="0"/>
              <w:left w:val="single" w:color="000000" w:sz="4" w:space="0"/>
              <w:bottom w:val="single" w:color="000000" w:sz="2" w:space="0"/>
              <w:right w:val="single" w:color="000000" w:sz="4" w:space="0"/>
            </w:tcBorders>
            <w:noWrap w:val="0"/>
            <w:vAlign w:val="center"/>
          </w:tcPr>
          <w:p>
            <w:pPr>
              <w:pStyle w:val="394"/>
              <w:jc w:val="center"/>
              <w:rPr>
                <w:i w:val="0"/>
                <w:iCs w:val="0"/>
                <w:kern w:val="21"/>
                <w:sz w:val="21"/>
                <w:szCs w:val="21"/>
              </w:rPr>
            </w:pPr>
            <w:r>
              <w:rPr>
                <w:i w:val="0"/>
                <w:iCs w:val="0"/>
                <w:kern w:val="21"/>
                <w:sz w:val="21"/>
                <w:szCs w:val="21"/>
              </w:rPr>
              <w:t>Ⅳ</w:t>
            </w:r>
          </w:p>
        </w:tc>
        <w:tc>
          <w:tcPr>
            <w:tcW w:w="932" w:type="pct"/>
            <w:tcBorders>
              <w:top w:val="single" w:color="000000" w:sz="2" w:space="0"/>
              <w:left w:val="single" w:color="000000" w:sz="4" w:space="0"/>
              <w:bottom w:val="single" w:color="000000" w:sz="2" w:space="0"/>
              <w:right w:val="single" w:color="000000" w:sz="4" w:space="0"/>
            </w:tcBorders>
            <w:noWrap w:val="0"/>
            <w:vAlign w:val="center"/>
          </w:tcPr>
          <w:p>
            <w:pPr>
              <w:pStyle w:val="394"/>
              <w:jc w:val="center"/>
              <w:rPr>
                <w:i w:val="0"/>
                <w:iCs w:val="0"/>
                <w:kern w:val="21"/>
                <w:sz w:val="21"/>
                <w:szCs w:val="21"/>
              </w:rPr>
            </w:pPr>
            <w:r>
              <w:rPr>
                <w:i w:val="0"/>
                <w:iCs w:val="0"/>
                <w:kern w:val="21"/>
                <w:sz w:val="21"/>
                <w:szCs w:val="21"/>
              </w:rPr>
              <w:t>Ⅲ</w:t>
            </w:r>
          </w:p>
        </w:tc>
        <w:tc>
          <w:tcPr>
            <w:tcW w:w="931" w:type="pct"/>
            <w:tcBorders>
              <w:top w:val="single" w:color="000000" w:sz="2" w:space="0"/>
              <w:left w:val="single" w:color="000000" w:sz="4" w:space="0"/>
              <w:bottom w:val="single" w:color="000000" w:sz="2" w:space="0"/>
              <w:right w:val="nil"/>
            </w:tcBorders>
            <w:noWrap w:val="0"/>
            <w:vAlign w:val="center"/>
          </w:tcPr>
          <w:p>
            <w:pPr>
              <w:pStyle w:val="394"/>
              <w:jc w:val="center"/>
              <w:rPr>
                <w:i w:val="0"/>
                <w:iCs w:val="0"/>
                <w:kern w:val="21"/>
                <w:sz w:val="21"/>
                <w:szCs w:val="21"/>
              </w:rPr>
            </w:pPr>
            <w:r>
              <w:rPr>
                <w:b/>
                <w:bCs/>
                <w:i w:val="0"/>
                <w:iCs w:val="0"/>
                <w:kern w:val="21"/>
                <w:sz w:val="21"/>
                <w:szCs w:val="21"/>
              </w:rPr>
              <w:t>Ⅲ</w:t>
            </w:r>
          </w:p>
        </w:tc>
      </w:tr>
      <w:tr>
        <w:tblPrEx>
          <w:tblCellMar>
            <w:top w:w="0" w:type="dxa"/>
            <w:left w:w="0" w:type="dxa"/>
            <w:bottom w:w="0" w:type="dxa"/>
            <w:right w:w="0" w:type="dxa"/>
          </w:tblCellMar>
        </w:tblPrEx>
        <w:trPr>
          <w:trHeight w:val="338" w:hRule="exact"/>
          <w:jc w:val="center"/>
        </w:trPr>
        <w:tc>
          <w:tcPr>
            <w:tcW w:w="1274" w:type="pct"/>
            <w:tcBorders>
              <w:top w:val="single" w:color="000000" w:sz="2" w:space="0"/>
              <w:left w:val="nil"/>
              <w:bottom w:val="single" w:color="000000" w:sz="2" w:space="0"/>
              <w:right w:val="single" w:color="000000" w:sz="4" w:space="0"/>
            </w:tcBorders>
            <w:noWrap w:val="0"/>
            <w:vAlign w:val="center"/>
          </w:tcPr>
          <w:p>
            <w:pPr>
              <w:pStyle w:val="394"/>
              <w:jc w:val="center"/>
              <w:rPr>
                <w:i w:val="0"/>
                <w:iCs w:val="0"/>
                <w:kern w:val="21"/>
                <w:sz w:val="21"/>
                <w:szCs w:val="21"/>
              </w:rPr>
            </w:pPr>
            <w:r>
              <w:rPr>
                <w:i w:val="0"/>
                <w:iCs w:val="0"/>
                <w:kern w:val="21"/>
                <w:sz w:val="21"/>
                <w:szCs w:val="21"/>
              </w:rPr>
              <w:t>环境敏感程度（E2）</w:t>
            </w:r>
          </w:p>
        </w:tc>
        <w:tc>
          <w:tcPr>
            <w:tcW w:w="931" w:type="pct"/>
            <w:tcBorders>
              <w:top w:val="single" w:color="000000" w:sz="2" w:space="0"/>
              <w:left w:val="single" w:color="000000" w:sz="4" w:space="0"/>
              <w:bottom w:val="single" w:color="000000" w:sz="2" w:space="0"/>
              <w:right w:val="single" w:color="000000" w:sz="4" w:space="0"/>
            </w:tcBorders>
            <w:noWrap w:val="0"/>
            <w:vAlign w:val="center"/>
          </w:tcPr>
          <w:p>
            <w:pPr>
              <w:pStyle w:val="394"/>
              <w:jc w:val="center"/>
              <w:rPr>
                <w:i w:val="0"/>
                <w:iCs w:val="0"/>
                <w:kern w:val="21"/>
                <w:sz w:val="21"/>
                <w:szCs w:val="21"/>
              </w:rPr>
            </w:pPr>
            <w:r>
              <w:rPr>
                <w:i w:val="0"/>
                <w:iCs w:val="0"/>
                <w:kern w:val="21"/>
                <w:sz w:val="21"/>
                <w:szCs w:val="21"/>
              </w:rPr>
              <w:t>Ⅳ</w:t>
            </w:r>
          </w:p>
        </w:tc>
        <w:tc>
          <w:tcPr>
            <w:tcW w:w="932" w:type="pct"/>
            <w:tcBorders>
              <w:top w:val="single" w:color="000000" w:sz="2" w:space="0"/>
              <w:left w:val="single" w:color="000000" w:sz="4" w:space="0"/>
              <w:bottom w:val="single" w:color="000000" w:sz="2" w:space="0"/>
              <w:right w:val="single" w:color="000000" w:sz="4" w:space="0"/>
            </w:tcBorders>
            <w:noWrap w:val="0"/>
            <w:vAlign w:val="center"/>
          </w:tcPr>
          <w:p>
            <w:pPr>
              <w:pStyle w:val="394"/>
              <w:jc w:val="center"/>
              <w:rPr>
                <w:i w:val="0"/>
                <w:iCs w:val="0"/>
                <w:kern w:val="21"/>
                <w:sz w:val="21"/>
                <w:szCs w:val="21"/>
              </w:rPr>
            </w:pPr>
            <w:r>
              <w:rPr>
                <w:i w:val="0"/>
                <w:iCs w:val="0"/>
                <w:kern w:val="21"/>
                <w:sz w:val="21"/>
                <w:szCs w:val="21"/>
              </w:rPr>
              <w:t>Ⅲ</w:t>
            </w:r>
          </w:p>
        </w:tc>
        <w:tc>
          <w:tcPr>
            <w:tcW w:w="932" w:type="pct"/>
            <w:tcBorders>
              <w:top w:val="single" w:color="000000" w:sz="2" w:space="0"/>
              <w:left w:val="single" w:color="000000" w:sz="4" w:space="0"/>
              <w:bottom w:val="single" w:color="000000" w:sz="2" w:space="0"/>
              <w:right w:val="single" w:color="000000" w:sz="4" w:space="0"/>
            </w:tcBorders>
            <w:noWrap w:val="0"/>
            <w:vAlign w:val="center"/>
          </w:tcPr>
          <w:p>
            <w:pPr>
              <w:pStyle w:val="394"/>
              <w:jc w:val="center"/>
              <w:rPr>
                <w:i w:val="0"/>
                <w:iCs w:val="0"/>
                <w:kern w:val="21"/>
                <w:sz w:val="21"/>
                <w:szCs w:val="21"/>
              </w:rPr>
            </w:pPr>
            <w:r>
              <w:rPr>
                <w:i w:val="0"/>
                <w:iCs w:val="0"/>
                <w:kern w:val="21"/>
                <w:sz w:val="21"/>
                <w:szCs w:val="21"/>
              </w:rPr>
              <w:t>Ⅲ</w:t>
            </w:r>
          </w:p>
        </w:tc>
        <w:tc>
          <w:tcPr>
            <w:tcW w:w="931" w:type="pct"/>
            <w:tcBorders>
              <w:top w:val="single" w:color="000000" w:sz="2" w:space="0"/>
              <w:left w:val="single" w:color="000000" w:sz="4" w:space="0"/>
              <w:bottom w:val="single" w:color="000000" w:sz="2" w:space="0"/>
              <w:right w:val="nil"/>
            </w:tcBorders>
            <w:noWrap w:val="0"/>
            <w:vAlign w:val="center"/>
          </w:tcPr>
          <w:p>
            <w:pPr>
              <w:pStyle w:val="394"/>
              <w:jc w:val="center"/>
              <w:rPr>
                <w:i w:val="0"/>
                <w:iCs w:val="0"/>
                <w:kern w:val="21"/>
                <w:sz w:val="21"/>
                <w:szCs w:val="21"/>
              </w:rPr>
            </w:pPr>
            <w:r>
              <w:rPr>
                <w:i w:val="0"/>
                <w:iCs w:val="0"/>
                <w:kern w:val="21"/>
                <w:sz w:val="21"/>
                <w:szCs w:val="21"/>
              </w:rPr>
              <w:t>Ⅱ</w:t>
            </w:r>
          </w:p>
        </w:tc>
      </w:tr>
      <w:tr>
        <w:tblPrEx>
          <w:tblCellMar>
            <w:top w:w="0" w:type="dxa"/>
            <w:left w:w="0" w:type="dxa"/>
            <w:bottom w:w="0" w:type="dxa"/>
            <w:right w:w="0" w:type="dxa"/>
          </w:tblCellMar>
        </w:tblPrEx>
        <w:trPr>
          <w:trHeight w:val="350" w:hRule="exact"/>
          <w:jc w:val="center"/>
        </w:trPr>
        <w:tc>
          <w:tcPr>
            <w:tcW w:w="1274" w:type="pct"/>
            <w:tcBorders>
              <w:top w:val="single" w:color="000000" w:sz="2" w:space="0"/>
              <w:left w:val="nil"/>
              <w:bottom w:val="single" w:color="000000" w:sz="12" w:space="0"/>
              <w:right w:val="single" w:color="000000" w:sz="4" w:space="0"/>
            </w:tcBorders>
            <w:noWrap w:val="0"/>
            <w:vAlign w:val="center"/>
          </w:tcPr>
          <w:p>
            <w:pPr>
              <w:pStyle w:val="394"/>
              <w:jc w:val="center"/>
              <w:rPr>
                <w:i w:val="0"/>
                <w:iCs w:val="0"/>
                <w:kern w:val="21"/>
                <w:sz w:val="21"/>
                <w:szCs w:val="21"/>
              </w:rPr>
            </w:pPr>
            <w:r>
              <w:rPr>
                <w:i w:val="0"/>
                <w:iCs w:val="0"/>
                <w:kern w:val="21"/>
                <w:sz w:val="21"/>
                <w:szCs w:val="21"/>
              </w:rPr>
              <w:t>环境敏感程度（E3）</w:t>
            </w:r>
          </w:p>
        </w:tc>
        <w:tc>
          <w:tcPr>
            <w:tcW w:w="931" w:type="pct"/>
            <w:tcBorders>
              <w:top w:val="single" w:color="000000" w:sz="2" w:space="0"/>
              <w:left w:val="single" w:color="000000" w:sz="4" w:space="0"/>
              <w:bottom w:val="single" w:color="000000" w:sz="12" w:space="0"/>
              <w:right w:val="single" w:color="000000" w:sz="4" w:space="0"/>
            </w:tcBorders>
            <w:noWrap w:val="0"/>
            <w:vAlign w:val="center"/>
          </w:tcPr>
          <w:p>
            <w:pPr>
              <w:pStyle w:val="394"/>
              <w:jc w:val="center"/>
              <w:rPr>
                <w:i w:val="0"/>
                <w:iCs w:val="0"/>
                <w:kern w:val="21"/>
                <w:sz w:val="21"/>
                <w:szCs w:val="21"/>
              </w:rPr>
            </w:pPr>
            <w:r>
              <w:rPr>
                <w:i w:val="0"/>
                <w:iCs w:val="0"/>
                <w:kern w:val="21"/>
                <w:sz w:val="21"/>
                <w:szCs w:val="21"/>
              </w:rPr>
              <w:t>Ⅲ</w:t>
            </w:r>
          </w:p>
        </w:tc>
        <w:tc>
          <w:tcPr>
            <w:tcW w:w="932" w:type="pct"/>
            <w:tcBorders>
              <w:top w:val="single" w:color="000000" w:sz="2" w:space="0"/>
              <w:left w:val="single" w:color="000000" w:sz="4" w:space="0"/>
              <w:bottom w:val="single" w:color="000000" w:sz="12" w:space="0"/>
              <w:right w:val="single" w:color="000000" w:sz="4" w:space="0"/>
            </w:tcBorders>
            <w:noWrap w:val="0"/>
            <w:vAlign w:val="center"/>
          </w:tcPr>
          <w:p>
            <w:pPr>
              <w:pStyle w:val="394"/>
              <w:jc w:val="center"/>
              <w:rPr>
                <w:i w:val="0"/>
                <w:iCs w:val="0"/>
                <w:kern w:val="21"/>
                <w:sz w:val="21"/>
                <w:szCs w:val="21"/>
              </w:rPr>
            </w:pPr>
            <w:r>
              <w:rPr>
                <w:i w:val="0"/>
                <w:iCs w:val="0"/>
                <w:kern w:val="21"/>
                <w:sz w:val="21"/>
                <w:szCs w:val="21"/>
              </w:rPr>
              <w:t>Ⅲ</w:t>
            </w:r>
          </w:p>
        </w:tc>
        <w:tc>
          <w:tcPr>
            <w:tcW w:w="932" w:type="pct"/>
            <w:tcBorders>
              <w:top w:val="single" w:color="000000" w:sz="2" w:space="0"/>
              <w:left w:val="single" w:color="000000" w:sz="4" w:space="0"/>
              <w:bottom w:val="single" w:color="000000" w:sz="12" w:space="0"/>
              <w:right w:val="single" w:color="000000" w:sz="4" w:space="0"/>
            </w:tcBorders>
            <w:noWrap w:val="0"/>
            <w:vAlign w:val="center"/>
          </w:tcPr>
          <w:p>
            <w:pPr>
              <w:pStyle w:val="394"/>
              <w:jc w:val="center"/>
              <w:rPr>
                <w:i w:val="0"/>
                <w:iCs w:val="0"/>
                <w:kern w:val="21"/>
                <w:sz w:val="21"/>
                <w:szCs w:val="21"/>
              </w:rPr>
            </w:pPr>
            <w:r>
              <w:rPr>
                <w:i w:val="0"/>
                <w:iCs w:val="0"/>
                <w:kern w:val="21"/>
                <w:sz w:val="21"/>
                <w:szCs w:val="21"/>
              </w:rPr>
              <w:t>Ⅱ</w:t>
            </w:r>
          </w:p>
        </w:tc>
        <w:tc>
          <w:tcPr>
            <w:tcW w:w="931" w:type="pct"/>
            <w:tcBorders>
              <w:top w:val="single" w:color="000000" w:sz="2" w:space="0"/>
              <w:left w:val="single" w:color="000000" w:sz="4" w:space="0"/>
              <w:bottom w:val="single" w:color="000000" w:sz="12" w:space="0"/>
              <w:right w:val="nil"/>
            </w:tcBorders>
            <w:noWrap w:val="0"/>
            <w:vAlign w:val="center"/>
          </w:tcPr>
          <w:p>
            <w:pPr>
              <w:pStyle w:val="394"/>
              <w:jc w:val="center"/>
              <w:rPr>
                <w:i w:val="0"/>
                <w:iCs w:val="0"/>
                <w:kern w:val="21"/>
                <w:sz w:val="21"/>
                <w:szCs w:val="21"/>
              </w:rPr>
            </w:pPr>
            <w:r>
              <w:rPr>
                <w:i w:val="0"/>
                <w:iCs w:val="0"/>
                <w:kern w:val="21"/>
                <w:sz w:val="21"/>
                <w:szCs w:val="21"/>
              </w:rPr>
              <w:t>Ⅰ</w:t>
            </w:r>
          </w:p>
        </w:tc>
      </w:tr>
    </w:tbl>
    <w:p>
      <w:pPr>
        <w:jc w:val="left"/>
        <w:rPr>
          <w:rFonts w:hAnsi="宋体" w:cs="宋体"/>
          <w:i w:val="0"/>
          <w:iCs w:val="0"/>
          <w:sz w:val="20"/>
          <w:szCs w:val="20"/>
        </w:rPr>
      </w:pPr>
      <w:r>
        <w:rPr>
          <w:rFonts w:hAnsi="宋体" w:cs="宋体"/>
          <w:b/>
          <w:bCs/>
          <w:i w:val="0"/>
          <w:iCs w:val="0"/>
          <w:sz w:val="20"/>
          <w:szCs w:val="20"/>
        </w:rPr>
        <w:t>注：Ⅳ</w:t>
      </w:r>
      <w:r>
        <w:rPr>
          <w:rFonts w:ascii="Malgun Gothic" w:hAnsi="Malgun Gothic" w:eastAsia="Malgun Gothic" w:cs="Malgun Gothic"/>
          <w:b/>
          <w:bCs/>
          <w:i w:val="0"/>
          <w:iCs w:val="0"/>
          <w:sz w:val="20"/>
          <w:szCs w:val="20"/>
        </w:rPr>
        <w:t>+</w:t>
      </w:r>
      <w:r>
        <w:rPr>
          <w:rFonts w:hAnsi="宋体" w:cs="宋体"/>
          <w:b/>
          <w:bCs/>
          <w:i w:val="0"/>
          <w:iCs w:val="0"/>
          <w:sz w:val="20"/>
          <w:szCs w:val="20"/>
        </w:rPr>
        <w:t>为极高环境风险。</w:t>
      </w:r>
    </w:p>
    <w:p>
      <w:pPr>
        <w:pStyle w:val="6"/>
        <w:ind w:firstLine="480"/>
        <w:rPr>
          <w:rFonts w:hint="eastAsia"/>
          <w:i w:val="0"/>
          <w:iCs w:val="0"/>
        </w:rPr>
      </w:pPr>
      <w:r>
        <w:rPr>
          <w:rFonts w:hint="eastAsia"/>
          <w:i w:val="0"/>
          <w:iCs w:val="0"/>
        </w:rPr>
        <w:t>本项目大气环境、地表水环境、地下水环境的环境风险潜势等级及本项目环境风险潜势综合等级具体如下表：</w:t>
      </w:r>
    </w:p>
    <w:p>
      <w:pPr>
        <w:pStyle w:val="413"/>
        <w:numPr>
          <w:ilvl w:val="4"/>
          <w:numId w:val="0"/>
        </w:numPr>
        <w:spacing w:line="240" w:lineRule="auto"/>
        <w:rPr>
          <w:i w:val="0"/>
          <w:iCs w:val="0"/>
        </w:rPr>
      </w:pPr>
      <w:r>
        <w:rPr>
          <w:rFonts w:hint="eastAsia"/>
          <w:i w:val="0"/>
          <w:iCs w:val="0"/>
        </w:rPr>
        <w:t>表2-3</w:t>
      </w:r>
      <w:r>
        <w:rPr>
          <w:rFonts w:hint="eastAsia"/>
          <w:i w:val="0"/>
          <w:iCs w:val="0"/>
          <w:lang w:val="en-US" w:eastAsia="zh-CN"/>
        </w:rPr>
        <w:t>5</w:t>
      </w:r>
      <w:r>
        <w:rPr>
          <w:rFonts w:hint="eastAsia"/>
          <w:i w:val="0"/>
          <w:iCs w:val="0"/>
        </w:rPr>
        <w:t>本项目</w:t>
      </w:r>
      <w:r>
        <w:rPr>
          <w:i w:val="0"/>
          <w:iCs w:val="0"/>
        </w:rPr>
        <w:t>环境风险潜势初判一览表</w:t>
      </w:r>
    </w:p>
    <w:tbl>
      <w:tblPr>
        <w:tblStyle w:val="58"/>
        <w:tblW w:w="5000" w:type="pct"/>
        <w:jc w:val="center"/>
        <w:tblLayout w:type="autofit"/>
        <w:tblCellMar>
          <w:top w:w="0" w:type="dxa"/>
          <w:left w:w="0" w:type="dxa"/>
          <w:bottom w:w="0" w:type="dxa"/>
          <w:right w:w="0" w:type="dxa"/>
        </w:tblCellMar>
      </w:tblPr>
      <w:tblGrid>
        <w:gridCol w:w="1524"/>
        <w:gridCol w:w="3666"/>
        <w:gridCol w:w="2177"/>
        <w:gridCol w:w="1704"/>
      </w:tblGrid>
      <w:tr>
        <w:tblPrEx>
          <w:tblCellMar>
            <w:top w:w="0" w:type="dxa"/>
            <w:left w:w="0" w:type="dxa"/>
            <w:bottom w:w="0" w:type="dxa"/>
            <w:right w:w="0" w:type="dxa"/>
          </w:tblCellMar>
        </w:tblPrEx>
        <w:trPr>
          <w:trHeight w:val="23" w:hRule="atLeast"/>
          <w:jc w:val="center"/>
        </w:trPr>
        <w:tc>
          <w:tcPr>
            <w:tcW w:w="840" w:type="pct"/>
            <w:tcBorders>
              <w:top w:val="single" w:color="000000" w:sz="12" w:space="0"/>
              <w:left w:val="nil"/>
              <w:bottom w:val="single" w:color="000000" w:sz="4" w:space="0"/>
              <w:right w:val="single" w:color="000000" w:sz="4" w:space="0"/>
            </w:tcBorders>
            <w:noWrap w:val="0"/>
            <w:vAlign w:val="center"/>
          </w:tcPr>
          <w:p>
            <w:pPr>
              <w:pStyle w:val="394"/>
              <w:jc w:val="center"/>
              <w:rPr>
                <w:i w:val="0"/>
                <w:iCs w:val="0"/>
                <w:kern w:val="21"/>
                <w:sz w:val="21"/>
                <w:szCs w:val="21"/>
              </w:rPr>
            </w:pPr>
            <w:r>
              <w:rPr>
                <w:i w:val="0"/>
                <w:iCs w:val="0"/>
                <w:kern w:val="21"/>
                <w:sz w:val="21"/>
                <w:szCs w:val="21"/>
              </w:rPr>
              <w:t>环境要素</w:t>
            </w:r>
          </w:p>
        </w:tc>
        <w:tc>
          <w:tcPr>
            <w:tcW w:w="2021" w:type="pct"/>
            <w:tcBorders>
              <w:top w:val="single" w:color="000000" w:sz="12" w:space="0"/>
              <w:left w:val="single" w:color="000000" w:sz="4" w:space="0"/>
              <w:bottom w:val="single" w:color="000000" w:sz="4" w:space="0"/>
              <w:right w:val="single" w:color="000000" w:sz="4" w:space="0"/>
            </w:tcBorders>
            <w:noWrap w:val="0"/>
            <w:vAlign w:val="center"/>
          </w:tcPr>
          <w:p>
            <w:pPr>
              <w:pStyle w:val="394"/>
              <w:jc w:val="center"/>
              <w:rPr>
                <w:i w:val="0"/>
                <w:iCs w:val="0"/>
                <w:kern w:val="21"/>
                <w:sz w:val="21"/>
                <w:szCs w:val="21"/>
              </w:rPr>
            </w:pPr>
            <w:r>
              <w:rPr>
                <w:i w:val="0"/>
                <w:iCs w:val="0"/>
                <w:kern w:val="21"/>
                <w:sz w:val="21"/>
                <w:szCs w:val="21"/>
              </w:rPr>
              <w:t>危险物质及工艺系统危险性（P）</w:t>
            </w:r>
          </w:p>
        </w:tc>
        <w:tc>
          <w:tcPr>
            <w:tcW w:w="1200" w:type="pct"/>
            <w:tcBorders>
              <w:top w:val="single" w:color="000000" w:sz="12" w:space="0"/>
              <w:left w:val="single" w:color="000000" w:sz="4" w:space="0"/>
              <w:bottom w:val="single" w:color="000000" w:sz="4" w:space="0"/>
              <w:right w:val="single" w:color="000000" w:sz="4" w:space="0"/>
            </w:tcBorders>
            <w:noWrap w:val="0"/>
            <w:vAlign w:val="center"/>
          </w:tcPr>
          <w:p>
            <w:pPr>
              <w:pStyle w:val="394"/>
              <w:jc w:val="center"/>
              <w:rPr>
                <w:i w:val="0"/>
                <w:iCs w:val="0"/>
                <w:kern w:val="21"/>
                <w:sz w:val="21"/>
                <w:szCs w:val="21"/>
              </w:rPr>
            </w:pPr>
            <w:r>
              <w:rPr>
                <w:i w:val="0"/>
                <w:iCs w:val="0"/>
                <w:kern w:val="21"/>
                <w:sz w:val="21"/>
                <w:szCs w:val="21"/>
              </w:rPr>
              <w:t>环境敏感程度（E）</w:t>
            </w:r>
          </w:p>
        </w:tc>
        <w:tc>
          <w:tcPr>
            <w:tcW w:w="939" w:type="pct"/>
            <w:tcBorders>
              <w:top w:val="single" w:color="000000" w:sz="12" w:space="0"/>
              <w:left w:val="single" w:color="000000" w:sz="4" w:space="0"/>
              <w:bottom w:val="single" w:color="000000" w:sz="4" w:space="0"/>
              <w:right w:val="nil"/>
            </w:tcBorders>
            <w:noWrap w:val="0"/>
            <w:vAlign w:val="center"/>
          </w:tcPr>
          <w:p>
            <w:pPr>
              <w:pStyle w:val="394"/>
              <w:jc w:val="center"/>
              <w:rPr>
                <w:i w:val="0"/>
                <w:iCs w:val="0"/>
                <w:kern w:val="21"/>
                <w:sz w:val="21"/>
                <w:szCs w:val="21"/>
              </w:rPr>
            </w:pPr>
            <w:r>
              <w:rPr>
                <w:i w:val="0"/>
                <w:iCs w:val="0"/>
                <w:kern w:val="21"/>
                <w:sz w:val="21"/>
                <w:szCs w:val="21"/>
              </w:rPr>
              <w:t>环境风险潜势</w:t>
            </w:r>
          </w:p>
        </w:tc>
      </w:tr>
      <w:tr>
        <w:tblPrEx>
          <w:tblCellMar>
            <w:top w:w="0" w:type="dxa"/>
            <w:left w:w="0" w:type="dxa"/>
            <w:bottom w:w="0" w:type="dxa"/>
            <w:right w:w="0" w:type="dxa"/>
          </w:tblCellMar>
        </w:tblPrEx>
        <w:trPr>
          <w:trHeight w:val="23" w:hRule="atLeast"/>
          <w:jc w:val="center"/>
        </w:trPr>
        <w:tc>
          <w:tcPr>
            <w:tcW w:w="840" w:type="pct"/>
            <w:tcBorders>
              <w:top w:val="single" w:color="000000" w:sz="4" w:space="0"/>
              <w:left w:val="nil"/>
              <w:bottom w:val="single" w:color="000000" w:sz="4" w:space="0"/>
              <w:right w:val="single" w:color="000000" w:sz="4" w:space="0"/>
            </w:tcBorders>
            <w:noWrap w:val="0"/>
            <w:vAlign w:val="center"/>
          </w:tcPr>
          <w:p>
            <w:pPr>
              <w:pStyle w:val="394"/>
              <w:jc w:val="center"/>
              <w:rPr>
                <w:i w:val="0"/>
                <w:iCs w:val="0"/>
                <w:kern w:val="21"/>
                <w:sz w:val="21"/>
                <w:szCs w:val="21"/>
              </w:rPr>
            </w:pPr>
            <w:r>
              <w:rPr>
                <w:i w:val="0"/>
                <w:iCs w:val="0"/>
                <w:kern w:val="21"/>
                <w:sz w:val="21"/>
                <w:szCs w:val="21"/>
              </w:rPr>
              <w:t>大气环境</w:t>
            </w:r>
          </w:p>
        </w:tc>
        <w:tc>
          <w:tcPr>
            <w:tcW w:w="2021" w:type="pct"/>
            <w:vMerge w:val="restart"/>
            <w:tcBorders>
              <w:top w:val="single" w:color="000000" w:sz="4" w:space="0"/>
              <w:left w:val="single" w:color="000000" w:sz="4" w:space="0"/>
              <w:right w:val="single" w:color="000000" w:sz="4" w:space="0"/>
            </w:tcBorders>
            <w:noWrap w:val="0"/>
            <w:vAlign w:val="center"/>
          </w:tcPr>
          <w:p>
            <w:pPr>
              <w:pStyle w:val="394"/>
              <w:jc w:val="center"/>
              <w:rPr>
                <w:i w:val="0"/>
                <w:iCs w:val="0"/>
                <w:kern w:val="21"/>
                <w:sz w:val="21"/>
                <w:szCs w:val="21"/>
              </w:rPr>
            </w:pPr>
            <w:r>
              <w:rPr>
                <w:i w:val="0"/>
                <w:iCs w:val="0"/>
                <w:kern w:val="21"/>
                <w:sz w:val="21"/>
                <w:szCs w:val="21"/>
              </w:rPr>
              <w:t>P</w:t>
            </w:r>
            <w:r>
              <w:rPr>
                <w:rFonts w:hint="eastAsia"/>
                <w:i w:val="0"/>
                <w:iCs w:val="0"/>
                <w:kern w:val="21"/>
                <w:sz w:val="21"/>
                <w:szCs w:val="21"/>
              </w:rPr>
              <w:t>4</w:t>
            </w:r>
          </w:p>
        </w:tc>
        <w:tc>
          <w:tcPr>
            <w:tcW w:w="1200" w:type="pct"/>
            <w:tcBorders>
              <w:top w:val="single" w:color="000000" w:sz="4" w:space="0"/>
              <w:left w:val="single" w:color="000000" w:sz="4" w:space="0"/>
              <w:bottom w:val="single" w:color="000000" w:sz="4" w:space="0"/>
              <w:right w:val="single" w:color="000000" w:sz="4" w:space="0"/>
            </w:tcBorders>
            <w:noWrap w:val="0"/>
            <w:vAlign w:val="center"/>
          </w:tcPr>
          <w:p>
            <w:pPr>
              <w:pStyle w:val="394"/>
              <w:jc w:val="center"/>
              <w:rPr>
                <w:rFonts w:hint="eastAsia"/>
                <w:i w:val="0"/>
                <w:iCs w:val="0"/>
                <w:kern w:val="21"/>
                <w:sz w:val="21"/>
                <w:szCs w:val="21"/>
              </w:rPr>
            </w:pPr>
            <w:r>
              <w:rPr>
                <w:i w:val="0"/>
                <w:iCs w:val="0"/>
                <w:kern w:val="21"/>
                <w:sz w:val="21"/>
                <w:szCs w:val="21"/>
              </w:rPr>
              <w:t>E</w:t>
            </w:r>
            <w:r>
              <w:rPr>
                <w:rFonts w:hint="eastAsia"/>
                <w:i w:val="0"/>
                <w:iCs w:val="0"/>
                <w:kern w:val="21"/>
                <w:sz w:val="21"/>
                <w:szCs w:val="21"/>
              </w:rPr>
              <w:t>1</w:t>
            </w:r>
          </w:p>
        </w:tc>
        <w:tc>
          <w:tcPr>
            <w:tcW w:w="939" w:type="pct"/>
            <w:tcBorders>
              <w:top w:val="single" w:color="000000" w:sz="4" w:space="0"/>
              <w:left w:val="single" w:color="000000" w:sz="4" w:space="0"/>
              <w:bottom w:val="single" w:color="000000" w:sz="4" w:space="0"/>
              <w:right w:val="nil"/>
            </w:tcBorders>
            <w:noWrap w:val="0"/>
            <w:vAlign w:val="top"/>
          </w:tcPr>
          <w:p>
            <w:pPr>
              <w:jc w:val="center"/>
              <w:rPr>
                <w:i w:val="0"/>
                <w:iCs w:val="0"/>
                <w:kern w:val="21"/>
                <w:sz w:val="21"/>
                <w:szCs w:val="21"/>
              </w:rPr>
            </w:pPr>
            <w:r>
              <w:rPr>
                <w:rFonts w:hint="eastAsia"/>
                <w:i w:val="0"/>
                <w:iCs w:val="0"/>
                <w:sz w:val="21"/>
                <w:szCs w:val="21"/>
              </w:rPr>
              <w:t>Ⅲ</w:t>
            </w:r>
          </w:p>
        </w:tc>
      </w:tr>
      <w:tr>
        <w:tblPrEx>
          <w:tblCellMar>
            <w:top w:w="0" w:type="dxa"/>
            <w:left w:w="0" w:type="dxa"/>
            <w:bottom w:w="0" w:type="dxa"/>
            <w:right w:w="0" w:type="dxa"/>
          </w:tblCellMar>
        </w:tblPrEx>
        <w:trPr>
          <w:trHeight w:val="23" w:hRule="atLeast"/>
          <w:jc w:val="center"/>
        </w:trPr>
        <w:tc>
          <w:tcPr>
            <w:tcW w:w="840" w:type="pct"/>
            <w:tcBorders>
              <w:top w:val="single" w:color="000000" w:sz="4" w:space="0"/>
              <w:left w:val="nil"/>
              <w:bottom w:val="single" w:color="000000" w:sz="4" w:space="0"/>
              <w:right w:val="single" w:color="000000" w:sz="4" w:space="0"/>
            </w:tcBorders>
            <w:noWrap w:val="0"/>
            <w:vAlign w:val="center"/>
          </w:tcPr>
          <w:p>
            <w:pPr>
              <w:pStyle w:val="394"/>
              <w:jc w:val="center"/>
              <w:rPr>
                <w:i w:val="0"/>
                <w:iCs w:val="0"/>
                <w:kern w:val="21"/>
                <w:sz w:val="21"/>
                <w:szCs w:val="21"/>
              </w:rPr>
            </w:pPr>
            <w:r>
              <w:rPr>
                <w:i w:val="0"/>
                <w:iCs w:val="0"/>
                <w:kern w:val="21"/>
                <w:sz w:val="21"/>
                <w:szCs w:val="21"/>
              </w:rPr>
              <w:t>地表水环境</w:t>
            </w:r>
          </w:p>
        </w:tc>
        <w:tc>
          <w:tcPr>
            <w:tcW w:w="2021" w:type="pct"/>
            <w:vMerge w:val="continue"/>
            <w:tcBorders>
              <w:left w:val="single" w:color="000000" w:sz="4" w:space="0"/>
              <w:right w:val="single" w:color="000000" w:sz="4" w:space="0"/>
            </w:tcBorders>
            <w:noWrap w:val="0"/>
            <w:vAlign w:val="center"/>
          </w:tcPr>
          <w:p>
            <w:pPr>
              <w:jc w:val="center"/>
              <w:rPr>
                <w:i w:val="0"/>
                <w:iCs w:val="0"/>
                <w:kern w:val="21"/>
                <w:sz w:val="21"/>
                <w:szCs w:val="21"/>
              </w:rPr>
            </w:pPr>
          </w:p>
        </w:tc>
        <w:tc>
          <w:tcPr>
            <w:tcW w:w="1200" w:type="pct"/>
            <w:tcBorders>
              <w:top w:val="single" w:color="000000" w:sz="4" w:space="0"/>
              <w:left w:val="single" w:color="000000" w:sz="4" w:space="0"/>
              <w:bottom w:val="single" w:color="000000" w:sz="4" w:space="0"/>
              <w:right w:val="single" w:color="000000" w:sz="4" w:space="0"/>
            </w:tcBorders>
            <w:noWrap w:val="0"/>
            <w:vAlign w:val="center"/>
          </w:tcPr>
          <w:p>
            <w:pPr>
              <w:pStyle w:val="394"/>
              <w:jc w:val="center"/>
              <w:rPr>
                <w:i w:val="0"/>
                <w:iCs w:val="0"/>
                <w:kern w:val="21"/>
                <w:sz w:val="21"/>
                <w:szCs w:val="21"/>
              </w:rPr>
            </w:pPr>
            <w:r>
              <w:rPr>
                <w:i w:val="0"/>
                <w:iCs w:val="0"/>
                <w:kern w:val="21"/>
                <w:sz w:val="21"/>
                <w:szCs w:val="21"/>
              </w:rPr>
              <w:t>E</w:t>
            </w:r>
            <w:r>
              <w:rPr>
                <w:rFonts w:hint="eastAsia"/>
                <w:i w:val="0"/>
                <w:iCs w:val="0"/>
                <w:kern w:val="21"/>
                <w:sz w:val="21"/>
                <w:szCs w:val="21"/>
              </w:rPr>
              <w:t>3</w:t>
            </w:r>
          </w:p>
        </w:tc>
        <w:tc>
          <w:tcPr>
            <w:tcW w:w="939" w:type="pct"/>
            <w:tcBorders>
              <w:top w:val="single" w:color="000000" w:sz="4" w:space="0"/>
              <w:left w:val="single" w:color="000000" w:sz="4" w:space="0"/>
              <w:bottom w:val="single" w:color="000000" w:sz="4" w:space="0"/>
              <w:right w:val="nil"/>
            </w:tcBorders>
            <w:noWrap w:val="0"/>
            <w:vAlign w:val="top"/>
          </w:tcPr>
          <w:p>
            <w:pPr>
              <w:jc w:val="center"/>
              <w:rPr>
                <w:i w:val="0"/>
                <w:iCs w:val="0"/>
                <w:kern w:val="21"/>
                <w:sz w:val="21"/>
                <w:szCs w:val="21"/>
              </w:rPr>
            </w:pPr>
            <w:r>
              <w:rPr>
                <w:i w:val="0"/>
                <w:iCs w:val="0"/>
                <w:kern w:val="21"/>
                <w:sz w:val="21"/>
                <w:szCs w:val="21"/>
              </w:rPr>
              <w:t>Ⅰ</w:t>
            </w:r>
          </w:p>
        </w:tc>
      </w:tr>
      <w:tr>
        <w:tblPrEx>
          <w:tblCellMar>
            <w:top w:w="0" w:type="dxa"/>
            <w:left w:w="0" w:type="dxa"/>
            <w:bottom w:w="0" w:type="dxa"/>
            <w:right w:w="0" w:type="dxa"/>
          </w:tblCellMar>
        </w:tblPrEx>
        <w:trPr>
          <w:trHeight w:val="23" w:hRule="atLeast"/>
          <w:jc w:val="center"/>
        </w:trPr>
        <w:tc>
          <w:tcPr>
            <w:tcW w:w="840" w:type="pct"/>
            <w:tcBorders>
              <w:top w:val="single" w:color="000000" w:sz="4" w:space="0"/>
              <w:left w:val="nil"/>
              <w:bottom w:val="single" w:color="000000" w:sz="4" w:space="0"/>
              <w:right w:val="single" w:color="000000" w:sz="4" w:space="0"/>
            </w:tcBorders>
            <w:noWrap w:val="0"/>
            <w:vAlign w:val="center"/>
          </w:tcPr>
          <w:p>
            <w:pPr>
              <w:pStyle w:val="394"/>
              <w:jc w:val="center"/>
              <w:rPr>
                <w:i w:val="0"/>
                <w:iCs w:val="0"/>
                <w:kern w:val="21"/>
                <w:sz w:val="21"/>
                <w:szCs w:val="21"/>
              </w:rPr>
            </w:pPr>
            <w:r>
              <w:rPr>
                <w:i w:val="0"/>
                <w:iCs w:val="0"/>
                <w:kern w:val="21"/>
                <w:sz w:val="21"/>
                <w:szCs w:val="21"/>
              </w:rPr>
              <w:t>地下水环境</w:t>
            </w:r>
          </w:p>
        </w:tc>
        <w:tc>
          <w:tcPr>
            <w:tcW w:w="2021" w:type="pct"/>
            <w:vMerge w:val="continue"/>
            <w:tcBorders>
              <w:left w:val="single" w:color="000000" w:sz="4" w:space="0"/>
              <w:bottom w:val="single" w:color="000000" w:sz="4" w:space="0"/>
              <w:right w:val="single" w:color="000000" w:sz="4" w:space="0"/>
            </w:tcBorders>
            <w:noWrap w:val="0"/>
            <w:vAlign w:val="center"/>
          </w:tcPr>
          <w:p>
            <w:pPr>
              <w:jc w:val="center"/>
              <w:rPr>
                <w:i w:val="0"/>
                <w:iCs w:val="0"/>
                <w:kern w:val="21"/>
                <w:sz w:val="21"/>
                <w:szCs w:val="21"/>
              </w:rPr>
            </w:pPr>
          </w:p>
        </w:tc>
        <w:tc>
          <w:tcPr>
            <w:tcW w:w="1200" w:type="pct"/>
            <w:tcBorders>
              <w:top w:val="single" w:color="000000" w:sz="4" w:space="0"/>
              <w:left w:val="single" w:color="000000" w:sz="4" w:space="0"/>
              <w:bottom w:val="single" w:color="000000" w:sz="4" w:space="0"/>
              <w:right w:val="single" w:color="000000" w:sz="4" w:space="0"/>
            </w:tcBorders>
            <w:noWrap w:val="0"/>
            <w:vAlign w:val="center"/>
          </w:tcPr>
          <w:p>
            <w:pPr>
              <w:pStyle w:val="394"/>
              <w:jc w:val="center"/>
              <w:rPr>
                <w:i w:val="0"/>
                <w:iCs w:val="0"/>
                <w:kern w:val="21"/>
                <w:sz w:val="21"/>
                <w:szCs w:val="21"/>
              </w:rPr>
            </w:pPr>
            <w:r>
              <w:rPr>
                <w:i w:val="0"/>
                <w:iCs w:val="0"/>
                <w:kern w:val="21"/>
                <w:sz w:val="21"/>
                <w:szCs w:val="21"/>
              </w:rPr>
              <w:t>E</w:t>
            </w:r>
            <w:r>
              <w:rPr>
                <w:rFonts w:hint="eastAsia"/>
                <w:i w:val="0"/>
                <w:iCs w:val="0"/>
                <w:kern w:val="21"/>
                <w:sz w:val="21"/>
                <w:szCs w:val="21"/>
              </w:rPr>
              <w:t>3</w:t>
            </w:r>
          </w:p>
        </w:tc>
        <w:tc>
          <w:tcPr>
            <w:tcW w:w="939" w:type="pct"/>
            <w:tcBorders>
              <w:top w:val="single" w:color="000000" w:sz="4" w:space="0"/>
              <w:left w:val="single" w:color="000000" w:sz="4" w:space="0"/>
              <w:bottom w:val="single" w:color="000000" w:sz="4" w:space="0"/>
              <w:right w:val="nil"/>
            </w:tcBorders>
            <w:noWrap w:val="0"/>
            <w:vAlign w:val="top"/>
          </w:tcPr>
          <w:p>
            <w:pPr>
              <w:jc w:val="center"/>
              <w:rPr>
                <w:i w:val="0"/>
                <w:iCs w:val="0"/>
                <w:kern w:val="21"/>
                <w:sz w:val="21"/>
                <w:szCs w:val="21"/>
              </w:rPr>
            </w:pPr>
            <w:r>
              <w:rPr>
                <w:i w:val="0"/>
                <w:iCs w:val="0"/>
                <w:kern w:val="21"/>
                <w:sz w:val="21"/>
                <w:szCs w:val="21"/>
              </w:rPr>
              <w:t>Ⅰ</w:t>
            </w:r>
          </w:p>
        </w:tc>
      </w:tr>
      <w:tr>
        <w:tblPrEx>
          <w:tblCellMar>
            <w:top w:w="0" w:type="dxa"/>
            <w:left w:w="0" w:type="dxa"/>
            <w:bottom w:w="0" w:type="dxa"/>
            <w:right w:w="0" w:type="dxa"/>
          </w:tblCellMar>
        </w:tblPrEx>
        <w:trPr>
          <w:trHeight w:val="23" w:hRule="atLeast"/>
          <w:jc w:val="center"/>
        </w:trPr>
        <w:tc>
          <w:tcPr>
            <w:tcW w:w="4061" w:type="pct"/>
            <w:gridSpan w:val="3"/>
            <w:tcBorders>
              <w:top w:val="single" w:color="000000" w:sz="4" w:space="0"/>
              <w:left w:val="nil"/>
              <w:bottom w:val="single" w:color="000000" w:sz="12" w:space="0"/>
              <w:right w:val="single" w:color="000000" w:sz="4" w:space="0"/>
            </w:tcBorders>
            <w:noWrap w:val="0"/>
            <w:vAlign w:val="center"/>
          </w:tcPr>
          <w:p>
            <w:pPr>
              <w:pStyle w:val="394"/>
              <w:jc w:val="center"/>
              <w:rPr>
                <w:i w:val="0"/>
                <w:iCs w:val="0"/>
                <w:kern w:val="21"/>
                <w:sz w:val="21"/>
                <w:szCs w:val="21"/>
              </w:rPr>
            </w:pPr>
            <w:r>
              <w:rPr>
                <w:i w:val="0"/>
                <w:iCs w:val="0"/>
                <w:kern w:val="21"/>
                <w:sz w:val="21"/>
                <w:szCs w:val="21"/>
              </w:rPr>
              <w:t>环境风险潜势综合等级</w:t>
            </w:r>
          </w:p>
        </w:tc>
        <w:tc>
          <w:tcPr>
            <w:tcW w:w="939" w:type="pct"/>
            <w:tcBorders>
              <w:top w:val="single" w:color="000000" w:sz="4" w:space="0"/>
              <w:left w:val="single" w:color="000000" w:sz="4" w:space="0"/>
              <w:bottom w:val="single" w:color="000000" w:sz="12" w:space="0"/>
              <w:right w:val="nil"/>
            </w:tcBorders>
            <w:noWrap w:val="0"/>
            <w:vAlign w:val="center"/>
          </w:tcPr>
          <w:p>
            <w:pPr>
              <w:pStyle w:val="394"/>
              <w:jc w:val="center"/>
              <w:rPr>
                <w:i w:val="0"/>
                <w:iCs w:val="0"/>
                <w:kern w:val="21"/>
                <w:sz w:val="21"/>
                <w:szCs w:val="21"/>
              </w:rPr>
            </w:pPr>
            <w:r>
              <w:rPr>
                <w:rFonts w:hint="eastAsia"/>
                <w:b/>
                <w:bCs/>
                <w:i w:val="0"/>
                <w:iCs w:val="0"/>
                <w:sz w:val="21"/>
                <w:szCs w:val="21"/>
              </w:rPr>
              <w:t>Ⅲ</w:t>
            </w:r>
          </w:p>
        </w:tc>
      </w:tr>
    </w:tbl>
    <w:p>
      <w:pPr>
        <w:pStyle w:val="6"/>
        <w:spacing w:line="360" w:lineRule="auto"/>
        <w:ind w:firstLine="480"/>
        <w:rPr>
          <w:rFonts w:hint="eastAsia"/>
          <w:i w:val="0"/>
          <w:iCs w:val="0"/>
          <w:lang w:val="zh-CN"/>
        </w:rPr>
      </w:pPr>
      <w:r>
        <w:rPr>
          <w:rFonts w:hint="eastAsia"/>
          <w:i w:val="0"/>
          <w:iCs w:val="0"/>
          <w:lang w:val="zh-CN"/>
        </w:rPr>
        <w:t>本项目大气环境风险潜势为Ⅲ级。地表水、地下水环境各要素环境风险潜势均为Ⅲ级，即本项目环境风险潜势综合等级为Ⅲ级。</w:t>
      </w:r>
    </w:p>
    <w:p>
      <w:pPr>
        <w:pStyle w:val="90"/>
        <w:adjustRightInd/>
        <w:spacing w:line="360" w:lineRule="auto"/>
        <w:ind w:firstLine="480" w:firstLineChars="200"/>
        <w:rPr>
          <w:rFonts w:hint="eastAsia"/>
          <w:i w:val="0"/>
          <w:iCs w:val="0"/>
          <w:color w:val="auto"/>
        </w:rPr>
      </w:pPr>
      <w:r>
        <w:rPr>
          <w:rFonts w:hint="eastAsia"/>
          <w:i w:val="0"/>
          <w:iCs w:val="0"/>
          <w:color w:val="auto"/>
        </w:rPr>
        <w:t>6、环境风险评价等级及评价范围</w:t>
      </w:r>
    </w:p>
    <w:p>
      <w:pPr>
        <w:pStyle w:val="6"/>
        <w:spacing w:line="360" w:lineRule="auto"/>
        <w:ind w:firstLine="480"/>
        <w:rPr>
          <w:rFonts w:hint="eastAsia"/>
          <w:i w:val="0"/>
          <w:iCs w:val="0"/>
        </w:rPr>
      </w:pPr>
      <w:r>
        <w:rPr>
          <w:rFonts w:hint="eastAsia"/>
          <w:i w:val="0"/>
          <w:iCs w:val="0"/>
        </w:rPr>
        <w:t>（1）评价等级</w:t>
      </w:r>
    </w:p>
    <w:p>
      <w:pPr>
        <w:pStyle w:val="6"/>
        <w:spacing w:line="360" w:lineRule="auto"/>
        <w:ind w:firstLine="480"/>
        <w:rPr>
          <w:rFonts w:hint="eastAsia"/>
          <w:i w:val="0"/>
          <w:iCs w:val="0"/>
        </w:rPr>
      </w:pPr>
      <w:r>
        <w:rPr>
          <w:rFonts w:hint="eastAsia"/>
          <w:i w:val="0"/>
          <w:iCs w:val="0"/>
        </w:rPr>
        <w:t xml:space="preserve">建设项目环境风险潜势划分为Ⅰ、Ⅱ、Ⅲ、Ⅳ/Ⅳ+级。 </w:t>
      </w:r>
    </w:p>
    <w:p>
      <w:pPr>
        <w:pStyle w:val="6"/>
        <w:spacing w:line="360" w:lineRule="auto"/>
        <w:ind w:firstLine="480"/>
        <w:rPr>
          <w:rFonts w:hint="eastAsia"/>
          <w:i w:val="0"/>
          <w:iCs w:val="0"/>
        </w:rPr>
      </w:pPr>
      <w:r>
        <w:rPr>
          <w:rFonts w:hint="eastAsia"/>
          <w:i w:val="0"/>
          <w:iCs w:val="0"/>
        </w:rPr>
        <w:t>根据建设项目涉及的物质和工艺系统的危险性及其所在地的环境敏感程度，结合事故情形下环境影响途径，对建设项目潜在环境危害程度进行概化分析，按照下表确定环境风险潜势。</w:t>
      </w:r>
    </w:p>
    <w:p>
      <w:pPr>
        <w:pStyle w:val="413"/>
        <w:numPr>
          <w:ilvl w:val="4"/>
          <w:numId w:val="0"/>
        </w:numPr>
        <w:spacing w:line="240" w:lineRule="auto"/>
        <w:rPr>
          <w:i w:val="0"/>
          <w:iCs w:val="0"/>
        </w:rPr>
      </w:pPr>
      <w:r>
        <w:rPr>
          <w:rFonts w:hint="eastAsia"/>
          <w:i w:val="0"/>
          <w:iCs w:val="0"/>
        </w:rPr>
        <w:t>表2-3</w:t>
      </w:r>
      <w:r>
        <w:rPr>
          <w:rFonts w:hint="eastAsia"/>
          <w:i w:val="0"/>
          <w:iCs w:val="0"/>
          <w:lang w:val="en-US" w:eastAsia="zh-CN"/>
        </w:rPr>
        <w:t>6</w:t>
      </w:r>
      <w:r>
        <w:rPr>
          <w:i w:val="0"/>
          <w:iCs w:val="0"/>
        </w:rPr>
        <w:t>环境风险评价工作等级判据一览表</w:t>
      </w:r>
    </w:p>
    <w:tbl>
      <w:tblPr>
        <w:tblStyle w:val="5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11"/>
        <w:gridCol w:w="1813"/>
        <w:gridCol w:w="1811"/>
        <w:gridCol w:w="1813"/>
        <w:gridCol w:w="18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11" w:type="dxa"/>
            <w:noWrap w:val="0"/>
            <w:vAlign w:val="center"/>
          </w:tcPr>
          <w:p>
            <w:pPr>
              <w:pStyle w:val="394"/>
              <w:jc w:val="center"/>
              <w:rPr>
                <w:i w:val="0"/>
                <w:iCs w:val="0"/>
                <w:kern w:val="21"/>
                <w:sz w:val="21"/>
                <w:szCs w:val="21"/>
                <w:lang w:bidi="zh-CN"/>
              </w:rPr>
            </w:pPr>
            <w:r>
              <w:rPr>
                <w:i w:val="0"/>
                <w:iCs w:val="0"/>
                <w:kern w:val="21"/>
                <w:sz w:val="21"/>
                <w:szCs w:val="21"/>
              </w:rPr>
              <w:t>环境</w:t>
            </w:r>
            <w:r>
              <w:rPr>
                <w:i w:val="0"/>
                <w:iCs w:val="0"/>
                <w:kern w:val="21"/>
                <w:sz w:val="21"/>
                <w:szCs w:val="21"/>
                <w:lang w:bidi="zh-CN"/>
              </w:rPr>
              <w:t>风险潜势</w:t>
            </w:r>
          </w:p>
        </w:tc>
        <w:tc>
          <w:tcPr>
            <w:tcW w:w="1813" w:type="dxa"/>
            <w:noWrap w:val="0"/>
            <w:vAlign w:val="center"/>
          </w:tcPr>
          <w:p>
            <w:pPr>
              <w:jc w:val="center"/>
              <w:rPr>
                <w:i w:val="0"/>
                <w:iCs w:val="0"/>
                <w:kern w:val="21"/>
                <w:sz w:val="21"/>
                <w:szCs w:val="21"/>
                <w:lang w:bidi="zh-CN"/>
              </w:rPr>
            </w:pPr>
            <w:r>
              <w:rPr>
                <w:i w:val="0"/>
                <w:iCs w:val="0"/>
                <w:kern w:val="21"/>
                <w:sz w:val="21"/>
                <w:szCs w:val="21"/>
                <w:lang w:val="zh-CN" w:bidi="zh-CN"/>
              </w:rPr>
              <w:t>Ⅳ、Ⅳ</w:t>
            </w:r>
            <w:r>
              <w:rPr>
                <w:i w:val="0"/>
                <w:iCs w:val="0"/>
                <w:kern w:val="21"/>
                <w:sz w:val="21"/>
                <w:szCs w:val="21"/>
                <w:vertAlign w:val="superscript"/>
                <w:lang w:bidi="zh-CN"/>
              </w:rPr>
              <w:t>+</w:t>
            </w:r>
          </w:p>
        </w:tc>
        <w:tc>
          <w:tcPr>
            <w:tcW w:w="1811" w:type="dxa"/>
            <w:noWrap w:val="0"/>
            <w:vAlign w:val="center"/>
          </w:tcPr>
          <w:p>
            <w:pPr>
              <w:jc w:val="center"/>
              <w:rPr>
                <w:i w:val="0"/>
                <w:iCs w:val="0"/>
                <w:kern w:val="21"/>
                <w:sz w:val="21"/>
                <w:szCs w:val="21"/>
                <w:lang w:val="zh-CN" w:bidi="zh-CN"/>
              </w:rPr>
            </w:pPr>
            <w:r>
              <w:rPr>
                <w:i w:val="0"/>
                <w:iCs w:val="0"/>
                <w:kern w:val="21"/>
                <w:sz w:val="21"/>
                <w:szCs w:val="21"/>
                <w:lang w:val="zh-CN" w:bidi="zh-CN"/>
              </w:rPr>
              <w:t>Ⅲ</w:t>
            </w:r>
          </w:p>
        </w:tc>
        <w:tc>
          <w:tcPr>
            <w:tcW w:w="1813" w:type="dxa"/>
            <w:noWrap w:val="0"/>
            <w:vAlign w:val="center"/>
          </w:tcPr>
          <w:p>
            <w:pPr>
              <w:jc w:val="center"/>
              <w:rPr>
                <w:i w:val="0"/>
                <w:iCs w:val="0"/>
                <w:kern w:val="21"/>
                <w:sz w:val="21"/>
                <w:szCs w:val="21"/>
                <w:lang w:val="zh-CN" w:bidi="zh-CN"/>
              </w:rPr>
            </w:pPr>
            <w:r>
              <w:rPr>
                <w:i w:val="0"/>
                <w:iCs w:val="0"/>
                <w:kern w:val="21"/>
                <w:sz w:val="21"/>
                <w:szCs w:val="21"/>
                <w:lang w:val="zh-CN" w:bidi="zh-CN"/>
              </w:rPr>
              <w:t>Ⅱ</w:t>
            </w:r>
          </w:p>
        </w:tc>
        <w:tc>
          <w:tcPr>
            <w:tcW w:w="1812" w:type="dxa"/>
            <w:noWrap w:val="0"/>
            <w:vAlign w:val="center"/>
          </w:tcPr>
          <w:p>
            <w:pPr>
              <w:jc w:val="center"/>
              <w:rPr>
                <w:i w:val="0"/>
                <w:iCs w:val="0"/>
                <w:kern w:val="21"/>
                <w:sz w:val="21"/>
                <w:szCs w:val="21"/>
                <w:lang w:bidi="zh-CN"/>
              </w:rPr>
            </w:pPr>
            <w:r>
              <w:rPr>
                <w:i w:val="0"/>
                <w:iCs w:val="0"/>
                <w:kern w:val="21"/>
                <w:sz w:val="21"/>
                <w:szCs w:val="21"/>
                <w:lang w:val="zh-CN" w:bidi="zh-CN"/>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11" w:type="dxa"/>
            <w:noWrap w:val="0"/>
            <w:vAlign w:val="center"/>
          </w:tcPr>
          <w:p>
            <w:pPr>
              <w:jc w:val="center"/>
              <w:rPr>
                <w:i w:val="0"/>
                <w:iCs w:val="0"/>
                <w:kern w:val="21"/>
                <w:sz w:val="21"/>
                <w:szCs w:val="21"/>
                <w:lang w:bidi="zh-CN"/>
              </w:rPr>
            </w:pPr>
            <w:r>
              <w:rPr>
                <w:i w:val="0"/>
                <w:iCs w:val="0"/>
                <w:kern w:val="21"/>
                <w:sz w:val="21"/>
                <w:szCs w:val="21"/>
                <w:lang w:bidi="zh-CN"/>
              </w:rPr>
              <w:t>评价工作等级</w:t>
            </w:r>
          </w:p>
        </w:tc>
        <w:tc>
          <w:tcPr>
            <w:tcW w:w="1813" w:type="dxa"/>
            <w:noWrap w:val="0"/>
            <w:vAlign w:val="center"/>
          </w:tcPr>
          <w:p>
            <w:pPr>
              <w:jc w:val="center"/>
              <w:rPr>
                <w:i w:val="0"/>
                <w:iCs w:val="0"/>
                <w:kern w:val="21"/>
                <w:sz w:val="21"/>
                <w:szCs w:val="21"/>
                <w:lang w:bidi="zh-CN"/>
              </w:rPr>
            </w:pPr>
            <w:r>
              <w:rPr>
                <w:i w:val="0"/>
                <w:iCs w:val="0"/>
                <w:kern w:val="21"/>
                <w:sz w:val="21"/>
                <w:szCs w:val="21"/>
                <w:lang w:bidi="zh-CN"/>
              </w:rPr>
              <w:t>一</w:t>
            </w:r>
          </w:p>
        </w:tc>
        <w:tc>
          <w:tcPr>
            <w:tcW w:w="1811" w:type="dxa"/>
            <w:noWrap w:val="0"/>
            <w:vAlign w:val="center"/>
          </w:tcPr>
          <w:p>
            <w:pPr>
              <w:jc w:val="center"/>
              <w:rPr>
                <w:i w:val="0"/>
                <w:iCs w:val="0"/>
                <w:kern w:val="21"/>
                <w:sz w:val="21"/>
                <w:szCs w:val="21"/>
                <w:lang w:bidi="zh-CN"/>
              </w:rPr>
            </w:pPr>
            <w:r>
              <w:rPr>
                <w:i w:val="0"/>
                <w:iCs w:val="0"/>
                <w:kern w:val="21"/>
                <w:sz w:val="21"/>
                <w:szCs w:val="21"/>
                <w:lang w:bidi="zh-CN"/>
              </w:rPr>
              <w:t>二</w:t>
            </w:r>
          </w:p>
        </w:tc>
        <w:tc>
          <w:tcPr>
            <w:tcW w:w="1813" w:type="dxa"/>
            <w:noWrap w:val="0"/>
            <w:vAlign w:val="center"/>
          </w:tcPr>
          <w:p>
            <w:pPr>
              <w:jc w:val="center"/>
              <w:rPr>
                <w:i w:val="0"/>
                <w:iCs w:val="0"/>
                <w:kern w:val="21"/>
                <w:sz w:val="21"/>
                <w:szCs w:val="21"/>
                <w:lang w:bidi="zh-CN"/>
              </w:rPr>
            </w:pPr>
            <w:r>
              <w:rPr>
                <w:i w:val="0"/>
                <w:iCs w:val="0"/>
                <w:kern w:val="21"/>
                <w:sz w:val="21"/>
                <w:szCs w:val="21"/>
                <w:lang w:bidi="zh-CN"/>
              </w:rPr>
              <w:t>三</w:t>
            </w:r>
          </w:p>
        </w:tc>
        <w:tc>
          <w:tcPr>
            <w:tcW w:w="1812" w:type="dxa"/>
            <w:noWrap w:val="0"/>
            <w:vAlign w:val="center"/>
          </w:tcPr>
          <w:p>
            <w:pPr>
              <w:jc w:val="center"/>
              <w:rPr>
                <w:i w:val="0"/>
                <w:iCs w:val="0"/>
                <w:kern w:val="21"/>
                <w:sz w:val="21"/>
                <w:szCs w:val="21"/>
                <w:lang w:bidi="zh-CN"/>
              </w:rPr>
            </w:pPr>
            <w:r>
              <w:rPr>
                <w:i w:val="0"/>
                <w:iCs w:val="0"/>
                <w:kern w:val="21"/>
                <w:sz w:val="21"/>
                <w:szCs w:val="21"/>
                <w:lang w:bidi="zh-CN"/>
              </w:rPr>
              <w:t>简单分析</w:t>
            </w:r>
            <w:r>
              <w:rPr>
                <w:i w:val="0"/>
                <w:iCs w:val="0"/>
                <w:kern w:val="21"/>
                <w:sz w:val="21"/>
                <w:szCs w:val="21"/>
                <w:vertAlign w:val="superscript"/>
                <w:lang w:bidi="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60" w:type="dxa"/>
            <w:gridSpan w:val="5"/>
            <w:noWrap w:val="0"/>
            <w:vAlign w:val="center"/>
          </w:tcPr>
          <w:p>
            <w:pPr>
              <w:rPr>
                <w:i w:val="0"/>
                <w:iCs w:val="0"/>
                <w:kern w:val="21"/>
                <w:sz w:val="21"/>
                <w:szCs w:val="21"/>
                <w:lang w:bidi="zh-CN"/>
              </w:rPr>
            </w:pPr>
            <w:r>
              <w:rPr>
                <w:i w:val="0"/>
                <w:iCs w:val="0"/>
                <w:kern w:val="21"/>
                <w:sz w:val="21"/>
                <w:szCs w:val="21"/>
                <w:lang w:bidi="zh-CN"/>
              </w:rPr>
              <w:t>a是相对于详细评价工作内容而言，在描述危险物质、环境影响途经、环境危害后果、风险防范措施等方面给出定性的说明。见附录A。</w:t>
            </w:r>
          </w:p>
        </w:tc>
      </w:tr>
    </w:tbl>
    <w:p>
      <w:pPr>
        <w:pStyle w:val="6"/>
        <w:ind w:firstLine="480"/>
        <w:rPr>
          <w:i w:val="0"/>
          <w:iCs w:val="0"/>
          <w:color w:val="000000"/>
          <w:spacing w:val="23"/>
        </w:rPr>
      </w:pPr>
      <w:r>
        <w:rPr>
          <w:rFonts w:hint="eastAsia"/>
          <w:i w:val="0"/>
          <w:iCs w:val="0"/>
          <w:lang w:val="zh-CN"/>
        </w:rPr>
        <w:t>本项目环境风险潜势Ⅲ级，因此，本项目环境风险评价等级为二级。</w:t>
      </w:r>
      <w:r>
        <w:rPr>
          <w:i w:val="0"/>
          <w:iCs w:val="0"/>
          <w:color w:val="000000"/>
          <w:spacing w:val="23"/>
        </w:rPr>
        <w:t xml:space="preserve"> </w:t>
      </w:r>
    </w:p>
    <w:p>
      <w:pPr>
        <w:pStyle w:val="6"/>
        <w:spacing w:line="360" w:lineRule="auto"/>
        <w:ind w:firstLine="480"/>
        <w:rPr>
          <w:rFonts w:hint="eastAsia"/>
          <w:i w:val="0"/>
          <w:iCs w:val="0"/>
        </w:rPr>
      </w:pPr>
      <w:r>
        <w:rPr>
          <w:rFonts w:hint="eastAsia"/>
          <w:i w:val="0"/>
          <w:iCs w:val="0"/>
        </w:rPr>
        <w:t>（2）评价范围</w:t>
      </w:r>
    </w:p>
    <w:p>
      <w:pPr>
        <w:pStyle w:val="47"/>
        <w:tabs>
          <w:tab w:val="left" w:pos="-54"/>
        </w:tabs>
        <w:spacing w:line="360" w:lineRule="auto"/>
        <w:ind w:firstLine="480" w:firstLineChars="200"/>
        <w:rPr>
          <w:rFonts w:hint="eastAsia" w:eastAsia="宋体"/>
          <w:i w:val="0"/>
          <w:iCs w:val="0"/>
          <w:sz w:val="24"/>
          <w:highlight w:val="green"/>
        </w:rPr>
      </w:pPr>
      <w:r>
        <w:rPr>
          <w:rFonts w:hint="eastAsia" w:eastAsia="宋体"/>
          <w:bCs/>
          <w:i w:val="0"/>
          <w:iCs w:val="0"/>
          <w:snapToGrid w:val="0"/>
          <w:color w:val="000000"/>
          <w:sz w:val="24"/>
          <w:szCs w:val="24"/>
        </w:rPr>
        <w:t>本项目风险评价范围为距离项目区边界5km范围内</w:t>
      </w:r>
      <w:r>
        <w:rPr>
          <w:rFonts w:hint="eastAsia" w:eastAsia="宋体"/>
          <w:bCs/>
          <w:i w:val="0"/>
          <w:iCs w:val="0"/>
          <w:snapToGrid w:val="0"/>
          <w:color w:val="000000"/>
          <w:sz w:val="24"/>
          <w:szCs w:val="24"/>
          <w:lang w:eastAsia="zh-CN"/>
        </w:rPr>
        <w:t>，详见附图</w:t>
      </w:r>
      <w:r>
        <w:rPr>
          <w:rFonts w:hint="eastAsia" w:eastAsia="宋体"/>
          <w:bCs/>
          <w:i w:val="0"/>
          <w:iCs w:val="0"/>
          <w:snapToGrid w:val="0"/>
          <w:color w:val="000000"/>
          <w:sz w:val="24"/>
          <w:szCs w:val="24"/>
          <w:lang w:val="en-US" w:eastAsia="zh-CN"/>
        </w:rPr>
        <w:t>4-4</w:t>
      </w:r>
      <w:r>
        <w:rPr>
          <w:rFonts w:hint="eastAsia" w:eastAsia="宋体"/>
          <w:i w:val="0"/>
          <w:iCs w:val="0"/>
          <w:sz w:val="24"/>
        </w:rPr>
        <w:t>。</w:t>
      </w:r>
    </w:p>
    <w:p>
      <w:pPr>
        <w:pStyle w:val="47"/>
        <w:tabs>
          <w:tab w:val="left" w:pos="-54"/>
        </w:tabs>
        <w:spacing w:line="360" w:lineRule="auto"/>
        <w:ind w:left="7" w:leftChars="3" w:firstLine="482" w:firstLineChars="200"/>
        <w:rPr>
          <w:rFonts w:hint="eastAsia" w:eastAsia="宋体"/>
          <w:b/>
          <w:i w:val="0"/>
          <w:iCs w:val="0"/>
          <w:sz w:val="24"/>
        </w:rPr>
      </w:pPr>
      <w:r>
        <w:rPr>
          <w:rFonts w:hint="eastAsia" w:eastAsia="宋体"/>
          <w:b/>
          <w:i w:val="0"/>
          <w:iCs w:val="0"/>
          <w:sz w:val="24"/>
        </w:rPr>
        <w:t>2</w:t>
      </w:r>
      <w:r>
        <w:rPr>
          <w:rFonts w:eastAsia="宋体"/>
          <w:b/>
          <w:i w:val="0"/>
          <w:iCs w:val="0"/>
          <w:sz w:val="24"/>
        </w:rPr>
        <w:t>.5.5</w:t>
      </w:r>
      <w:r>
        <w:rPr>
          <w:rFonts w:hint="eastAsia" w:eastAsia="宋体"/>
          <w:b/>
          <w:i w:val="0"/>
          <w:iCs w:val="0"/>
          <w:sz w:val="24"/>
        </w:rPr>
        <w:t xml:space="preserve"> </w:t>
      </w:r>
      <w:r>
        <w:rPr>
          <w:rFonts w:eastAsia="宋体"/>
          <w:b/>
          <w:i w:val="0"/>
          <w:iCs w:val="0"/>
          <w:sz w:val="24"/>
        </w:rPr>
        <w:t>地下水</w:t>
      </w:r>
      <w:r>
        <w:rPr>
          <w:rFonts w:hint="eastAsia" w:eastAsia="宋体"/>
          <w:b/>
          <w:i w:val="0"/>
          <w:iCs w:val="0"/>
          <w:sz w:val="24"/>
        </w:rPr>
        <w:t>环境评价</w:t>
      </w:r>
    </w:p>
    <w:p>
      <w:pPr>
        <w:spacing w:line="360" w:lineRule="auto"/>
        <w:ind w:firstLine="480" w:firstLineChars="200"/>
        <w:rPr>
          <w:i/>
          <w:iCs/>
          <w:u w:val="single"/>
        </w:rPr>
      </w:pPr>
      <w:r>
        <w:rPr>
          <w:i/>
          <w:iCs/>
          <w:u w:val="single"/>
        </w:rPr>
        <w:t>1、评价等级</w:t>
      </w:r>
    </w:p>
    <w:p>
      <w:pPr>
        <w:widowControl/>
        <w:adjustRightInd w:val="0"/>
        <w:snapToGrid w:val="0"/>
        <w:spacing w:line="360" w:lineRule="auto"/>
        <w:ind w:firstLine="480" w:firstLineChars="200"/>
        <w:jc w:val="left"/>
        <w:rPr>
          <w:rFonts w:hint="eastAsia"/>
          <w:i/>
          <w:iCs/>
          <w:u w:val="single"/>
        </w:rPr>
      </w:pPr>
      <w:r>
        <w:rPr>
          <w:rFonts w:hint="eastAsia"/>
          <w:i/>
          <w:iCs/>
          <w:u w:val="single"/>
        </w:rPr>
        <w:t>（1）项目类别</w:t>
      </w:r>
    </w:p>
    <w:p>
      <w:pPr>
        <w:widowControl/>
        <w:adjustRightInd w:val="0"/>
        <w:snapToGrid w:val="0"/>
        <w:spacing w:line="360" w:lineRule="auto"/>
        <w:ind w:firstLine="480" w:firstLineChars="200"/>
        <w:jc w:val="left"/>
        <w:rPr>
          <w:rFonts w:hint="eastAsia"/>
          <w:i/>
          <w:iCs/>
          <w:u w:val="single"/>
        </w:rPr>
      </w:pPr>
      <w:r>
        <w:rPr>
          <w:rFonts w:hint="eastAsia"/>
          <w:i/>
          <w:iCs/>
          <w:u w:val="single"/>
        </w:rPr>
        <w:t>根据《环境影响评价技术导则 地下水环境》（HJ 610-2016）中一般原则性要求，根据建设项目对地下水环境影响的程度，结合《建设项目环境影响评价分类管理名录》，将建设项目分为四类。I类、II类、III类建设项目的地下水环境影响评价应执行本标准，IV类建设项目不开展地下水环境影响评价。对照 HJ 610-2016 附录 A，本项目饲料添加剂生产参照调味品、发酵制品制造中报告书类别，属于Ⅲ类建设项目。</w:t>
      </w:r>
    </w:p>
    <w:p>
      <w:pPr>
        <w:widowControl/>
        <w:adjustRightInd w:val="0"/>
        <w:snapToGrid w:val="0"/>
        <w:spacing w:line="360" w:lineRule="auto"/>
        <w:ind w:firstLine="480" w:firstLineChars="200"/>
        <w:jc w:val="left"/>
        <w:rPr>
          <w:i/>
          <w:iCs/>
          <w:u w:val="single"/>
        </w:rPr>
      </w:pPr>
      <w:r>
        <w:rPr>
          <w:rFonts w:hint="eastAsia"/>
          <w:i/>
          <w:iCs/>
          <w:u w:val="single"/>
        </w:rPr>
        <w:t>（2）地下水环境敏感程度</w:t>
      </w:r>
    </w:p>
    <w:p>
      <w:pPr>
        <w:widowControl/>
        <w:adjustRightInd w:val="0"/>
        <w:snapToGrid w:val="0"/>
        <w:spacing w:line="360" w:lineRule="auto"/>
        <w:ind w:firstLine="480" w:firstLineChars="200"/>
        <w:jc w:val="left"/>
        <w:rPr>
          <w:i/>
          <w:iCs/>
          <w:u w:val="single"/>
        </w:rPr>
      </w:pPr>
      <w:r>
        <w:rPr>
          <w:i/>
          <w:iCs/>
          <w:u w:val="single"/>
        </w:rPr>
        <w:t>地下水环境敏感程度可分为敏感、较敏感以及不敏感，分级原则见表</w:t>
      </w:r>
      <w:r>
        <w:rPr>
          <w:rFonts w:hint="eastAsia"/>
          <w:i/>
          <w:iCs/>
          <w:u w:val="single"/>
        </w:rPr>
        <w:t>2-3</w:t>
      </w:r>
      <w:r>
        <w:rPr>
          <w:rFonts w:hint="eastAsia"/>
          <w:i/>
          <w:iCs/>
          <w:u w:val="single"/>
          <w:lang w:val="en-US" w:eastAsia="zh-CN"/>
        </w:rPr>
        <w:t>7</w:t>
      </w:r>
      <w:r>
        <w:rPr>
          <w:i/>
          <w:iCs/>
          <w:u w:val="single"/>
        </w:rPr>
        <w:t>。</w:t>
      </w:r>
    </w:p>
    <w:p>
      <w:pPr>
        <w:pStyle w:val="413"/>
        <w:numPr>
          <w:ilvl w:val="4"/>
          <w:numId w:val="0"/>
        </w:numPr>
        <w:spacing w:line="240" w:lineRule="auto"/>
        <w:rPr>
          <w:rFonts w:hint="eastAsia"/>
          <w:i/>
          <w:iCs/>
          <w:u w:val="single"/>
        </w:rPr>
      </w:pPr>
      <w:r>
        <w:rPr>
          <w:rFonts w:hint="eastAsia"/>
          <w:i/>
          <w:iCs/>
          <w:u w:val="single"/>
        </w:rPr>
        <w:t>表2-3</w:t>
      </w:r>
      <w:r>
        <w:rPr>
          <w:rFonts w:hint="eastAsia"/>
          <w:i/>
          <w:iCs/>
          <w:u w:val="single"/>
          <w:lang w:val="en-US" w:eastAsia="zh-CN"/>
        </w:rPr>
        <w:t>7</w:t>
      </w:r>
      <w:r>
        <w:rPr>
          <w:rFonts w:hint="eastAsia"/>
          <w:i/>
          <w:iCs/>
          <w:u w:val="single"/>
        </w:rPr>
        <w:t>地下水敏感程度分级表</w:t>
      </w:r>
    </w:p>
    <w:tbl>
      <w:tblPr>
        <w:tblStyle w:val="5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82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 w:hRule="atLeast"/>
          <w:tblHeader/>
          <w:jc w:val="center"/>
        </w:trPr>
        <w:tc>
          <w:tcPr>
            <w:tcW w:w="1068" w:type="dxa"/>
            <w:noWrap w:val="0"/>
            <w:vAlign w:val="center"/>
          </w:tcPr>
          <w:p>
            <w:pPr>
              <w:adjustRightInd w:val="0"/>
              <w:snapToGrid w:val="0"/>
              <w:jc w:val="center"/>
              <w:rPr>
                <w:i/>
                <w:iCs/>
                <w:sz w:val="21"/>
                <w:szCs w:val="21"/>
                <w:u w:val="single"/>
              </w:rPr>
            </w:pPr>
            <w:r>
              <w:rPr>
                <w:i/>
                <w:iCs/>
                <w:sz w:val="21"/>
                <w:szCs w:val="21"/>
                <w:u w:val="single"/>
              </w:rPr>
              <w:t>敏感程度</w:t>
            </w:r>
          </w:p>
        </w:tc>
        <w:tc>
          <w:tcPr>
            <w:tcW w:w="8221" w:type="dxa"/>
            <w:noWrap w:val="0"/>
            <w:vAlign w:val="center"/>
          </w:tcPr>
          <w:p>
            <w:pPr>
              <w:adjustRightInd w:val="0"/>
              <w:snapToGrid w:val="0"/>
              <w:jc w:val="center"/>
              <w:rPr>
                <w:i/>
                <w:iCs/>
                <w:sz w:val="21"/>
                <w:szCs w:val="21"/>
                <w:u w:val="single"/>
              </w:rPr>
            </w:pPr>
            <w:r>
              <w:rPr>
                <w:i/>
                <w:iCs/>
                <w:sz w:val="21"/>
                <w:szCs w:val="21"/>
                <w:u w:val="single"/>
              </w:rPr>
              <w:t>地下水环境敏感特征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1068" w:type="dxa"/>
            <w:noWrap w:val="0"/>
            <w:vAlign w:val="center"/>
          </w:tcPr>
          <w:p>
            <w:pPr>
              <w:adjustRightInd w:val="0"/>
              <w:snapToGrid w:val="0"/>
              <w:jc w:val="center"/>
              <w:rPr>
                <w:i/>
                <w:iCs/>
                <w:sz w:val="21"/>
                <w:szCs w:val="21"/>
                <w:u w:val="single"/>
              </w:rPr>
            </w:pPr>
            <w:r>
              <w:rPr>
                <w:i/>
                <w:iCs/>
                <w:sz w:val="21"/>
                <w:szCs w:val="21"/>
                <w:u w:val="single"/>
              </w:rPr>
              <w:t>敏感</w:t>
            </w:r>
          </w:p>
        </w:tc>
        <w:tc>
          <w:tcPr>
            <w:tcW w:w="8221" w:type="dxa"/>
            <w:noWrap w:val="0"/>
            <w:vAlign w:val="center"/>
          </w:tcPr>
          <w:p>
            <w:pPr>
              <w:adjustRightInd w:val="0"/>
              <w:snapToGrid w:val="0"/>
              <w:jc w:val="left"/>
              <w:rPr>
                <w:i/>
                <w:iCs/>
                <w:sz w:val="21"/>
                <w:szCs w:val="21"/>
                <w:u w:val="single"/>
              </w:rPr>
            </w:pPr>
            <w:r>
              <w:rPr>
                <w:i/>
                <w:iCs/>
                <w:sz w:val="21"/>
                <w:szCs w:val="21"/>
                <w:u w:val="single"/>
              </w:rPr>
              <w:t>集中式饮用水源（包括已建成的在用、备用、应急水源，在建和规划的饮用水水源）准保护区；除集中式饮用水源以外的国家或地方作者政府设定的与地下水环境相关的其他保护区，如热水、矿泉水、温泉等特殊地下水资源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1068" w:type="dxa"/>
            <w:noWrap w:val="0"/>
            <w:vAlign w:val="center"/>
          </w:tcPr>
          <w:p>
            <w:pPr>
              <w:adjustRightInd w:val="0"/>
              <w:snapToGrid w:val="0"/>
              <w:jc w:val="center"/>
              <w:rPr>
                <w:i/>
                <w:iCs/>
                <w:sz w:val="21"/>
                <w:szCs w:val="21"/>
                <w:u w:val="single"/>
              </w:rPr>
            </w:pPr>
            <w:r>
              <w:rPr>
                <w:i/>
                <w:iCs/>
                <w:sz w:val="21"/>
                <w:szCs w:val="21"/>
                <w:u w:val="single"/>
              </w:rPr>
              <w:t>较敏感</w:t>
            </w:r>
          </w:p>
        </w:tc>
        <w:tc>
          <w:tcPr>
            <w:tcW w:w="8221" w:type="dxa"/>
            <w:noWrap w:val="0"/>
            <w:vAlign w:val="center"/>
          </w:tcPr>
          <w:p>
            <w:pPr>
              <w:adjustRightInd w:val="0"/>
              <w:snapToGrid w:val="0"/>
              <w:jc w:val="left"/>
              <w:rPr>
                <w:i/>
                <w:iCs/>
                <w:sz w:val="21"/>
                <w:szCs w:val="21"/>
                <w:u w:val="single"/>
              </w:rPr>
            </w:pPr>
            <w:r>
              <w:rPr>
                <w:i/>
                <w:iCs/>
                <w:sz w:val="21"/>
                <w:szCs w:val="21"/>
                <w:u w:val="single"/>
              </w:rPr>
              <w:t>集中式饮用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8" w:type="dxa"/>
            <w:noWrap w:val="0"/>
            <w:vAlign w:val="center"/>
          </w:tcPr>
          <w:p>
            <w:pPr>
              <w:adjustRightInd w:val="0"/>
              <w:snapToGrid w:val="0"/>
              <w:jc w:val="center"/>
              <w:rPr>
                <w:i/>
                <w:iCs/>
                <w:sz w:val="21"/>
                <w:szCs w:val="21"/>
                <w:u w:val="single"/>
              </w:rPr>
            </w:pPr>
            <w:r>
              <w:rPr>
                <w:i/>
                <w:iCs/>
                <w:sz w:val="21"/>
                <w:szCs w:val="21"/>
                <w:u w:val="single"/>
              </w:rPr>
              <w:t>不敏感</w:t>
            </w:r>
          </w:p>
        </w:tc>
        <w:tc>
          <w:tcPr>
            <w:tcW w:w="8221" w:type="dxa"/>
            <w:noWrap w:val="0"/>
            <w:vAlign w:val="center"/>
          </w:tcPr>
          <w:p>
            <w:pPr>
              <w:adjustRightInd w:val="0"/>
              <w:snapToGrid w:val="0"/>
              <w:jc w:val="left"/>
              <w:rPr>
                <w:i/>
                <w:iCs/>
                <w:sz w:val="21"/>
                <w:szCs w:val="21"/>
                <w:u w:val="single"/>
              </w:rPr>
            </w:pPr>
            <w:r>
              <w:rPr>
                <w:i/>
                <w:iCs/>
                <w:sz w:val="21"/>
                <w:szCs w:val="21"/>
                <w:u w:val="single"/>
              </w:rPr>
              <w:t>上述地区以外的其他地区</w:t>
            </w:r>
          </w:p>
        </w:tc>
      </w:tr>
    </w:tbl>
    <w:p>
      <w:pPr>
        <w:widowControl/>
        <w:adjustRightInd w:val="0"/>
        <w:snapToGrid w:val="0"/>
        <w:spacing w:line="360" w:lineRule="auto"/>
        <w:ind w:firstLine="480" w:firstLineChars="200"/>
        <w:jc w:val="left"/>
        <w:rPr>
          <w:i/>
          <w:iCs/>
          <w:u w:val="single"/>
        </w:rPr>
      </w:pPr>
      <w:r>
        <w:rPr>
          <w:rFonts w:hint="eastAsia"/>
          <w:i/>
          <w:iCs/>
          <w:u w:val="single"/>
        </w:rPr>
        <w:t>本项目位于江源工业经济开发区长白山特色食药科技产业园区，评价区域地下水主要是工、农业用水，以人体健康为基准，根据《地下水质量标准》将评价区域地下水环境划分为Ⅲ类功能区。</w:t>
      </w:r>
    </w:p>
    <w:p>
      <w:pPr>
        <w:adjustRightInd w:val="0"/>
        <w:snapToGrid w:val="0"/>
        <w:spacing w:line="360" w:lineRule="auto"/>
        <w:ind w:firstLine="480" w:firstLineChars="200"/>
        <w:jc w:val="left"/>
        <w:rPr>
          <w:i/>
          <w:iCs/>
          <w:kern w:val="0"/>
          <w:u w:val="single"/>
        </w:rPr>
      </w:pPr>
      <w:r>
        <w:rPr>
          <w:rFonts w:hint="eastAsia"/>
          <w:i/>
          <w:iCs/>
          <w:u w:val="single"/>
        </w:rPr>
        <w:t>本项目通过调查，本项目周边一定范围内分布有居民</w:t>
      </w:r>
      <w:r>
        <w:rPr>
          <w:i/>
          <w:iCs/>
          <w:u w:val="single"/>
        </w:rPr>
        <w:t>，其饮用水方式</w:t>
      </w:r>
      <w:r>
        <w:rPr>
          <w:rFonts w:hint="eastAsia"/>
          <w:i/>
          <w:iCs/>
          <w:u w:val="single"/>
        </w:rPr>
        <w:t>为集中供水</w:t>
      </w:r>
      <w:r>
        <w:rPr>
          <w:rFonts w:hint="eastAsia"/>
          <w:i/>
          <w:iCs/>
          <w:u w:val="single"/>
          <w:lang w:eastAsia="zh-CN"/>
        </w:rPr>
        <w:t>，供水方式为引泉，位于本</w:t>
      </w:r>
      <w:r>
        <w:rPr>
          <w:rFonts w:hint="eastAsia" w:ascii="Times New Roman" w:hAnsi="Times New Roman" w:eastAsia="宋体" w:cs="Times New Roman"/>
          <w:i/>
          <w:iCs/>
          <w:kern w:val="0"/>
          <w:u w:val="single"/>
          <w:lang w:eastAsia="zh-CN"/>
        </w:rPr>
        <w:t>项目西南侧</w:t>
      </w:r>
      <w:r>
        <w:rPr>
          <w:rFonts w:hint="eastAsia" w:ascii="Times New Roman" w:hAnsi="Times New Roman" w:eastAsia="宋体" w:cs="Times New Roman"/>
          <w:i/>
          <w:iCs/>
          <w:kern w:val="0"/>
          <w:u w:val="single"/>
          <w:lang w:val="en-US" w:eastAsia="zh-CN"/>
        </w:rPr>
        <w:t>1364m</w:t>
      </w:r>
      <w:r>
        <w:rPr>
          <w:rFonts w:ascii="Times New Roman" w:hAnsi="Times New Roman" w:eastAsia="宋体" w:cs="Times New Roman"/>
          <w:i/>
          <w:iCs/>
          <w:kern w:val="0"/>
          <w:u w:val="single"/>
        </w:rPr>
        <w:t>。项目所在区域不在地下水集中式水源地（包括已建成的在用、备用、应急水源，在建</w:t>
      </w:r>
      <w:r>
        <w:rPr>
          <w:i/>
          <w:iCs/>
          <w:kern w:val="0"/>
          <w:u w:val="single"/>
        </w:rPr>
        <w:t>和规划的饮用水水源）保护区范围内；不在除集中式饮用水水源以外的国家或地方政府设定的与地下水环境相关的其它保护区，如热水、矿泉水、温泉等特殊地下水资源保护区。不在集中式饮用水水源（包括已建成的在用、备用、应急水源，在建和规划的饮用水水源）准保护区以外的补给径流区；不在未划定准保护区的集中水式饮用水水源，其保护区以外的补给径流区；不在特殊地下水资源（如矿泉水、温泉等）保护区以外的分布区等其他未列入上述敏感分级的环境敏感区内。</w:t>
      </w:r>
    </w:p>
    <w:p>
      <w:pPr>
        <w:adjustRightInd w:val="0"/>
        <w:snapToGrid w:val="0"/>
        <w:spacing w:line="360" w:lineRule="auto"/>
        <w:ind w:firstLine="480" w:firstLineChars="200"/>
        <w:jc w:val="left"/>
        <w:rPr>
          <w:i/>
          <w:iCs/>
          <w:kern w:val="0"/>
          <w:u w:val="single"/>
        </w:rPr>
      </w:pPr>
      <w:r>
        <w:rPr>
          <w:i/>
          <w:iCs/>
          <w:kern w:val="0"/>
          <w:u w:val="single"/>
        </w:rPr>
        <w:t>根据环办[2010]132号《关于进一步加强分散式饮用水源地环境保护工作的通知》要求和附件《分散式饮用水源地环境保护指南（试行）》中规定，分散式饮用水水源地，地下水水源保护范围为取水口周围30-50m范围。分散式饮用水水源地是指“供水小于一定规模（供水人口一般在1000人以下）的现用、备用和规划饮用水源地。根据供水方式可分为联村、联片、单村、联户或单户等形式（以下简称为</w:t>
      </w:r>
      <w:r>
        <w:rPr>
          <w:rFonts w:hint="eastAsia"/>
          <w:i/>
          <w:iCs/>
          <w:kern w:val="0"/>
          <w:u w:val="single"/>
        </w:rPr>
        <w:t>“</w:t>
      </w:r>
      <w:r>
        <w:rPr>
          <w:i/>
          <w:iCs/>
          <w:kern w:val="0"/>
          <w:u w:val="single"/>
        </w:rPr>
        <w:t>饮用水水源地</w:t>
      </w:r>
      <w:r>
        <w:rPr>
          <w:rFonts w:hint="eastAsia"/>
          <w:i/>
          <w:iCs/>
          <w:kern w:val="0"/>
          <w:u w:val="single"/>
        </w:rPr>
        <w:t>”</w:t>
      </w:r>
      <w:r>
        <w:rPr>
          <w:i/>
          <w:iCs/>
          <w:kern w:val="0"/>
          <w:u w:val="single"/>
        </w:rPr>
        <w:t>或</w:t>
      </w:r>
      <w:r>
        <w:rPr>
          <w:rFonts w:hint="eastAsia"/>
          <w:i/>
          <w:iCs/>
          <w:kern w:val="0"/>
          <w:u w:val="single"/>
        </w:rPr>
        <w:t>“</w:t>
      </w:r>
      <w:r>
        <w:rPr>
          <w:i/>
          <w:iCs/>
          <w:kern w:val="0"/>
          <w:u w:val="single"/>
        </w:rPr>
        <w:t>水源地</w:t>
      </w:r>
      <w:r>
        <w:rPr>
          <w:rFonts w:hint="eastAsia"/>
          <w:i/>
          <w:iCs/>
          <w:kern w:val="0"/>
          <w:u w:val="single"/>
        </w:rPr>
        <w:t>”</w:t>
      </w:r>
      <w:r>
        <w:rPr>
          <w:i/>
          <w:iCs/>
          <w:kern w:val="0"/>
          <w:u w:val="single"/>
        </w:rPr>
        <w:t>）；地下水水源保护范围为取水口周边30m~50m范围。</w:t>
      </w:r>
    </w:p>
    <w:p>
      <w:pPr>
        <w:adjustRightInd w:val="0"/>
        <w:snapToGrid w:val="0"/>
        <w:spacing w:line="360" w:lineRule="auto"/>
        <w:ind w:firstLine="480" w:firstLineChars="200"/>
        <w:jc w:val="center"/>
        <w:rPr>
          <w:rFonts w:hint="eastAsia"/>
          <w:i/>
          <w:iCs/>
          <w:u w:val="single"/>
        </w:rPr>
      </w:pPr>
      <w:r>
        <w:rPr>
          <w:rFonts w:hint="eastAsia"/>
          <w:i/>
          <w:iCs/>
          <w:kern w:val="0"/>
          <w:u w:val="single"/>
        </w:rPr>
        <w:t>根据</w:t>
      </w:r>
      <w:r>
        <w:rPr>
          <w:i/>
          <w:iCs/>
          <w:kern w:val="0"/>
          <w:u w:val="single"/>
        </w:rPr>
        <w:t>《饮用水水源保护区划分技术规范》，</w:t>
      </w:r>
      <w:r>
        <w:rPr>
          <w:rFonts w:hint="eastAsia"/>
          <w:i/>
          <w:iCs/>
          <w:u w:val="single"/>
        </w:rPr>
        <w:t>分散式水源地单井的，以水源井为中心，地下水质子迁移距离5000d+50m为半径区域为较敏感区，较敏感区外为不敏感区。</w:t>
      </w:r>
    </w:p>
    <w:p>
      <w:pPr>
        <w:adjustRightInd w:val="0"/>
        <w:snapToGrid w:val="0"/>
        <w:spacing w:line="360" w:lineRule="auto"/>
        <w:ind w:firstLine="480" w:firstLineChars="200"/>
        <w:jc w:val="left"/>
        <w:rPr>
          <w:rFonts w:hint="eastAsia"/>
          <w:i/>
          <w:iCs/>
          <w:u w:val="single"/>
        </w:rPr>
      </w:pPr>
      <w:r>
        <w:rPr>
          <w:rFonts w:hint="eastAsia"/>
          <w:i/>
          <w:iCs/>
          <w:u w:val="single"/>
        </w:rPr>
        <w:t>本工程依据依据公式计算过程如下：</w:t>
      </w:r>
    </w:p>
    <w:p>
      <w:pPr>
        <w:adjustRightInd w:val="0"/>
        <w:snapToGrid w:val="0"/>
        <w:spacing w:line="360" w:lineRule="auto"/>
        <w:ind w:firstLine="480" w:firstLineChars="200"/>
        <w:jc w:val="left"/>
        <w:rPr>
          <w:rFonts w:hint="eastAsia"/>
          <w:i/>
          <w:iCs/>
          <w:u w:val="single"/>
        </w:rPr>
      </w:pPr>
      <w:r>
        <w:rPr>
          <w:rFonts w:hint="eastAsia"/>
          <w:i/>
          <w:iCs/>
          <w:u w:val="single"/>
        </w:rPr>
        <w:t>L＝α×K×I×T/ne</w:t>
      </w:r>
    </w:p>
    <w:p>
      <w:pPr>
        <w:adjustRightInd w:val="0"/>
        <w:snapToGrid w:val="0"/>
        <w:spacing w:line="360" w:lineRule="auto"/>
        <w:ind w:firstLine="480" w:firstLineChars="200"/>
        <w:jc w:val="left"/>
        <w:rPr>
          <w:rFonts w:hint="eastAsia"/>
          <w:i/>
          <w:iCs/>
          <w:u w:val="single"/>
        </w:rPr>
      </w:pPr>
      <w:r>
        <w:rPr>
          <w:rFonts w:hint="eastAsia"/>
          <w:i/>
          <w:iCs/>
          <w:u w:val="single"/>
        </w:rPr>
        <w:t>式中：L：下游迁移距离，m；α：变化系数，1，一般取2；</w:t>
      </w:r>
    </w:p>
    <w:p>
      <w:pPr>
        <w:adjustRightInd w:val="0"/>
        <w:snapToGrid w:val="0"/>
        <w:spacing w:line="360" w:lineRule="auto"/>
        <w:ind w:firstLine="480" w:firstLineChars="200"/>
        <w:jc w:val="left"/>
        <w:rPr>
          <w:rFonts w:hint="eastAsia"/>
          <w:i/>
          <w:iCs/>
          <w:u w:val="single"/>
        </w:rPr>
      </w:pPr>
      <w:r>
        <w:rPr>
          <w:rFonts w:hint="eastAsia"/>
          <w:i/>
          <w:iCs/>
          <w:u w:val="single"/>
        </w:rPr>
        <w:t>K：渗透系数，m/d，根据项目所在区域的土壤岩性分层确定渗透系数取值，项目区域岩性分层主要是</w:t>
      </w:r>
      <w:r>
        <w:rPr>
          <w:i/>
          <w:iCs/>
          <w:u w:val="single"/>
        </w:rPr>
        <w:t>粘性土、砾土、</w:t>
      </w:r>
      <w:r>
        <w:rPr>
          <w:rFonts w:hint="eastAsia"/>
          <w:i/>
          <w:iCs/>
          <w:u w:val="single"/>
        </w:rPr>
        <w:t>细砂、中砂，根据《环境影响评价技术导则地下水环境》（HJ610-2016）附录B的渗透系数经验值选取渗透系数K值为10；</w:t>
      </w:r>
    </w:p>
    <w:p>
      <w:pPr>
        <w:adjustRightInd w:val="0"/>
        <w:snapToGrid w:val="0"/>
        <w:spacing w:line="360" w:lineRule="auto"/>
        <w:ind w:firstLine="480" w:firstLineChars="200"/>
        <w:jc w:val="left"/>
        <w:rPr>
          <w:rFonts w:hint="eastAsia"/>
          <w:i/>
          <w:iCs/>
          <w:u w:val="single"/>
        </w:rPr>
      </w:pPr>
      <w:r>
        <w:rPr>
          <w:rFonts w:hint="eastAsia"/>
          <w:i/>
          <w:iCs/>
          <w:u w:val="single"/>
        </w:rPr>
        <w:t>I：水力坡度，无量纲；承压水为0.03%，潜水为0.07%；</w:t>
      </w:r>
    </w:p>
    <w:p>
      <w:pPr>
        <w:adjustRightInd w:val="0"/>
        <w:snapToGrid w:val="0"/>
        <w:spacing w:line="360" w:lineRule="auto"/>
        <w:ind w:firstLine="480" w:firstLineChars="200"/>
        <w:jc w:val="left"/>
        <w:rPr>
          <w:rFonts w:hint="eastAsia"/>
          <w:i/>
          <w:iCs/>
          <w:u w:val="single"/>
        </w:rPr>
      </w:pPr>
      <w:r>
        <w:rPr>
          <w:rFonts w:hint="eastAsia"/>
          <w:i/>
          <w:iCs/>
          <w:u w:val="single"/>
        </w:rPr>
        <w:t>T：质点迁移天数；</w:t>
      </w:r>
    </w:p>
    <w:p>
      <w:pPr>
        <w:adjustRightInd w:val="0"/>
        <w:snapToGrid w:val="0"/>
        <w:spacing w:line="360" w:lineRule="auto"/>
        <w:ind w:firstLine="480" w:firstLineChars="200"/>
        <w:jc w:val="left"/>
        <w:rPr>
          <w:i/>
          <w:iCs/>
          <w:szCs w:val="22"/>
          <w:u w:val="single"/>
        </w:rPr>
      </w:pPr>
      <w:r>
        <w:rPr>
          <w:rFonts w:hint="eastAsia"/>
          <w:i/>
          <w:iCs/>
          <w:u w:val="single"/>
        </w:rPr>
        <w:t>ne：有效孔隙度，无量纲；</w:t>
      </w:r>
      <w:r>
        <w:rPr>
          <w:i/>
          <w:iCs/>
          <w:szCs w:val="22"/>
          <w:u w:val="single"/>
        </w:rPr>
        <w:t>地下水有效孔隙度为取值0.2。</w:t>
      </w:r>
    </w:p>
    <w:p>
      <w:pPr>
        <w:adjustRightInd w:val="0"/>
        <w:snapToGrid w:val="0"/>
        <w:spacing w:line="360" w:lineRule="auto"/>
        <w:ind w:firstLine="480" w:firstLineChars="200"/>
        <w:jc w:val="left"/>
        <w:rPr>
          <w:rFonts w:hint="eastAsia"/>
          <w:i/>
          <w:iCs/>
          <w:u w:val="single"/>
        </w:rPr>
      </w:pPr>
      <w:r>
        <w:rPr>
          <w:rFonts w:hint="eastAsia"/>
          <w:i/>
          <w:iCs/>
          <w:szCs w:val="22"/>
          <w:u w:val="single"/>
        </w:rPr>
        <w:t>根据计算</w:t>
      </w:r>
      <w:r>
        <w:rPr>
          <w:rFonts w:hint="eastAsia"/>
          <w:i/>
          <w:iCs/>
          <w:u w:val="single"/>
        </w:rPr>
        <w:t>下游迁徙距离：L</w:t>
      </w:r>
      <w:r>
        <w:rPr>
          <w:rFonts w:hint="eastAsia"/>
          <w:i/>
          <w:iCs/>
          <w:u w:val="single"/>
          <w:vertAlign w:val="subscript"/>
        </w:rPr>
        <w:t>5000</w:t>
      </w:r>
      <w:r>
        <w:rPr>
          <w:rFonts w:hint="eastAsia"/>
          <w:i/>
          <w:iCs/>
          <w:u w:val="single"/>
        </w:rPr>
        <w:t>=α×K×I×T/ne=2×10×0.0007×5000/0.24=243m</w:t>
      </w:r>
    </w:p>
    <w:p>
      <w:pPr>
        <w:adjustRightInd w:val="0"/>
        <w:snapToGrid w:val="0"/>
        <w:spacing w:line="360" w:lineRule="auto"/>
        <w:ind w:firstLine="480" w:firstLineChars="200"/>
        <w:jc w:val="left"/>
        <w:rPr>
          <w:rFonts w:hint="eastAsia"/>
          <w:i/>
          <w:iCs/>
          <w:u w:val="single"/>
        </w:rPr>
      </w:pPr>
      <w:r>
        <w:rPr>
          <w:rFonts w:hint="eastAsia"/>
          <w:i/>
          <w:iCs/>
          <w:u w:val="single"/>
        </w:rPr>
        <w:t>L</w:t>
      </w:r>
      <w:r>
        <w:rPr>
          <w:rFonts w:hint="eastAsia"/>
          <w:i/>
          <w:iCs/>
          <w:u w:val="single"/>
          <w:vertAlign w:val="subscript"/>
        </w:rPr>
        <w:t>5000</w:t>
      </w:r>
      <w:r>
        <w:rPr>
          <w:rFonts w:hint="eastAsia"/>
          <w:i/>
          <w:iCs/>
          <w:u w:val="single"/>
        </w:rPr>
        <w:t>+50=293m。</w:t>
      </w:r>
    </w:p>
    <w:p>
      <w:pPr>
        <w:adjustRightInd w:val="0"/>
        <w:snapToGrid w:val="0"/>
        <w:spacing w:line="360" w:lineRule="auto"/>
        <w:ind w:firstLine="480" w:firstLineChars="200"/>
        <w:rPr>
          <w:i/>
          <w:iCs/>
          <w:u w:val="single"/>
        </w:rPr>
      </w:pPr>
      <w:r>
        <w:rPr>
          <w:i/>
          <w:iCs/>
          <w:u w:val="single"/>
        </w:rPr>
        <w:t>本项目厂区周围饮用水水源井分布情况及敏感程度分级详见表</w:t>
      </w:r>
      <w:r>
        <w:rPr>
          <w:rFonts w:hint="eastAsia"/>
          <w:i/>
          <w:iCs/>
          <w:u w:val="single"/>
        </w:rPr>
        <w:t>2-3</w:t>
      </w:r>
      <w:r>
        <w:rPr>
          <w:rFonts w:hint="eastAsia"/>
          <w:i/>
          <w:iCs/>
          <w:u w:val="single"/>
          <w:lang w:val="en-US" w:eastAsia="zh-CN"/>
        </w:rPr>
        <w:t>8</w:t>
      </w:r>
      <w:r>
        <w:rPr>
          <w:i/>
          <w:iCs/>
          <w:u w:val="single"/>
        </w:rPr>
        <w:t>。</w:t>
      </w:r>
    </w:p>
    <w:p>
      <w:pPr>
        <w:pStyle w:val="413"/>
        <w:numPr>
          <w:ilvl w:val="4"/>
          <w:numId w:val="0"/>
        </w:numPr>
        <w:spacing w:line="240" w:lineRule="auto"/>
        <w:rPr>
          <w:rFonts w:hint="eastAsia"/>
          <w:i/>
          <w:iCs/>
          <w:u w:val="single"/>
        </w:rPr>
      </w:pPr>
      <w:r>
        <w:rPr>
          <w:rFonts w:hint="eastAsia"/>
          <w:i/>
          <w:iCs/>
          <w:u w:val="single"/>
        </w:rPr>
        <w:t>表2-3</w:t>
      </w:r>
      <w:r>
        <w:rPr>
          <w:rFonts w:hint="eastAsia"/>
          <w:i/>
          <w:iCs/>
          <w:u w:val="single"/>
          <w:lang w:val="en-US" w:eastAsia="zh-CN"/>
        </w:rPr>
        <w:t>8</w:t>
      </w:r>
      <w:r>
        <w:rPr>
          <w:rFonts w:hint="eastAsia"/>
          <w:i/>
          <w:iCs/>
          <w:u w:val="single"/>
        </w:rPr>
        <w:t>厂区周边饮用水水源地分布情况及敏感程度分级表</w:t>
      </w:r>
    </w:p>
    <w:tbl>
      <w:tblPr>
        <w:tblStyle w:val="5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28"/>
        <w:gridCol w:w="1119"/>
        <w:gridCol w:w="736"/>
        <w:gridCol w:w="845"/>
        <w:gridCol w:w="1119"/>
        <w:gridCol w:w="1867"/>
        <w:gridCol w:w="1809"/>
        <w:gridCol w:w="10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5" w:hRule="atLeast"/>
          <w:jc w:val="center"/>
        </w:trPr>
        <w:tc>
          <w:tcPr>
            <w:tcW w:w="289" w:type="pct"/>
            <w:vMerge w:val="restart"/>
            <w:noWrap w:val="0"/>
            <w:vAlign w:val="center"/>
          </w:tcPr>
          <w:p>
            <w:pPr>
              <w:jc w:val="center"/>
              <w:rPr>
                <w:i/>
                <w:iCs/>
                <w:sz w:val="21"/>
                <w:szCs w:val="21"/>
                <w:u w:val="single"/>
              </w:rPr>
            </w:pPr>
            <w:r>
              <w:rPr>
                <w:i/>
                <w:iCs/>
                <w:sz w:val="21"/>
                <w:szCs w:val="21"/>
                <w:u w:val="single"/>
              </w:rPr>
              <w:t>序号</w:t>
            </w:r>
          </w:p>
        </w:tc>
        <w:tc>
          <w:tcPr>
            <w:tcW w:w="613" w:type="pct"/>
            <w:vMerge w:val="restart"/>
            <w:noWrap w:val="0"/>
            <w:vAlign w:val="center"/>
          </w:tcPr>
          <w:p>
            <w:pPr>
              <w:jc w:val="center"/>
              <w:rPr>
                <w:i/>
                <w:iCs/>
                <w:sz w:val="21"/>
                <w:szCs w:val="21"/>
                <w:u w:val="single"/>
              </w:rPr>
            </w:pPr>
            <w:r>
              <w:rPr>
                <w:i/>
                <w:iCs/>
                <w:sz w:val="21"/>
                <w:szCs w:val="21"/>
                <w:u w:val="single"/>
              </w:rPr>
              <w:t>村屯</w:t>
            </w:r>
          </w:p>
        </w:tc>
        <w:tc>
          <w:tcPr>
            <w:tcW w:w="866" w:type="pct"/>
            <w:gridSpan w:val="2"/>
            <w:noWrap w:val="0"/>
            <w:vAlign w:val="center"/>
          </w:tcPr>
          <w:p>
            <w:pPr>
              <w:jc w:val="center"/>
              <w:rPr>
                <w:i/>
                <w:iCs/>
                <w:sz w:val="21"/>
                <w:szCs w:val="21"/>
                <w:u w:val="single"/>
              </w:rPr>
            </w:pPr>
            <w:r>
              <w:rPr>
                <w:i/>
                <w:iCs/>
                <w:sz w:val="21"/>
                <w:szCs w:val="21"/>
                <w:u w:val="single"/>
              </w:rPr>
              <w:t>位置</w:t>
            </w:r>
          </w:p>
        </w:tc>
        <w:tc>
          <w:tcPr>
            <w:tcW w:w="613" w:type="pct"/>
            <w:vMerge w:val="restart"/>
            <w:noWrap w:val="0"/>
            <w:vAlign w:val="center"/>
          </w:tcPr>
          <w:p>
            <w:pPr>
              <w:jc w:val="center"/>
              <w:rPr>
                <w:i/>
                <w:iCs/>
                <w:sz w:val="21"/>
                <w:szCs w:val="21"/>
                <w:u w:val="single"/>
              </w:rPr>
            </w:pPr>
            <w:r>
              <w:rPr>
                <w:i/>
                <w:iCs/>
                <w:sz w:val="21"/>
                <w:szCs w:val="21"/>
                <w:u w:val="single"/>
              </w:rPr>
              <w:t>较敏感区范围(m)</w:t>
            </w:r>
          </w:p>
        </w:tc>
        <w:tc>
          <w:tcPr>
            <w:tcW w:w="1023" w:type="pct"/>
            <w:vMerge w:val="restart"/>
            <w:noWrap w:val="0"/>
            <w:vAlign w:val="center"/>
          </w:tcPr>
          <w:p>
            <w:pPr>
              <w:jc w:val="center"/>
              <w:rPr>
                <w:i/>
                <w:iCs/>
                <w:sz w:val="21"/>
                <w:szCs w:val="21"/>
                <w:u w:val="single"/>
              </w:rPr>
            </w:pPr>
            <w:r>
              <w:rPr>
                <w:i/>
                <w:iCs/>
                <w:sz w:val="21"/>
                <w:szCs w:val="21"/>
                <w:u w:val="single"/>
              </w:rPr>
              <w:t>供水方式</w:t>
            </w:r>
          </w:p>
        </w:tc>
        <w:tc>
          <w:tcPr>
            <w:tcW w:w="991" w:type="pct"/>
            <w:vMerge w:val="restart"/>
            <w:noWrap w:val="0"/>
            <w:vAlign w:val="center"/>
          </w:tcPr>
          <w:p>
            <w:pPr>
              <w:jc w:val="center"/>
              <w:rPr>
                <w:i/>
                <w:iCs/>
                <w:sz w:val="21"/>
                <w:szCs w:val="21"/>
                <w:u w:val="single"/>
              </w:rPr>
            </w:pPr>
            <w:r>
              <w:rPr>
                <w:i/>
                <w:iCs/>
                <w:sz w:val="21"/>
                <w:szCs w:val="21"/>
                <w:u w:val="single"/>
              </w:rPr>
              <w:t>取水目的层</w:t>
            </w:r>
          </w:p>
        </w:tc>
        <w:tc>
          <w:tcPr>
            <w:tcW w:w="602" w:type="pct"/>
            <w:vMerge w:val="restart"/>
            <w:noWrap w:val="0"/>
            <w:vAlign w:val="center"/>
          </w:tcPr>
          <w:p>
            <w:pPr>
              <w:jc w:val="center"/>
              <w:rPr>
                <w:i/>
                <w:iCs/>
                <w:sz w:val="21"/>
                <w:szCs w:val="21"/>
                <w:u w:val="single"/>
              </w:rPr>
            </w:pPr>
            <w:r>
              <w:rPr>
                <w:i/>
                <w:iCs/>
                <w:sz w:val="21"/>
                <w:szCs w:val="21"/>
                <w:u w:val="single"/>
              </w:rPr>
              <w:t>敏感程</w:t>
            </w:r>
          </w:p>
          <w:p>
            <w:pPr>
              <w:jc w:val="center"/>
              <w:rPr>
                <w:i/>
                <w:iCs/>
                <w:sz w:val="21"/>
                <w:szCs w:val="21"/>
                <w:u w:val="single"/>
              </w:rPr>
            </w:pPr>
            <w:r>
              <w:rPr>
                <w:i/>
                <w:iCs/>
                <w:sz w:val="21"/>
                <w:szCs w:val="21"/>
                <w:u w:val="single"/>
              </w:rPr>
              <w:t>度分级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5" w:hRule="atLeast"/>
          <w:jc w:val="center"/>
        </w:trPr>
        <w:tc>
          <w:tcPr>
            <w:tcW w:w="289" w:type="pct"/>
            <w:vMerge w:val="continue"/>
            <w:noWrap w:val="0"/>
            <w:vAlign w:val="center"/>
          </w:tcPr>
          <w:p>
            <w:pPr>
              <w:widowControl/>
              <w:ind w:firstLine="420"/>
              <w:jc w:val="center"/>
              <w:rPr>
                <w:i/>
                <w:iCs/>
                <w:sz w:val="21"/>
                <w:szCs w:val="21"/>
                <w:u w:val="single"/>
              </w:rPr>
            </w:pPr>
          </w:p>
        </w:tc>
        <w:tc>
          <w:tcPr>
            <w:tcW w:w="613" w:type="pct"/>
            <w:vMerge w:val="continue"/>
            <w:noWrap w:val="0"/>
            <w:vAlign w:val="center"/>
          </w:tcPr>
          <w:p>
            <w:pPr>
              <w:widowControl/>
              <w:ind w:firstLine="420"/>
              <w:jc w:val="center"/>
              <w:rPr>
                <w:i/>
                <w:iCs/>
                <w:sz w:val="21"/>
                <w:szCs w:val="21"/>
                <w:u w:val="single"/>
              </w:rPr>
            </w:pPr>
          </w:p>
        </w:tc>
        <w:tc>
          <w:tcPr>
            <w:tcW w:w="403" w:type="pct"/>
            <w:noWrap w:val="0"/>
            <w:vAlign w:val="center"/>
          </w:tcPr>
          <w:p>
            <w:pPr>
              <w:jc w:val="center"/>
              <w:rPr>
                <w:i/>
                <w:iCs/>
                <w:sz w:val="21"/>
                <w:szCs w:val="21"/>
                <w:u w:val="single"/>
              </w:rPr>
            </w:pPr>
            <w:r>
              <w:rPr>
                <w:i/>
                <w:iCs/>
                <w:sz w:val="21"/>
                <w:szCs w:val="21"/>
                <w:u w:val="single"/>
              </w:rPr>
              <w:t>方位</w:t>
            </w:r>
          </w:p>
        </w:tc>
        <w:tc>
          <w:tcPr>
            <w:tcW w:w="462" w:type="pct"/>
            <w:noWrap w:val="0"/>
            <w:vAlign w:val="center"/>
          </w:tcPr>
          <w:p>
            <w:pPr>
              <w:jc w:val="center"/>
              <w:rPr>
                <w:i/>
                <w:iCs/>
                <w:sz w:val="21"/>
                <w:szCs w:val="21"/>
                <w:u w:val="single"/>
              </w:rPr>
            </w:pPr>
            <w:r>
              <w:rPr>
                <w:i/>
                <w:iCs/>
                <w:sz w:val="21"/>
                <w:szCs w:val="21"/>
                <w:u w:val="single"/>
              </w:rPr>
              <w:t>距离(m)</w:t>
            </w:r>
          </w:p>
        </w:tc>
        <w:tc>
          <w:tcPr>
            <w:tcW w:w="613" w:type="pct"/>
            <w:vMerge w:val="continue"/>
            <w:noWrap w:val="0"/>
            <w:vAlign w:val="center"/>
          </w:tcPr>
          <w:p>
            <w:pPr>
              <w:ind w:firstLine="420"/>
              <w:jc w:val="center"/>
              <w:rPr>
                <w:i/>
                <w:iCs/>
                <w:sz w:val="21"/>
                <w:szCs w:val="21"/>
                <w:u w:val="single"/>
              </w:rPr>
            </w:pPr>
          </w:p>
        </w:tc>
        <w:tc>
          <w:tcPr>
            <w:tcW w:w="1023" w:type="pct"/>
            <w:vMerge w:val="continue"/>
            <w:noWrap w:val="0"/>
            <w:vAlign w:val="center"/>
          </w:tcPr>
          <w:p>
            <w:pPr>
              <w:widowControl/>
              <w:ind w:firstLine="420"/>
              <w:jc w:val="center"/>
              <w:rPr>
                <w:i/>
                <w:iCs/>
                <w:sz w:val="21"/>
                <w:szCs w:val="21"/>
                <w:u w:val="single"/>
              </w:rPr>
            </w:pPr>
          </w:p>
        </w:tc>
        <w:tc>
          <w:tcPr>
            <w:tcW w:w="991" w:type="pct"/>
            <w:vMerge w:val="continue"/>
            <w:noWrap w:val="0"/>
            <w:vAlign w:val="center"/>
          </w:tcPr>
          <w:p>
            <w:pPr>
              <w:widowControl/>
              <w:ind w:firstLine="420"/>
              <w:jc w:val="center"/>
              <w:rPr>
                <w:i/>
                <w:iCs/>
                <w:sz w:val="21"/>
                <w:szCs w:val="21"/>
                <w:u w:val="single"/>
              </w:rPr>
            </w:pPr>
          </w:p>
        </w:tc>
        <w:tc>
          <w:tcPr>
            <w:tcW w:w="602" w:type="pct"/>
            <w:vMerge w:val="continue"/>
            <w:noWrap w:val="0"/>
            <w:vAlign w:val="center"/>
          </w:tcPr>
          <w:p>
            <w:pPr>
              <w:widowControl/>
              <w:ind w:firstLine="420"/>
              <w:jc w:val="center"/>
              <w:rPr>
                <w:i/>
                <w:iCs/>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289" w:type="pct"/>
            <w:noWrap w:val="0"/>
            <w:vAlign w:val="center"/>
          </w:tcPr>
          <w:p>
            <w:pPr>
              <w:jc w:val="center"/>
              <w:rPr>
                <w:i/>
                <w:iCs/>
                <w:sz w:val="21"/>
                <w:szCs w:val="21"/>
                <w:u w:val="single"/>
              </w:rPr>
            </w:pPr>
            <w:r>
              <w:rPr>
                <w:i/>
                <w:iCs/>
                <w:sz w:val="21"/>
                <w:szCs w:val="21"/>
                <w:u w:val="single"/>
              </w:rPr>
              <w:t>1</w:t>
            </w:r>
          </w:p>
        </w:tc>
        <w:tc>
          <w:tcPr>
            <w:tcW w:w="613" w:type="pct"/>
            <w:noWrap w:val="0"/>
            <w:vAlign w:val="center"/>
          </w:tcPr>
          <w:p>
            <w:pPr>
              <w:ind w:left="-120" w:leftChars="-50" w:right="-120" w:rightChars="-50"/>
              <w:jc w:val="center"/>
              <w:rPr>
                <w:i/>
                <w:iCs/>
                <w:spacing w:val="-8"/>
                <w:sz w:val="21"/>
                <w:szCs w:val="21"/>
                <w:u w:val="single"/>
                <w:lang w:val="zh-CN"/>
              </w:rPr>
            </w:pPr>
            <w:r>
              <w:rPr>
                <w:rFonts w:hint="eastAsia"/>
                <w:i/>
                <w:iCs/>
                <w:spacing w:val="-8"/>
                <w:sz w:val="21"/>
                <w:szCs w:val="21"/>
                <w:u w:val="single"/>
                <w:lang w:val="zh-CN"/>
              </w:rPr>
              <w:t>新华五组</w:t>
            </w:r>
          </w:p>
        </w:tc>
        <w:tc>
          <w:tcPr>
            <w:tcW w:w="403" w:type="pct"/>
            <w:noWrap w:val="0"/>
            <w:vAlign w:val="center"/>
          </w:tcPr>
          <w:p>
            <w:pPr>
              <w:ind w:left="-120" w:leftChars="-50" w:right="-120" w:rightChars="-50"/>
              <w:jc w:val="center"/>
              <w:rPr>
                <w:rFonts w:hint="eastAsia"/>
                <w:i/>
                <w:iCs/>
                <w:sz w:val="21"/>
                <w:szCs w:val="21"/>
                <w:u w:val="single"/>
              </w:rPr>
            </w:pPr>
            <w:r>
              <w:rPr>
                <w:rFonts w:hint="eastAsia"/>
                <w:i/>
                <w:iCs/>
                <w:sz w:val="21"/>
                <w:szCs w:val="21"/>
                <w:u w:val="single"/>
              </w:rPr>
              <w:t>西侧</w:t>
            </w:r>
          </w:p>
        </w:tc>
        <w:tc>
          <w:tcPr>
            <w:tcW w:w="462" w:type="pct"/>
            <w:noWrap w:val="0"/>
            <w:vAlign w:val="center"/>
          </w:tcPr>
          <w:p>
            <w:pPr>
              <w:ind w:left="-120" w:leftChars="-50" w:right="-120" w:rightChars="-50"/>
              <w:jc w:val="center"/>
              <w:rPr>
                <w:i/>
                <w:iCs/>
                <w:sz w:val="21"/>
                <w:szCs w:val="21"/>
                <w:u w:val="single"/>
              </w:rPr>
            </w:pPr>
            <w:r>
              <w:rPr>
                <w:rFonts w:hint="eastAsia"/>
                <w:i/>
                <w:iCs/>
                <w:sz w:val="21"/>
                <w:szCs w:val="21"/>
                <w:u w:val="single"/>
              </w:rPr>
              <w:t>980</w:t>
            </w:r>
          </w:p>
        </w:tc>
        <w:tc>
          <w:tcPr>
            <w:tcW w:w="613" w:type="pct"/>
            <w:noWrap w:val="0"/>
            <w:vAlign w:val="center"/>
          </w:tcPr>
          <w:p>
            <w:pPr>
              <w:jc w:val="center"/>
              <w:rPr>
                <w:i/>
                <w:iCs/>
                <w:sz w:val="21"/>
                <w:szCs w:val="21"/>
                <w:u w:val="single"/>
              </w:rPr>
            </w:pPr>
            <w:r>
              <w:rPr>
                <w:rFonts w:hint="eastAsia"/>
                <w:i/>
                <w:iCs/>
                <w:sz w:val="21"/>
                <w:szCs w:val="21"/>
                <w:u w:val="single"/>
              </w:rPr>
              <w:t>293</w:t>
            </w:r>
          </w:p>
        </w:tc>
        <w:tc>
          <w:tcPr>
            <w:tcW w:w="1023" w:type="pct"/>
            <w:noWrap w:val="0"/>
            <w:vAlign w:val="center"/>
          </w:tcPr>
          <w:p>
            <w:pPr>
              <w:jc w:val="center"/>
              <w:rPr>
                <w:i/>
                <w:iCs/>
                <w:sz w:val="21"/>
                <w:szCs w:val="21"/>
                <w:u w:val="single"/>
              </w:rPr>
            </w:pPr>
            <w:r>
              <w:rPr>
                <w:i/>
                <w:iCs/>
                <w:sz w:val="21"/>
                <w:szCs w:val="21"/>
                <w:u w:val="single"/>
              </w:rPr>
              <w:t>分散式供水井供水</w:t>
            </w:r>
          </w:p>
        </w:tc>
        <w:tc>
          <w:tcPr>
            <w:tcW w:w="991" w:type="pct"/>
            <w:noWrap w:val="0"/>
            <w:vAlign w:val="center"/>
          </w:tcPr>
          <w:p>
            <w:pPr>
              <w:jc w:val="center"/>
              <w:rPr>
                <w:i/>
                <w:iCs/>
                <w:sz w:val="21"/>
                <w:szCs w:val="21"/>
                <w:u w:val="single"/>
              </w:rPr>
            </w:pPr>
            <w:r>
              <w:rPr>
                <w:i/>
                <w:iCs/>
                <w:sz w:val="21"/>
                <w:szCs w:val="21"/>
                <w:u w:val="single"/>
              </w:rPr>
              <w:t>第四系孔隙潜水</w:t>
            </w:r>
          </w:p>
        </w:tc>
        <w:tc>
          <w:tcPr>
            <w:tcW w:w="602" w:type="pct"/>
            <w:noWrap w:val="0"/>
            <w:vAlign w:val="center"/>
          </w:tcPr>
          <w:p>
            <w:pPr>
              <w:jc w:val="center"/>
              <w:rPr>
                <w:i/>
                <w:iCs/>
                <w:sz w:val="21"/>
                <w:szCs w:val="21"/>
                <w:u w:val="single"/>
              </w:rPr>
            </w:pPr>
            <w:r>
              <w:rPr>
                <w:rFonts w:hint="eastAsia"/>
                <w:i/>
                <w:iCs/>
                <w:sz w:val="21"/>
                <w:szCs w:val="21"/>
                <w:u w:val="single"/>
              </w:rPr>
              <w:t>不</w:t>
            </w:r>
            <w:r>
              <w:rPr>
                <w:i/>
                <w:iCs/>
                <w:sz w:val="21"/>
                <w:szCs w:val="21"/>
                <w:u w:val="single"/>
              </w:rPr>
              <w:t>敏感</w:t>
            </w:r>
          </w:p>
        </w:tc>
      </w:tr>
    </w:tbl>
    <w:p>
      <w:pPr>
        <w:adjustRightInd w:val="0"/>
        <w:snapToGrid w:val="0"/>
        <w:spacing w:line="360" w:lineRule="auto"/>
        <w:ind w:firstLine="480" w:firstLineChars="200"/>
        <w:jc w:val="left"/>
        <w:rPr>
          <w:rFonts w:hint="eastAsia"/>
          <w:i/>
          <w:iCs/>
          <w:u w:val="single"/>
        </w:rPr>
      </w:pPr>
      <w:r>
        <w:rPr>
          <w:rFonts w:hint="eastAsia"/>
          <w:i/>
          <w:iCs/>
          <w:u w:val="single"/>
        </w:rPr>
        <w:t>本项目与分散式单井供水井最近距离为980m，因此判断为不敏感。</w:t>
      </w:r>
    </w:p>
    <w:p>
      <w:pPr>
        <w:adjustRightInd w:val="0"/>
        <w:snapToGrid w:val="0"/>
        <w:spacing w:line="360" w:lineRule="auto"/>
        <w:ind w:firstLine="480" w:firstLineChars="200"/>
        <w:jc w:val="left"/>
        <w:rPr>
          <w:rFonts w:hint="eastAsia"/>
          <w:i/>
          <w:iCs/>
          <w:u w:val="single"/>
        </w:rPr>
      </w:pPr>
      <w:r>
        <w:rPr>
          <w:rFonts w:hint="eastAsia"/>
          <w:i/>
          <w:iCs/>
          <w:u w:val="single"/>
        </w:rPr>
        <w:t>综上所述，本项目地下水环境敏感程度为不敏感。</w:t>
      </w:r>
    </w:p>
    <w:p>
      <w:pPr>
        <w:adjustRightInd w:val="0"/>
        <w:snapToGrid w:val="0"/>
        <w:spacing w:line="360" w:lineRule="auto"/>
        <w:ind w:firstLine="480" w:firstLineChars="200"/>
        <w:jc w:val="left"/>
        <w:rPr>
          <w:rFonts w:hint="eastAsia"/>
          <w:i/>
          <w:iCs/>
          <w:u w:val="single"/>
        </w:rPr>
      </w:pPr>
      <w:r>
        <w:rPr>
          <w:rFonts w:hint="eastAsia"/>
          <w:i/>
          <w:iCs/>
          <w:u w:val="single"/>
        </w:rPr>
        <w:t>（3）评价等级</w:t>
      </w:r>
    </w:p>
    <w:p>
      <w:pPr>
        <w:adjustRightInd w:val="0"/>
        <w:snapToGrid w:val="0"/>
        <w:spacing w:line="360" w:lineRule="auto"/>
        <w:ind w:firstLine="480" w:firstLineChars="200"/>
        <w:jc w:val="left"/>
        <w:rPr>
          <w:i/>
          <w:iCs/>
          <w:u w:val="single"/>
        </w:rPr>
      </w:pPr>
      <w:r>
        <w:rPr>
          <w:i/>
          <w:iCs/>
          <w:u w:val="single"/>
        </w:rPr>
        <w:t>本项目的地下水环境影响评价工作等级的判别依据详见表</w:t>
      </w:r>
      <w:r>
        <w:rPr>
          <w:rFonts w:hint="eastAsia"/>
          <w:i/>
          <w:iCs/>
          <w:u w:val="single"/>
        </w:rPr>
        <w:t>2-3</w:t>
      </w:r>
      <w:r>
        <w:rPr>
          <w:rFonts w:hint="eastAsia"/>
          <w:i/>
          <w:iCs/>
          <w:u w:val="single"/>
          <w:lang w:val="en-US" w:eastAsia="zh-CN"/>
        </w:rPr>
        <w:t>9</w:t>
      </w:r>
      <w:r>
        <w:rPr>
          <w:i/>
          <w:iCs/>
          <w:u w:val="single"/>
        </w:rPr>
        <w:t>。</w:t>
      </w:r>
    </w:p>
    <w:p>
      <w:pPr>
        <w:pStyle w:val="413"/>
        <w:numPr>
          <w:ilvl w:val="4"/>
          <w:numId w:val="0"/>
        </w:numPr>
        <w:spacing w:line="240" w:lineRule="auto"/>
        <w:rPr>
          <w:rFonts w:hint="eastAsia"/>
          <w:i/>
          <w:iCs/>
          <w:u w:val="single"/>
        </w:rPr>
      </w:pPr>
      <w:r>
        <w:rPr>
          <w:rFonts w:hint="eastAsia"/>
          <w:i/>
          <w:iCs/>
          <w:u w:val="single"/>
        </w:rPr>
        <w:t>表2-3</w:t>
      </w:r>
      <w:r>
        <w:rPr>
          <w:rFonts w:hint="eastAsia"/>
          <w:i/>
          <w:iCs/>
          <w:u w:val="single"/>
          <w:lang w:val="en-US" w:eastAsia="zh-CN"/>
        </w:rPr>
        <w:t>9</w:t>
      </w:r>
      <w:r>
        <w:rPr>
          <w:rFonts w:hint="eastAsia"/>
          <w:i/>
          <w:iCs/>
          <w:u w:val="single"/>
        </w:rPr>
        <w:t>地下水评价等级分级表</w:t>
      </w:r>
    </w:p>
    <w:tbl>
      <w:tblPr>
        <w:tblStyle w:val="5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50"/>
        <w:gridCol w:w="1891"/>
        <w:gridCol w:w="2032"/>
        <w:gridCol w:w="27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3" w:hRule="atLeast"/>
          <w:tblHeader/>
          <w:jc w:val="center"/>
        </w:trPr>
        <w:tc>
          <w:tcPr>
            <w:tcW w:w="1427" w:type="pct"/>
            <w:tcBorders>
              <w:tl2br w:val="single" w:color="auto" w:sz="4" w:space="0"/>
            </w:tcBorders>
            <w:noWrap w:val="0"/>
            <w:vAlign w:val="center"/>
          </w:tcPr>
          <w:p>
            <w:pPr>
              <w:adjustRightInd w:val="0"/>
              <w:snapToGrid w:val="0"/>
              <w:jc w:val="center"/>
              <w:rPr>
                <w:i/>
                <w:iCs/>
                <w:sz w:val="21"/>
                <w:szCs w:val="21"/>
                <w:u w:val="single"/>
              </w:rPr>
            </w:pPr>
            <w:r>
              <w:rPr>
                <w:i/>
                <w:iCs/>
                <w:sz w:val="21"/>
                <w:szCs w:val="21"/>
                <w:u w:val="single"/>
              </w:rPr>
              <w:t>项目类别</w:t>
            </w:r>
          </w:p>
          <w:p>
            <w:pPr>
              <w:adjustRightInd w:val="0"/>
              <w:snapToGrid w:val="0"/>
              <w:rPr>
                <w:i/>
                <w:iCs/>
                <w:sz w:val="21"/>
                <w:szCs w:val="21"/>
                <w:u w:val="single"/>
              </w:rPr>
            </w:pPr>
            <w:r>
              <w:rPr>
                <w:i/>
                <w:iCs/>
                <w:sz w:val="21"/>
                <w:szCs w:val="21"/>
                <w:u w:val="single"/>
              </w:rPr>
              <w:t>敏感程度</w:t>
            </w:r>
          </w:p>
        </w:tc>
        <w:tc>
          <w:tcPr>
            <w:tcW w:w="1018" w:type="pct"/>
            <w:noWrap w:val="0"/>
            <w:vAlign w:val="center"/>
          </w:tcPr>
          <w:p>
            <w:pPr>
              <w:adjustRightInd w:val="0"/>
              <w:snapToGrid w:val="0"/>
              <w:jc w:val="center"/>
              <w:rPr>
                <w:i/>
                <w:iCs/>
                <w:sz w:val="21"/>
                <w:szCs w:val="21"/>
                <w:u w:val="single"/>
              </w:rPr>
            </w:pPr>
            <w:r>
              <w:rPr>
                <w:i/>
                <w:iCs/>
                <w:sz w:val="21"/>
                <w:szCs w:val="21"/>
                <w:u w:val="single"/>
              </w:rPr>
              <w:t>Ⅰ类项目</w:t>
            </w:r>
          </w:p>
        </w:tc>
        <w:tc>
          <w:tcPr>
            <w:tcW w:w="1094" w:type="pct"/>
            <w:noWrap w:val="0"/>
            <w:vAlign w:val="center"/>
          </w:tcPr>
          <w:p>
            <w:pPr>
              <w:adjustRightInd w:val="0"/>
              <w:snapToGrid w:val="0"/>
              <w:jc w:val="center"/>
              <w:rPr>
                <w:i/>
                <w:iCs/>
                <w:sz w:val="21"/>
                <w:szCs w:val="21"/>
                <w:u w:val="single"/>
              </w:rPr>
            </w:pPr>
            <w:r>
              <w:rPr>
                <w:i/>
                <w:iCs/>
                <w:sz w:val="21"/>
                <w:szCs w:val="21"/>
                <w:u w:val="single"/>
              </w:rPr>
              <w:t>Ⅱ类项目</w:t>
            </w:r>
          </w:p>
        </w:tc>
        <w:tc>
          <w:tcPr>
            <w:tcW w:w="1459" w:type="pct"/>
            <w:noWrap w:val="0"/>
            <w:vAlign w:val="center"/>
          </w:tcPr>
          <w:p>
            <w:pPr>
              <w:adjustRightInd w:val="0"/>
              <w:snapToGrid w:val="0"/>
              <w:jc w:val="center"/>
              <w:rPr>
                <w:i/>
                <w:iCs/>
                <w:sz w:val="21"/>
                <w:szCs w:val="21"/>
                <w:u w:val="single"/>
              </w:rPr>
            </w:pPr>
            <w:r>
              <w:rPr>
                <w:i/>
                <w:iCs/>
                <w:sz w:val="21"/>
                <w:szCs w:val="21"/>
                <w:u w:val="single"/>
              </w:rPr>
              <w:t>Ⅲ类项目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427" w:type="pct"/>
            <w:noWrap w:val="0"/>
            <w:vAlign w:val="center"/>
          </w:tcPr>
          <w:p>
            <w:pPr>
              <w:adjustRightInd w:val="0"/>
              <w:snapToGrid w:val="0"/>
              <w:jc w:val="center"/>
              <w:rPr>
                <w:i/>
                <w:iCs/>
                <w:sz w:val="21"/>
                <w:szCs w:val="21"/>
                <w:u w:val="single"/>
              </w:rPr>
            </w:pPr>
            <w:r>
              <w:rPr>
                <w:i/>
                <w:iCs/>
                <w:sz w:val="21"/>
                <w:szCs w:val="21"/>
                <w:u w:val="single"/>
              </w:rPr>
              <w:t>敏感</w:t>
            </w:r>
          </w:p>
        </w:tc>
        <w:tc>
          <w:tcPr>
            <w:tcW w:w="1018" w:type="pct"/>
            <w:noWrap w:val="0"/>
            <w:vAlign w:val="center"/>
          </w:tcPr>
          <w:p>
            <w:pPr>
              <w:adjustRightInd w:val="0"/>
              <w:snapToGrid w:val="0"/>
              <w:jc w:val="center"/>
              <w:rPr>
                <w:i/>
                <w:iCs/>
                <w:sz w:val="21"/>
                <w:szCs w:val="21"/>
                <w:u w:val="single"/>
              </w:rPr>
            </w:pPr>
            <w:r>
              <w:rPr>
                <w:i/>
                <w:iCs/>
                <w:sz w:val="21"/>
                <w:szCs w:val="21"/>
                <w:u w:val="single"/>
              </w:rPr>
              <w:t>一</w:t>
            </w:r>
          </w:p>
        </w:tc>
        <w:tc>
          <w:tcPr>
            <w:tcW w:w="1094" w:type="pct"/>
            <w:noWrap w:val="0"/>
            <w:vAlign w:val="center"/>
          </w:tcPr>
          <w:p>
            <w:pPr>
              <w:adjustRightInd w:val="0"/>
              <w:snapToGrid w:val="0"/>
              <w:jc w:val="center"/>
              <w:rPr>
                <w:i/>
                <w:iCs/>
                <w:sz w:val="21"/>
                <w:szCs w:val="21"/>
                <w:u w:val="single"/>
              </w:rPr>
            </w:pPr>
            <w:r>
              <w:rPr>
                <w:i/>
                <w:iCs/>
                <w:sz w:val="21"/>
                <w:szCs w:val="21"/>
                <w:u w:val="single"/>
              </w:rPr>
              <w:t>一</w:t>
            </w:r>
          </w:p>
        </w:tc>
        <w:tc>
          <w:tcPr>
            <w:tcW w:w="1459" w:type="pct"/>
            <w:noWrap w:val="0"/>
            <w:vAlign w:val="center"/>
          </w:tcPr>
          <w:p>
            <w:pPr>
              <w:adjustRightInd w:val="0"/>
              <w:snapToGrid w:val="0"/>
              <w:jc w:val="center"/>
              <w:rPr>
                <w:i/>
                <w:iCs/>
                <w:sz w:val="21"/>
                <w:szCs w:val="21"/>
                <w:u w:val="single"/>
              </w:rPr>
            </w:pPr>
            <w:r>
              <w:rPr>
                <w:i/>
                <w:iCs/>
                <w:sz w:val="21"/>
                <w:szCs w:val="21"/>
                <w:u w:val="single"/>
              </w:rPr>
              <w:t>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427" w:type="pct"/>
            <w:noWrap w:val="0"/>
            <w:vAlign w:val="center"/>
          </w:tcPr>
          <w:p>
            <w:pPr>
              <w:adjustRightInd w:val="0"/>
              <w:snapToGrid w:val="0"/>
              <w:jc w:val="center"/>
              <w:rPr>
                <w:i/>
                <w:iCs/>
                <w:sz w:val="21"/>
                <w:szCs w:val="21"/>
                <w:u w:val="single"/>
              </w:rPr>
            </w:pPr>
            <w:r>
              <w:rPr>
                <w:i/>
                <w:iCs/>
                <w:sz w:val="21"/>
                <w:szCs w:val="21"/>
                <w:u w:val="single"/>
              </w:rPr>
              <w:t>较敏感</w:t>
            </w:r>
          </w:p>
        </w:tc>
        <w:tc>
          <w:tcPr>
            <w:tcW w:w="1018" w:type="pct"/>
            <w:noWrap w:val="0"/>
            <w:vAlign w:val="center"/>
          </w:tcPr>
          <w:p>
            <w:pPr>
              <w:adjustRightInd w:val="0"/>
              <w:snapToGrid w:val="0"/>
              <w:jc w:val="center"/>
              <w:rPr>
                <w:i/>
                <w:iCs/>
                <w:sz w:val="21"/>
                <w:szCs w:val="21"/>
                <w:u w:val="single"/>
              </w:rPr>
            </w:pPr>
            <w:r>
              <w:rPr>
                <w:i/>
                <w:iCs/>
                <w:sz w:val="21"/>
                <w:szCs w:val="21"/>
                <w:u w:val="single"/>
              </w:rPr>
              <w:t>一</w:t>
            </w:r>
          </w:p>
        </w:tc>
        <w:tc>
          <w:tcPr>
            <w:tcW w:w="1094" w:type="pct"/>
            <w:noWrap w:val="0"/>
            <w:vAlign w:val="center"/>
          </w:tcPr>
          <w:p>
            <w:pPr>
              <w:adjustRightInd w:val="0"/>
              <w:snapToGrid w:val="0"/>
              <w:jc w:val="center"/>
              <w:rPr>
                <w:i/>
                <w:iCs/>
                <w:sz w:val="21"/>
                <w:szCs w:val="21"/>
                <w:u w:val="single"/>
              </w:rPr>
            </w:pPr>
            <w:r>
              <w:rPr>
                <w:i/>
                <w:iCs/>
                <w:sz w:val="21"/>
                <w:szCs w:val="21"/>
                <w:u w:val="single"/>
              </w:rPr>
              <w:t>二</w:t>
            </w:r>
          </w:p>
        </w:tc>
        <w:tc>
          <w:tcPr>
            <w:tcW w:w="1459" w:type="pct"/>
            <w:noWrap w:val="0"/>
            <w:vAlign w:val="center"/>
          </w:tcPr>
          <w:p>
            <w:pPr>
              <w:adjustRightInd w:val="0"/>
              <w:snapToGrid w:val="0"/>
              <w:jc w:val="center"/>
              <w:rPr>
                <w:i/>
                <w:iCs/>
                <w:sz w:val="21"/>
                <w:szCs w:val="21"/>
                <w:u w:val="single"/>
              </w:rPr>
            </w:pPr>
            <w:r>
              <w:rPr>
                <w:i/>
                <w:iCs/>
                <w:sz w:val="21"/>
                <w:szCs w:val="21"/>
                <w:u w:val="single"/>
              </w:rPr>
              <w:t>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7" w:type="pct"/>
            <w:noWrap w:val="0"/>
            <w:vAlign w:val="center"/>
          </w:tcPr>
          <w:p>
            <w:pPr>
              <w:adjustRightInd w:val="0"/>
              <w:snapToGrid w:val="0"/>
              <w:jc w:val="center"/>
              <w:rPr>
                <w:i/>
                <w:iCs/>
                <w:sz w:val="21"/>
                <w:szCs w:val="21"/>
                <w:u w:val="single"/>
              </w:rPr>
            </w:pPr>
            <w:r>
              <w:rPr>
                <w:i/>
                <w:iCs/>
                <w:sz w:val="21"/>
                <w:szCs w:val="21"/>
                <w:u w:val="single"/>
              </w:rPr>
              <w:t>不敏感</w:t>
            </w:r>
          </w:p>
        </w:tc>
        <w:tc>
          <w:tcPr>
            <w:tcW w:w="1018" w:type="pct"/>
            <w:noWrap w:val="0"/>
            <w:vAlign w:val="center"/>
          </w:tcPr>
          <w:p>
            <w:pPr>
              <w:adjustRightInd w:val="0"/>
              <w:snapToGrid w:val="0"/>
              <w:jc w:val="center"/>
              <w:rPr>
                <w:i/>
                <w:iCs/>
                <w:sz w:val="21"/>
                <w:szCs w:val="21"/>
                <w:u w:val="single"/>
              </w:rPr>
            </w:pPr>
            <w:r>
              <w:rPr>
                <w:i/>
                <w:iCs/>
                <w:sz w:val="21"/>
                <w:szCs w:val="21"/>
                <w:u w:val="single"/>
              </w:rPr>
              <w:t>二</w:t>
            </w:r>
          </w:p>
        </w:tc>
        <w:tc>
          <w:tcPr>
            <w:tcW w:w="1094" w:type="pct"/>
            <w:noWrap w:val="0"/>
            <w:vAlign w:val="center"/>
          </w:tcPr>
          <w:p>
            <w:pPr>
              <w:adjustRightInd w:val="0"/>
              <w:snapToGrid w:val="0"/>
              <w:jc w:val="center"/>
              <w:rPr>
                <w:i/>
                <w:iCs/>
                <w:sz w:val="21"/>
                <w:szCs w:val="21"/>
                <w:u w:val="single"/>
              </w:rPr>
            </w:pPr>
            <w:r>
              <w:rPr>
                <w:i/>
                <w:iCs/>
                <w:sz w:val="21"/>
                <w:szCs w:val="21"/>
                <w:u w:val="single"/>
              </w:rPr>
              <w:t>三</w:t>
            </w:r>
          </w:p>
        </w:tc>
        <w:tc>
          <w:tcPr>
            <w:tcW w:w="1459" w:type="pct"/>
            <w:noWrap w:val="0"/>
            <w:vAlign w:val="center"/>
          </w:tcPr>
          <w:p>
            <w:pPr>
              <w:adjustRightInd w:val="0"/>
              <w:snapToGrid w:val="0"/>
              <w:jc w:val="center"/>
              <w:rPr>
                <w:i/>
                <w:iCs/>
                <w:sz w:val="21"/>
                <w:szCs w:val="21"/>
                <w:u w:val="single"/>
              </w:rPr>
            </w:pPr>
            <w:r>
              <w:rPr>
                <w:i/>
                <w:iCs/>
                <w:sz w:val="21"/>
                <w:szCs w:val="21"/>
                <w:u w:val="single"/>
              </w:rPr>
              <w:t>三</w:t>
            </w:r>
          </w:p>
        </w:tc>
      </w:tr>
    </w:tbl>
    <w:p>
      <w:pPr>
        <w:pStyle w:val="48"/>
        <w:spacing w:line="360" w:lineRule="auto"/>
        <w:ind w:left="0" w:firstLine="480" w:firstLineChars="200"/>
        <w:rPr>
          <w:rFonts w:hint="eastAsia"/>
          <w:i/>
          <w:iCs/>
          <w:sz w:val="24"/>
          <w:u w:val="single"/>
        </w:rPr>
      </w:pPr>
      <w:r>
        <w:rPr>
          <w:i/>
          <w:iCs/>
          <w:sz w:val="24"/>
          <w:u w:val="single"/>
        </w:rPr>
        <w:t>本项目为Ⅲ类建设项目，所处地区地下水环境</w:t>
      </w:r>
      <w:r>
        <w:rPr>
          <w:rFonts w:hint="eastAsia"/>
          <w:i/>
          <w:iCs/>
          <w:sz w:val="24"/>
          <w:u w:val="single"/>
        </w:rPr>
        <w:t>不</w:t>
      </w:r>
      <w:r>
        <w:rPr>
          <w:i/>
          <w:iCs/>
          <w:sz w:val="24"/>
          <w:u w:val="single"/>
        </w:rPr>
        <w:t>敏感，因此地下水评价等级为</w:t>
      </w:r>
      <w:r>
        <w:rPr>
          <w:rFonts w:hint="eastAsia"/>
          <w:i/>
          <w:iCs/>
          <w:sz w:val="24"/>
          <w:u w:val="single"/>
        </w:rPr>
        <w:t>三</w:t>
      </w:r>
      <w:r>
        <w:rPr>
          <w:i/>
          <w:iCs/>
          <w:sz w:val="24"/>
          <w:u w:val="single"/>
        </w:rPr>
        <w:t>级</w:t>
      </w:r>
      <w:r>
        <w:rPr>
          <w:rFonts w:hint="eastAsia"/>
          <w:i/>
          <w:iCs/>
          <w:sz w:val="24"/>
          <w:u w:val="single"/>
        </w:rPr>
        <w:t>。</w:t>
      </w:r>
    </w:p>
    <w:p>
      <w:pPr>
        <w:spacing w:line="360" w:lineRule="auto"/>
        <w:ind w:firstLine="480" w:firstLineChars="200"/>
        <w:rPr>
          <w:i/>
          <w:iCs/>
          <w:u w:val="single"/>
        </w:rPr>
      </w:pPr>
      <w:r>
        <w:rPr>
          <w:i/>
          <w:iCs/>
          <w:u w:val="single"/>
        </w:rPr>
        <w:t>2、评价范围</w:t>
      </w:r>
    </w:p>
    <w:p>
      <w:pPr>
        <w:spacing w:line="360" w:lineRule="auto"/>
        <w:ind w:firstLine="480" w:firstLineChars="200"/>
        <w:rPr>
          <w:i/>
          <w:iCs/>
          <w:sz w:val="24"/>
          <w:szCs w:val="24"/>
          <w:u w:val="single"/>
        </w:rPr>
      </w:pPr>
      <w:r>
        <w:rPr>
          <w:rFonts w:hint="eastAsia" w:ascii="Times New Roman" w:hAnsi="Times New Roman"/>
          <w:i/>
          <w:iCs/>
          <w:color w:val="000000"/>
          <w:sz w:val="24"/>
          <w:u w:val="single"/>
        </w:rPr>
        <w:t>根据《环境影响评价技术导则地下水环境》（HJ610-2016），</w:t>
      </w:r>
      <w:r>
        <w:rPr>
          <w:rFonts w:hint="eastAsia" w:ascii="Times New Roman" w:hAnsi="Times New Roman"/>
          <w:i/>
          <w:iCs/>
          <w:color w:val="000000"/>
          <w:sz w:val="24"/>
          <w:u w:val="single"/>
          <w:lang w:eastAsia="zh-CN"/>
        </w:rPr>
        <w:t>本项目</w:t>
      </w:r>
      <w:r>
        <w:rPr>
          <w:rFonts w:hint="eastAsia" w:ascii="Times New Roman" w:hAnsi="Times New Roman"/>
          <w:i/>
          <w:iCs/>
          <w:color w:val="000000"/>
          <w:sz w:val="24"/>
          <w:u w:val="single"/>
        </w:rPr>
        <w:t>采用地下水导则中“自定义法”确定地下水评价范围。根据区域地下水流向及水文地质单位情况，确定以项目所在地为中心，东西方向长</w:t>
      </w:r>
      <w:r>
        <w:rPr>
          <w:rFonts w:hint="eastAsia" w:ascii="Times New Roman" w:hAnsi="Times New Roman"/>
          <w:i/>
          <w:iCs/>
          <w:color w:val="000000"/>
          <w:sz w:val="24"/>
          <w:u w:val="single"/>
          <w:lang w:val="en-US" w:eastAsia="zh-CN"/>
        </w:rPr>
        <w:t>3</w:t>
      </w:r>
      <w:r>
        <w:rPr>
          <w:rFonts w:hint="eastAsia" w:ascii="Times New Roman" w:hAnsi="Times New Roman"/>
          <w:i/>
          <w:iCs/>
          <w:color w:val="000000"/>
          <w:sz w:val="24"/>
          <w:u w:val="single"/>
        </w:rPr>
        <w:t>km，南北方向宽</w:t>
      </w:r>
      <w:r>
        <w:rPr>
          <w:rFonts w:hint="eastAsia" w:ascii="Times New Roman" w:hAnsi="Times New Roman"/>
          <w:i/>
          <w:iCs/>
          <w:color w:val="000000"/>
          <w:sz w:val="24"/>
          <w:u w:val="single"/>
          <w:lang w:val="en-US" w:eastAsia="zh-CN"/>
        </w:rPr>
        <w:t>2</w:t>
      </w:r>
      <w:r>
        <w:rPr>
          <w:rFonts w:hint="eastAsia" w:ascii="Times New Roman" w:hAnsi="Times New Roman"/>
          <w:i/>
          <w:iCs/>
          <w:color w:val="000000"/>
          <w:sz w:val="24"/>
          <w:u w:val="single"/>
        </w:rPr>
        <w:t>km围成的矩形区域</w:t>
      </w:r>
      <w:r>
        <w:rPr>
          <w:rFonts w:hint="eastAsia" w:ascii="Times New Roman" w:hAnsi="Times New Roman"/>
          <w:i/>
          <w:iCs/>
          <w:color w:val="000000"/>
          <w:sz w:val="24"/>
          <w:u w:val="single"/>
          <w:lang w:eastAsia="zh-CN"/>
        </w:rPr>
        <w:t>，</w:t>
      </w:r>
      <w:r>
        <w:rPr>
          <w:i/>
          <w:iCs/>
          <w:sz w:val="24"/>
          <w:szCs w:val="24"/>
          <w:u w:val="single"/>
        </w:rPr>
        <w:t>具体见</w:t>
      </w:r>
      <w:r>
        <w:rPr>
          <w:rFonts w:hint="eastAsia"/>
          <w:i/>
          <w:iCs/>
          <w:sz w:val="24"/>
          <w:szCs w:val="24"/>
          <w:u w:val="single"/>
          <w:lang w:eastAsia="zh-CN"/>
        </w:rPr>
        <w:t>附</w:t>
      </w:r>
      <w:r>
        <w:rPr>
          <w:i/>
          <w:iCs/>
          <w:sz w:val="24"/>
          <w:szCs w:val="24"/>
          <w:u w:val="single"/>
        </w:rPr>
        <w:t>图</w:t>
      </w:r>
      <w:r>
        <w:rPr>
          <w:rFonts w:hint="eastAsia"/>
          <w:i/>
          <w:iCs/>
          <w:sz w:val="24"/>
          <w:szCs w:val="24"/>
          <w:u w:val="single"/>
        </w:rPr>
        <w:t>4-</w:t>
      </w:r>
      <w:r>
        <w:rPr>
          <w:rFonts w:hint="eastAsia"/>
          <w:i/>
          <w:iCs/>
          <w:sz w:val="24"/>
          <w:szCs w:val="24"/>
          <w:u w:val="single"/>
          <w:lang w:val="en-US" w:eastAsia="zh-CN"/>
        </w:rPr>
        <w:t>5</w:t>
      </w:r>
      <w:r>
        <w:rPr>
          <w:i/>
          <w:iCs/>
          <w:sz w:val="24"/>
          <w:szCs w:val="24"/>
          <w:u w:val="single"/>
        </w:rPr>
        <w:t>。</w:t>
      </w:r>
    </w:p>
    <w:p>
      <w:pPr>
        <w:pStyle w:val="47"/>
        <w:tabs>
          <w:tab w:val="left" w:pos="-54"/>
        </w:tabs>
        <w:spacing w:line="360" w:lineRule="auto"/>
        <w:ind w:left="7" w:leftChars="3" w:firstLine="482" w:firstLineChars="200"/>
        <w:rPr>
          <w:rFonts w:hint="eastAsia" w:eastAsia="宋体"/>
          <w:b/>
          <w:i w:val="0"/>
          <w:iCs w:val="0"/>
          <w:sz w:val="24"/>
        </w:rPr>
      </w:pPr>
      <w:r>
        <w:rPr>
          <w:rFonts w:hint="eastAsia" w:eastAsia="宋体"/>
          <w:b/>
          <w:i w:val="0"/>
          <w:iCs w:val="0"/>
          <w:sz w:val="24"/>
        </w:rPr>
        <w:t>2.5.6土壤环境评价</w:t>
      </w:r>
    </w:p>
    <w:p>
      <w:pPr>
        <w:pStyle w:val="48"/>
        <w:spacing w:line="360" w:lineRule="auto"/>
        <w:ind w:left="0" w:firstLine="480" w:firstLineChars="200"/>
        <w:rPr>
          <w:i w:val="0"/>
          <w:iCs w:val="0"/>
          <w:sz w:val="24"/>
          <w:szCs w:val="24"/>
        </w:rPr>
      </w:pPr>
      <w:r>
        <w:rPr>
          <w:i w:val="0"/>
          <w:iCs w:val="0"/>
          <w:sz w:val="24"/>
          <w:szCs w:val="24"/>
        </w:rPr>
        <w:t>本项目属于调味品、发酵制品制造和其他食品制造生产项目；根据《环境影响评价技术导则 土壤环境（试行）》（HJ 964-2018），项目属于其他行业，无需进行土壤环境影响评价</w:t>
      </w:r>
      <w:r>
        <w:rPr>
          <w:rFonts w:hint="eastAsia"/>
          <w:i w:val="0"/>
          <w:iCs w:val="0"/>
          <w:sz w:val="24"/>
          <w:szCs w:val="24"/>
        </w:rPr>
        <w:t>。</w:t>
      </w:r>
    </w:p>
    <w:p>
      <w:pPr>
        <w:pStyle w:val="47"/>
        <w:tabs>
          <w:tab w:val="left" w:pos="-54"/>
        </w:tabs>
        <w:spacing w:line="360" w:lineRule="auto"/>
        <w:ind w:left="7" w:leftChars="3" w:firstLine="482" w:firstLineChars="200"/>
        <w:rPr>
          <w:rFonts w:hint="eastAsia" w:eastAsia="宋体"/>
          <w:b/>
          <w:i w:val="0"/>
          <w:iCs w:val="0"/>
          <w:sz w:val="24"/>
        </w:rPr>
      </w:pPr>
      <w:r>
        <w:rPr>
          <w:rFonts w:hint="eastAsia" w:eastAsia="宋体"/>
          <w:b/>
          <w:i w:val="0"/>
          <w:iCs w:val="0"/>
          <w:sz w:val="24"/>
        </w:rPr>
        <w:t>2</w:t>
      </w:r>
      <w:r>
        <w:rPr>
          <w:rFonts w:eastAsia="宋体"/>
          <w:b/>
          <w:i w:val="0"/>
          <w:iCs w:val="0"/>
          <w:sz w:val="24"/>
        </w:rPr>
        <w:t>.5.</w:t>
      </w:r>
      <w:r>
        <w:rPr>
          <w:rFonts w:hint="eastAsia" w:eastAsia="宋体"/>
          <w:b/>
          <w:i w:val="0"/>
          <w:iCs w:val="0"/>
          <w:sz w:val="24"/>
        </w:rPr>
        <w:t>7 生态环境评价</w:t>
      </w:r>
    </w:p>
    <w:p>
      <w:pPr>
        <w:spacing w:line="360" w:lineRule="auto"/>
        <w:ind w:firstLine="480" w:firstLineChars="200"/>
        <w:rPr>
          <w:i w:val="0"/>
          <w:iCs w:val="0"/>
        </w:rPr>
      </w:pPr>
      <w:r>
        <w:rPr>
          <w:rFonts w:hint="eastAsia"/>
          <w:i w:val="0"/>
          <w:iCs w:val="0"/>
        </w:rPr>
        <w:t>1、评价等级</w:t>
      </w:r>
    </w:p>
    <w:p>
      <w:pPr>
        <w:spacing w:line="360" w:lineRule="auto"/>
        <w:ind w:firstLine="480" w:firstLineChars="200"/>
        <w:rPr>
          <w:rFonts w:hint="eastAsia"/>
          <w:i w:val="0"/>
          <w:iCs w:val="0"/>
        </w:rPr>
      </w:pPr>
      <w:r>
        <w:rPr>
          <w:rFonts w:hint="eastAsia"/>
          <w:i w:val="0"/>
          <w:iCs w:val="0"/>
        </w:rPr>
        <w:t>本项目选址于江源工业经济开发区长白山特色食药科技产业园区，不涉及国家公园、自然保护区、世界自然遗产、重要生境、自然公园、生态保护红线等生态敏感区，项目建设符合《吉林江源经济开发区总体规划（2020-2035年）》及规划环评中的准入要求，根据《环境影响评价技术导则 生态影响》（HJ19-2022）6.1.8：“位于已批准规划环评的产业园区内且符合规划环评要求、不涉及生态敏感区的污染影响类建设项目，可不确定评价等级，直接进行生态影响简单分析。”因此，本项目开展生态影响简单分析。</w:t>
      </w:r>
    </w:p>
    <w:p>
      <w:pPr>
        <w:spacing w:line="360" w:lineRule="auto"/>
        <w:ind w:firstLine="480" w:firstLineChars="200"/>
        <w:rPr>
          <w:rFonts w:hint="eastAsia"/>
          <w:i w:val="0"/>
          <w:iCs w:val="0"/>
        </w:rPr>
      </w:pPr>
      <w:bookmarkStart w:id="74" w:name="_Toc502831496"/>
      <w:r>
        <w:rPr>
          <w:rFonts w:hint="eastAsia"/>
          <w:i w:val="0"/>
          <w:iCs w:val="0"/>
        </w:rPr>
        <w:t>2、评价范围</w:t>
      </w:r>
    </w:p>
    <w:p>
      <w:pPr>
        <w:spacing w:line="360" w:lineRule="auto"/>
        <w:ind w:firstLine="480" w:firstLineChars="200"/>
        <w:rPr>
          <w:rFonts w:hint="eastAsia"/>
          <w:i w:val="0"/>
          <w:iCs w:val="0"/>
        </w:rPr>
      </w:pPr>
      <w:r>
        <w:rPr>
          <w:rFonts w:hint="eastAsia"/>
          <w:i w:val="0"/>
          <w:iCs w:val="0"/>
        </w:rPr>
        <w:t>本项目开展生态影响简单分析，本次未划定生态环境评价范围。</w:t>
      </w:r>
    </w:p>
    <w:bookmarkEnd w:id="5"/>
    <w:bookmarkEnd w:id="6"/>
    <w:bookmarkEnd w:id="7"/>
    <w:bookmarkEnd w:id="8"/>
    <w:bookmarkEnd w:id="9"/>
    <w:bookmarkEnd w:id="10"/>
    <w:bookmarkEnd w:id="74"/>
    <w:p>
      <w:pPr>
        <w:pStyle w:val="3"/>
        <w:spacing w:before="120" w:after="360" w:line="360" w:lineRule="auto"/>
        <w:jc w:val="center"/>
        <w:rPr>
          <w:i w:val="0"/>
          <w:iCs w:val="0"/>
          <w:sz w:val="36"/>
        </w:rPr>
        <w:sectPr>
          <w:footerReference r:id="rId11" w:type="default"/>
          <w:pgSz w:w="11907" w:h="16840"/>
          <w:pgMar w:top="1304" w:right="1418" w:bottom="1304" w:left="1418"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
        <w:spacing w:before="120" w:after="360" w:line="360" w:lineRule="auto"/>
        <w:jc w:val="center"/>
        <w:rPr>
          <w:i w:val="0"/>
          <w:iCs w:val="0"/>
          <w:sz w:val="36"/>
        </w:rPr>
      </w:pPr>
      <w:bookmarkStart w:id="75" w:name="_Toc18035"/>
      <w:r>
        <w:rPr>
          <w:i w:val="0"/>
          <w:iCs w:val="0"/>
          <w:sz w:val="36"/>
        </w:rPr>
        <w:t>第</w:t>
      </w:r>
      <w:r>
        <w:rPr>
          <w:rFonts w:hint="eastAsia"/>
          <w:i w:val="0"/>
          <w:iCs w:val="0"/>
          <w:sz w:val="36"/>
        </w:rPr>
        <w:t>三</w:t>
      </w:r>
      <w:r>
        <w:rPr>
          <w:i w:val="0"/>
          <w:iCs w:val="0"/>
          <w:sz w:val="36"/>
        </w:rPr>
        <w:t>章</w:t>
      </w:r>
      <w:r>
        <w:rPr>
          <w:rFonts w:hint="eastAsia"/>
          <w:i w:val="0"/>
          <w:iCs w:val="0"/>
          <w:sz w:val="36"/>
        </w:rPr>
        <w:t xml:space="preserve"> </w:t>
      </w:r>
      <w:r>
        <w:rPr>
          <w:i w:val="0"/>
          <w:iCs w:val="0"/>
          <w:sz w:val="36"/>
        </w:rPr>
        <w:t>建设项目工程分析</w:t>
      </w:r>
      <w:bookmarkEnd w:id="75"/>
    </w:p>
    <w:p>
      <w:pPr>
        <w:pStyle w:val="4"/>
        <w:rPr>
          <w:rFonts w:ascii="Times New Roman" w:hAnsi="Times New Roman" w:eastAsia="宋体"/>
          <w:b/>
          <w:i w:val="0"/>
          <w:iCs w:val="0"/>
          <w:sz w:val="28"/>
          <w:szCs w:val="28"/>
        </w:rPr>
      </w:pPr>
      <w:bookmarkStart w:id="76" w:name="_Hlt199302698"/>
      <w:bookmarkEnd w:id="76"/>
      <w:bookmarkStart w:id="77" w:name="_Hlt194725495"/>
      <w:bookmarkEnd w:id="77"/>
      <w:bookmarkStart w:id="78" w:name="_Hlt195424223"/>
      <w:bookmarkEnd w:id="78"/>
      <w:bookmarkStart w:id="79" w:name="_Hlt197314911"/>
      <w:bookmarkEnd w:id="79"/>
      <w:bookmarkStart w:id="80" w:name="_Toc196568704"/>
      <w:bookmarkStart w:id="81" w:name="_Toc24305"/>
      <w:r>
        <w:rPr>
          <w:rFonts w:hint="eastAsia" w:ascii="Times New Roman" w:hAnsi="Times New Roman" w:eastAsia="宋体"/>
          <w:b/>
          <w:i w:val="0"/>
          <w:iCs w:val="0"/>
          <w:sz w:val="28"/>
          <w:szCs w:val="28"/>
        </w:rPr>
        <w:t>3</w:t>
      </w:r>
      <w:r>
        <w:rPr>
          <w:rFonts w:ascii="Times New Roman" w:hAnsi="Times New Roman" w:eastAsia="宋体"/>
          <w:b/>
          <w:i w:val="0"/>
          <w:iCs w:val="0"/>
          <w:sz w:val="28"/>
          <w:szCs w:val="28"/>
        </w:rPr>
        <w:t>.1建设项目概况</w:t>
      </w:r>
      <w:bookmarkEnd w:id="80"/>
      <w:bookmarkEnd w:id="81"/>
    </w:p>
    <w:p>
      <w:pPr>
        <w:pStyle w:val="26"/>
        <w:spacing w:line="360" w:lineRule="auto"/>
        <w:ind w:firstLine="482"/>
        <w:rPr>
          <w:rFonts w:hint="eastAsia" w:ascii="Times New Roman" w:hAnsi="Times New Roman"/>
          <w:b/>
          <w:i w:val="0"/>
          <w:iCs w:val="0"/>
        </w:rPr>
      </w:pPr>
      <w:r>
        <w:rPr>
          <w:rFonts w:hint="eastAsia" w:ascii="Times New Roman" w:hAnsi="Times New Roman"/>
          <w:b/>
          <w:i w:val="0"/>
          <w:iCs w:val="0"/>
        </w:rPr>
        <w:t>3.1.1基本情况</w:t>
      </w:r>
    </w:p>
    <w:p>
      <w:pPr>
        <w:pStyle w:val="26"/>
        <w:spacing w:line="360" w:lineRule="auto"/>
        <w:rPr>
          <w:rFonts w:hint="eastAsia" w:ascii="Times New Roman" w:hAnsi="Times New Roman"/>
          <w:i w:val="0"/>
          <w:iCs w:val="0"/>
        </w:rPr>
      </w:pPr>
      <w:r>
        <w:rPr>
          <w:rFonts w:hint="eastAsia" w:ascii="Times New Roman" w:hAnsi="Times New Roman"/>
          <w:i w:val="0"/>
          <w:iCs w:val="0"/>
        </w:rPr>
        <w:t>1、</w:t>
      </w:r>
      <w:r>
        <w:rPr>
          <w:rFonts w:ascii="Times New Roman" w:hAnsi="Times New Roman"/>
          <w:i w:val="0"/>
          <w:iCs w:val="0"/>
        </w:rPr>
        <w:t>项目名称：</w:t>
      </w:r>
      <w:r>
        <w:rPr>
          <w:rFonts w:hint="eastAsia" w:ascii="Times New Roman" w:hAnsi="Times New Roman"/>
          <w:i w:val="0"/>
          <w:iCs w:val="0"/>
        </w:rPr>
        <w:t>年产1.2万吨天然红法夫酵母虾青素项目</w:t>
      </w:r>
    </w:p>
    <w:p>
      <w:pPr>
        <w:pStyle w:val="26"/>
        <w:spacing w:line="360" w:lineRule="auto"/>
        <w:rPr>
          <w:rFonts w:hint="eastAsia" w:ascii="Times New Roman" w:hAnsi="Times New Roman"/>
          <w:i w:val="0"/>
          <w:iCs w:val="0"/>
        </w:rPr>
      </w:pPr>
      <w:r>
        <w:rPr>
          <w:rFonts w:ascii="Times New Roman" w:hAnsi="Times New Roman"/>
          <w:i w:val="0"/>
          <w:iCs w:val="0"/>
        </w:rPr>
        <w:t>2、建设单位：</w:t>
      </w:r>
      <w:r>
        <w:rPr>
          <w:rFonts w:hint="eastAsia" w:ascii="Times New Roman" w:hAnsi="Times New Roman"/>
          <w:i w:val="0"/>
          <w:iCs w:val="0"/>
        </w:rPr>
        <w:t>吉林万方东巽虾青素产业科技发展有限公司</w:t>
      </w:r>
    </w:p>
    <w:p>
      <w:pPr>
        <w:pStyle w:val="26"/>
        <w:spacing w:line="360" w:lineRule="auto"/>
        <w:rPr>
          <w:rFonts w:hint="eastAsia" w:ascii="Times New Roman" w:hAnsi="Times New Roman"/>
          <w:i w:val="0"/>
          <w:iCs w:val="0"/>
        </w:rPr>
      </w:pPr>
      <w:r>
        <w:rPr>
          <w:rFonts w:ascii="Times New Roman" w:hAnsi="Times New Roman"/>
          <w:i w:val="0"/>
          <w:iCs w:val="0"/>
        </w:rPr>
        <w:t>3、建设性质：</w:t>
      </w:r>
      <w:r>
        <w:rPr>
          <w:rFonts w:hint="eastAsia" w:ascii="Times New Roman" w:hAnsi="Times New Roman"/>
          <w:i w:val="0"/>
          <w:iCs w:val="0"/>
        </w:rPr>
        <w:t>新建</w:t>
      </w:r>
      <w:r>
        <w:rPr>
          <w:rFonts w:ascii="Times New Roman" w:hAnsi="Times New Roman"/>
          <w:i w:val="0"/>
          <w:iCs w:val="0"/>
        </w:rPr>
        <w:t>（国民经济行业代码：</w:t>
      </w:r>
      <w:r>
        <w:rPr>
          <w:rFonts w:hint="eastAsia" w:ascii="Times New Roman" w:hAnsi="Times New Roman"/>
          <w:i w:val="0"/>
          <w:iCs w:val="0"/>
        </w:rPr>
        <w:t xml:space="preserve"> C149 其他食品制造</w:t>
      </w:r>
      <w:r>
        <w:rPr>
          <w:rFonts w:ascii="Times New Roman" w:hAnsi="Times New Roman"/>
          <w:i w:val="0"/>
          <w:iCs w:val="0"/>
        </w:rPr>
        <w:t>；建设项目分类管理名录项目类别：</w:t>
      </w:r>
      <w:r>
        <w:rPr>
          <w:rFonts w:hint="eastAsia" w:ascii="Times New Roman" w:hAnsi="Times New Roman"/>
          <w:i w:val="0"/>
          <w:iCs w:val="0"/>
        </w:rPr>
        <w:t>“十一、食品制造业 14，24、其他食品制造 149”中的“有发酵</w:t>
      </w:r>
    </w:p>
    <w:p>
      <w:pPr>
        <w:pStyle w:val="26"/>
        <w:spacing w:line="360" w:lineRule="auto"/>
        <w:rPr>
          <w:rFonts w:hint="eastAsia" w:ascii="Times New Roman" w:hAnsi="Times New Roman"/>
          <w:i w:val="0"/>
          <w:iCs w:val="0"/>
        </w:rPr>
      </w:pPr>
      <w:r>
        <w:rPr>
          <w:rFonts w:hint="eastAsia" w:ascii="Times New Roman" w:hAnsi="Times New Roman"/>
          <w:i w:val="0"/>
          <w:iCs w:val="0"/>
        </w:rPr>
        <w:t>工艺的食品添加剂制造，有发酵工艺的饲料添加剂制造”项目</w:t>
      </w:r>
      <w:r>
        <w:rPr>
          <w:rFonts w:ascii="Times New Roman" w:hAnsi="Times New Roman"/>
          <w:i w:val="0"/>
          <w:iCs w:val="0"/>
        </w:rPr>
        <w:t>）</w:t>
      </w:r>
      <w:r>
        <w:rPr>
          <w:rFonts w:hint="eastAsia" w:ascii="Times New Roman" w:hAnsi="Times New Roman"/>
          <w:i w:val="0"/>
          <w:iCs w:val="0"/>
        </w:rPr>
        <w:t>。</w:t>
      </w:r>
    </w:p>
    <w:p>
      <w:pPr>
        <w:pStyle w:val="26"/>
        <w:spacing w:line="360" w:lineRule="auto"/>
        <w:rPr>
          <w:rFonts w:ascii="Times New Roman" w:hAnsi="Times New Roman"/>
          <w:i w:val="0"/>
          <w:iCs w:val="0"/>
        </w:rPr>
      </w:pPr>
      <w:r>
        <w:rPr>
          <w:rFonts w:ascii="Times New Roman" w:hAnsi="Times New Roman"/>
          <w:i w:val="0"/>
          <w:iCs w:val="0"/>
        </w:rPr>
        <w:t>4、建设地点：</w:t>
      </w:r>
      <w:r>
        <w:rPr>
          <w:rFonts w:hint="eastAsia" w:ascii="Times New Roman" w:hAnsi="Times New Roman"/>
          <w:i w:val="0"/>
          <w:iCs w:val="0"/>
        </w:rPr>
        <w:t>吉林万方东巽虾青素产业科技发展有限公司</w:t>
      </w:r>
      <w:r>
        <w:rPr>
          <w:rFonts w:ascii="Times New Roman" w:hAnsi="Times New Roman"/>
          <w:i w:val="0"/>
          <w:iCs w:val="0"/>
        </w:rPr>
        <w:t>厂区位于</w:t>
      </w:r>
      <w:r>
        <w:rPr>
          <w:rFonts w:hint="eastAsia" w:ascii="Times New Roman" w:hAnsi="Times New Roman"/>
          <w:i w:val="0"/>
          <w:iCs w:val="0"/>
        </w:rPr>
        <w:t>江源工业经济开发区长白山特色食药科技产业园区</w:t>
      </w:r>
      <w:r>
        <w:rPr>
          <w:rFonts w:ascii="Times New Roman" w:hAnsi="Times New Roman"/>
          <w:i w:val="0"/>
          <w:iCs w:val="0"/>
        </w:rPr>
        <w:t>，厂区</w:t>
      </w:r>
      <w:r>
        <w:rPr>
          <w:rFonts w:hint="eastAsia" w:ascii="Times New Roman" w:hAnsi="Times New Roman"/>
          <w:i w:val="0"/>
          <w:iCs w:val="0"/>
        </w:rPr>
        <w:t>东侧紧邻和谐大街</w:t>
      </w:r>
      <w:r>
        <w:rPr>
          <w:rFonts w:ascii="Times New Roman" w:hAnsi="Times New Roman"/>
          <w:i w:val="0"/>
          <w:iCs w:val="0"/>
        </w:rPr>
        <w:t>，</w:t>
      </w:r>
      <w:r>
        <w:rPr>
          <w:rFonts w:hint="eastAsia" w:ascii="Times New Roman" w:hAnsi="Times New Roman"/>
          <w:i w:val="0"/>
          <w:iCs w:val="0"/>
        </w:rPr>
        <w:t>南</w:t>
      </w:r>
      <w:r>
        <w:rPr>
          <w:rFonts w:ascii="Times New Roman" w:hAnsi="Times New Roman"/>
          <w:i w:val="0"/>
          <w:iCs w:val="0"/>
        </w:rPr>
        <w:t>侧为</w:t>
      </w:r>
      <w:r>
        <w:rPr>
          <w:rFonts w:hint="eastAsia" w:ascii="Times New Roman" w:hAnsi="Times New Roman"/>
          <w:i w:val="0"/>
          <w:iCs w:val="0"/>
        </w:rPr>
        <w:t>空地，西侧20m为后大台，北侧为空地，地理</w:t>
      </w:r>
      <w:r>
        <w:rPr>
          <w:rFonts w:ascii="Times New Roman" w:hAnsi="Times New Roman"/>
          <w:i w:val="0"/>
          <w:iCs w:val="0"/>
        </w:rPr>
        <w:t>坐标为：东经</w:t>
      </w:r>
      <w:r>
        <w:rPr>
          <w:rFonts w:hint="eastAsia" w:ascii="Times New Roman" w:hAnsi="Times New Roman"/>
          <w:i w:val="0"/>
          <w:iCs w:val="0"/>
        </w:rPr>
        <w:t>126.5886946</w:t>
      </w:r>
      <w:r>
        <w:rPr>
          <w:rFonts w:ascii="Times New Roman" w:hAnsi="Times New Roman"/>
          <w:i w:val="0"/>
          <w:iCs w:val="0"/>
        </w:rPr>
        <w:t>°，北纬</w:t>
      </w:r>
      <w:r>
        <w:rPr>
          <w:rFonts w:hint="eastAsia" w:ascii="Times New Roman" w:hAnsi="Times New Roman"/>
          <w:i w:val="0"/>
          <w:iCs w:val="0"/>
        </w:rPr>
        <w:t>42.0797553</w:t>
      </w:r>
      <w:r>
        <w:rPr>
          <w:rFonts w:ascii="Times New Roman" w:hAnsi="Times New Roman"/>
          <w:i w:val="0"/>
          <w:iCs w:val="0"/>
        </w:rPr>
        <w:t>°。具体见地理位置图</w:t>
      </w:r>
      <w:r>
        <w:rPr>
          <w:rFonts w:hint="eastAsia" w:ascii="Times New Roman" w:hAnsi="Times New Roman"/>
          <w:i w:val="0"/>
          <w:iCs w:val="0"/>
        </w:rPr>
        <w:t>3</w:t>
      </w:r>
      <w:r>
        <w:rPr>
          <w:rFonts w:ascii="Times New Roman" w:hAnsi="Times New Roman"/>
          <w:i w:val="0"/>
          <w:iCs w:val="0"/>
        </w:rPr>
        <w:t>-1。</w:t>
      </w:r>
    </w:p>
    <w:p>
      <w:pPr>
        <w:pStyle w:val="26"/>
        <w:spacing w:line="360" w:lineRule="auto"/>
        <w:rPr>
          <w:rFonts w:ascii="Times New Roman" w:hAnsi="Times New Roman"/>
          <w:i w:val="0"/>
          <w:iCs w:val="0"/>
        </w:rPr>
      </w:pPr>
      <w:r>
        <w:rPr>
          <w:rFonts w:hint="eastAsia" w:ascii="Times New Roman" w:hAnsi="Times New Roman"/>
          <w:i w:val="0"/>
          <w:iCs w:val="0"/>
        </w:rPr>
        <w:t>5、</w:t>
      </w:r>
      <w:r>
        <w:rPr>
          <w:rFonts w:ascii="Times New Roman" w:hAnsi="Times New Roman"/>
          <w:i w:val="0"/>
          <w:iCs w:val="0"/>
        </w:rPr>
        <w:t>总投资及资金来源：</w:t>
      </w:r>
    </w:p>
    <w:p>
      <w:pPr>
        <w:adjustRightInd w:val="0"/>
        <w:snapToGrid w:val="0"/>
        <w:spacing w:line="360" w:lineRule="auto"/>
        <w:ind w:firstLine="480" w:firstLineChars="200"/>
        <w:rPr>
          <w:i w:val="0"/>
          <w:iCs w:val="0"/>
          <w:color w:val="000000"/>
          <w:sz w:val="21"/>
        </w:rPr>
      </w:pPr>
      <w:r>
        <w:rPr>
          <w:i w:val="0"/>
          <w:iCs w:val="0"/>
          <w:color w:val="000000"/>
        </w:rPr>
        <w:t>本项目总投资</w:t>
      </w:r>
      <w:r>
        <w:rPr>
          <w:rFonts w:hint="eastAsia"/>
          <w:i w:val="0"/>
          <w:iCs w:val="0"/>
          <w:color w:val="000000"/>
          <w:lang w:val="en-US" w:eastAsia="zh-CN"/>
        </w:rPr>
        <w:t>24000</w:t>
      </w:r>
      <w:r>
        <w:rPr>
          <w:rFonts w:hint="eastAsia"/>
          <w:i w:val="0"/>
          <w:iCs w:val="0"/>
          <w:color w:val="000000"/>
        </w:rPr>
        <w:t>万</w:t>
      </w:r>
      <w:r>
        <w:rPr>
          <w:i w:val="0"/>
          <w:iCs w:val="0"/>
          <w:color w:val="000000"/>
        </w:rPr>
        <w:t>元，</w:t>
      </w:r>
      <w:r>
        <w:rPr>
          <w:rFonts w:hint="eastAsia"/>
          <w:i w:val="0"/>
          <w:iCs w:val="0"/>
          <w:color w:val="000000"/>
        </w:rPr>
        <w:t>资金来源为企业自筹</w:t>
      </w:r>
      <w:r>
        <w:rPr>
          <w:i w:val="0"/>
          <w:iCs w:val="0"/>
          <w:color w:val="000000"/>
        </w:rPr>
        <w:t>。</w:t>
      </w:r>
    </w:p>
    <w:p>
      <w:pPr>
        <w:pStyle w:val="26"/>
        <w:spacing w:line="360" w:lineRule="auto"/>
        <w:rPr>
          <w:i w:val="0"/>
          <w:iCs w:val="0"/>
        </w:rPr>
      </w:pPr>
      <w:r>
        <w:rPr>
          <w:rFonts w:hint="eastAsia" w:ascii="Times New Roman" w:hAnsi="Times New Roman"/>
          <w:i w:val="0"/>
          <w:iCs w:val="0"/>
        </w:rPr>
        <w:t>6、</w:t>
      </w:r>
      <w:r>
        <w:rPr>
          <w:i w:val="0"/>
          <w:iCs w:val="0"/>
        </w:rPr>
        <w:t>工作制度及职工人数</w:t>
      </w:r>
    </w:p>
    <w:p>
      <w:pPr>
        <w:spacing w:line="360" w:lineRule="auto"/>
        <w:ind w:firstLine="480" w:firstLineChars="200"/>
        <w:rPr>
          <w:i w:val="0"/>
          <w:iCs w:val="0"/>
        </w:rPr>
      </w:pPr>
      <w:r>
        <w:rPr>
          <w:rFonts w:hint="eastAsia"/>
          <w:i w:val="0"/>
          <w:iCs w:val="0"/>
        </w:rPr>
        <w:t>本项目职工80人，其中职员60人，管理人员20人，</w:t>
      </w:r>
      <w:r>
        <w:rPr>
          <w:i w:val="0"/>
          <w:iCs w:val="0"/>
        </w:rPr>
        <w:t>生产系统年有效工作日3</w:t>
      </w:r>
      <w:r>
        <w:rPr>
          <w:rFonts w:hint="eastAsia"/>
          <w:i w:val="0"/>
          <w:iCs w:val="0"/>
          <w:lang w:val="en-US" w:eastAsia="zh-CN"/>
        </w:rPr>
        <w:t>25</w:t>
      </w:r>
      <w:r>
        <w:rPr>
          <w:i w:val="0"/>
          <w:iCs w:val="0"/>
        </w:rPr>
        <w:t>d，每天工作24h连续生产，各生产岗位均执行三班倒制度，管理系统及其他部门为白天一班</w:t>
      </w:r>
      <w:r>
        <w:rPr>
          <w:rFonts w:hint="eastAsia"/>
          <w:i w:val="0"/>
          <w:iCs w:val="0"/>
        </w:rPr>
        <w:t>，</w:t>
      </w:r>
      <w:r>
        <w:rPr>
          <w:i w:val="0"/>
          <w:iCs w:val="0"/>
        </w:rPr>
        <w:t>每班工作8h。</w:t>
      </w:r>
    </w:p>
    <w:p>
      <w:pPr>
        <w:pStyle w:val="26"/>
        <w:spacing w:line="360" w:lineRule="auto"/>
        <w:ind w:firstLine="482"/>
        <w:rPr>
          <w:rFonts w:hint="eastAsia" w:ascii="Times New Roman" w:hAnsi="Times New Roman"/>
          <w:b/>
          <w:i w:val="0"/>
          <w:iCs w:val="0"/>
        </w:rPr>
      </w:pPr>
      <w:r>
        <w:rPr>
          <w:rFonts w:hint="eastAsia" w:ascii="Times New Roman" w:hAnsi="Times New Roman"/>
          <w:b/>
          <w:i w:val="0"/>
          <w:iCs w:val="0"/>
        </w:rPr>
        <w:t>3.1.2项目占地及平面布置</w:t>
      </w:r>
    </w:p>
    <w:p>
      <w:pPr>
        <w:pStyle w:val="26"/>
        <w:spacing w:line="360" w:lineRule="auto"/>
        <w:rPr>
          <w:rFonts w:ascii="Times New Roman" w:hAnsi="Times New Roman"/>
          <w:i w:val="0"/>
          <w:iCs w:val="0"/>
        </w:rPr>
      </w:pPr>
      <w:r>
        <w:rPr>
          <w:rFonts w:hint="eastAsia" w:ascii="Times New Roman" w:hAnsi="Times New Roman"/>
          <w:i w:val="0"/>
          <w:iCs w:val="0"/>
        </w:rPr>
        <w:t>1、项目</w:t>
      </w:r>
      <w:r>
        <w:rPr>
          <w:rFonts w:ascii="Times New Roman" w:hAnsi="Times New Roman"/>
          <w:i w:val="0"/>
          <w:iCs w:val="0"/>
        </w:rPr>
        <w:t>占地</w:t>
      </w:r>
    </w:p>
    <w:p>
      <w:pPr>
        <w:pStyle w:val="26"/>
        <w:spacing w:line="360" w:lineRule="auto"/>
        <w:rPr>
          <w:rFonts w:hint="eastAsia" w:ascii="Times New Roman" w:hAnsi="Times New Roman"/>
          <w:i w:val="0"/>
          <w:iCs w:val="0"/>
        </w:rPr>
      </w:pPr>
      <w:r>
        <w:rPr>
          <w:rFonts w:hint="eastAsia" w:ascii="Times New Roman" w:hAnsi="Times New Roman"/>
          <w:i w:val="0"/>
          <w:iCs w:val="0"/>
        </w:rPr>
        <w:t>本项目位于江源工业经济开发区长白山特色食药科技产业园区内，新增占地面积45936</w:t>
      </w:r>
      <w:r>
        <w:rPr>
          <w:rFonts w:ascii="Times New Roman" w:hAnsi="Times New Roman"/>
          <w:i w:val="0"/>
          <w:iCs w:val="0"/>
          <w:color w:val="000000"/>
          <w:kern w:val="0"/>
          <w:lang w:bidi="ar"/>
        </w:rPr>
        <w:t>m</w:t>
      </w:r>
      <w:r>
        <w:rPr>
          <w:rFonts w:ascii="Times New Roman" w:hAnsi="Times New Roman"/>
          <w:i w:val="0"/>
          <w:iCs w:val="0"/>
          <w:color w:val="000000"/>
          <w:kern w:val="0"/>
          <w:vertAlign w:val="superscript"/>
          <w:lang w:bidi="ar"/>
        </w:rPr>
        <w:t>2</w:t>
      </w:r>
      <w:r>
        <w:rPr>
          <w:rFonts w:hint="eastAsia" w:ascii="Times New Roman" w:hAnsi="Times New Roman"/>
          <w:i w:val="0"/>
          <w:iCs w:val="0"/>
        </w:rPr>
        <w:t>，属于工业用地。项目主要建构筑一览表见表3-1</w:t>
      </w:r>
      <w:r>
        <w:rPr>
          <w:i w:val="0"/>
          <w:iCs w:val="0"/>
        </w:rPr>
        <w:t>。</w:t>
      </w:r>
    </w:p>
    <w:p>
      <w:pPr>
        <w:pStyle w:val="26"/>
        <w:spacing w:line="360" w:lineRule="auto"/>
        <w:rPr>
          <w:rFonts w:hint="eastAsia" w:ascii="Times New Roman" w:hAnsi="Times New Roman"/>
          <w:i w:val="0"/>
          <w:iCs w:val="0"/>
        </w:rPr>
      </w:pPr>
      <w:r>
        <w:rPr>
          <w:rFonts w:hint="eastAsia" w:ascii="Times New Roman" w:hAnsi="Times New Roman"/>
          <w:i w:val="0"/>
          <w:iCs w:val="0"/>
        </w:rPr>
        <w:t>2、总平面布置原则</w:t>
      </w:r>
    </w:p>
    <w:p>
      <w:pPr>
        <w:snapToGrid w:val="0"/>
        <w:spacing w:line="360" w:lineRule="auto"/>
        <w:ind w:firstLine="480" w:firstLineChars="200"/>
        <w:rPr>
          <w:i w:val="0"/>
          <w:iCs w:val="0"/>
        </w:rPr>
      </w:pPr>
      <w:r>
        <w:rPr>
          <w:rFonts w:hAnsi="宋体"/>
          <w:i w:val="0"/>
          <w:iCs w:val="0"/>
        </w:rPr>
        <w:t>本项目的总平面布置根据厂址的自然条件和工程的生产性质，在符合《工业企业总平面设计规范》、《建筑设计防火规范》等相关现行相关设计规范的前提下，满足生产工艺流程，满足消防、安全、卫生、环境保护等要求，充分利用地形及现状，节约用地，并考虑到发展的可能性，合理进行本项目的平面布置和竖向布置</w:t>
      </w:r>
      <w:r>
        <w:rPr>
          <w:rFonts w:hint="eastAsia" w:hAnsi="宋体"/>
          <w:i w:val="0"/>
          <w:iCs w:val="0"/>
        </w:rPr>
        <w:t>，平面图详见图3-2</w:t>
      </w:r>
      <w:r>
        <w:rPr>
          <w:rFonts w:hAnsi="宋体"/>
          <w:i w:val="0"/>
          <w:iCs w:val="0"/>
        </w:rPr>
        <w:t>。</w:t>
      </w:r>
    </w:p>
    <w:p>
      <w:pPr>
        <w:snapToGrid w:val="0"/>
        <w:spacing w:line="360" w:lineRule="auto"/>
        <w:ind w:firstLine="480" w:firstLineChars="200"/>
        <w:rPr>
          <w:rFonts w:hint="eastAsia"/>
          <w:i w:val="0"/>
          <w:iCs w:val="0"/>
        </w:rPr>
      </w:pPr>
      <w:r>
        <w:rPr>
          <w:rFonts w:hint="eastAsia" w:hAnsi="宋体"/>
          <w:i w:val="0"/>
          <w:iCs w:val="0"/>
        </w:rPr>
        <w:t>本项目构筑物主要包括发酵车间</w:t>
      </w:r>
      <w:r>
        <w:rPr>
          <w:rFonts w:hAnsi="宋体"/>
          <w:i w:val="0"/>
          <w:iCs w:val="0"/>
        </w:rPr>
        <w:t>、提取车间、动力车间、综合库、罐区、危品库、质检楼、倒班宿舍楼、</w:t>
      </w:r>
      <w:r>
        <w:rPr>
          <w:rFonts w:hint="eastAsia" w:hAnsi="宋体"/>
          <w:i w:val="0"/>
          <w:iCs w:val="0"/>
        </w:rPr>
        <w:t>污水站</w:t>
      </w:r>
      <w:r>
        <w:rPr>
          <w:rFonts w:hAnsi="宋体"/>
          <w:i w:val="0"/>
          <w:iCs w:val="0"/>
        </w:rPr>
        <w:t>、门卫</w:t>
      </w:r>
      <w:r>
        <w:rPr>
          <w:rFonts w:hint="eastAsia" w:hAnsi="宋体"/>
          <w:i w:val="0"/>
          <w:iCs w:val="0"/>
        </w:rPr>
        <w:t>及</w:t>
      </w:r>
      <w:r>
        <w:rPr>
          <w:rFonts w:hAnsi="宋体"/>
          <w:i w:val="0"/>
          <w:iCs w:val="0"/>
        </w:rPr>
        <w:t>配套附属公用工程设施等，</w:t>
      </w:r>
      <w:r>
        <w:rPr>
          <w:rFonts w:hint="eastAsia" w:hAnsi="宋体"/>
          <w:i w:val="0"/>
          <w:iCs w:val="0"/>
        </w:rPr>
        <w:t>主要构筑物情况详见下表</w:t>
      </w:r>
      <w:r>
        <w:rPr>
          <w:rFonts w:hint="eastAsia"/>
          <w:i w:val="0"/>
          <w:iCs w:val="0"/>
        </w:rPr>
        <w:t>3</w:t>
      </w:r>
      <w:r>
        <w:rPr>
          <w:i w:val="0"/>
          <w:iCs w:val="0"/>
        </w:rPr>
        <w:t>-</w:t>
      </w:r>
      <w:r>
        <w:rPr>
          <w:rFonts w:hint="eastAsia"/>
          <w:i w:val="0"/>
          <w:iCs w:val="0"/>
        </w:rPr>
        <w:t>1。</w:t>
      </w:r>
    </w:p>
    <w:p>
      <w:pPr>
        <w:ind w:firstLine="723" w:firstLineChars="300"/>
        <w:jc w:val="center"/>
        <w:rPr>
          <w:rFonts w:hint="eastAsia" w:hAnsi="宋体"/>
          <w:b/>
          <w:i w:val="0"/>
          <w:iCs w:val="0"/>
        </w:rPr>
      </w:pPr>
      <w:r>
        <w:rPr>
          <w:rFonts w:hint="eastAsia"/>
          <w:b/>
          <w:i w:val="0"/>
          <w:iCs w:val="0"/>
        </w:rPr>
        <w:t>表3-1项目主要建（构）筑物特征一览表</w:t>
      </w:r>
    </w:p>
    <w:tbl>
      <w:tblPr>
        <w:tblStyle w:val="58"/>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605"/>
        <w:gridCol w:w="1517"/>
        <w:gridCol w:w="1517"/>
        <w:gridCol w:w="1428"/>
        <w:gridCol w:w="22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17" w:type="pct"/>
            <w:noWrap w:val="0"/>
            <w:vAlign w:val="center"/>
          </w:tcPr>
          <w:p>
            <w:pPr>
              <w:jc w:val="center"/>
              <w:rPr>
                <w:rFonts w:hint="eastAsia"/>
                <w:i w:val="0"/>
                <w:iCs w:val="0"/>
                <w:sz w:val="21"/>
                <w:szCs w:val="21"/>
              </w:rPr>
            </w:pPr>
            <w:r>
              <w:rPr>
                <w:rFonts w:hint="eastAsia"/>
                <w:i w:val="0"/>
                <w:iCs w:val="0"/>
                <w:sz w:val="21"/>
                <w:szCs w:val="21"/>
              </w:rPr>
              <w:t>序号</w:t>
            </w:r>
          </w:p>
        </w:tc>
        <w:tc>
          <w:tcPr>
            <w:tcW w:w="864" w:type="pct"/>
            <w:noWrap w:val="0"/>
            <w:vAlign w:val="center"/>
          </w:tcPr>
          <w:p>
            <w:pPr>
              <w:jc w:val="center"/>
              <w:rPr>
                <w:rFonts w:hint="eastAsia"/>
                <w:i w:val="0"/>
                <w:iCs w:val="0"/>
                <w:sz w:val="21"/>
                <w:szCs w:val="21"/>
              </w:rPr>
            </w:pPr>
            <w:r>
              <w:rPr>
                <w:rFonts w:hint="eastAsia"/>
                <w:i w:val="0"/>
                <w:iCs w:val="0"/>
                <w:sz w:val="21"/>
                <w:szCs w:val="21"/>
              </w:rPr>
              <w:t>名称</w:t>
            </w:r>
          </w:p>
        </w:tc>
        <w:tc>
          <w:tcPr>
            <w:tcW w:w="817" w:type="pct"/>
            <w:noWrap w:val="0"/>
            <w:vAlign w:val="center"/>
          </w:tcPr>
          <w:p>
            <w:pPr>
              <w:jc w:val="center"/>
              <w:rPr>
                <w:rFonts w:hint="eastAsia"/>
                <w:i w:val="0"/>
                <w:iCs w:val="0"/>
                <w:sz w:val="21"/>
                <w:szCs w:val="21"/>
              </w:rPr>
            </w:pPr>
            <w:r>
              <w:rPr>
                <w:rFonts w:hint="eastAsia"/>
                <w:i w:val="0"/>
                <w:iCs w:val="0"/>
                <w:sz w:val="21"/>
                <w:szCs w:val="21"/>
              </w:rPr>
              <w:t>占地面积</w:t>
            </w:r>
            <w:r>
              <w:rPr>
                <w:rFonts w:hint="eastAsia"/>
                <w:i w:val="0"/>
                <w:iCs w:val="0"/>
                <w:sz w:val="21"/>
                <w:szCs w:val="21"/>
              </w:rPr>
              <w:br w:type="textWrapping"/>
            </w:r>
            <w:r>
              <w:rPr>
                <w:rFonts w:hint="eastAsia"/>
                <w:i w:val="0"/>
                <w:iCs w:val="0"/>
                <w:sz w:val="21"/>
                <w:szCs w:val="21"/>
              </w:rPr>
              <w:t>（m</w:t>
            </w:r>
            <w:r>
              <w:rPr>
                <w:rFonts w:hint="eastAsia"/>
                <w:i w:val="0"/>
                <w:iCs w:val="0"/>
                <w:sz w:val="21"/>
                <w:szCs w:val="21"/>
                <w:vertAlign w:val="superscript"/>
              </w:rPr>
              <w:t>2</w:t>
            </w:r>
            <w:r>
              <w:rPr>
                <w:rFonts w:hint="eastAsia"/>
                <w:i w:val="0"/>
                <w:iCs w:val="0"/>
                <w:sz w:val="21"/>
                <w:szCs w:val="21"/>
              </w:rPr>
              <w:t>）</w:t>
            </w:r>
          </w:p>
        </w:tc>
        <w:tc>
          <w:tcPr>
            <w:tcW w:w="817" w:type="pct"/>
            <w:noWrap w:val="0"/>
            <w:vAlign w:val="center"/>
          </w:tcPr>
          <w:p>
            <w:pPr>
              <w:jc w:val="center"/>
              <w:rPr>
                <w:rFonts w:hint="eastAsia"/>
                <w:i w:val="0"/>
                <w:iCs w:val="0"/>
                <w:sz w:val="21"/>
                <w:szCs w:val="21"/>
              </w:rPr>
            </w:pPr>
            <w:r>
              <w:rPr>
                <w:rFonts w:hint="eastAsia"/>
                <w:i w:val="0"/>
                <w:iCs w:val="0"/>
                <w:sz w:val="21"/>
                <w:szCs w:val="21"/>
              </w:rPr>
              <w:t>建筑面积</w:t>
            </w:r>
            <w:r>
              <w:rPr>
                <w:rFonts w:hint="eastAsia"/>
                <w:i w:val="0"/>
                <w:iCs w:val="0"/>
                <w:sz w:val="21"/>
                <w:szCs w:val="21"/>
              </w:rPr>
              <w:br w:type="textWrapping"/>
            </w:r>
            <w:r>
              <w:rPr>
                <w:rFonts w:hint="eastAsia"/>
                <w:i w:val="0"/>
                <w:iCs w:val="0"/>
                <w:sz w:val="21"/>
                <w:szCs w:val="21"/>
              </w:rPr>
              <w:t>（m</w:t>
            </w:r>
            <w:r>
              <w:rPr>
                <w:rFonts w:hint="eastAsia"/>
                <w:i w:val="0"/>
                <w:iCs w:val="0"/>
                <w:sz w:val="21"/>
                <w:szCs w:val="21"/>
                <w:vertAlign w:val="superscript"/>
              </w:rPr>
              <w:t>2</w:t>
            </w:r>
            <w:r>
              <w:rPr>
                <w:rFonts w:hint="eastAsia"/>
                <w:i w:val="0"/>
                <w:iCs w:val="0"/>
                <w:sz w:val="21"/>
                <w:szCs w:val="21"/>
              </w:rPr>
              <w:t>）</w:t>
            </w:r>
          </w:p>
        </w:tc>
        <w:tc>
          <w:tcPr>
            <w:tcW w:w="769" w:type="pct"/>
            <w:noWrap w:val="0"/>
            <w:vAlign w:val="center"/>
          </w:tcPr>
          <w:p>
            <w:pPr>
              <w:jc w:val="center"/>
              <w:rPr>
                <w:rFonts w:hint="eastAsia"/>
                <w:i w:val="0"/>
                <w:iCs w:val="0"/>
                <w:sz w:val="21"/>
                <w:szCs w:val="21"/>
              </w:rPr>
            </w:pPr>
            <w:r>
              <w:rPr>
                <w:rFonts w:hint="eastAsia"/>
                <w:i w:val="0"/>
                <w:iCs w:val="0"/>
                <w:sz w:val="21"/>
                <w:szCs w:val="21"/>
              </w:rPr>
              <w:t>层数</w:t>
            </w:r>
          </w:p>
        </w:tc>
        <w:tc>
          <w:tcPr>
            <w:tcW w:w="1213" w:type="pct"/>
            <w:noWrap w:val="0"/>
            <w:vAlign w:val="center"/>
          </w:tcPr>
          <w:p>
            <w:pPr>
              <w:jc w:val="center"/>
              <w:rPr>
                <w:rFonts w:hint="eastAsia"/>
                <w:i w:val="0"/>
                <w:iCs w:val="0"/>
                <w:sz w:val="21"/>
                <w:szCs w:val="21"/>
              </w:rPr>
            </w:pPr>
            <w:r>
              <w:rPr>
                <w:rFonts w:hint="eastAsia"/>
                <w:i w:val="0"/>
                <w:iCs w:val="0"/>
                <w:sz w:val="21"/>
                <w:szCs w:val="21"/>
              </w:rPr>
              <w:t>结构形式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17" w:type="pct"/>
            <w:noWrap w:val="0"/>
            <w:vAlign w:val="center"/>
          </w:tcPr>
          <w:p>
            <w:pPr>
              <w:jc w:val="center"/>
              <w:rPr>
                <w:rFonts w:hint="eastAsia"/>
                <w:i w:val="0"/>
                <w:iCs w:val="0"/>
                <w:sz w:val="21"/>
                <w:szCs w:val="21"/>
              </w:rPr>
            </w:pPr>
            <w:r>
              <w:rPr>
                <w:rFonts w:hint="eastAsia"/>
                <w:i w:val="0"/>
                <w:iCs w:val="0"/>
                <w:sz w:val="21"/>
                <w:szCs w:val="21"/>
              </w:rPr>
              <w:t>1</w:t>
            </w:r>
          </w:p>
        </w:tc>
        <w:tc>
          <w:tcPr>
            <w:tcW w:w="864" w:type="pct"/>
            <w:noWrap w:val="0"/>
            <w:vAlign w:val="center"/>
          </w:tcPr>
          <w:p>
            <w:pPr>
              <w:jc w:val="center"/>
              <w:rPr>
                <w:rFonts w:hint="eastAsia"/>
                <w:i w:val="0"/>
                <w:iCs w:val="0"/>
                <w:sz w:val="21"/>
                <w:szCs w:val="21"/>
              </w:rPr>
            </w:pPr>
            <w:r>
              <w:rPr>
                <w:rFonts w:hint="eastAsia"/>
                <w:i w:val="0"/>
                <w:iCs w:val="0"/>
                <w:sz w:val="21"/>
                <w:szCs w:val="21"/>
              </w:rPr>
              <w:t>倒班宿舍楼</w:t>
            </w:r>
          </w:p>
        </w:tc>
        <w:tc>
          <w:tcPr>
            <w:tcW w:w="817" w:type="pct"/>
            <w:noWrap w:val="0"/>
            <w:vAlign w:val="center"/>
          </w:tcPr>
          <w:p>
            <w:pPr>
              <w:jc w:val="center"/>
              <w:rPr>
                <w:rFonts w:hint="eastAsia"/>
                <w:i w:val="0"/>
                <w:iCs w:val="0"/>
                <w:sz w:val="21"/>
                <w:szCs w:val="21"/>
              </w:rPr>
            </w:pPr>
            <w:r>
              <w:rPr>
                <w:rFonts w:hint="eastAsia"/>
                <w:i w:val="0"/>
                <w:iCs w:val="0"/>
                <w:sz w:val="21"/>
                <w:szCs w:val="21"/>
              </w:rPr>
              <w:t>916.45</w:t>
            </w:r>
          </w:p>
        </w:tc>
        <w:tc>
          <w:tcPr>
            <w:tcW w:w="817" w:type="pct"/>
            <w:noWrap w:val="0"/>
            <w:vAlign w:val="center"/>
          </w:tcPr>
          <w:p>
            <w:pPr>
              <w:jc w:val="center"/>
              <w:rPr>
                <w:i w:val="0"/>
                <w:iCs w:val="0"/>
                <w:sz w:val="21"/>
                <w:szCs w:val="21"/>
              </w:rPr>
            </w:pPr>
            <w:r>
              <w:rPr>
                <w:rFonts w:hint="eastAsia"/>
                <w:i w:val="0"/>
                <w:iCs w:val="0"/>
                <w:sz w:val="21"/>
                <w:szCs w:val="21"/>
              </w:rPr>
              <w:t>5320.7</w:t>
            </w:r>
          </w:p>
        </w:tc>
        <w:tc>
          <w:tcPr>
            <w:tcW w:w="769" w:type="pct"/>
            <w:noWrap w:val="0"/>
            <w:vAlign w:val="center"/>
          </w:tcPr>
          <w:p>
            <w:pPr>
              <w:jc w:val="center"/>
              <w:rPr>
                <w:rFonts w:hint="eastAsia"/>
                <w:i w:val="0"/>
                <w:iCs w:val="0"/>
                <w:sz w:val="21"/>
                <w:szCs w:val="21"/>
              </w:rPr>
            </w:pPr>
            <w:r>
              <w:rPr>
                <w:rFonts w:hint="eastAsia"/>
                <w:i w:val="0"/>
                <w:iCs w:val="0"/>
                <w:sz w:val="21"/>
                <w:szCs w:val="21"/>
              </w:rPr>
              <w:t>6</w:t>
            </w:r>
          </w:p>
        </w:tc>
        <w:tc>
          <w:tcPr>
            <w:tcW w:w="1213" w:type="pct"/>
            <w:noWrap w:val="0"/>
            <w:vAlign w:val="center"/>
          </w:tcPr>
          <w:p>
            <w:pPr>
              <w:jc w:val="center"/>
              <w:rPr>
                <w:rFonts w:hint="eastAsia"/>
                <w:i w:val="0"/>
                <w:iCs w:val="0"/>
                <w:sz w:val="21"/>
                <w:szCs w:val="21"/>
              </w:rPr>
            </w:pPr>
            <w:r>
              <w:rPr>
                <w:rFonts w:hint="eastAsia"/>
                <w:i w:val="0"/>
                <w:iCs w:val="0"/>
                <w:sz w:val="21"/>
                <w:szCs w:val="21"/>
              </w:rPr>
              <w:t>钢筋混凝土框架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17" w:type="pct"/>
            <w:noWrap w:val="0"/>
            <w:vAlign w:val="center"/>
          </w:tcPr>
          <w:p>
            <w:pPr>
              <w:jc w:val="center"/>
              <w:rPr>
                <w:rFonts w:hint="eastAsia"/>
                <w:i w:val="0"/>
                <w:iCs w:val="0"/>
                <w:sz w:val="21"/>
                <w:szCs w:val="21"/>
              </w:rPr>
            </w:pPr>
            <w:r>
              <w:rPr>
                <w:rFonts w:hint="eastAsia"/>
                <w:i w:val="0"/>
                <w:iCs w:val="0"/>
                <w:sz w:val="21"/>
                <w:szCs w:val="21"/>
              </w:rPr>
              <w:t>2</w:t>
            </w:r>
          </w:p>
        </w:tc>
        <w:tc>
          <w:tcPr>
            <w:tcW w:w="864" w:type="pct"/>
            <w:noWrap w:val="0"/>
            <w:vAlign w:val="center"/>
          </w:tcPr>
          <w:p>
            <w:pPr>
              <w:jc w:val="center"/>
              <w:rPr>
                <w:rFonts w:hint="eastAsia"/>
                <w:i w:val="0"/>
                <w:iCs w:val="0"/>
                <w:sz w:val="21"/>
                <w:szCs w:val="21"/>
              </w:rPr>
            </w:pPr>
            <w:r>
              <w:rPr>
                <w:rFonts w:hint="eastAsia"/>
                <w:i w:val="0"/>
                <w:iCs w:val="0"/>
                <w:sz w:val="21"/>
                <w:szCs w:val="21"/>
              </w:rPr>
              <w:t>质检楼</w:t>
            </w:r>
          </w:p>
        </w:tc>
        <w:tc>
          <w:tcPr>
            <w:tcW w:w="817" w:type="pct"/>
            <w:noWrap w:val="0"/>
            <w:vAlign w:val="center"/>
          </w:tcPr>
          <w:p>
            <w:pPr>
              <w:jc w:val="center"/>
              <w:rPr>
                <w:rFonts w:hint="eastAsia"/>
                <w:i w:val="0"/>
                <w:iCs w:val="0"/>
                <w:sz w:val="21"/>
                <w:szCs w:val="21"/>
              </w:rPr>
            </w:pPr>
            <w:r>
              <w:rPr>
                <w:rFonts w:hint="eastAsia"/>
                <w:i w:val="0"/>
                <w:iCs w:val="0"/>
                <w:sz w:val="21"/>
                <w:szCs w:val="21"/>
              </w:rPr>
              <w:t>1158.73</w:t>
            </w:r>
          </w:p>
        </w:tc>
        <w:tc>
          <w:tcPr>
            <w:tcW w:w="817" w:type="pct"/>
            <w:noWrap w:val="0"/>
            <w:vAlign w:val="center"/>
          </w:tcPr>
          <w:p>
            <w:pPr>
              <w:jc w:val="center"/>
              <w:rPr>
                <w:i w:val="0"/>
                <w:iCs w:val="0"/>
                <w:sz w:val="21"/>
                <w:szCs w:val="21"/>
              </w:rPr>
            </w:pPr>
            <w:r>
              <w:rPr>
                <w:rFonts w:hint="eastAsia"/>
                <w:i w:val="0"/>
                <w:iCs w:val="0"/>
                <w:sz w:val="21"/>
                <w:szCs w:val="21"/>
              </w:rPr>
              <w:t>5737.11</w:t>
            </w:r>
          </w:p>
        </w:tc>
        <w:tc>
          <w:tcPr>
            <w:tcW w:w="769" w:type="pct"/>
            <w:noWrap w:val="0"/>
            <w:vAlign w:val="center"/>
          </w:tcPr>
          <w:p>
            <w:pPr>
              <w:jc w:val="center"/>
              <w:rPr>
                <w:rFonts w:hint="eastAsia"/>
                <w:i w:val="0"/>
                <w:iCs w:val="0"/>
                <w:sz w:val="21"/>
                <w:szCs w:val="21"/>
              </w:rPr>
            </w:pPr>
            <w:r>
              <w:rPr>
                <w:rFonts w:hint="eastAsia"/>
                <w:i w:val="0"/>
                <w:iCs w:val="0"/>
                <w:sz w:val="21"/>
                <w:szCs w:val="21"/>
              </w:rPr>
              <w:t>5</w:t>
            </w:r>
          </w:p>
        </w:tc>
        <w:tc>
          <w:tcPr>
            <w:tcW w:w="1213" w:type="pct"/>
            <w:noWrap w:val="0"/>
            <w:vAlign w:val="center"/>
          </w:tcPr>
          <w:p>
            <w:pPr>
              <w:jc w:val="center"/>
              <w:rPr>
                <w:rFonts w:hint="eastAsia"/>
                <w:i w:val="0"/>
                <w:iCs w:val="0"/>
                <w:sz w:val="21"/>
                <w:szCs w:val="21"/>
              </w:rPr>
            </w:pPr>
            <w:r>
              <w:rPr>
                <w:rFonts w:hint="eastAsia"/>
                <w:i w:val="0"/>
                <w:iCs w:val="0"/>
                <w:sz w:val="21"/>
                <w:szCs w:val="21"/>
              </w:rPr>
              <w:t>钢筋混凝土框架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17" w:type="pct"/>
            <w:noWrap w:val="0"/>
            <w:vAlign w:val="center"/>
          </w:tcPr>
          <w:p>
            <w:pPr>
              <w:jc w:val="center"/>
              <w:rPr>
                <w:rFonts w:hint="eastAsia"/>
                <w:i w:val="0"/>
                <w:iCs w:val="0"/>
                <w:sz w:val="21"/>
                <w:szCs w:val="21"/>
              </w:rPr>
            </w:pPr>
            <w:r>
              <w:rPr>
                <w:rFonts w:hint="eastAsia"/>
                <w:i w:val="0"/>
                <w:iCs w:val="0"/>
                <w:sz w:val="21"/>
                <w:szCs w:val="21"/>
              </w:rPr>
              <w:t>3</w:t>
            </w:r>
          </w:p>
        </w:tc>
        <w:tc>
          <w:tcPr>
            <w:tcW w:w="864" w:type="pct"/>
            <w:noWrap w:val="0"/>
            <w:vAlign w:val="center"/>
          </w:tcPr>
          <w:p>
            <w:pPr>
              <w:jc w:val="center"/>
              <w:rPr>
                <w:rFonts w:hint="eastAsia"/>
                <w:i w:val="0"/>
                <w:iCs w:val="0"/>
                <w:sz w:val="21"/>
                <w:szCs w:val="21"/>
              </w:rPr>
            </w:pPr>
            <w:r>
              <w:rPr>
                <w:rFonts w:hint="eastAsia"/>
                <w:i w:val="0"/>
                <w:iCs w:val="0"/>
                <w:sz w:val="21"/>
                <w:szCs w:val="21"/>
              </w:rPr>
              <w:t>发酵车间</w:t>
            </w:r>
          </w:p>
        </w:tc>
        <w:tc>
          <w:tcPr>
            <w:tcW w:w="817" w:type="pct"/>
            <w:noWrap w:val="0"/>
            <w:vAlign w:val="center"/>
          </w:tcPr>
          <w:p>
            <w:pPr>
              <w:jc w:val="center"/>
              <w:rPr>
                <w:rFonts w:hint="eastAsia"/>
                <w:i w:val="0"/>
                <w:iCs w:val="0"/>
                <w:sz w:val="21"/>
                <w:szCs w:val="21"/>
              </w:rPr>
            </w:pPr>
            <w:r>
              <w:rPr>
                <w:rFonts w:hint="eastAsia"/>
                <w:i w:val="0"/>
                <w:iCs w:val="0"/>
                <w:sz w:val="21"/>
                <w:szCs w:val="21"/>
              </w:rPr>
              <w:t>1376.02</w:t>
            </w:r>
          </w:p>
        </w:tc>
        <w:tc>
          <w:tcPr>
            <w:tcW w:w="817" w:type="pct"/>
            <w:noWrap w:val="0"/>
            <w:vAlign w:val="center"/>
          </w:tcPr>
          <w:p>
            <w:pPr>
              <w:jc w:val="center"/>
              <w:rPr>
                <w:i w:val="0"/>
                <w:iCs w:val="0"/>
                <w:sz w:val="21"/>
                <w:szCs w:val="21"/>
              </w:rPr>
            </w:pPr>
            <w:r>
              <w:rPr>
                <w:rFonts w:hint="eastAsia"/>
                <w:i w:val="0"/>
                <w:iCs w:val="0"/>
                <w:sz w:val="21"/>
                <w:szCs w:val="21"/>
              </w:rPr>
              <w:t>4628.2</w:t>
            </w:r>
          </w:p>
        </w:tc>
        <w:tc>
          <w:tcPr>
            <w:tcW w:w="769" w:type="pct"/>
            <w:noWrap w:val="0"/>
            <w:vAlign w:val="center"/>
          </w:tcPr>
          <w:p>
            <w:pPr>
              <w:jc w:val="center"/>
              <w:rPr>
                <w:rFonts w:hint="eastAsia"/>
                <w:i w:val="0"/>
                <w:iCs w:val="0"/>
                <w:sz w:val="21"/>
                <w:szCs w:val="21"/>
              </w:rPr>
            </w:pPr>
            <w:r>
              <w:rPr>
                <w:rFonts w:hint="eastAsia"/>
                <w:i w:val="0"/>
                <w:iCs w:val="0"/>
                <w:sz w:val="21"/>
                <w:szCs w:val="21"/>
              </w:rPr>
              <w:t>3</w:t>
            </w:r>
          </w:p>
        </w:tc>
        <w:tc>
          <w:tcPr>
            <w:tcW w:w="1213" w:type="pct"/>
            <w:noWrap w:val="0"/>
            <w:vAlign w:val="center"/>
          </w:tcPr>
          <w:p>
            <w:pPr>
              <w:jc w:val="center"/>
              <w:rPr>
                <w:rFonts w:hint="eastAsia"/>
                <w:i w:val="0"/>
                <w:iCs w:val="0"/>
                <w:sz w:val="21"/>
                <w:szCs w:val="21"/>
              </w:rPr>
            </w:pPr>
            <w:r>
              <w:rPr>
                <w:rFonts w:hint="eastAsia"/>
                <w:i w:val="0"/>
                <w:iCs w:val="0"/>
                <w:sz w:val="21"/>
                <w:szCs w:val="21"/>
              </w:rPr>
              <w:t>钢筋混凝土框架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17" w:type="pct"/>
            <w:noWrap w:val="0"/>
            <w:vAlign w:val="center"/>
          </w:tcPr>
          <w:p>
            <w:pPr>
              <w:jc w:val="center"/>
              <w:rPr>
                <w:rFonts w:hint="eastAsia"/>
                <w:i w:val="0"/>
                <w:iCs w:val="0"/>
                <w:sz w:val="21"/>
                <w:szCs w:val="21"/>
              </w:rPr>
            </w:pPr>
            <w:r>
              <w:rPr>
                <w:rFonts w:hint="eastAsia"/>
                <w:i w:val="0"/>
                <w:iCs w:val="0"/>
                <w:sz w:val="21"/>
                <w:szCs w:val="21"/>
              </w:rPr>
              <w:t>4</w:t>
            </w:r>
          </w:p>
        </w:tc>
        <w:tc>
          <w:tcPr>
            <w:tcW w:w="864" w:type="pct"/>
            <w:noWrap w:val="0"/>
            <w:vAlign w:val="center"/>
          </w:tcPr>
          <w:p>
            <w:pPr>
              <w:jc w:val="center"/>
              <w:rPr>
                <w:rFonts w:hint="eastAsia"/>
                <w:i w:val="0"/>
                <w:iCs w:val="0"/>
                <w:sz w:val="21"/>
                <w:szCs w:val="21"/>
              </w:rPr>
            </w:pPr>
            <w:r>
              <w:rPr>
                <w:rFonts w:hint="eastAsia"/>
                <w:i w:val="0"/>
                <w:iCs w:val="0"/>
                <w:sz w:val="21"/>
                <w:szCs w:val="21"/>
              </w:rPr>
              <w:t>提取车间</w:t>
            </w:r>
          </w:p>
        </w:tc>
        <w:tc>
          <w:tcPr>
            <w:tcW w:w="817" w:type="pct"/>
            <w:noWrap w:val="0"/>
            <w:vAlign w:val="center"/>
          </w:tcPr>
          <w:p>
            <w:pPr>
              <w:jc w:val="center"/>
              <w:rPr>
                <w:rFonts w:hint="eastAsia"/>
                <w:i w:val="0"/>
                <w:iCs w:val="0"/>
                <w:sz w:val="21"/>
                <w:szCs w:val="21"/>
              </w:rPr>
            </w:pPr>
            <w:r>
              <w:rPr>
                <w:rFonts w:hint="eastAsia"/>
                <w:i w:val="0"/>
                <w:iCs w:val="0"/>
                <w:sz w:val="21"/>
                <w:szCs w:val="21"/>
              </w:rPr>
              <w:t>1417.86</w:t>
            </w:r>
          </w:p>
        </w:tc>
        <w:tc>
          <w:tcPr>
            <w:tcW w:w="817" w:type="pct"/>
            <w:noWrap w:val="0"/>
            <w:vAlign w:val="center"/>
          </w:tcPr>
          <w:p>
            <w:pPr>
              <w:jc w:val="center"/>
              <w:rPr>
                <w:i w:val="0"/>
                <w:iCs w:val="0"/>
                <w:sz w:val="21"/>
                <w:szCs w:val="21"/>
              </w:rPr>
            </w:pPr>
            <w:r>
              <w:rPr>
                <w:rFonts w:hint="eastAsia"/>
                <w:i w:val="0"/>
                <w:iCs w:val="0"/>
                <w:sz w:val="21"/>
                <w:szCs w:val="21"/>
              </w:rPr>
              <w:t>4702.21</w:t>
            </w:r>
          </w:p>
        </w:tc>
        <w:tc>
          <w:tcPr>
            <w:tcW w:w="769" w:type="pct"/>
            <w:noWrap w:val="0"/>
            <w:vAlign w:val="center"/>
          </w:tcPr>
          <w:p>
            <w:pPr>
              <w:jc w:val="center"/>
              <w:rPr>
                <w:rFonts w:hint="eastAsia"/>
                <w:i w:val="0"/>
                <w:iCs w:val="0"/>
                <w:sz w:val="21"/>
                <w:szCs w:val="21"/>
              </w:rPr>
            </w:pPr>
            <w:r>
              <w:rPr>
                <w:rFonts w:hint="eastAsia"/>
                <w:i w:val="0"/>
                <w:iCs w:val="0"/>
                <w:sz w:val="21"/>
                <w:szCs w:val="21"/>
              </w:rPr>
              <w:t>4</w:t>
            </w:r>
          </w:p>
        </w:tc>
        <w:tc>
          <w:tcPr>
            <w:tcW w:w="1213" w:type="pct"/>
            <w:noWrap w:val="0"/>
            <w:vAlign w:val="center"/>
          </w:tcPr>
          <w:p>
            <w:pPr>
              <w:jc w:val="center"/>
              <w:rPr>
                <w:rFonts w:hint="eastAsia"/>
                <w:i w:val="0"/>
                <w:iCs w:val="0"/>
                <w:sz w:val="21"/>
                <w:szCs w:val="21"/>
              </w:rPr>
            </w:pPr>
            <w:r>
              <w:rPr>
                <w:rFonts w:hint="eastAsia"/>
                <w:i w:val="0"/>
                <w:iCs w:val="0"/>
                <w:sz w:val="21"/>
                <w:szCs w:val="21"/>
              </w:rPr>
              <w:t>钢筋混凝土框架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17" w:type="pct"/>
            <w:noWrap w:val="0"/>
            <w:vAlign w:val="center"/>
          </w:tcPr>
          <w:p>
            <w:pPr>
              <w:jc w:val="center"/>
              <w:rPr>
                <w:rFonts w:hint="eastAsia"/>
                <w:i w:val="0"/>
                <w:iCs w:val="0"/>
                <w:sz w:val="21"/>
                <w:szCs w:val="21"/>
              </w:rPr>
            </w:pPr>
            <w:r>
              <w:rPr>
                <w:rFonts w:hint="eastAsia"/>
                <w:i w:val="0"/>
                <w:iCs w:val="0"/>
                <w:sz w:val="21"/>
                <w:szCs w:val="21"/>
              </w:rPr>
              <w:t>5</w:t>
            </w:r>
          </w:p>
        </w:tc>
        <w:tc>
          <w:tcPr>
            <w:tcW w:w="864" w:type="pct"/>
            <w:noWrap w:val="0"/>
            <w:vAlign w:val="center"/>
          </w:tcPr>
          <w:p>
            <w:pPr>
              <w:jc w:val="center"/>
              <w:rPr>
                <w:rFonts w:hint="eastAsia"/>
                <w:i w:val="0"/>
                <w:iCs w:val="0"/>
                <w:sz w:val="21"/>
                <w:szCs w:val="21"/>
              </w:rPr>
            </w:pPr>
            <w:r>
              <w:rPr>
                <w:rFonts w:hint="eastAsia"/>
                <w:i w:val="0"/>
                <w:iCs w:val="0"/>
                <w:sz w:val="21"/>
                <w:szCs w:val="21"/>
              </w:rPr>
              <w:t>动力车间</w:t>
            </w:r>
          </w:p>
        </w:tc>
        <w:tc>
          <w:tcPr>
            <w:tcW w:w="817" w:type="pct"/>
            <w:noWrap w:val="0"/>
            <w:vAlign w:val="center"/>
          </w:tcPr>
          <w:p>
            <w:pPr>
              <w:jc w:val="center"/>
              <w:rPr>
                <w:rFonts w:hint="eastAsia"/>
                <w:i w:val="0"/>
                <w:iCs w:val="0"/>
                <w:sz w:val="21"/>
                <w:szCs w:val="21"/>
              </w:rPr>
            </w:pPr>
            <w:r>
              <w:rPr>
                <w:rFonts w:hint="eastAsia"/>
                <w:i w:val="0"/>
                <w:iCs w:val="0"/>
                <w:sz w:val="21"/>
                <w:szCs w:val="21"/>
              </w:rPr>
              <w:t>1649.3</w:t>
            </w:r>
          </w:p>
        </w:tc>
        <w:tc>
          <w:tcPr>
            <w:tcW w:w="817" w:type="pct"/>
            <w:noWrap w:val="0"/>
            <w:vAlign w:val="center"/>
          </w:tcPr>
          <w:p>
            <w:pPr>
              <w:jc w:val="center"/>
              <w:rPr>
                <w:i w:val="0"/>
                <w:iCs w:val="0"/>
                <w:sz w:val="21"/>
                <w:szCs w:val="21"/>
              </w:rPr>
            </w:pPr>
            <w:r>
              <w:rPr>
                <w:rFonts w:hint="eastAsia"/>
                <w:i w:val="0"/>
                <w:iCs w:val="0"/>
                <w:sz w:val="21"/>
                <w:szCs w:val="21"/>
              </w:rPr>
              <w:t>1649.3</w:t>
            </w:r>
          </w:p>
        </w:tc>
        <w:tc>
          <w:tcPr>
            <w:tcW w:w="769" w:type="pct"/>
            <w:noWrap w:val="0"/>
            <w:vAlign w:val="center"/>
          </w:tcPr>
          <w:p>
            <w:pPr>
              <w:jc w:val="center"/>
              <w:rPr>
                <w:rFonts w:hint="eastAsia"/>
                <w:i w:val="0"/>
                <w:iCs w:val="0"/>
                <w:sz w:val="21"/>
                <w:szCs w:val="21"/>
              </w:rPr>
            </w:pPr>
            <w:r>
              <w:rPr>
                <w:rFonts w:hint="eastAsia"/>
                <w:i w:val="0"/>
                <w:iCs w:val="0"/>
                <w:sz w:val="21"/>
                <w:szCs w:val="21"/>
              </w:rPr>
              <w:t>1</w:t>
            </w:r>
          </w:p>
        </w:tc>
        <w:tc>
          <w:tcPr>
            <w:tcW w:w="1213" w:type="pct"/>
            <w:noWrap w:val="0"/>
            <w:vAlign w:val="center"/>
          </w:tcPr>
          <w:p>
            <w:pPr>
              <w:jc w:val="center"/>
              <w:rPr>
                <w:rFonts w:hint="eastAsia"/>
                <w:i w:val="0"/>
                <w:iCs w:val="0"/>
                <w:sz w:val="21"/>
                <w:szCs w:val="21"/>
              </w:rPr>
            </w:pPr>
            <w:r>
              <w:rPr>
                <w:rFonts w:hint="eastAsia"/>
                <w:i w:val="0"/>
                <w:iCs w:val="0"/>
                <w:sz w:val="21"/>
                <w:szCs w:val="21"/>
              </w:rPr>
              <w:t>钢筋混凝土框架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17" w:type="pct"/>
            <w:noWrap w:val="0"/>
            <w:vAlign w:val="center"/>
          </w:tcPr>
          <w:p>
            <w:pPr>
              <w:jc w:val="center"/>
              <w:rPr>
                <w:rFonts w:hint="eastAsia"/>
                <w:i w:val="0"/>
                <w:iCs w:val="0"/>
                <w:sz w:val="21"/>
                <w:szCs w:val="21"/>
              </w:rPr>
            </w:pPr>
            <w:r>
              <w:rPr>
                <w:rFonts w:hint="eastAsia"/>
                <w:i w:val="0"/>
                <w:iCs w:val="0"/>
                <w:sz w:val="21"/>
                <w:szCs w:val="21"/>
              </w:rPr>
              <w:t>6</w:t>
            </w:r>
          </w:p>
        </w:tc>
        <w:tc>
          <w:tcPr>
            <w:tcW w:w="864" w:type="pct"/>
            <w:noWrap w:val="0"/>
            <w:vAlign w:val="center"/>
          </w:tcPr>
          <w:p>
            <w:pPr>
              <w:jc w:val="center"/>
              <w:rPr>
                <w:rFonts w:hint="eastAsia"/>
                <w:i w:val="0"/>
                <w:iCs w:val="0"/>
                <w:sz w:val="21"/>
                <w:szCs w:val="21"/>
              </w:rPr>
            </w:pPr>
            <w:r>
              <w:rPr>
                <w:rFonts w:hint="eastAsia"/>
                <w:i w:val="0"/>
                <w:iCs w:val="0"/>
                <w:sz w:val="21"/>
                <w:szCs w:val="21"/>
              </w:rPr>
              <w:t>综合库</w:t>
            </w:r>
          </w:p>
        </w:tc>
        <w:tc>
          <w:tcPr>
            <w:tcW w:w="817" w:type="pct"/>
            <w:noWrap w:val="0"/>
            <w:vAlign w:val="center"/>
          </w:tcPr>
          <w:p>
            <w:pPr>
              <w:jc w:val="center"/>
              <w:rPr>
                <w:rFonts w:hint="eastAsia"/>
                <w:i w:val="0"/>
                <w:iCs w:val="0"/>
                <w:sz w:val="21"/>
                <w:szCs w:val="21"/>
              </w:rPr>
            </w:pPr>
            <w:r>
              <w:rPr>
                <w:rFonts w:hint="eastAsia"/>
                <w:i w:val="0"/>
                <w:iCs w:val="0"/>
                <w:sz w:val="21"/>
                <w:szCs w:val="21"/>
              </w:rPr>
              <w:t>2400.3</w:t>
            </w:r>
          </w:p>
        </w:tc>
        <w:tc>
          <w:tcPr>
            <w:tcW w:w="817" w:type="pct"/>
            <w:noWrap w:val="0"/>
            <w:vAlign w:val="center"/>
          </w:tcPr>
          <w:p>
            <w:pPr>
              <w:jc w:val="center"/>
              <w:rPr>
                <w:i w:val="0"/>
                <w:iCs w:val="0"/>
                <w:sz w:val="21"/>
                <w:szCs w:val="21"/>
              </w:rPr>
            </w:pPr>
            <w:r>
              <w:rPr>
                <w:rFonts w:hint="eastAsia"/>
                <w:i w:val="0"/>
                <w:iCs w:val="0"/>
                <w:sz w:val="21"/>
                <w:szCs w:val="21"/>
              </w:rPr>
              <w:t>8937.36</w:t>
            </w:r>
          </w:p>
        </w:tc>
        <w:tc>
          <w:tcPr>
            <w:tcW w:w="769" w:type="pct"/>
            <w:noWrap w:val="0"/>
            <w:vAlign w:val="center"/>
          </w:tcPr>
          <w:p>
            <w:pPr>
              <w:jc w:val="center"/>
              <w:rPr>
                <w:rFonts w:hint="eastAsia"/>
                <w:i w:val="0"/>
                <w:iCs w:val="0"/>
                <w:sz w:val="21"/>
                <w:szCs w:val="21"/>
              </w:rPr>
            </w:pPr>
            <w:r>
              <w:rPr>
                <w:rFonts w:hint="eastAsia"/>
                <w:i w:val="0"/>
                <w:iCs w:val="0"/>
                <w:sz w:val="21"/>
                <w:szCs w:val="21"/>
              </w:rPr>
              <w:t>4</w:t>
            </w:r>
          </w:p>
        </w:tc>
        <w:tc>
          <w:tcPr>
            <w:tcW w:w="1213" w:type="pct"/>
            <w:noWrap w:val="0"/>
            <w:vAlign w:val="center"/>
          </w:tcPr>
          <w:p>
            <w:pPr>
              <w:jc w:val="center"/>
              <w:rPr>
                <w:rFonts w:hint="eastAsia"/>
                <w:i w:val="0"/>
                <w:iCs w:val="0"/>
                <w:sz w:val="21"/>
                <w:szCs w:val="21"/>
              </w:rPr>
            </w:pPr>
            <w:r>
              <w:rPr>
                <w:rFonts w:hint="eastAsia"/>
                <w:i w:val="0"/>
                <w:iCs w:val="0"/>
                <w:sz w:val="21"/>
                <w:szCs w:val="21"/>
              </w:rPr>
              <w:t>钢筋混凝土框架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17" w:type="pct"/>
            <w:noWrap w:val="0"/>
            <w:vAlign w:val="center"/>
          </w:tcPr>
          <w:p>
            <w:pPr>
              <w:jc w:val="center"/>
              <w:rPr>
                <w:rFonts w:hint="eastAsia"/>
                <w:i w:val="0"/>
                <w:iCs w:val="0"/>
                <w:sz w:val="21"/>
                <w:szCs w:val="21"/>
              </w:rPr>
            </w:pPr>
            <w:r>
              <w:rPr>
                <w:rFonts w:hint="eastAsia"/>
                <w:i w:val="0"/>
                <w:iCs w:val="0"/>
                <w:sz w:val="21"/>
                <w:szCs w:val="21"/>
              </w:rPr>
              <w:t>7</w:t>
            </w:r>
          </w:p>
        </w:tc>
        <w:tc>
          <w:tcPr>
            <w:tcW w:w="864" w:type="pct"/>
            <w:noWrap w:val="0"/>
            <w:vAlign w:val="center"/>
          </w:tcPr>
          <w:p>
            <w:pPr>
              <w:jc w:val="center"/>
              <w:rPr>
                <w:rFonts w:hint="eastAsia"/>
                <w:i w:val="0"/>
                <w:iCs w:val="0"/>
                <w:sz w:val="21"/>
                <w:szCs w:val="21"/>
              </w:rPr>
            </w:pPr>
            <w:r>
              <w:rPr>
                <w:rFonts w:hint="eastAsia"/>
                <w:i w:val="0"/>
                <w:iCs w:val="0"/>
                <w:sz w:val="21"/>
                <w:szCs w:val="21"/>
              </w:rPr>
              <w:t>罐区</w:t>
            </w:r>
          </w:p>
        </w:tc>
        <w:tc>
          <w:tcPr>
            <w:tcW w:w="817" w:type="pct"/>
            <w:noWrap w:val="0"/>
            <w:vAlign w:val="center"/>
          </w:tcPr>
          <w:p>
            <w:pPr>
              <w:jc w:val="center"/>
              <w:rPr>
                <w:rFonts w:hint="eastAsia"/>
                <w:i w:val="0"/>
                <w:iCs w:val="0"/>
                <w:sz w:val="21"/>
                <w:szCs w:val="21"/>
              </w:rPr>
            </w:pPr>
            <w:r>
              <w:rPr>
                <w:rFonts w:hint="eastAsia"/>
                <w:i w:val="0"/>
                <w:iCs w:val="0"/>
                <w:sz w:val="21"/>
                <w:szCs w:val="21"/>
              </w:rPr>
              <w:t>104.57</w:t>
            </w:r>
          </w:p>
        </w:tc>
        <w:tc>
          <w:tcPr>
            <w:tcW w:w="817" w:type="pct"/>
            <w:noWrap w:val="0"/>
            <w:vAlign w:val="center"/>
          </w:tcPr>
          <w:p>
            <w:pPr>
              <w:jc w:val="center"/>
              <w:rPr>
                <w:rFonts w:hint="eastAsia"/>
                <w:i w:val="0"/>
                <w:iCs w:val="0"/>
                <w:sz w:val="21"/>
                <w:szCs w:val="21"/>
              </w:rPr>
            </w:pPr>
            <w:r>
              <w:rPr>
                <w:rFonts w:hint="eastAsia"/>
                <w:i w:val="0"/>
                <w:iCs w:val="0"/>
                <w:sz w:val="21"/>
                <w:szCs w:val="21"/>
              </w:rPr>
              <w:t>　</w:t>
            </w:r>
          </w:p>
        </w:tc>
        <w:tc>
          <w:tcPr>
            <w:tcW w:w="769" w:type="pct"/>
            <w:noWrap w:val="0"/>
            <w:vAlign w:val="center"/>
          </w:tcPr>
          <w:p>
            <w:pPr>
              <w:jc w:val="center"/>
              <w:rPr>
                <w:rFonts w:hint="eastAsia"/>
                <w:i w:val="0"/>
                <w:iCs w:val="0"/>
                <w:sz w:val="21"/>
                <w:szCs w:val="21"/>
              </w:rPr>
            </w:pPr>
            <w:r>
              <w:rPr>
                <w:rFonts w:hint="eastAsia"/>
                <w:i w:val="0"/>
                <w:iCs w:val="0"/>
                <w:sz w:val="21"/>
                <w:szCs w:val="21"/>
              </w:rPr>
              <w:t>　</w:t>
            </w:r>
          </w:p>
        </w:tc>
        <w:tc>
          <w:tcPr>
            <w:tcW w:w="1213" w:type="pct"/>
            <w:noWrap w:val="0"/>
            <w:vAlign w:val="center"/>
          </w:tcPr>
          <w:p>
            <w:pPr>
              <w:jc w:val="center"/>
              <w:rPr>
                <w:rFonts w:hint="eastAsia"/>
                <w:i w:val="0"/>
                <w:iCs w:val="0"/>
                <w:sz w:val="21"/>
                <w:szCs w:val="21"/>
              </w:rPr>
            </w:pPr>
            <w:r>
              <w:rPr>
                <w:rFonts w:hint="eastAsia"/>
                <w:i w:val="0"/>
                <w:iCs w:val="0"/>
                <w:sz w:val="21"/>
                <w:szCs w:val="21"/>
              </w:rPr>
              <w:t>钢筋混凝土罐池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17" w:type="pct"/>
            <w:noWrap w:val="0"/>
            <w:vAlign w:val="center"/>
          </w:tcPr>
          <w:p>
            <w:pPr>
              <w:jc w:val="center"/>
              <w:rPr>
                <w:rFonts w:hint="eastAsia"/>
                <w:i w:val="0"/>
                <w:iCs w:val="0"/>
                <w:sz w:val="21"/>
                <w:szCs w:val="21"/>
              </w:rPr>
            </w:pPr>
            <w:r>
              <w:rPr>
                <w:rFonts w:hint="eastAsia"/>
                <w:i w:val="0"/>
                <w:iCs w:val="0"/>
                <w:sz w:val="21"/>
                <w:szCs w:val="21"/>
              </w:rPr>
              <w:t>8</w:t>
            </w:r>
          </w:p>
        </w:tc>
        <w:tc>
          <w:tcPr>
            <w:tcW w:w="864" w:type="pct"/>
            <w:noWrap w:val="0"/>
            <w:vAlign w:val="center"/>
          </w:tcPr>
          <w:p>
            <w:pPr>
              <w:jc w:val="center"/>
              <w:rPr>
                <w:rFonts w:hint="eastAsia"/>
                <w:i w:val="0"/>
                <w:iCs w:val="0"/>
                <w:sz w:val="21"/>
                <w:szCs w:val="21"/>
              </w:rPr>
            </w:pPr>
            <w:r>
              <w:rPr>
                <w:rFonts w:hint="eastAsia"/>
                <w:i w:val="0"/>
                <w:iCs w:val="0"/>
                <w:sz w:val="21"/>
                <w:szCs w:val="21"/>
              </w:rPr>
              <w:t>危品库</w:t>
            </w:r>
          </w:p>
        </w:tc>
        <w:tc>
          <w:tcPr>
            <w:tcW w:w="817" w:type="pct"/>
            <w:noWrap w:val="0"/>
            <w:vAlign w:val="center"/>
          </w:tcPr>
          <w:p>
            <w:pPr>
              <w:jc w:val="center"/>
              <w:rPr>
                <w:rFonts w:hint="eastAsia"/>
                <w:i w:val="0"/>
                <w:iCs w:val="0"/>
                <w:sz w:val="21"/>
                <w:szCs w:val="21"/>
              </w:rPr>
            </w:pPr>
            <w:r>
              <w:rPr>
                <w:rFonts w:hint="eastAsia"/>
                <w:i w:val="0"/>
                <w:iCs w:val="0"/>
                <w:sz w:val="21"/>
                <w:szCs w:val="21"/>
              </w:rPr>
              <w:t>180</w:t>
            </w:r>
          </w:p>
        </w:tc>
        <w:tc>
          <w:tcPr>
            <w:tcW w:w="817" w:type="pct"/>
            <w:noWrap w:val="0"/>
            <w:vAlign w:val="center"/>
          </w:tcPr>
          <w:p>
            <w:pPr>
              <w:jc w:val="center"/>
              <w:rPr>
                <w:rFonts w:hint="eastAsia"/>
                <w:i w:val="0"/>
                <w:iCs w:val="0"/>
                <w:sz w:val="21"/>
                <w:szCs w:val="21"/>
              </w:rPr>
            </w:pPr>
            <w:r>
              <w:rPr>
                <w:rFonts w:hint="eastAsia"/>
                <w:i w:val="0"/>
                <w:iCs w:val="0"/>
                <w:sz w:val="21"/>
                <w:szCs w:val="21"/>
              </w:rPr>
              <w:t>180</w:t>
            </w:r>
          </w:p>
        </w:tc>
        <w:tc>
          <w:tcPr>
            <w:tcW w:w="769" w:type="pct"/>
            <w:noWrap w:val="0"/>
            <w:vAlign w:val="center"/>
          </w:tcPr>
          <w:p>
            <w:pPr>
              <w:jc w:val="center"/>
              <w:rPr>
                <w:rFonts w:hint="eastAsia"/>
                <w:i w:val="0"/>
                <w:iCs w:val="0"/>
                <w:sz w:val="21"/>
                <w:szCs w:val="21"/>
              </w:rPr>
            </w:pPr>
            <w:r>
              <w:rPr>
                <w:rFonts w:hint="eastAsia"/>
                <w:i w:val="0"/>
                <w:iCs w:val="0"/>
                <w:sz w:val="21"/>
                <w:szCs w:val="21"/>
              </w:rPr>
              <w:t>1</w:t>
            </w:r>
          </w:p>
        </w:tc>
        <w:tc>
          <w:tcPr>
            <w:tcW w:w="1213" w:type="pct"/>
            <w:noWrap w:val="0"/>
            <w:vAlign w:val="center"/>
          </w:tcPr>
          <w:p>
            <w:pPr>
              <w:jc w:val="center"/>
              <w:rPr>
                <w:rFonts w:hint="eastAsia"/>
                <w:i w:val="0"/>
                <w:iCs w:val="0"/>
                <w:sz w:val="21"/>
                <w:szCs w:val="21"/>
              </w:rPr>
            </w:pPr>
            <w:r>
              <w:rPr>
                <w:rFonts w:hint="eastAsia"/>
                <w:i w:val="0"/>
                <w:iCs w:val="0"/>
                <w:sz w:val="21"/>
                <w:szCs w:val="21"/>
              </w:rPr>
              <w:t>钢筋混凝土框架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7" w:type="pct"/>
            <w:noWrap w:val="0"/>
            <w:vAlign w:val="center"/>
          </w:tcPr>
          <w:p>
            <w:pPr>
              <w:jc w:val="center"/>
              <w:rPr>
                <w:rFonts w:hint="eastAsia"/>
                <w:i w:val="0"/>
                <w:iCs w:val="0"/>
                <w:sz w:val="21"/>
                <w:szCs w:val="21"/>
              </w:rPr>
            </w:pPr>
            <w:r>
              <w:rPr>
                <w:rFonts w:hint="eastAsia"/>
                <w:i w:val="0"/>
                <w:iCs w:val="0"/>
                <w:sz w:val="21"/>
                <w:szCs w:val="21"/>
              </w:rPr>
              <w:t>9</w:t>
            </w:r>
          </w:p>
        </w:tc>
        <w:tc>
          <w:tcPr>
            <w:tcW w:w="864" w:type="pct"/>
            <w:noWrap w:val="0"/>
            <w:vAlign w:val="center"/>
          </w:tcPr>
          <w:p>
            <w:pPr>
              <w:jc w:val="center"/>
              <w:rPr>
                <w:rFonts w:hint="eastAsia"/>
                <w:i w:val="0"/>
                <w:iCs w:val="0"/>
                <w:sz w:val="21"/>
                <w:szCs w:val="21"/>
              </w:rPr>
            </w:pPr>
            <w:r>
              <w:rPr>
                <w:rFonts w:hint="eastAsia"/>
                <w:i w:val="0"/>
                <w:iCs w:val="0"/>
                <w:sz w:val="21"/>
                <w:szCs w:val="21"/>
              </w:rPr>
              <w:t>污水站</w:t>
            </w:r>
          </w:p>
        </w:tc>
        <w:tc>
          <w:tcPr>
            <w:tcW w:w="817" w:type="pct"/>
            <w:noWrap w:val="0"/>
            <w:vAlign w:val="center"/>
          </w:tcPr>
          <w:p>
            <w:pPr>
              <w:jc w:val="center"/>
              <w:rPr>
                <w:i w:val="0"/>
                <w:iCs w:val="0"/>
                <w:sz w:val="21"/>
                <w:szCs w:val="21"/>
              </w:rPr>
            </w:pPr>
            <w:r>
              <w:rPr>
                <w:rFonts w:hint="eastAsia"/>
                <w:i w:val="0"/>
                <w:iCs w:val="0"/>
                <w:sz w:val="21"/>
                <w:szCs w:val="21"/>
              </w:rPr>
              <w:t>4546.15</w:t>
            </w:r>
          </w:p>
        </w:tc>
        <w:tc>
          <w:tcPr>
            <w:tcW w:w="817" w:type="pct"/>
            <w:noWrap w:val="0"/>
            <w:vAlign w:val="center"/>
          </w:tcPr>
          <w:p>
            <w:pPr>
              <w:jc w:val="center"/>
              <w:rPr>
                <w:rFonts w:hint="eastAsia"/>
                <w:i w:val="0"/>
                <w:iCs w:val="0"/>
                <w:sz w:val="21"/>
                <w:szCs w:val="21"/>
              </w:rPr>
            </w:pPr>
            <w:r>
              <w:rPr>
                <w:rFonts w:hint="eastAsia"/>
                <w:i w:val="0"/>
                <w:iCs w:val="0"/>
                <w:sz w:val="21"/>
                <w:szCs w:val="21"/>
              </w:rPr>
              <w:t>　</w:t>
            </w:r>
          </w:p>
        </w:tc>
        <w:tc>
          <w:tcPr>
            <w:tcW w:w="769" w:type="pct"/>
            <w:noWrap w:val="0"/>
            <w:vAlign w:val="center"/>
          </w:tcPr>
          <w:p>
            <w:pPr>
              <w:jc w:val="center"/>
              <w:rPr>
                <w:rFonts w:hint="eastAsia"/>
                <w:i w:val="0"/>
                <w:iCs w:val="0"/>
                <w:sz w:val="21"/>
                <w:szCs w:val="21"/>
              </w:rPr>
            </w:pPr>
            <w:r>
              <w:rPr>
                <w:rFonts w:hint="eastAsia"/>
                <w:i w:val="0"/>
                <w:iCs w:val="0"/>
                <w:sz w:val="21"/>
                <w:szCs w:val="21"/>
              </w:rPr>
              <w:t>1　</w:t>
            </w:r>
          </w:p>
        </w:tc>
        <w:tc>
          <w:tcPr>
            <w:tcW w:w="1213" w:type="pct"/>
            <w:noWrap w:val="0"/>
            <w:vAlign w:val="center"/>
          </w:tcPr>
          <w:p>
            <w:pPr>
              <w:jc w:val="center"/>
              <w:rPr>
                <w:rFonts w:hint="eastAsia"/>
                <w:i w:val="0"/>
                <w:iCs w:val="0"/>
                <w:sz w:val="21"/>
                <w:szCs w:val="21"/>
              </w:rPr>
            </w:pPr>
            <w:r>
              <w:rPr>
                <w:rFonts w:hint="eastAsia"/>
                <w:i w:val="0"/>
                <w:iCs w:val="0"/>
                <w:sz w:val="21"/>
                <w:szCs w:val="21"/>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17" w:type="pct"/>
            <w:noWrap w:val="0"/>
            <w:vAlign w:val="center"/>
          </w:tcPr>
          <w:p>
            <w:pPr>
              <w:jc w:val="center"/>
              <w:rPr>
                <w:rFonts w:hint="eastAsia"/>
                <w:i w:val="0"/>
                <w:iCs w:val="0"/>
                <w:sz w:val="21"/>
                <w:szCs w:val="21"/>
              </w:rPr>
            </w:pPr>
            <w:r>
              <w:rPr>
                <w:rFonts w:hint="eastAsia"/>
                <w:i w:val="0"/>
                <w:iCs w:val="0"/>
                <w:sz w:val="21"/>
                <w:szCs w:val="21"/>
              </w:rPr>
              <w:t>10</w:t>
            </w:r>
          </w:p>
        </w:tc>
        <w:tc>
          <w:tcPr>
            <w:tcW w:w="864" w:type="pct"/>
            <w:noWrap w:val="0"/>
            <w:vAlign w:val="center"/>
          </w:tcPr>
          <w:p>
            <w:pPr>
              <w:jc w:val="center"/>
              <w:rPr>
                <w:rFonts w:hint="eastAsia"/>
                <w:i w:val="0"/>
                <w:iCs w:val="0"/>
                <w:sz w:val="21"/>
                <w:szCs w:val="21"/>
              </w:rPr>
            </w:pPr>
            <w:r>
              <w:rPr>
                <w:rFonts w:hint="eastAsia"/>
                <w:i w:val="0"/>
                <w:iCs w:val="0"/>
                <w:sz w:val="21"/>
                <w:szCs w:val="21"/>
              </w:rPr>
              <w:t>物流门卫</w:t>
            </w:r>
          </w:p>
        </w:tc>
        <w:tc>
          <w:tcPr>
            <w:tcW w:w="817" w:type="pct"/>
            <w:noWrap w:val="0"/>
            <w:vAlign w:val="center"/>
          </w:tcPr>
          <w:p>
            <w:pPr>
              <w:jc w:val="center"/>
              <w:rPr>
                <w:rFonts w:hint="eastAsia"/>
                <w:i w:val="0"/>
                <w:iCs w:val="0"/>
                <w:sz w:val="21"/>
                <w:szCs w:val="21"/>
              </w:rPr>
            </w:pPr>
            <w:r>
              <w:rPr>
                <w:rFonts w:hint="eastAsia"/>
                <w:i w:val="0"/>
                <w:iCs w:val="0"/>
                <w:sz w:val="21"/>
                <w:szCs w:val="21"/>
              </w:rPr>
              <w:t>25</w:t>
            </w:r>
          </w:p>
        </w:tc>
        <w:tc>
          <w:tcPr>
            <w:tcW w:w="817" w:type="pct"/>
            <w:noWrap w:val="0"/>
            <w:vAlign w:val="center"/>
          </w:tcPr>
          <w:p>
            <w:pPr>
              <w:jc w:val="center"/>
              <w:rPr>
                <w:rFonts w:hint="eastAsia"/>
                <w:i w:val="0"/>
                <w:iCs w:val="0"/>
                <w:sz w:val="21"/>
                <w:szCs w:val="21"/>
              </w:rPr>
            </w:pPr>
            <w:r>
              <w:rPr>
                <w:rFonts w:hint="eastAsia"/>
                <w:i w:val="0"/>
                <w:iCs w:val="0"/>
                <w:sz w:val="21"/>
                <w:szCs w:val="21"/>
              </w:rPr>
              <w:t>25</w:t>
            </w:r>
          </w:p>
        </w:tc>
        <w:tc>
          <w:tcPr>
            <w:tcW w:w="769" w:type="pct"/>
            <w:noWrap w:val="0"/>
            <w:vAlign w:val="center"/>
          </w:tcPr>
          <w:p>
            <w:pPr>
              <w:jc w:val="center"/>
              <w:rPr>
                <w:rFonts w:hint="eastAsia"/>
                <w:i w:val="0"/>
                <w:iCs w:val="0"/>
                <w:sz w:val="21"/>
                <w:szCs w:val="21"/>
              </w:rPr>
            </w:pPr>
            <w:r>
              <w:rPr>
                <w:rFonts w:hint="eastAsia"/>
                <w:i w:val="0"/>
                <w:iCs w:val="0"/>
                <w:sz w:val="21"/>
                <w:szCs w:val="21"/>
              </w:rPr>
              <w:t>1</w:t>
            </w:r>
          </w:p>
        </w:tc>
        <w:tc>
          <w:tcPr>
            <w:tcW w:w="1213" w:type="pct"/>
            <w:noWrap w:val="0"/>
            <w:vAlign w:val="center"/>
          </w:tcPr>
          <w:p>
            <w:pPr>
              <w:jc w:val="center"/>
              <w:rPr>
                <w:rFonts w:hint="eastAsia"/>
                <w:i w:val="0"/>
                <w:iCs w:val="0"/>
                <w:sz w:val="21"/>
                <w:szCs w:val="21"/>
              </w:rPr>
            </w:pPr>
            <w:r>
              <w:rPr>
                <w:rFonts w:hint="eastAsia"/>
                <w:i w:val="0"/>
                <w:iCs w:val="0"/>
                <w:sz w:val="21"/>
                <w:szCs w:val="21"/>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17" w:type="pct"/>
            <w:noWrap w:val="0"/>
            <w:vAlign w:val="center"/>
          </w:tcPr>
          <w:p>
            <w:pPr>
              <w:jc w:val="center"/>
              <w:rPr>
                <w:rFonts w:hint="eastAsia"/>
                <w:i w:val="0"/>
                <w:iCs w:val="0"/>
                <w:sz w:val="21"/>
                <w:szCs w:val="21"/>
              </w:rPr>
            </w:pPr>
            <w:r>
              <w:rPr>
                <w:rFonts w:hint="eastAsia"/>
                <w:i w:val="0"/>
                <w:iCs w:val="0"/>
                <w:sz w:val="21"/>
                <w:szCs w:val="21"/>
              </w:rPr>
              <w:t>11</w:t>
            </w:r>
          </w:p>
        </w:tc>
        <w:tc>
          <w:tcPr>
            <w:tcW w:w="864" w:type="pct"/>
            <w:noWrap w:val="0"/>
            <w:vAlign w:val="center"/>
          </w:tcPr>
          <w:p>
            <w:pPr>
              <w:jc w:val="center"/>
              <w:rPr>
                <w:rFonts w:hint="eastAsia"/>
                <w:i w:val="0"/>
                <w:iCs w:val="0"/>
                <w:sz w:val="21"/>
                <w:szCs w:val="21"/>
              </w:rPr>
            </w:pPr>
            <w:r>
              <w:rPr>
                <w:rFonts w:hint="eastAsia"/>
                <w:i w:val="0"/>
                <w:iCs w:val="0"/>
                <w:sz w:val="21"/>
                <w:szCs w:val="21"/>
              </w:rPr>
              <w:t>预留车间1</w:t>
            </w:r>
          </w:p>
        </w:tc>
        <w:tc>
          <w:tcPr>
            <w:tcW w:w="817" w:type="pct"/>
            <w:noWrap w:val="0"/>
            <w:vAlign w:val="center"/>
          </w:tcPr>
          <w:p>
            <w:pPr>
              <w:jc w:val="center"/>
              <w:rPr>
                <w:rFonts w:hint="eastAsia"/>
                <w:i w:val="0"/>
                <w:iCs w:val="0"/>
                <w:sz w:val="21"/>
                <w:szCs w:val="21"/>
              </w:rPr>
            </w:pPr>
            <w:r>
              <w:rPr>
                <w:rFonts w:hint="eastAsia"/>
                <w:i w:val="0"/>
                <w:iCs w:val="0"/>
                <w:sz w:val="21"/>
                <w:szCs w:val="21"/>
              </w:rPr>
              <w:t>1577.1</w:t>
            </w:r>
          </w:p>
        </w:tc>
        <w:tc>
          <w:tcPr>
            <w:tcW w:w="817" w:type="pct"/>
            <w:noWrap w:val="0"/>
            <w:vAlign w:val="center"/>
          </w:tcPr>
          <w:p>
            <w:pPr>
              <w:jc w:val="center"/>
              <w:rPr>
                <w:rFonts w:hint="eastAsia"/>
                <w:i w:val="0"/>
                <w:iCs w:val="0"/>
                <w:sz w:val="21"/>
                <w:szCs w:val="21"/>
              </w:rPr>
            </w:pPr>
            <w:r>
              <w:rPr>
                <w:rFonts w:hint="eastAsia"/>
                <w:i w:val="0"/>
                <w:iCs w:val="0"/>
                <w:sz w:val="21"/>
                <w:szCs w:val="21"/>
              </w:rPr>
              <w:t>4731.3</w:t>
            </w:r>
          </w:p>
        </w:tc>
        <w:tc>
          <w:tcPr>
            <w:tcW w:w="769" w:type="pct"/>
            <w:noWrap w:val="0"/>
            <w:vAlign w:val="center"/>
          </w:tcPr>
          <w:p>
            <w:pPr>
              <w:jc w:val="center"/>
              <w:rPr>
                <w:rFonts w:hint="eastAsia"/>
                <w:i w:val="0"/>
                <w:iCs w:val="0"/>
                <w:sz w:val="21"/>
                <w:szCs w:val="21"/>
              </w:rPr>
            </w:pPr>
            <w:r>
              <w:rPr>
                <w:rFonts w:hint="eastAsia"/>
                <w:i w:val="0"/>
                <w:iCs w:val="0"/>
                <w:sz w:val="21"/>
                <w:szCs w:val="21"/>
              </w:rPr>
              <w:t>3</w:t>
            </w:r>
          </w:p>
        </w:tc>
        <w:tc>
          <w:tcPr>
            <w:tcW w:w="1213" w:type="pct"/>
            <w:noWrap w:val="0"/>
            <w:vAlign w:val="center"/>
          </w:tcPr>
          <w:p>
            <w:pPr>
              <w:jc w:val="center"/>
              <w:rPr>
                <w:rFonts w:hint="eastAsia"/>
                <w:i w:val="0"/>
                <w:iCs w:val="0"/>
                <w:sz w:val="21"/>
                <w:szCs w:val="21"/>
              </w:rPr>
            </w:pPr>
            <w:r>
              <w:rPr>
                <w:rFonts w:hint="eastAsia"/>
                <w:i w:val="0"/>
                <w:iCs w:val="0"/>
                <w:sz w:val="21"/>
                <w:szCs w:val="21"/>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17" w:type="pct"/>
            <w:noWrap w:val="0"/>
            <w:vAlign w:val="center"/>
          </w:tcPr>
          <w:p>
            <w:pPr>
              <w:jc w:val="center"/>
              <w:rPr>
                <w:rFonts w:hint="eastAsia"/>
                <w:i w:val="0"/>
                <w:iCs w:val="0"/>
                <w:sz w:val="21"/>
                <w:szCs w:val="21"/>
              </w:rPr>
            </w:pPr>
            <w:r>
              <w:rPr>
                <w:rFonts w:hint="eastAsia"/>
                <w:i w:val="0"/>
                <w:iCs w:val="0"/>
                <w:sz w:val="21"/>
                <w:szCs w:val="21"/>
              </w:rPr>
              <w:t>12</w:t>
            </w:r>
          </w:p>
        </w:tc>
        <w:tc>
          <w:tcPr>
            <w:tcW w:w="864" w:type="pct"/>
            <w:noWrap w:val="0"/>
            <w:vAlign w:val="center"/>
          </w:tcPr>
          <w:p>
            <w:pPr>
              <w:jc w:val="center"/>
              <w:rPr>
                <w:rFonts w:hint="eastAsia"/>
                <w:i w:val="0"/>
                <w:iCs w:val="0"/>
                <w:sz w:val="21"/>
                <w:szCs w:val="21"/>
              </w:rPr>
            </w:pPr>
            <w:r>
              <w:rPr>
                <w:rFonts w:hint="eastAsia"/>
                <w:i w:val="0"/>
                <w:iCs w:val="0"/>
                <w:sz w:val="21"/>
                <w:szCs w:val="21"/>
              </w:rPr>
              <w:t>预留车间2</w:t>
            </w:r>
          </w:p>
        </w:tc>
        <w:tc>
          <w:tcPr>
            <w:tcW w:w="817" w:type="pct"/>
            <w:noWrap w:val="0"/>
            <w:vAlign w:val="center"/>
          </w:tcPr>
          <w:p>
            <w:pPr>
              <w:jc w:val="center"/>
              <w:rPr>
                <w:rFonts w:hint="eastAsia"/>
                <w:i w:val="0"/>
                <w:iCs w:val="0"/>
                <w:sz w:val="21"/>
                <w:szCs w:val="21"/>
              </w:rPr>
            </w:pPr>
            <w:r>
              <w:rPr>
                <w:rFonts w:hint="eastAsia"/>
                <w:i w:val="0"/>
                <w:iCs w:val="0"/>
                <w:sz w:val="21"/>
                <w:szCs w:val="21"/>
              </w:rPr>
              <w:t>1577.1</w:t>
            </w:r>
          </w:p>
        </w:tc>
        <w:tc>
          <w:tcPr>
            <w:tcW w:w="817" w:type="pct"/>
            <w:noWrap w:val="0"/>
            <w:vAlign w:val="center"/>
          </w:tcPr>
          <w:p>
            <w:pPr>
              <w:jc w:val="center"/>
              <w:rPr>
                <w:rFonts w:hint="eastAsia"/>
                <w:i w:val="0"/>
                <w:iCs w:val="0"/>
                <w:sz w:val="21"/>
                <w:szCs w:val="21"/>
              </w:rPr>
            </w:pPr>
            <w:r>
              <w:rPr>
                <w:rFonts w:hint="eastAsia"/>
                <w:i w:val="0"/>
                <w:iCs w:val="0"/>
                <w:sz w:val="21"/>
                <w:szCs w:val="21"/>
              </w:rPr>
              <w:t>4731.3</w:t>
            </w:r>
          </w:p>
        </w:tc>
        <w:tc>
          <w:tcPr>
            <w:tcW w:w="769" w:type="pct"/>
            <w:noWrap w:val="0"/>
            <w:vAlign w:val="center"/>
          </w:tcPr>
          <w:p>
            <w:pPr>
              <w:jc w:val="center"/>
              <w:rPr>
                <w:rFonts w:hint="eastAsia"/>
                <w:i w:val="0"/>
                <w:iCs w:val="0"/>
                <w:sz w:val="21"/>
                <w:szCs w:val="21"/>
              </w:rPr>
            </w:pPr>
            <w:r>
              <w:rPr>
                <w:rFonts w:hint="eastAsia"/>
                <w:i w:val="0"/>
                <w:iCs w:val="0"/>
                <w:sz w:val="21"/>
                <w:szCs w:val="21"/>
              </w:rPr>
              <w:t>3</w:t>
            </w:r>
          </w:p>
        </w:tc>
        <w:tc>
          <w:tcPr>
            <w:tcW w:w="1213" w:type="pct"/>
            <w:noWrap w:val="0"/>
            <w:vAlign w:val="center"/>
          </w:tcPr>
          <w:p>
            <w:pPr>
              <w:jc w:val="center"/>
              <w:rPr>
                <w:rFonts w:hint="eastAsia"/>
                <w:i w:val="0"/>
                <w:iCs w:val="0"/>
                <w:sz w:val="21"/>
                <w:szCs w:val="21"/>
              </w:rPr>
            </w:pPr>
            <w:r>
              <w:rPr>
                <w:rFonts w:hint="eastAsia"/>
                <w:i w:val="0"/>
                <w:iCs w:val="0"/>
                <w:sz w:val="21"/>
                <w:szCs w:val="21"/>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17" w:type="pct"/>
            <w:noWrap w:val="0"/>
            <w:vAlign w:val="center"/>
          </w:tcPr>
          <w:p>
            <w:pPr>
              <w:jc w:val="center"/>
              <w:rPr>
                <w:rFonts w:hint="eastAsia"/>
                <w:i w:val="0"/>
                <w:iCs w:val="0"/>
                <w:sz w:val="21"/>
                <w:szCs w:val="21"/>
              </w:rPr>
            </w:pPr>
            <w:r>
              <w:rPr>
                <w:rFonts w:hint="eastAsia"/>
                <w:i w:val="0"/>
                <w:iCs w:val="0"/>
                <w:sz w:val="21"/>
                <w:szCs w:val="21"/>
              </w:rPr>
              <w:t>13</w:t>
            </w:r>
          </w:p>
        </w:tc>
        <w:tc>
          <w:tcPr>
            <w:tcW w:w="864" w:type="pct"/>
            <w:noWrap w:val="0"/>
            <w:vAlign w:val="center"/>
          </w:tcPr>
          <w:p>
            <w:pPr>
              <w:jc w:val="center"/>
              <w:rPr>
                <w:rFonts w:hint="eastAsia"/>
                <w:i w:val="0"/>
                <w:iCs w:val="0"/>
                <w:sz w:val="21"/>
                <w:szCs w:val="21"/>
              </w:rPr>
            </w:pPr>
            <w:r>
              <w:rPr>
                <w:rFonts w:hint="eastAsia"/>
                <w:i w:val="0"/>
                <w:iCs w:val="0"/>
                <w:sz w:val="21"/>
                <w:szCs w:val="21"/>
              </w:rPr>
              <w:t>初期雨水收集池</w:t>
            </w:r>
          </w:p>
        </w:tc>
        <w:tc>
          <w:tcPr>
            <w:tcW w:w="817" w:type="pct"/>
            <w:noWrap w:val="0"/>
            <w:vAlign w:val="center"/>
          </w:tcPr>
          <w:p>
            <w:pPr>
              <w:jc w:val="center"/>
              <w:rPr>
                <w:rFonts w:hint="eastAsia"/>
                <w:i w:val="0"/>
                <w:iCs w:val="0"/>
                <w:sz w:val="21"/>
                <w:szCs w:val="21"/>
              </w:rPr>
            </w:pPr>
            <w:r>
              <w:rPr>
                <w:rFonts w:hint="eastAsia"/>
                <w:i w:val="0"/>
                <w:iCs w:val="0"/>
                <w:sz w:val="21"/>
                <w:szCs w:val="21"/>
              </w:rPr>
              <w:t>603.06</w:t>
            </w:r>
          </w:p>
        </w:tc>
        <w:tc>
          <w:tcPr>
            <w:tcW w:w="817" w:type="pct"/>
            <w:noWrap w:val="0"/>
            <w:vAlign w:val="center"/>
          </w:tcPr>
          <w:p>
            <w:pPr>
              <w:jc w:val="center"/>
              <w:rPr>
                <w:rFonts w:hint="eastAsia"/>
                <w:i w:val="0"/>
                <w:iCs w:val="0"/>
                <w:sz w:val="21"/>
                <w:szCs w:val="21"/>
              </w:rPr>
            </w:pPr>
            <w:r>
              <w:rPr>
                <w:rFonts w:hint="eastAsia"/>
                <w:i w:val="0"/>
                <w:iCs w:val="0"/>
                <w:sz w:val="21"/>
                <w:szCs w:val="21"/>
              </w:rPr>
              <w:t>　</w:t>
            </w:r>
          </w:p>
        </w:tc>
        <w:tc>
          <w:tcPr>
            <w:tcW w:w="769" w:type="pct"/>
            <w:noWrap w:val="0"/>
            <w:vAlign w:val="center"/>
          </w:tcPr>
          <w:p>
            <w:pPr>
              <w:jc w:val="center"/>
              <w:rPr>
                <w:rFonts w:hint="eastAsia"/>
                <w:i w:val="0"/>
                <w:iCs w:val="0"/>
                <w:sz w:val="21"/>
                <w:szCs w:val="21"/>
              </w:rPr>
            </w:pPr>
            <w:r>
              <w:rPr>
                <w:rFonts w:hint="eastAsia"/>
                <w:i w:val="0"/>
                <w:iCs w:val="0"/>
                <w:sz w:val="21"/>
                <w:szCs w:val="21"/>
              </w:rPr>
              <w:t>　</w:t>
            </w:r>
          </w:p>
        </w:tc>
        <w:tc>
          <w:tcPr>
            <w:tcW w:w="1213" w:type="pct"/>
            <w:noWrap w:val="0"/>
            <w:vAlign w:val="center"/>
          </w:tcPr>
          <w:p>
            <w:pPr>
              <w:jc w:val="center"/>
              <w:rPr>
                <w:rFonts w:hint="eastAsia"/>
                <w:i w:val="0"/>
                <w:iCs w:val="0"/>
                <w:sz w:val="21"/>
                <w:szCs w:val="21"/>
              </w:rPr>
            </w:pPr>
            <w:r>
              <w:rPr>
                <w:rFonts w:hint="eastAsia"/>
                <w:i w:val="0"/>
                <w:iCs w:val="0"/>
                <w:sz w:val="21"/>
                <w:szCs w:val="21"/>
              </w:rPr>
              <w:t>钢筋混凝土水池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17" w:type="pct"/>
            <w:noWrap w:val="0"/>
            <w:vAlign w:val="center"/>
          </w:tcPr>
          <w:p>
            <w:pPr>
              <w:jc w:val="center"/>
              <w:rPr>
                <w:rFonts w:hint="eastAsia"/>
                <w:i w:val="0"/>
                <w:iCs w:val="0"/>
                <w:sz w:val="21"/>
                <w:szCs w:val="21"/>
              </w:rPr>
            </w:pPr>
            <w:r>
              <w:rPr>
                <w:rFonts w:hint="eastAsia"/>
                <w:i w:val="0"/>
                <w:iCs w:val="0"/>
                <w:sz w:val="21"/>
                <w:szCs w:val="21"/>
              </w:rPr>
              <w:t>14</w:t>
            </w:r>
          </w:p>
        </w:tc>
        <w:tc>
          <w:tcPr>
            <w:tcW w:w="864" w:type="pct"/>
            <w:noWrap w:val="0"/>
            <w:vAlign w:val="center"/>
          </w:tcPr>
          <w:p>
            <w:pPr>
              <w:jc w:val="center"/>
              <w:rPr>
                <w:rFonts w:hint="eastAsia"/>
                <w:i w:val="0"/>
                <w:iCs w:val="0"/>
                <w:sz w:val="21"/>
                <w:szCs w:val="21"/>
              </w:rPr>
            </w:pPr>
            <w:r>
              <w:rPr>
                <w:rFonts w:hint="eastAsia"/>
                <w:i w:val="0"/>
                <w:iCs w:val="0"/>
                <w:sz w:val="21"/>
                <w:szCs w:val="21"/>
              </w:rPr>
              <w:t>循环水池</w:t>
            </w:r>
          </w:p>
        </w:tc>
        <w:tc>
          <w:tcPr>
            <w:tcW w:w="817" w:type="pct"/>
            <w:noWrap w:val="0"/>
            <w:vAlign w:val="center"/>
          </w:tcPr>
          <w:p>
            <w:pPr>
              <w:jc w:val="center"/>
              <w:rPr>
                <w:rFonts w:hint="eastAsia"/>
                <w:i w:val="0"/>
                <w:iCs w:val="0"/>
                <w:sz w:val="21"/>
                <w:szCs w:val="21"/>
              </w:rPr>
            </w:pPr>
            <w:r>
              <w:rPr>
                <w:rFonts w:hint="eastAsia"/>
                <w:i w:val="0"/>
                <w:iCs w:val="0"/>
                <w:sz w:val="21"/>
                <w:szCs w:val="21"/>
              </w:rPr>
              <w:t>158.24</w:t>
            </w:r>
          </w:p>
        </w:tc>
        <w:tc>
          <w:tcPr>
            <w:tcW w:w="817" w:type="pct"/>
            <w:noWrap w:val="0"/>
            <w:vAlign w:val="center"/>
          </w:tcPr>
          <w:p>
            <w:pPr>
              <w:jc w:val="center"/>
              <w:rPr>
                <w:rFonts w:hint="eastAsia"/>
                <w:i w:val="0"/>
                <w:iCs w:val="0"/>
                <w:sz w:val="21"/>
                <w:szCs w:val="21"/>
              </w:rPr>
            </w:pPr>
            <w:r>
              <w:rPr>
                <w:rFonts w:hint="eastAsia"/>
                <w:i w:val="0"/>
                <w:iCs w:val="0"/>
                <w:sz w:val="21"/>
                <w:szCs w:val="21"/>
              </w:rPr>
              <w:t>　</w:t>
            </w:r>
          </w:p>
        </w:tc>
        <w:tc>
          <w:tcPr>
            <w:tcW w:w="769" w:type="pct"/>
            <w:noWrap w:val="0"/>
            <w:vAlign w:val="center"/>
          </w:tcPr>
          <w:p>
            <w:pPr>
              <w:jc w:val="center"/>
              <w:rPr>
                <w:rFonts w:hint="eastAsia"/>
                <w:i w:val="0"/>
                <w:iCs w:val="0"/>
                <w:sz w:val="21"/>
                <w:szCs w:val="21"/>
              </w:rPr>
            </w:pPr>
            <w:r>
              <w:rPr>
                <w:rFonts w:hint="eastAsia"/>
                <w:i w:val="0"/>
                <w:iCs w:val="0"/>
                <w:sz w:val="21"/>
                <w:szCs w:val="21"/>
              </w:rPr>
              <w:t>　</w:t>
            </w:r>
          </w:p>
        </w:tc>
        <w:tc>
          <w:tcPr>
            <w:tcW w:w="1213" w:type="pct"/>
            <w:noWrap w:val="0"/>
            <w:vAlign w:val="center"/>
          </w:tcPr>
          <w:p>
            <w:pPr>
              <w:jc w:val="center"/>
              <w:rPr>
                <w:rFonts w:hint="eastAsia"/>
                <w:i w:val="0"/>
                <w:iCs w:val="0"/>
                <w:sz w:val="21"/>
                <w:szCs w:val="21"/>
              </w:rPr>
            </w:pPr>
            <w:r>
              <w:rPr>
                <w:rFonts w:hint="eastAsia"/>
                <w:i w:val="0"/>
                <w:iCs w:val="0"/>
                <w:sz w:val="21"/>
                <w:szCs w:val="21"/>
              </w:rPr>
              <w:t>钢筋混凝土水池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17" w:type="pct"/>
            <w:noWrap w:val="0"/>
            <w:vAlign w:val="center"/>
          </w:tcPr>
          <w:p>
            <w:pPr>
              <w:jc w:val="center"/>
              <w:rPr>
                <w:rFonts w:hint="eastAsia"/>
                <w:i w:val="0"/>
                <w:iCs w:val="0"/>
                <w:sz w:val="21"/>
                <w:szCs w:val="21"/>
              </w:rPr>
            </w:pPr>
            <w:r>
              <w:rPr>
                <w:rFonts w:hint="eastAsia"/>
                <w:i w:val="0"/>
                <w:iCs w:val="0"/>
                <w:sz w:val="21"/>
                <w:szCs w:val="21"/>
              </w:rPr>
              <w:t>15</w:t>
            </w:r>
          </w:p>
        </w:tc>
        <w:tc>
          <w:tcPr>
            <w:tcW w:w="864" w:type="pct"/>
            <w:noWrap w:val="0"/>
            <w:vAlign w:val="center"/>
          </w:tcPr>
          <w:p>
            <w:pPr>
              <w:jc w:val="center"/>
              <w:rPr>
                <w:rFonts w:hint="eastAsia"/>
                <w:i w:val="0"/>
                <w:iCs w:val="0"/>
                <w:sz w:val="21"/>
                <w:szCs w:val="21"/>
              </w:rPr>
            </w:pPr>
            <w:r>
              <w:rPr>
                <w:rFonts w:hint="eastAsia"/>
                <w:i w:val="0"/>
                <w:iCs w:val="0"/>
                <w:sz w:val="21"/>
                <w:szCs w:val="21"/>
              </w:rPr>
              <w:t>消防水池1</w:t>
            </w:r>
          </w:p>
        </w:tc>
        <w:tc>
          <w:tcPr>
            <w:tcW w:w="817" w:type="pct"/>
            <w:noWrap w:val="0"/>
            <w:vAlign w:val="center"/>
          </w:tcPr>
          <w:p>
            <w:pPr>
              <w:jc w:val="center"/>
              <w:rPr>
                <w:rFonts w:hint="eastAsia"/>
                <w:i w:val="0"/>
                <w:iCs w:val="0"/>
                <w:sz w:val="21"/>
                <w:szCs w:val="21"/>
              </w:rPr>
            </w:pPr>
            <w:r>
              <w:rPr>
                <w:rFonts w:hint="eastAsia"/>
                <w:i w:val="0"/>
                <w:iCs w:val="0"/>
                <w:sz w:val="21"/>
                <w:szCs w:val="21"/>
              </w:rPr>
              <w:t>300</w:t>
            </w:r>
          </w:p>
        </w:tc>
        <w:tc>
          <w:tcPr>
            <w:tcW w:w="817" w:type="pct"/>
            <w:noWrap w:val="0"/>
            <w:vAlign w:val="center"/>
          </w:tcPr>
          <w:p>
            <w:pPr>
              <w:jc w:val="center"/>
              <w:rPr>
                <w:rFonts w:hint="eastAsia"/>
                <w:i w:val="0"/>
                <w:iCs w:val="0"/>
                <w:sz w:val="21"/>
                <w:szCs w:val="21"/>
              </w:rPr>
            </w:pPr>
            <w:r>
              <w:rPr>
                <w:rFonts w:hint="eastAsia"/>
                <w:i w:val="0"/>
                <w:iCs w:val="0"/>
                <w:sz w:val="21"/>
                <w:szCs w:val="21"/>
              </w:rPr>
              <w:t>　</w:t>
            </w:r>
          </w:p>
        </w:tc>
        <w:tc>
          <w:tcPr>
            <w:tcW w:w="769" w:type="pct"/>
            <w:noWrap w:val="0"/>
            <w:vAlign w:val="center"/>
          </w:tcPr>
          <w:p>
            <w:pPr>
              <w:jc w:val="center"/>
              <w:rPr>
                <w:rFonts w:hint="eastAsia"/>
                <w:i w:val="0"/>
                <w:iCs w:val="0"/>
                <w:sz w:val="21"/>
                <w:szCs w:val="21"/>
              </w:rPr>
            </w:pPr>
            <w:r>
              <w:rPr>
                <w:rFonts w:hint="eastAsia"/>
                <w:i w:val="0"/>
                <w:iCs w:val="0"/>
                <w:sz w:val="21"/>
                <w:szCs w:val="21"/>
              </w:rPr>
              <w:t>　</w:t>
            </w:r>
          </w:p>
        </w:tc>
        <w:tc>
          <w:tcPr>
            <w:tcW w:w="1213" w:type="pct"/>
            <w:noWrap w:val="0"/>
            <w:vAlign w:val="center"/>
          </w:tcPr>
          <w:p>
            <w:pPr>
              <w:jc w:val="center"/>
              <w:rPr>
                <w:rFonts w:hint="eastAsia"/>
                <w:i w:val="0"/>
                <w:iCs w:val="0"/>
                <w:sz w:val="21"/>
                <w:szCs w:val="21"/>
              </w:rPr>
            </w:pPr>
            <w:r>
              <w:rPr>
                <w:rFonts w:hint="eastAsia"/>
                <w:i w:val="0"/>
                <w:iCs w:val="0"/>
                <w:sz w:val="21"/>
                <w:szCs w:val="21"/>
              </w:rPr>
              <w:t>钢筋混凝土水池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17" w:type="pct"/>
            <w:noWrap w:val="0"/>
            <w:vAlign w:val="center"/>
          </w:tcPr>
          <w:p>
            <w:pPr>
              <w:jc w:val="center"/>
              <w:rPr>
                <w:rFonts w:hint="eastAsia"/>
                <w:i w:val="0"/>
                <w:iCs w:val="0"/>
                <w:sz w:val="21"/>
                <w:szCs w:val="21"/>
              </w:rPr>
            </w:pPr>
            <w:r>
              <w:rPr>
                <w:rFonts w:hint="eastAsia"/>
                <w:i w:val="0"/>
                <w:iCs w:val="0"/>
                <w:sz w:val="21"/>
                <w:szCs w:val="21"/>
              </w:rPr>
              <w:t>16</w:t>
            </w:r>
          </w:p>
        </w:tc>
        <w:tc>
          <w:tcPr>
            <w:tcW w:w="864" w:type="pct"/>
            <w:noWrap w:val="0"/>
            <w:vAlign w:val="center"/>
          </w:tcPr>
          <w:p>
            <w:pPr>
              <w:jc w:val="center"/>
              <w:rPr>
                <w:rFonts w:hint="eastAsia"/>
                <w:i w:val="0"/>
                <w:iCs w:val="0"/>
                <w:sz w:val="21"/>
                <w:szCs w:val="21"/>
              </w:rPr>
            </w:pPr>
            <w:r>
              <w:rPr>
                <w:rFonts w:hint="eastAsia"/>
                <w:i w:val="0"/>
                <w:iCs w:val="0"/>
                <w:sz w:val="21"/>
                <w:szCs w:val="21"/>
              </w:rPr>
              <w:t>消防水池2</w:t>
            </w:r>
          </w:p>
        </w:tc>
        <w:tc>
          <w:tcPr>
            <w:tcW w:w="817" w:type="pct"/>
            <w:noWrap w:val="0"/>
            <w:vAlign w:val="center"/>
          </w:tcPr>
          <w:p>
            <w:pPr>
              <w:jc w:val="center"/>
              <w:rPr>
                <w:rFonts w:hint="eastAsia"/>
                <w:i w:val="0"/>
                <w:iCs w:val="0"/>
                <w:sz w:val="21"/>
                <w:szCs w:val="21"/>
              </w:rPr>
            </w:pPr>
            <w:r>
              <w:rPr>
                <w:rFonts w:hint="eastAsia"/>
                <w:i w:val="0"/>
                <w:iCs w:val="0"/>
                <w:sz w:val="21"/>
                <w:szCs w:val="21"/>
              </w:rPr>
              <w:t>300</w:t>
            </w:r>
          </w:p>
        </w:tc>
        <w:tc>
          <w:tcPr>
            <w:tcW w:w="817" w:type="pct"/>
            <w:noWrap w:val="0"/>
            <w:vAlign w:val="center"/>
          </w:tcPr>
          <w:p>
            <w:pPr>
              <w:jc w:val="center"/>
              <w:rPr>
                <w:rFonts w:hint="eastAsia"/>
                <w:i w:val="0"/>
                <w:iCs w:val="0"/>
                <w:sz w:val="21"/>
                <w:szCs w:val="21"/>
              </w:rPr>
            </w:pPr>
            <w:r>
              <w:rPr>
                <w:rFonts w:hint="eastAsia"/>
                <w:i w:val="0"/>
                <w:iCs w:val="0"/>
                <w:sz w:val="21"/>
                <w:szCs w:val="21"/>
              </w:rPr>
              <w:t>　</w:t>
            </w:r>
          </w:p>
        </w:tc>
        <w:tc>
          <w:tcPr>
            <w:tcW w:w="769" w:type="pct"/>
            <w:noWrap w:val="0"/>
            <w:vAlign w:val="center"/>
          </w:tcPr>
          <w:p>
            <w:pPr>
              <w:jc w:val="center"/>
              <w:rPr>
                <w:rFonts w:hint="eastAsia"/>
                <w:i w:val="0"/>
                <w:iCs w:val="0"/>
                <w:sz w:val="21"/>
                <w:szCs w:val="21"/>
              </w:rPr>
            </w:pPr>
            <w:r>
              <w:rPr>
                <w:rFonts w:hint="eastAsia"/>
                <w:i w:val="0"/>
                <w:iCs w:val="0"/>
                <w:sz w:val="21"/>
                <w:szCs w:val="21"/>
              </w:rPr>
              <w:t>　</w:t>
            </w:r>
          </w:p>
        </w:tc>
        <w:tc>
          <w:tcPr>
            <w:tcW w:w="1213" w:type="pct"/>
            <w:noWrap w:val="0"/>
            <w:vAlign w:val="center"/>
          </w:tcPr>
          <w:p>
            <w:pPr>
              <w:jc w:val="center"/>
              <w:rPr>
                <w:rFonts w:hint="eastAsia"/>
                <w:i w:val="0"/>
                <w:iCs w:val="0"/>
                <w:sz w:val="21"/>
                <w:szCs w:val="21"/>
              </w:rPr>
            </w:pPr>
            <w:r>
              <w:rPr>
                <w:rFonts w:hint="eastAsia"/>
                <w:i w:val="0"/>
                <w:iCs w:val="0"/>
                <w:sz w:val="21"/>
                <w:szCs w:val="21"/>
              </w:rPr>
              <w:t>钢筋混凝土水池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17" w:type="pct"/>
            <w:noWrap w:val="0"/>
            <w:vAlign w:val="center"/>
          </w:tcPr>
          <w:p>
            <w:pPr>
              <w:jc w:val="center"/>
              <w:rPr>
                <w:i w:val="0"/>
                <w:iCs w:val="0"/>
                <w:sz w:val="21"/>
                <w:szCs w:val="21"/>
              </w:rPr>
            </w:pPr>
            <w:r>
              <w:rPr>
                <w:rFonts w:hint="eastAsia"/>
                <w:i w:val="0"/>
                <w:iCs w:val="0"/>
                <w:sz w:val="21"/>
                <w:szCs w:val="21"/>
              </w:rPr>
              <w:t>17</w:t>
            </w:r>
          </w:p>
        </w:tc>
        <w:tc>
          <w:tcPr>
            <w:tcW w:w="864" w:type="pct"/>
            <w:noWrap w:val="0"/>
            <w:vAlign w:val="center"/>
          </w:tcPr>
          <w:p>
            <w:pPr>
              <w:jc w:val="center"/>
              <w:rPr>
                <w:rFonts w:hint="eastAsia"/>
                <w:i w:val="0"/>
                <w:iCs w:val="0"/>
                <w:sz w:val="21"/>
                <w:szCs w:val="21"/>
              </w:rPr>
            </w:pPr>
            <w:r>
              <w:rPr>
                <w:rFonts w:hint="eastAsia"/>
                <w:i w:val="0"/>
                <w:iCs w:val="0"/>
                <w:sz w:val="21"/>
                <w:szCs w:val="21"/>
              </w:rPr>
              <w:t>事故池</w:t>
            </w:r>
          </w:p>
        </w:tc>
        <w:tc>
          <w:tcPr>
            <w:tcW w:w="817" w:type="pct"/>
            <w:noWrap w:val="0"/>
            <w:vAlign w:val="center"/>
          </w:tcPr>
          <w:p>
            <w:pPr>
              <w:jc w:val="center"/>
              <w:rPr>
                <w:i w:val="0"/>
                <w:iCs w:val="0"/>
                <w:sz w:val="21"/>
                <w:szCs w:val="21"/>
              </w:rPr>
            </w:pPr>
            <w:r>
              <w:rPr>
                <w:rFonts w:hint="eastAsia"/>
                <w:i w:val="0"/>
                <w:iCs w:val="0"/>
                <w:sz w:val="21"/>
                <w:szCs w:val="21"/>
              </w:rPr>
              <w:t>85（467.5m</w:t>
            </w:r>
            <w:r>
              <w:rPr>
                <w:rFonts w:hint="eastAsia"/>
                <w:i w:val="0"/>
                <w:iCs w:val="0"/>
                <w:sz w:val="21"/>
                <w:szCs w:val="21"/>
                <w:vertAlign w:val="superscript"/>
              </w:rPr>
              <w:t>3</w:t>
            </w:r>
            <w:r>
              <w:rPr>
                <w:rFonts w:hint="eastAsia"/>
                <w:i w:val="0"/>
                <w:iCs w:val="0"/>
                <w:sz w:val="21"/>
                <w:szCs w:val="21"/>
              </w:rPr>
              <w:t>）</w:t>
            </w:r>
          </w:p>
        </w:tc>
        <w:tc>
          <w:tcPr>
            <w:tcW w:w="817" w:type="pct"/>
            <w:noWrap w:val="0"/>
            <w:vAlign w:val="center"/>
          </w:tcPr>
          <w:p>
            <w:pPr>
              <w:jc w:val="center"/>
              <w:rPr>
                <w:rFonts w:hint="eastAsia"/>
                <w:i w:val="0"/>
                <w:iCs w:val="0"/>
                <w:sz w:val="21"/>
                <w:szCs w:val="21"/>
              </w:rPr>
            </w:pPr>
          </w:p>
        </w:tc>
        <w:tc>
          <w:tcPr>
            <w:tcW w:w="769" w:type="pct"/>
            <w:noWrap w:val="0"/>
            <w:vAlign w:val="center"/>
          </w:tcPr>
          <w:p>
            <w:pPr>
              <w:jc w:val="center"/>
              <w:rPr>
                <w:rFonts w:hint="eastAsia"/>
                <w:i w:val="0"/>
                <w:iCs w:val="0"/>
                <w:sz w:val="21"/>
                <w:szCs w:val="21"/>
              </w:rPr>
            </w:pPr>
          </w:p>
        </w:tc>
        <w:tc>
          <w:tcPr>
            <w:tcW w:w="1213" w:type="pct"/>
            <w:noWrap w:val="0"/>
            <w:vAlign w:val="center"/>
          </w:tcPr>
          <w:p>
            <w:pPr>
              <w:jc w:val="center"/>
              <w:rPr>
                <w:rFonts w:hint="eastAsia"/>
                <w:i w:val="0"/>
                <w:iCs w:val="0"/>
                <w:sz w:val="21"/>
                <w:szCs w:val="21"/>
              </w:rPr>
            </w:pPr>
            <w:r>
              <w:rPr>
                <w:rFonts w:hint="eastAsia"/>
                <w:i w:val="0"/>
                <w:iCs w:val="0"/>
                <w:sz w:val="21"/>
                <w:szCs w:val="21"/>
              </w:rPr>
              <w:t>钢筋混凝土水池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17" w:type="pct"/>
            <w:noWrap w:val="0"/>
            <w:vAlign w:val="center"/>
          </w:tcPr>
          <w:p>
            <w:pPr>
              <w:jc w:val="center"/>
              <w:rPr>
                <w:rFonts w:hint="eastAsia"/>
                <w:i w:val="0"/>
                <w:iCs w:val="0"/>
                <w:sz w:val="21"/>
                <w:szCs w:val="21"/>
              </w:rPr>
            </w:pPr>
            <w:r>
              <w:rPr>
                <w:rFonts w:hint="eastAsia"/>
                <w:i w:val="0"/>
                <w:iCs w:val="0"/>
                <w:sz w:val="21"/>
                <w:szCs w:val="21"/>
              </w:rPr>
              <w:t>合计</w:t>
            </w:r>
          </w:p>
        </w:tc>
        <w:tc>
          <w:tcPr>
            <w:tcW w:w="864" w:type="pct"/>
            <w:noWrap w:val="0"/>
            <w:vAlign w:val="center"/>
          </w:tcPr>
          <w:p>
            <w:pPr>
              <w:jc w:val="center"/>
              <w:rPr>
                <w:rFonts w:hint="eastAsia"/>
                <w:i w:val="0"/>
                <w:iCs w:val="0"/>
                <w:sz w:val="21"/>
                <w:szCs w:val="21"/>
              </w:rPr>
            </w:pPr>
            <w:r>
              <w:rPr>
                <w:rFonts w:hint="eastAsia"/>
                <w:i w:val="0"/>
                <w:iCs w:val="0"/>
                <w:sz w:val="21"/>
                <w:szCs w:val="21"/>
              </w:rPr>
              <w:t>　</w:t>
            </w:r>
          </w:p>
        </w:tc>
        <w:tc>
          <w:tcPr>
            <w:tcW w:w="817" w:type="pct"/>
            <w:noWrap w:val="0"/>
            <w:vAlign w:val="center"/>
          </w:tcPr>
          <w:p>
            <w:pPr>
              <w:jc w:val="center"/>
              <w:rPr>
                <w:rFonts w:hint="eastAsia"/>
                <w:i w:val="0"/>
                <w:iCs w:val="0"/>
                <w:sz w:val="21"/>
                <w:szCs w:val="21"/>
              </w:rPr>
            </w:pPr>
            <w:r>
              <w:rPr>
                <w:rFonts w:hint="eastAsia"/>
                <w:i w:val="0"/>
                <w:iCs w:val="0"/>
                <w:sz w:val="21"/>
                <w:szCs w:val="21"/>
              </w:rPr>
              <w:t>18374.88</w:t>
            </w:r>
          </w:p>
        </w:tc>
        <w:tc>
          <w:tcPr>
            <w:tcW w:w="817" w:type="pct"/>
            <w:noWrap w:val="0"/>
            <w:vAlign w:val="center"/>
          </w:tcPr>
          <w:p>
            <w:pPr>
              <w:jc w:val="center"/>
              <w:rPr>
                <w:rFonts w:hint="eastAsia"/>
                <w:i w:val="0"/>
                <w:iCs w:val="0"/>
                <w:sz w:val="21"/>
                <w:szCs w:val="21"/>
              </w:rPr>
            </w:pPr>
            <w:r>
              <w:rPr>
                <w:rFonts w:hint="eastAsia"/>
                <w:i w:val="0"/>
                <w:iCs w:val="0"/>
                <w:sz w:val="21"/>
                <w:szCs w:val="21"/>
              </w:rPr>
              <w:t>40642.48</w:t>
            </w:r>
          </w:p>
        </w:tc>
        <w:tc>
          <w:tcPr>
            <w:tcW w:w="769" w:type="pct"/>
            <w:noWrap w:val="0"/>
            <w:vAlign w:val="center"/>
          </w:tcPr>
          <w:p>
            <w:pPr>
              <w:jc w:val="center"/>
              <w:rPr>
                <w:rFonts w:hint="eastAsia"/>
                <w:i w:val="0"/>
                <w:iCs w:val="0"/>
                <w:sz w:val="21"/>
                <w:szCs w:val="21"/>
              </w:rPr>
            </w:pPr>
            <w:r>
              <w:rPr>
                <w:rFonts w:hint="eastAsia"/>
                <w:i w:val="0"/>
                <w:iCs w:val="0"/>
                <w:sz w:val="21"/>
                <w:szCs w:val="21"/>
              </w:rPr>
              <w:t>　</w:t>
            </w:r>
          </w:p>
        </w:tc>
        <w:tc>
          <w:tcPr>
            <w:tcW w:w="1213" w:type="pct"/>
            <w:noWrap w:val="0"/>
            <w:vAlign w:val="center"/>
          </w:tcPr>
          <w:p>
            <w:pPr>
              <w:jc w:val="center"/>
              <w:rPr>
                <w:rFonts w:hint="eastAsia"/>
                <w:i w:val="0"/>
                <w:iCs w:val="0"/>
                <w:sz w:val="21"/>
                <w:szCs w:val="21"/>
              </w:rPr>
            </w:pPr>
            <w:r>
              <w:rPr>
                <w:rFonts w:hint="eastAsia"/>
                <w:i w:val="0"/>
                <w:iCs w:val="0"/>
                <w:sz w:val="21"/>
                <w:szCs w:val="21"/>
              </w:rPr>
              <w:t>　</w:t>
            </w:r>
          </w:p>
        </w:tc>
      </w:tr>
    </w:tbl>
    <w:p>
      <w:pPr>
        <w:pStyle w:val="26"/>
        <w:spacing w:line="360" w:lineRule="auto"/>
        <w:ind w:firstLine="482"/>
        <w:rPr>
          <w:rFonts w:hint="eastAsia" w:ascii="Times New Roman" w:hAnsi="Times New Roman"/>
          <w:b/>
          <w:i w:val="0"/>
          <w:iCs w:val="0"/>
        </w:rPr>
      </w:pPr>
      <w:r>
        <w:rPr>
          <w:rFonts w:hint="eastAsia" w:ascii="Times New Roman" w:hAnsi="Times New Roman"/>
          <w:b/>
          <w:i w:val="0"/>
          <w:iCs w:val="0"/>
        </w:rPr>
        <w:t>3.1.3建设规模及工程组成</w:t>
      </w:r>
    </w:p>
    <w:p>
      <w:pPr>
        <w:pStyle w:val="26"/>
        <w:spacing w:line="360" w:lineRule="auto"/>
        <w:rPr>
          <w:rFonts w:hint="eastAsia" w:ascii="Times New Roman" w:hAnsi="Times New Roman"/>
          <w:i w:val="0"/>
          <w:iCs w:val="0"/>
        </w:rPr>
      </w:pPr>
      <w:r>
        <w:rPr>
          <w:rFonts w:hint="eastAsia" w:ascii="Times New Roman" w:hAnsi="Times New Roman"/>
          <w:i w:val="0"/>
          <w:iCs w:val="0"/>
        </w:rPr>
        <w:t>1、建设规模</w:t>
      </w:r>
    </w:p>
    <w:p>
      <w:pPr>
        <w:pStyle w:val="26"/>
        <w:spacing w:line="360" w:lineRule="auto"/>
        <w:rPr>
          <w:rFonts w:hint="eastAsia" w:ascii="Times New Roman" w:hAnsi="Times New Roman"/>
          <w:i w:val="0"/>
          <w:iCs w:val="0"/>
        </w:rPr>
      </w:pPr>
      <w:r>
        <w:rPr>
          <w:rFonts w:hint="eastAsia" w:ascii="Times New Roman" w:hAnsi="Times New Roman"/>
          <w:i w:val="0"/>
          <w:iCs w:val="0"/>
        </w:rPr>
        <w:t>项目采用现代生物高密度发酵技术生产天然红法夫酵母虾青素，分三期建设，一期工程产品产量为</w:t>
      </w:r>
      <w:r>
        <w:rPr>
          <w:rFonts w:hint="eastAsia" w:ascii="Times New Roman" w:hAnsi="Times New Roman"/>
          <w:i w:val="0"/>
          <w:iCs w:val="0"/>
          <w:lang w:val="en-US" w:eastAsia="zh-CN"/>
        </w:rPr>
        <w:t>2000</w:t>
      </w:r>
      <w:r>
        <w:rPr>
          <w:rFonts w:hint="eastAsia" w:ascii="Times New Roman" w:hAnsi="Times New Roman"/>
          <w:i w:val="0"/>
          <w:iCs w:val="0"/>
        </w:rPr>
        <w:t>t/a，二期工程产品产量为</w:t>
      </w:r>
      <w:r>
        <w:rPr>
          <w:rFonts w:hint="eastAsia" w:ascii="Times New Roman" w:hAnsi="Times New Roman"/>
          <w:i w:val="0"/>
          <w:iCs w:val="0"/>
          <w:lang w:val="en-US" w:eastAsia="zh-CN"/>
        </w:rPr>
        <w:t>4000</w:t>
      </w:r>
      <w:r>
        <w:rPr>
          <w:rFonts w:hint="eastAsia" w:ascii="Times New Roman" w:hAnsi="Times New Roman"/>
          <w:i w:val="0"/>
          <w:iCs w:val="0"/>
        </w:rPr>
        <w:t>t/a，三期工程产品产量为</w:t>
      </w:r>
      <w:r>
        <w:rPr>
          <w:rFonts w:hint="eastAsia" w:ascii="Times New Roman" w:hAnsi="Times New Roman"/>
          <w:i w:val="0"/>
          <w:iCs w:val="0"/>
          <w:lang w:val="en-US" w:eastAsia="zh-CN"/>
        </w:rPr>
        <w:t>6000</w:t>
      </w:r>
      <w:r>
        <w:rPr>
          <w:rFonts w:hint="eastAsia" w:ascii="Times New Roman" w:hAnsi="Times New Roman"/>
          <w:i w:val="0"/>
          <w:iCs w:val="0"/>
        </w:rPr>
        <w:t>t/a，达产后总体工程年产红法夫酵母虾青素1.2万吨，本次只对一期建设内容进行环境影响</w:t>
      </w:r>
      <w:r>
        <w:rPr>
          <w:rFonts w:hint="eastAsia" w:ascii="Times New Roman" w:hAnsi="Times New Roman"/>
          <w:i w:val="0"/>
          <w:iCs w:val="0"/>
          <w:lang w:eastAsia="zh-CN"/>
        </w:rPr>
        <w:t>评价</w:t>
      </w:r>
      <w:r>
        <w:rPr>
          <w:rFonts w:hint="eastAsia" w:ascii="Times New Roman" w:hAnsi="Times New Roman"/>
          <w:i w:val="0"/>
          <w:iCs w:val="0"/>
        </w:rPr>
        <w:t>，二、三期建设内容</w:t>
      </w:r>
      <w:r>
        <w:rPr>
          <w:rFonts w:hint="eastAsia" w:ascii="Times New Roman" w:hAnsi="Times New Roman"/>
          <w:i w:val="0"/>
          <w:iCs w:val="0"/>
          <w:lang w:eastAsia="zh-CN"/>
        </w:rPr>
        <w:t>另行</w:t>
      </w:r>
      <w:r>
        <w:rPr>
          <w:rFonts w:hint="eastAsia" w:ascii="Times New Roman" w:hAnsi="Times New Roman"/>
          <w:i w:val="0"/>
          <w:iCs w:val="0"/>
        </w:rPr>
        <w:t>委托有资质单位</w:t>
      </w:r>
      <w:r>
        <w:rPr>
          <w:rFonts w:hint="eastAsia" w:ascii="Times New Roman" w:hAnsi="Times New Roman"/>
          <w:i w:val="0"/>
          <w:iCs w:val="0"/>
          <w:lang w:eastAsia="zh-CN"/>
        </w:rPr>
        <w:t>进行</w:t>
      </w:r>
      <w:r>
        <w:rPr>
          <w:rFonts w:hint="eastAsia" w:ascii="Times New Roman" w:hAnsi="Times New Roman"/>
          <w:i w:val="0"/>
          <w:iCs w:val="0"/>
        </w:rPr>
        <w:t>环评</w:t>
      </w:r>
      <w:r>
        <w:rPr>
          <w:rFonts w:hint="eastAsia" w:ascii="Times New Roman" w:hAnsi="Times New Roman"/>
          <w:i w:val="0"/>
          <w:iCs w:val="0"/>
          <w:lang w:eastAsia="zh-CN"/>
        </w:rPr>
        <w:t>影响评价</w:t>
      </w:r>
      <w:r>
        <w:rPr>
          <w:rFonts w:hint="eastAsia" w:ascii="Times New Roman" w:hAnsi="Times New Roman"/>
          <w:i w:val="0"/>
          <w:iCs w:val="0"/>
        </w:rPr>
        <w:t>。</w:t>
      </w:r>
    </w:p>
    <w:p>
      <w:pPr>
        <w:pStyle w:val="26"/>
        <w:spacing w:line="360" w:lineRule="auto"/>
        <w:rPr>
          <w:rFonts w:ascii="Times New Roman" w:hAnsi="Times New Roman"/>
          <w:i w:val="0"/>
          <w:iCs w:val="0"/>
        </w:rPr>
      </w:pPr>
      <w:r>
        <w:rPr>
          <w:rFonts w:hint="eastAsia" w:ascii="Times New Roman" w:hAnsi="Times New Roman"/>
          <w:i w:val="0"/>
          <w:iCs w:val="0"/>
        </w:rPr>
        <w:t>2、工程组成</w:t>
      </w:r>
    </w:p>
    <w:p>
      <w:pPr>
        <w:pStyle w:val="26"/>
        <w:spacing w:line="360" w:lineRule="auto"/>
        <w:rPr>
          <w:rFonts w:hint="eastAsia" w:ascii="Times New Roman" w:hAnsi="Times New Roman"/>
          <w:i w:val="0"/>
          <w:iCs w:val="0"/>
        </w:rPr>
        <w:sectPr>
          <w:pgSz w:w="11907" w:h="16840"/>
          <w:pgMar w:top="1304" w:right="1418" w:bottom="1304" w:left="1418"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i w:val="0"/>
          <w:iCs w:val="0"/>
        </w:rPr>
        <w:t>本项目工程组成包括主体工程、</w:t>
      </w:r>
      <w:r>
        <w:rPr>
          <w:rFonts w:ascii="Times New Roman" w:hAnsi="Times New Roman"/>
          <w:i w:val="0"/>
          <w:iCs w:val="0"/>
        </w:rPr>
        <w:t>储运工程、公用工程、辅助工程</w:t>
      </w:r>
      <w:r>
        <w:rPr>
          <w:rFonts w:hint="eastAsia" w:ascii="Times New Roman" w:hAnsi="Times New Roman"/>
          <w:i w:val="0"/>
          <w:iCs w:val="0"/>
        </w:rPr>
        <w:t>和</w:t>
      </w:r>
      <w:r>
        <w:rPr>
          <w:rFonts w:ascii="Times New Roman" w:hAnsi="Times New Roman"/>
          <w:i w:val="0"/>
          <w:iCs w:val="0"/>
        </w:rPr>
        <w:t>环保工程</w:t>
      </w:r>
      <w:r>
        <w:rPr>
          <w:rFonts w:hint="eastAsia" w:ascii="Times New Roman" w:hAnsi="Times New Roman"/>
          <w:i w:val="0"/>
          <w:iCs w:val="0"/>
        </w:rPr>
        <w:t>，</w:t>
      </w:r>
      <w:r>
        <w:rPr>
          <w:rFonts w:ascii="Times New Roman" w:hAnsi="Times New Roman"/>
          <w:i w:val="0"/>
          <w:iCs w:val="0"/>
        </w:rPr>
        <w:t>项目详细工程内容一览表见表</w:t>
      </w:r>
      <w:r>
        <w:rPr>
          <w:rFonts w:hint="eastAsia" w:ascii="Times New Roman" w:hAnsi="Times New Roman"/>
          <w:i w:val="0"/>
          <w:iCs w:val="0"/>
        </w:rPr>
        <w:t>3</w:t>
      </w:r>
      <w:r>
        <w:rPr>
          <w:rFonts w:ascii="Times New Roman" w:hAnsi="Times New Roman"/>
          <w:i w:val="0"/>
          <w:iCs w:val="0"/>
        </w:rPr>
        <w:t>-</w:t>
      </w:r>
      <w:r>
        <w:rPr>
          <w:rFonts w:hint="eastAsia" w:ascii="Times New Roman" w:hAnsi="Times New Roman"/>
          <w:i w:val="0"/>
          <w:iCs w:val="0"/>
        </w:rPr>
        <w:t>2。</w:t>
      </w:r>
    </w:p>
    <w:p>
      <w:pPr>
        <w:ind w:firstLine="723" w:firstLineChars="300"/>
        <w:jc w:val="center"/>
        <w:rPr>
          <w:rFonts w:hint="eastAsia"/>
          <w:b/>
          <w:i w:val="0"/>
          <w:iCs w:val="0"/>
        </w:rPr>
      </w:pPr>
      <w:r>
        <w:rPr>
          <w:rFonts w:hint="eastAsia"/>
          <w:b/>
          <w:i w:val="0"/>
          <w:iCs w:val="0"/>
        </w:rPr>
        <w:t>表3-2本项目工程组成一览表</w:t>
      </w:r>
    </w:p>
    <w:tbl>
      <w:tblPr>
        <w:tblStyle w:val="58"/>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1597"/>
        <w:gridCol w:w="70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noWrap w:val="0"/>
            <w:vAlign w:val="center"/>
          </w:tcPr>
          <w:p>
            <w:pPr>
              <w:jc w:val="center"/>
              <w:rPr>
                <w:rFonts w:hint="eastAsia"/>
                <w:i w:val="0"/>
                <w:iCs w:val="0"/>
                <w:sz w:val="21"/>
                <w:szCs w:val="21"/>
              </w:rPr>
            </w:pPr>
            <w:r>
              <w:rPr>
                <w:rFonts w:hint="eastAsia"/>
                <w:i w:val="0"/>
                <w:iCs w:val="0"/>
                <w:sz w:val="21"/>
                <w:szCs w:val="21"/>
              </w:rPr>
              <w:t>类别</w:t>
            </w:r>
          </w:p>
        </w:tc>
        <w:tc>
          <w:tcPr>
            <w:tcW w:w="840" w:type="pct"/>
            <w:noWrap w:val="0"/>
            <w:vAlign w:val="center"/>
          </w:tcPr>
          <w:p>
            <w:pPr>
              <w:jc w:val="center"/>
              <w:rPr>
                <w:rFonts w:hint="eastAsia"/>
                <w:i w:val="0"/>
                <w:iCs w:val="0"/>
                <w:sz w:val="21"/>
                <w:szCs w:val="21"/>
              </w:rPr>
            </w:pPr>
            <w:r>
              <w:rPr>
                <w:rFonts w:hint="eastAsia"/>
                <w:i w:val="0"/>
                <w:iCs w:val="0"/>
                <w:sz w:val="21"/>
                <w:szCs w:val="21"/>
              </w:rPr>
              <w:t>建设名称</w:t>
            </w:r>
          </w:p>
        </w:tc>
        <w:tc>
          <w:tcPr>
            <w:tcW w:w="3734" w:type="pct"/>
            <w:noWrap w:val="0"/>
            <w:vAlign w:val="center"/>
          </w:tcPr>
          <w:p>
            <w:pPr>
              <w:adjustRightInd w:val="0"/>
              <w:snapToGrid w:val="0"/>
              <w:jc w:val="center"/>
              <w:rPr>
                <w:i w:val="0"/>
                <w:iCs w:val="0"/>
                <w:color w:val="000000"/>
                <w:sz w:val="21"/>
                <w:szCs w:val="21"/>
              </w:rPr>
            </w:pPr>
            <w:r>
              <w:rPr>
                <w:i w:val="0"/>
                <w:iCs w:val="0"/>
                <w:color w:val="000000"/>
                <w:sz w:val="21"/>
                <w:szCs w:val="21"/>
              </w:rPr>
              <w:t>主要内容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425" w:type="pct"/>
            <w:noWrap w:val="0"/>
            <w:vAlign w:val="center"/>
          </w:tcPr>
          <w:p>
            <w:pPr>
              <w:adjustRightInd w:val="0"/>
              <w:snapToGrid w:val="0"/>
              <w:jc w:val="center"/>
              <w:rPr>
                <w:i w:val="0"/>
                <w:iCs w:val="0"/>
                <w:color w:val="000000"/>
                <w:sz w:val="21"/>
                <w:szCs w:val="21"/>
              </w:rPr>
            </w:pPr>
            <w:r>
              <w:rPr>
                <w:i w:val="0"/>
                <w:iCs w:val="0"/>
                <w:color w:val="000000"/>
                <w:sz w:val="21"/>
                <w:szCs w:val="21"/>
              </w:rPr>
              <w:t>主体</w:t>
            </w:r>
          </w:p>
          <w:p>
            <w:pPr>
              <w:adjustRightInd w:val="0"/>
              <w:snapToGrid w:val="0"/>
              <w:jc w:val="center"/>
              <w:rPr>
                <w:i w:val="0"/>
                <w:iCs w:val="0"/>
                <w:color w:val="000000"/>
                <w:sz w:val="21"/>
                <w:szCs w:val="21"/>
              </w:rPr>
            </w:pPr>
            <w:r>
              <w:rPr>
                <w:i w:val="0"/>
                <w:iCs w:val="0"/>
                <w:color w:val="000000"/>
                <w:sz w:val="21"/>
                <w:szCs w:val="21"/>
              </w:rPr>
              <w:t>工程</w:t>
            </w:r>
          </w:p>
        </w:tc>
        <w:tc>
          <w:tcPr>
            <w:tcW w:w="840" w:type="pct"/>
            <w:noWrap w:val="0"/>
            <w:vAlign w:val="center"/>
          </w:tcPr>
          <w:p>
            <w:pPr>
              <w:adjustRightInd w:val="0"/>
              <w:snapToGrid w:val="0"/>
              <w:jc w:val="center"/>
              <w:rPr>
                <w:i w:val="0"/>
                <w:iCs w:val="0"/>
                <w:color w:val="000000"/>
                <w:sz w:val="21"/>
                <w:szCs w:val="21"/>
              </w:rPr>
            </w:pPr>
            <w:r>
              <w:rPr>
                <w:i w:val="0"/>
                <w:iCs w:val="0"/>
                <w:color w:val="000000"/>
                <w:sz w:val="21"/>
                <w:szCs w:val="21"/>
              </w:rPr>
              <w:t>生产车间</w:t>
            </w:r>
          </w:p>
        </w:tc>
        <w:tc>
          <w:tcPr>
            <w:tcW w:w="3734" w:type="pct"/>
            <w:noWrap w:val="0"/>
            <w:vAlign w:val="center"/>
          </w:tcPr>
          <w:p>
            <w:pPr>
              <w:adjustRightInd w:val="0"/>
              <w:snapToGrid w:val="0"/>
              <w:jc w:val="center"/>
              <w:rPr>
                <w:i w:val="0"/>
                <w:iCs w:val="0"/>
                <w:color w:val="000000"/>
                <w:sz w:val="21"/>
                <w:szCs w:val="21"/>
              </w:rPr>
            </w:pPr>
            <w:r>
              <w:rPr>
                <w:i w:val="0"/>
                <w:iCs w:val="0"/>
                <w:color w:val="000000"/>
                <w:sz w:val="21"/>
                <w:szCs w:val="21"/>
              </w:rPr>
              <w:t>新建发酵车间一栋</w:t>
            </w:r>
            <w:r>
              <w:rPr>
                <w:rFonts w:hint="eastAsia"/>
                <w:i w:val="0"/>
                <w:iCs w:val="0"/>
                <w:color w:val="000000"/>
                <w:sz w:val="21"/>
                <w:szCs w:val="21"/>
              </w:rPr>
              <w:t>建筑</w:t>
            </w:r>
            <w:r>
              <w:rPr>
                <w:i w:val="0"/>
                <w:iCs w:val="0"/>
                <w:color w:val="000000"/>
                <w:sz w:val="21"/>
                <w:szCs w:val="21"/>
              </w:rPr>
              <w:t>面积</w:t>
            </w:r>
            <w:r>
              <w:rPr>
                <w:rFonts w:hint="eastAsia"/>
                <w:i w:val="0"/>
                <w:iCs w:val="0"/>
                <w:color w:val="000000"/>
                <w:sz w:val="21"/>
                <w:szCs w:val="21"/>
              </w:rPr>
              <w:t>4628.2</w:t>
            </w:r>
            <w:r>
              <w:rPr>
                <w:i w:val="0"/>
                <w:iCs w:val="0"/>
                <w:color w:val="000000"/>
                <w:sz w:val="21"/>
                <w:szCs w:val="21"/>
              </w:rPr>
              <w:t>m</w:t>
            </w:r>
            <w:r>
              <w:rPr>
                <w:i w:val="0"/>
                <w:iCs w:val="0"/>
                <w:color w:val="000000"/>
                <w:sz w:val="21"/>
                <w:szCs w:val="21"/>
                <w:vertAlign w:val="superscript"/>
              </w:rPr>
              <w:t>2</w:t>
            </w:r>
            <w:r>
              <w:rPr>
                <w:i w:val="0"/>
                <w:iCs w:val="0"/>
                <w:color w:val="000000"/>
                <w:sz w:val="21"/>
                <w:szCs w:val="21"/>
              </w:rPr>
              <w:t>，新建</w:t>
            </w:r>
            <w:r>
              <w:rPr>
                <w:rFonts w:hint="eastAsia"/>
                <w:i w:val="0"/>
                <w:iCs w:val="0"/>
                <w:color w:val="000000"/>
                <w:sz w:val="21"/>
                <w:szCs w:val="21"/>
              </w:rPr>
              <w:t>提取</w:t>
            </w:r>
            <w:r>
              <w:rPr>
                <w:i w:val="0"/>
                <w:iCs w:val="0"/>
                <w:color w:val="000000"/>
                <w:sz w:val="21"/>
                <w:szCs w:val="21"/>
              </w:rPr>
              <w:t>车间一栋</w:t>
            </w:r>
            <w:r>
              <w:rPr>
                <w:rFonts w:hint="eastAsia"/>
                <w:i w:val="0"/>
                <w:iCs w:val="0"/>
                <w:color w:val="000000"/>
                <w:sz w:val="21"/>
                <w:szCs w:val="21"/>
              </w:rPr>
              <w:t>建筑</w:t>
            </w:r>
            <w:r>
              <w:rPr>
                <w:i w:val="0"/>
                <w:iCs w:val="0"/>
                <w:color w:val="000000"/>
                <w:sz w:val="21"/>
                <w:szCs w:val="21"/>
              </w:rPr>
              <w:t>面积</w:t>
            </w:r>
            <w:r>
              <w:rPr>
                <w:rFonts w:hint="eastAsia"/>
                <w:i w:val="0"/>
                <w:iCs w:val="0"/>
                <w:color w:val="000000"/>
                <w:sz w:val="21"/>
                <w:szCs w:val="21"/>
              </w:rPr>
              <w:t>4702.21</w:t>
            </w:r>
            <w:r>
              <w:rPr>
                <w:i w:val="0"/>
                <w:iCs w:val="0"/>
                <w:color w:val="000000"/>
                <w:sz w:val="21"/>
                <w:szCs w:val="21"/>
              </w:rPr>
              <w:t>m</w:t>
            </w:r>
            <w:r>
              <w:rPr>
                <w:i w:val="0"/>
                <w:iCs w:val="0"/>
                <w:color w:val="000000"/>
                <w:sz w:val="21"/>
                <w:szCs w:val="21"/>
                <w:vertAlign w:val="superscript"/>
              </w:rPr>
              <w:t>2</w:t>
            </w:r>
            <w:r>
              <w:rPr>
                <w:i w:val="0"/>
                <w:iCs w:val="0"/>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noWrap w:val="0"/>
            <w:vAlign w:val="center"/>
          </w:tcPr>
          <w:p>
            <w:pPr>
              <w:adjustRightInd w:val="0"/>
              <w:snapToGrid w:val="0"/>
              <w:jc w:val="center"/>
              <w:rPr>
                <w:i w:val="0"/>
                <w:iCs w:val="0"/>
                <w:color w:val="000000"/>
                <w:sz w:val="21"/>
                <w:szCs w:val="21"/>
              </w:rPr>
            </w:pPr>
            <w:r>
              <w:rPr>
                <w:i w:val="0"/>
                <w:iCs w:val="0"/>
                <w:color w:val="000000"/>
                <w:sz w:val="21"/>
                <w:szCs w:val="21"/>
              </w:rPr>
              <w:t>辅助</w:t>
            </w:r>
          </w:p>
          <w:p>
            <w:pPr>
              <w:adjustRightInd w:val="0"/>
              <w:snapToGrid w:val="0"/>
              <w:jc w:val="center"/>
              <w:rPr>
                <w:i w:val="0"/>
                <w:iCs w:val="0"/>
                <w:color w:val="000000"/>
                <w:sz w:val="21"/>
                <w:szCs w:val="21"/>
              </w:rPr>
            </w:pPr>
            <w:r>
              <w:rPr>
                <w:i w:val="0"/>
                <w:iCs w:val="0"/>
                <w:color w:val="000000"/>
                <w:sz w:val="21"/>
                <w:szCs w:val="21"/>
              </w:rPr>
              <w:t>工程</w:t>
            </w:r>
          </w:p>
        </w:tc>
        <w:tc>
          <w:tcPr>
            <w:tcW w:w="840" w:type="pct"/>
            <w:noWrap w:val="0"/>
            <w:vAlign w:val="center"/>
          </w:tcPr>
          <w:p>
            <w:pPr>
              <w:adjustRightInd w:val="0"/>
              <w:snapToGrid w:val="0"/>
              <w:jc w:val="center"/>
              <w:rPr>
                <w:i w:val="0"/>
                <w:iCs w:val="0"/>
                <w:color w:val="000000"/>
                <w:sz w:val="21"/>
                <w:szCs w:val="21"/>
              </w:rPr>
            </w:pPr>
            <w:r>
              <w:rPr>
                <w:i w:val="0"/>
                <w:iCs w:val="0"/>
                <w:color w:val="000000"/>
                <w:sz w:val="21"/>
                <w:szCs w:val="21"/>
              </w:rPr>
              <w:t>配套区</w:t>
            </w:r>
          </w:p>
        </w:tc>
        <w:tc>
          <w:tcPr>
            <w:tcW w:w="3734" w:type="pct"/>
            <w:noWrap w:val="0"/>
            <w:vAlign w:val="center"/>
          </w:tcPr>
          <w:p>
            <w:pPr>
              <w:adjustRightInd w:val="0"/>
              <w:snapToGrid w:val="0"/>
              <w:jc w:val="center"/>
              <w:rPr>
                <w:rFonts w:hint="eastAsia"/>
                <w:i w:val="0"/>
                <w:iCs w:val="0"/>
                <w:color w:val="000000"/>
                <w:sz w:val="21"/>
                <w:szCs w:val="21"/>
              </w:rPr>
            </w:pPr>
            <w:r>
              <w:rPr>
                <w:i w:val="0"/>
                <w:iCs w:val="0"/>
                <w:color w:val="000000"/>
                <w:sz w:val="21"/>
                <w:szCs w:val="21"/>
              </w:rPr>
              <w:t>包括</w:t>
            </w:r>
            <w:r>
              <w:rPr>
                <w:rFonts w:hint="eastAsia"/>
                <w:i w:val="0"/>
                <w:iCs w:val="0"/>
                <w:color w:val="000000"/>
                <w:sz w:val="21"/>
                <w:szCs w:val="21"/>
                <w:lang w:eastAsia="zh-CN"/>
              </w:rPr>
              <w:t>动力车间</w:t>
            </w:r>
            <w:r>
              <w:rPr>
                <w:rFonts w:hint="eastAsia"/>
                <w:i w:val="0"/>
                <w:iCs w:val="0"/>
                <w:sz w:val="21"/>
                <w:szCs w:val="21"/>
              </w:rPr>
              <w:t>1649.3</w:t>
            </w:r>
            <w:r>
              <w:rPr>
                <w:i w:val="0"/>
                <w:iCs w:val="0"/>
                <w:color w:val="000000"/>
                <w:sz w:val="21"/>
                <w:szCs w:val="21"/>
              </w:rPr>
              <w:t>m</w:t>
            </w:r>
            <w:r>
              <w:rPr>
                <w:i w:val="0"/>
                <w:iCs w:val="0"/>
                <w:color w:val="000000"/>
                <w:sz w:val="21"/>
                <w:szCs w:val="21"/>
                <w:vertAlign w:val="superscript"/>
              </w:rPr>
              <w:t>2</w:t>
            </w:r>
            <w:r>
              <w:rPr>
                <w:rFonts w:hint="eastAsia"/>
                <w:i w:val="0"/>
                <w:iCs w:val="0"/>
                <w:color w:val="000000"/>
                <w:sz w:val="21"/>
                <w:szCs w:val="21"/>
                <w:vertAlign w:val="baseline"/>
                <w:lang w:eastAsia="zh-CN"/>
              </w:rPr>
              <w:t>、</w:t>
            </w:r>
            <w:r>
              <w:rPr>
                <w:rFonts w:hint="eastAsia"/>
                <w:i w:val="0"/>
                <w:iCs w:val="0"/>
                <w:color w:val="000000"/>
                <w:sz w:val="21"/>
                <w:szCs w:val="21"/>
              </w:rPr>
              <w:t>质检楼建筑</w:t>
            </w:r>
            <w:r>
              <w:rPr>
                <w:i w:val="0"/>
                <w:iCs w:val="0"/>
                <w:color w:val="000000"/>
                <w:sz w:val="21"/>
                <w:szCs w:val="21"/>
              </w:rPr>
              <w:t>面积</w:t>
            </w:r>
            <w:r>
              <w:rPr>
                <w:rFonts w:hint="eastAsia"/>
                <w:i w:val="0"/>
                <w:iCs w:val="0"/>
                <w:color w:val="000000"/>
                <w:sz w:val="21"/>
                <w:szCs w:val="21"/>
              </w:rPr>
              <w:t>5737.11</w:t>
            </w:r>
            <w:r>
              <w:rPr>
                <w:i w:val="0"/>
                <w:iCs w:val="0"/>
                <w:color w:val="000000"/>
                <w:sz w:val="21"/>
                <w:szCs w:val="21"/>
              </w:rPr>
              <w:t>m</w:t>
            </w:r>
            <w:r>
              <w:rPr>
                <w:i w:val="0"/>
                <w:iCs w:val="0"/>
                <w:color w:val="000000"/>
                <w:sz w:val="21"/>
                <w:szCs w:val="21"/>
                <w:vertAlign w:val="superscript"/>
              </w:rPr>
              <w:t>2</w:t>
            </w:r>
            <w:r>
              <w:rPr>
                <w:i w:val="0"/>
                <w:iCs w:val="0"/>
                <w:color w:val="000000"/>
                <w:sz w:val="21"/>
                <w:szCs w:val="21"/>
              </w:rPr>
              <w:t>、</w:t>
            </w:r>
            <w:r>
              <w:rPr>
                <w:rFonts w:hint="eastAsia"/>
                <w:i w:val="0"/>
                <w:iCs w:val="0"/>
                <w:color w:val="000000"/>
                <w:sz w:val="21"/>
                <w:szCs w:val="21"/>
              </w:rPr>
              <w:t>倒班宿舍楼建筑</w:t>
            </w:r>
            <w:r>
              <w:rPr>
                <w:i w:val="0"/>
                <w:iCs w:val="0"/>
                <w:color w:val="000000"/>
                <w:sz w:val="21"/>
                <w:szCs w:val="21"/>
              </w:rPr>
              <w:t>面积</w:t>
            </w:r>
            <w:r>
              <w:rPr>
                <w:rFonts w:hint="eastAsia"/>
                <w:i w:val="0"/>
                <w:iCs w:val="0"/>
                <w:color w:val="000000"/>
                <w:sz w:val="21"/>
                <w:szCs w:val="21"/>
              </w:rPr>
              <w:t>5320.7</w:t>
            </w:r>
            <w:r>
              <w:rPr>
                <w:i w:val="0"/>
                <w:iCs w:val="0"/>
                <w:color w:val="000000"/>
                <w:sz w:val="21"/>
                <w:szCs w:val="21"/>
              </w:rPr>
              <w:t>m</w:t>
            </w:r>
            <w:r>
              <w:rPr>
                <w:i w:val="0"/>
                <w:iCs w:val="0"/>
                <w:color w:val="000000"/>
                <w:sz w:val="21"/>
                <w:szCs w:val="21"/>
                <w:vertAlign w:val="superscript"/>
              </w:rPr>
              <w:t>2</w:t>
            </w:r>
            <w:r>
              <w:rPr>
                <w:i w:val="0"/>
                <w:iCs w:val="0"/>
                <w:color w:val="000000"/>
                <w:sz w:val="21"/>
                <w:szCs w:val="21"/>
              </w:rPr>
              <w:t>、</w:t>
            </w:r>
            <w:r>
              <w:rPr>
                <w:rFonts w:hint="eastAsia"/>
                <w:i w:val="0"/>
                <w:iCs w:val="0"/>
                <w:color w:val="000000"/>
                <w:sz w:val="21"/>
                <w:szCs w:val="21"/>
              </w:rPr>
              <w:t>物流门卫建筑</w:t>
            </w:r>
            <w:r>
              <w:rPr>
                <w:i w:val="0"/>
                <w:iCs w:val="0"/>
                <w:color w:val="000000"/>
                <w:sz w:val="21"/>
                <w:szCs w:val="21"/>
              </w:rPr>
              <w:t>面积</w:t>
            </w:r>
            <w:r>
              <w:rPr>
                <w:rFonts w:hint="eastAsia"/>
                <w:i w:val="0"/>
                <w:iCs w:val="0"/>
                <w:color w:val="000000"/>
                <w:sz w:val="21"/>
                <w:szCs w:val="21"/>
              </w:rPr>
              <w:t>25</w:t>
            </w:r>
            <w:r>
              <w:rPr>
                <w:i w:val="0"/>
                <w:iCs w:val="0"/>
                <w:color w:val="000000"/>
                <w:sz w:val="21"/>
                <w:szCs w:val="21"/>
              </w:rPr>
              <w:t>m</w:t>
            </w:r>
            <w:r>
              <w:rPr>
                <w:i w:val="0"/>
                <w:iCs w:val="0"/>
                <w:color w:val="000000"/>
                <w:sz w:val="21"/>
                <w:szCs w:val="21"/>
                <w:vertAlign w:val="superscript"/>
              </w:rPr>
              <w:t>2</w:t>
            </w:r>
            <w:r>
              <w:rPr>
                <w:i w:val="0"/>
                <w:iCs w:val="0"/>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restart"/>
            <w:noWrap w:val="0"/>
            <w:vAlign w:val="center"/>
          </w:tcPr>
          <w:p>
            <w:pPr>
              <w:adjustRightInd w:val="0"/>
              <w:snapToGrid w:val="0"/>
              <w:jc w:val="center"/>
              <w:rPr>
                <w:rFonts w:hint="eastAsia"/>
                <w:i w:val="0"/>
                <w:iCs w:val="0"/>
                <w:color w:val="000000"/>
                <w:sz w:val="21"/>
                <w:szCs w:val="21"/>
              </w:rPr>
            </w:pPr>
            <w:r>
              <w:rPr>
                <w:rFonts w:hint="eastAsia"/>
                <w:i w:val="0"/>
                <w:iCs w:val="0"/>
                <w:color w:val="000000"/>
                <w:sz w:val="21"/>
                <w:szCs w:val="21"/>
              </w:rPr>
              <w:t>储运工程</w:t>
            </w:r>
          </w:p>
        </w:tc>
        <w:tc>
          <w:tcPr>
            <w:tcW w:w="840" w:type="pct"/>
            <w:noWrap w:val="0"/>
            <w:vAlign w:val="center"/>
          </w:tcPr>
          <w:p>
            <w:pPr>
              <w:adjustRightInd w:val="0"/>
              <w:snapToGrid w:val="0"/>
              <w:jc w:val="center"/>
              <w:rPr>
                <w:rFonts w:hint="eastAsia"/>
                <w:i w:val="0"/>
                <w:iCs w:val="0"/>
                <w:color w:val="000000"/>
                <w:sz w:val="21"/>
                <w:szCs w:val="21"/>
              </w:rPr>
            </w:pPr>
            <w:r>
              <w:rPr>
                <w:rFonts w:hint="eastAsia"/>
                <w:i w:val="0"/>
                <w:iCs w:val="0"/>
                <w:color w:val="000000"/>
                <w:sz w:val="21"/>
                <w:szCs w:val="21"/>
              </w:rPr>
              <w:t>综合库</w:t>
            </w:r>
          </w:p>
        </w:tc>
        <w:tc>
          <w:tcPr>
            <w:tcW w:w="3734" w:type="pct"/>
            <w:noWrap w:val="0"/>
            <w:vAlign w:val="center"/>
          </w:tcPr>
          <w:p>
            <w:pPr>
              <w:adjustRightInd w:val="0"/>
              <w:snapToGrid w:val="0"/>
              <w:jc w:val="center"/>
              <w:rPr>
                <w:rFonts w:hint="eastAsia"/>
                <w:i w:val="0"/>
                <w:iCs w:val="0"/>
                <w:color w:val="000000"/>
                <w:sz w:val="21"/>
                <w:szCs w:val="21"/>
              </w:rPr>
            </w:pPr>
            <w:r>
              <w:rPr>
                <w:rFonts w:hint="eastAsia"/>
                <w:i w:val="0"/>
                <w:iCs w:val="0"/>
                <w:color w:val="000000"/>
                <w:sz w:val="21"/>
                <w:szCs w:val="21"/>
              </w:rPr>
              <w:t>贮存部分原料及产品，贮存的原料包括：葡萄糖、酵母浸粉、蛋白胨、柠檬酸。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noWrap w:val="0"/>
            <w:vAlign w:val="center"/>
          </w:tcPr>
          <w:p>
            <w:pPr>
              <w:adjustRightInd w:val="0"/>
              <w:snapToGrid w:val="0"/>
              <w:jc w:val="center"/>
              <w:rPr>
                <w:rFonts w:hint="eastAsia"/>
                <w:i w:val="0"/>
                <w:iCs w:val="0"/>
                <w:color w:val="000000"/>
                <w:sz w:val="21"/>
                <w:szCs w:val="21"/>
              </w:rPr>
            </w:pPr>
          </w:p>
        </w:tc>
        <w:tc>
          <w:tcPr>
            <w:tcW w:w="840" w:type="pct"/>
            <w:noWrap w:val="0"/>
            <w:vAlign w:val="center"/>
          </w:tcPr>
          <w:p>
            <w:pPr>
              <w:adjustRightInd w:val="0"/>
              <w:snapToGrid w:val="0"/>
              <w:jc w:val="center"/>
              <w:rPr>
                <w:rFonts w:hint="eastAsia"/>
                <w:i w:val="0"/>
                <w:iCs w:val="0"/>
                <w:color w:val="000000"/>
                <w:sz w:val="21"/>
                <w:szCs w:val="21"/>
              </w:rPr>
            </w:pPr>
            <w:r>
              <w:rPr>
                <w:rFonts w:hint="eastAsia"/>
                <w:i w:val="0"/>
                <w:iCs w:val="0"/>
                <w:color w:val="000000"/>
                <w:sz w:val="21"/>
                <w:szCs w:val="21"/>
              </w:rPr>
              <w:t>危品库</w:t>
            </w:r>
          </w:p>
        </w:tc>
        <w:tc>
          <w:tcPr>
            <w:tcW w:w="3734" w:type="pct"/>
            <w:noWrap w:val="0"/>
            <w:vAlign w:val="center"/>
          </w:tcPr>
          <w:p>
            <w:pPr>
              <w:adjustRightInd w:val="0"/>
              <w:snapToGrid w:val="0"/>
              <w:rPr>
                <w:rFonts w:hint="eastAsia"/>
                <w:i w:val="0"/>
                <w:iCs w:val="0"/>
                <w:color w:val="000000"/>
                <w:sz w:val="21"/>
                <w:szCs w:val="21"/>
              </w:rPr>
            </w:pPr>
            <w:r>
              <w:rPr>
                <w:rFonts w:hint="eastAsia"/>
                <w:i w:val="0"/>
                <w:iCs w:val="0"/>
                <w:color w:val="000000"/>
                <w:sz w:val="21"/>
                <w:szCs w:val="21"/>
              </w:rPr>
              <w:t>包括</w:t>
            </w:r>
            <w:r>
              <w:rPr>
                <w:i w:val="0"/>
                <w:iCs w:val="0"/>
                <w:color w:val="000000"/>
                <w:sz w:val="21"/>
                <w:szCs w:val="21"/>
              </w:rPr>
              <w:t>液体间</w:t>
            </w:r>
            <w:r>
              <w:rPr>
                <w:rFonts w:hint="eastAsia"/>
                <w:i w:val="0"/>
                <w:iCs w:val="0"/>
                <w:color w:val="000000"/>
                <w:sz w:val="21"/>
                <w:szCs w:val="21"/>
              </w:rPr>
              <w:t>、固体</w:t>
            </w:r>
            <w:r>
              <w:rPr>
                <w:i w:val="0"/>
                <w:iCs w:val="0"/>
                <w:color w:val="000000"/>
                <w:sz w:val="21"/>
                <w:szCs w:val="21"/>
              </w:rPr>
              <w:t>间</w:t>
            </w:r>
            <w:r>
              <w:rPr>
                <w:rFonts w:hint="eastAsia"/>
                <w:i w:val="0"/>
                <w:iCs w:val="0"/>
                <w:color w:val="000000"/>
                <w:sz w:val="21"/>
                <w:szCs w:val="21"/>
              </w:rPr>
              <w:t>、试剂间、</w:t>
            </w:r>
            <w:r>
              <w:rPr>
                <w:i w:val="0"/>
                <w:iCs w:val="0"/>
                <w:color w:val="000000"/>
                <w:sz w:val="21"/>
                <w:szCs w:val="21"/>
              </w:rPr>
              <w:t>危废间</w:t>
            </w:r>
            <w:r>
              <w:rPr>
                <w:rFonts w:hint="eastAsia"/>
                <w:i w:val="0"/>
                <w:iCs w:val="0"/>
                <w:color w:val="000000"/>
                <w:sz w:val="21"/>
                <w:szCs w:val="21"/>
              </w:rPr>
              <w:t>；其中液体间存储消泡剂；</w:t>
            </w:r>
            <w:r>
              <w:rPr>
                <w:i w:val="0"/>
                <w:iCs w:val="0"/>
                <w:color w:val="000000"/>
                <w:sz w:val="21"/>
                <w:szCs w:val="21"/>
              </w:rPr>
              <w:t>固体间存储氢氧化钠；危废间存储</w:t>
            </w:r>
            <w:r>
              <w:rPr>
                <w:rFonts w:hint="eastAsia"/>
                <w:i w:val="0"/>
                <w:iCs w:val="0"/>
                <w:color w:val="000000"/>
                <w:sz w:val="21"/>
                <w:szCs w:val="21"/>
              </w:rPr>
              <w:t>废活性炭</w:t>
            </w:r>
            <w:r>
              <w:rPr>
                <w:rFonts w:hint="eastAsia"/>
                <w:i w:val="0"/>
                <w:iCs w:val="0"/>
                <w:color w:val="000000"/>
                <w:sz w:val="21"/>
                <w:szCs w:val="21"/>
                <w:lang w:eastAsia="zh-CN"/>
              </w:rPr>
              <w:t>、实验废液及废包装瓶</w:t>
            </w:r>
            <w:r>
              <w:rPr>
                <w:i w:val="0"/>
                <w:iCs w:val="0"/>
                <w:color w:val="000000"/>
                <w:sz w:val="21"/>
                <w:szCs w:val="21"/>
              </w:rPr>
              <w:t>；试剂间（甲类1、2、5、6类库）为易制毒化学品储存间，其中试剂柜一：盐酸、硫酸，试剂柜二：乙醚、三氯甲烷、甲苯、丙酮；危品库试剂间二（甲类1、2、5、6类库）为易制爆化学品储存间，其中试剂柜一：硝酸、硝酸银、硝酸镁，试剂柜二：硝酸钾、硝酸钠、硝酸铵、过氧化氢、高锰酸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noWrap w:val="0"/>
            <w:vAlign w:val="center"/>
          </w:tcPr>
          <w:p>
            <w:pPr>
              <w:adjustRightInd w:val="0"/>
              <w:snapToGrid w:val="0"/>
              <w:jc w:val="center"/>
              <w:rPr>
                <w:rFonts w:hint="eastAsia"/>
                <w:i w:val="0"/>
                <w:iCs w:val="0"/>
                <w:color w:val="000000"/>
                <w:sz w:val="21"/>
                <w:szCs w:val="21"/>
              </w:rPr>
            </w:pPr>
          </w:p>
        </w:tc>
        <w:tc>
          <w:tcPr>
            <w:tcW w:w="840" w:type="pct"/>
            <w:noWrap w:val="0"/>
            <w:vAlign w:val="center"/>
          </w:tcPr>
          <w:p>
            <w:pPr>
              <w:adjustRightInd w:val="0"/>
              <w:snapToGrid w:val="0"/>
              <w:jc w:val="center"/>
              <w:rPr>
                <w:rFonts w:hint="eastAsia"/>
                <w:i w:val="0"/>
                <w:iCs w:val="0"/>
                <w:color w:val="000000"/>
                <w:sz w:val="21"/>
                <w:szCs w:val="21"/>
              </w:rPr>
            </w:pPr>
            <w:r>
              <w:rPr>
                <w:rFonts w:hint="eastAsia"/>
                <w:i w:val="0"/>
                <w:iCs w:val="0"/>
                <w:color w:val="000000"/>
                <w:sz w:val="21"/>
                <w:szCs w:val="21"/>
              </w:rPr>
              <w:t>罐区</w:t>
            </w:r>
          </w:p>
        </w:tc>
        <w:tc>
          <w:tcPr>
            <w:tcW w:w="3734" w:type="pct"/>
            <w:noWrap w:val="0"/>
            <w:vAlign w:val="center"/>
          </w:tcPr>
          <w:p>
            <w:pPr>
              <w:adjustRightInd w:val="0"/>
              <w:snapToGrid w:val="0"/>
              <w:jc w:val="center"/>
              <w:rPr>
                <w:rFonts w:hint="eastAsia"/>
                <w:i w:val="0"/>
                <w:iCs w:val="0"/>
                <w:color w:val="000000"/>
                <w:sz w:val="21"/>
                <w:szCs w:val="21"/>
              </w:rPr>
            </w:pPr>
            <w:r>
              <w:rPr>
                <w:rFonts w:hint="eastAsia"/>
                <w:i w:val="0"/>
                <w:iCs w:val="0"/>
                <w:color w:val="000000"/>
                <w:sz w:val="21"/>
                <w:szCs w:val="21"/>
                <w:lang w:eastAsia="zh-CN"/>
              </w:rPr>
              <w:t>占地面积104.57</w:t>
            </w:r>
            <w:r>
              <w:rPr>
                <w:rFonts w:hint="eastAsia"/>
                <w:i w:val="0"/>
                <w:iCs w:val="0"/>
                <w:color w:val="000000"/>
                <w:sz w:val="21"/>
                <w:szCs w:val="21"/>
                <w:lang w:val="en-US" w:eastAsia="zh-CN"/>
              </w:rPr>
              <w:t>m</w:t>
            </w:r>
            <w:r>
              <w:rPr>
                <w:rFonts w:hint="eastAsia"/>
                <w:i w:val="0"/>
                <w:iCs w:val="0"/>
                <w:color w:val="000000"/>
                <w:sz w:val="21"/>
                <w:szCs w:val="21"/>
                <w:vertAlign w:val="superscript"/>
                <w:lang w:val="en-US" w:eastAsia="zh-CN"/>
              </w:rPr>
              <w:t>2</w:t>
            </w:r>
            <w:r>
              <w:rPr>
                <w:rFonts w:hint="eastAsia"/>
                <w:i w:val="0"/>
                <w:iCs w:val="0"/>
                <w:color w:val="000000"/>
                <w:sz w:val="21"/>
                <w:szCs w:val="21"/>
                <w:vertAlign w:val="baseline"/>
                <w:lang w:val="en-US" w:eastAsia="zh-CN"/>
              </w:rPr>
              <w:t>，池深3m，不锈钢卧式罐单罐，</w:t>
            </w:r>
            <w:r>
              <w:rPr>
                <w:rFonts w:hint="eastAsia"/>
                <w:i w:val="0"/>
                <w:iCs w:val="0"/>
                <w:color w:val="000000"/>
                <w:sz w:val="21"/>
                <w:szCs w:val="21"/>
              </w:rPr>
              <w:t>乙醇储罐1个（全容积10.1m</w:t>
            </w:r>
            <w:r>
              <w:rPr>
                <w:rFonts w:hint="eastAsia"/>
                <w:i w:val="0"/>
                <w:iCs w:val="0"/>
                <w:color w:val="000000"/>
                <w:sz w:val="21"/>
                <w:szCs w:val="21"/>
                <w:vertAlign w:val="superscript"/>
              </w:rPr>
              <w:t>3</w:t>
            </w:r>
            <w:r>
              <w:rPr>
                <w:rFonts w:hint="eastAsia"/>
                <w:i w:val="0"/>
                <w:iCs w:val="0"/>
                <w:color w:val="000000"/>
                <w:sz w:val="21"/>
                <w:szCs w:val="21"/>
              </w:rPr>
              <w:t>）；氨水储罐2个（单个全容积10.1m</w:t>
            </w:r>
            <w:r>
              <w:rPr>
                <w:rFonts w:hint="eastAsia"/>
                <w:i w:val="0"/>
                <w:iCs w:val="0"/>
                <w:color w:val="000000"/>
                <w:sz w:val="21"/>
                <w:szCs w:val="21"/>
                <w:vertAlign w:val="superscript"/>
              </w:rPr>
              <w:t>3</w:t>
            </w:r>
            <w:r>
              <w:rPr>
                <w:rFonts w:hint="eastAsia"/>
                <w:i w:val="0"/>
                <w:iCs w:val="0"/>
                <w:color w:val="000000"/>
                <w:sz w:val="21"/>
                <w:szCs w:val="21"/>
              </w:rPr>
              <w:t>）</w:t>
            </w:r>
            <w:r>
              <w:rPr>
                <w:rFonts w:hint="eastAsia"/>
                <w:i w:val="0"/>
                <w:iCs w:val="0"/>
                <w:color w:val="000000"/>
                <w:sz w:val="21"/>
                <w:szCs w:val="21"/>
                <w:lang w:eastAsia="zh-CN"/>
              </w:rPr>
              <w:t>，采用罐车输送，罐下无排口，采用自吸泵从上部吸出</w:t>
            </w:r>
            <w:r>
              <w:rPr>
                <w:rFonts w:hint="eastAsia"/>
                <w:i w:val="0"/>
                <w:iCs w:val="0"/>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restart"/>
            <w:noWrap w:val="0"/>
            <w:vAlign w:val="center"/>
          </w:tcPr>
          <w:p>
            <w:pPr>
              <w:adjustRightInd w:val="0"/>
              <w:snapToGrid w:val="0"/>
              <w:jc w:val="center"/>
              <w:rPr>
                <w:i w:val="0"/>
                <w:iCs w:val="0"/>
                <w:color w:val="000000"/>
                <w:sz w:val="21"/>
                <w:szCs w:val="21"/>
              </w:rPr>
            </w:pPr>
            <w:r>
              <w:rPr>
                <w:i w:val="0"/>
                <w:iCs w:val="0"/>
                <w:color w:val="000000"/>
                <w:sz w:val="21"/>
                <w:szCs w:val="21"/>
              </w:rPr>
              <w:t>公用</w:t>
            </w:r>
          </w:p>
          <w:p>
            <w:pPr>
              <w:adjustRightInd w:val="0"/>
              <w:snapToGrid w:val="0"/>
              <w:jc w:val="center"/>
              <w:rPr>
                <w:i w:val="0"/>
                <w:iCs w:val="0"/>
                <w:color w:val="000000"/>
                <w:sz w:val="21"/>
                <w:szCs w:val="21"/>
              </w:rPr>
            </w:pPr>
            <w:r>
              <w:rPr>
                <w:i w:val="0"/>
                <w:iCs w:val="0"/>
                <w:color w:val="000000"/>
                <w:sz w:val="21"/>
                <w:szCs w:val="21"/>
              </w:rPr>
              <w:t>工程</w:t>
            </w:r>
          </w:p>
        </w:tc>
        <w:tc>
          <w:tcPr>
            <w:tcW w:w="840" w:type="pct"/>
            <w:noWrap w:val="0"/>
            <w:vAlign w:val="center"/>
          </w:tcPr>
          <w:p>
            <w:pPr>
              <w:snapToGrid w:val="0"/>
              <w:jc w:val="center"/>
              <w:rPr>
                <w:i w:val="0"/>
                <w:iCs w:val="0"/>
                <w:color w:val="000000"/>
                <w:sz w:val="21"/>
                <w:szCs w:val="21"/>
              </w:rPr>
            </w:pPr>
            <w:r>
              <w:rPr>
                <w:i w:val="0"/>
                <w:iCs w:val="0"/>
                <w:color w:val="000000"/>
                <w:sz w:val="21"/>
                <w:szCs w:val="21"/>
              </w:rPr>
              <w:t>给排水</w:t>
            </w:r>
          </w:p>
          <w:p>
            <w:pPr>
              <w:snapToGrid w:val="0"/>
              <w:jc w:val="center"/>
              <w:rPr>
                <w:i w:val="0"/>
                <w:iCs w:val="0"/>
                <w:color w:val="000000"/>
                <w:sz w:val="21"/>
                <w:szCs w:val="21"/>
              </w:rPr>
            </w:pPr>
            <w:r>
              <w:rPr>
                <w:i w:val="0"/>
                <w:iCs w:val="0"/>
                <w:color w:val="000000"/>
                <w:sz w:val="21"/>
                <w:szCs w:val="21"/>
              </w:rPr>
              <w:t>系统</w:t>
            </w:r>
          </w:p>
        </w:tc>
        <w:tc>
          <w:tcPr>
            <w:tcW w:w="3734" w:type="pct"/>
            <w:noWrap w:val="0"/>
            <w:vAlign w:val="center"/>
          </w:tcPr>
          <w:p>
            <w:pPr>
              <w:snapToGrid w:val="0"/>
              <w:rPr>
                <w:rFonts w:eastAsia="新宋体"/>
                <w:i w:val="0"/>
                <w:iCs w:val="0"/>
                <w:color w:val="000000"/>
                <w:sz w:val="21"/>
                <w:szCs w:val="21"/>
              </w:rPr>
            </w:pPr>
            <w:r>
              <w:rPr>
                <w:i w:val="0"/>
                <w:iCs w:val="0"/>
                <w:color w:val="000000"/>
                <w:sz w:val="21"/>
                <w:szCs w:val="21"/>
              </w:rPr>
              <w:t>生产用水和生活用水全部来自市政自来水网；</w:t>
            </w:r>
            <w:r>
              <w:rPr>
                <w:rFonts w:eastAsia="新宋体"/>
                <w:i w:val="0"/>
                <w:iCs w:val="0"/>
                <w:color w:val="000000"/>
                <w:sz w:val="21"/>
                <w:szCs w:val="21"/>
              </w:rPr>
              <w:t>给水系统分为生活</w:t>
            </w:r>
            <w:r>
              <w:rPr>
                <w:rFonts w:hint="eastAsia" w:eastAsia="新宋体"/>
                <w:i w:val="0"/>
                <w:iCs w:val="0"/>
                <w:color w:val="000000"/>
                <w:sz w:val="21"/>
                <w:szCs w:val="21"/>
                <w:lang w:eastAsia="zh-CN"/>
              </w:rPr>
              <w:t>、</w:t>
            </w:r>
            <w:r>
              <w:rPr>
                <w:rFonts w:eastAsia="新宋体"/>
                <w:i w:val="0"/>
                <w:iCs w:val="0"/>
                <w:color w:val="000000"/>
                <w:sz w:val="21"/>
                <w:szCs w:val="21"/>
              </w:rPr>
              <w:t>生产给水系统、循环冷却水系统。</w:t>
            </w:r>
          </w:p>
          <w:p>
            <w:pPr>
              <w:snapToGrid w:val="0"/>
              <w:rPr>
                <w:i w:val="0"/>
                <w:iCs w:val="0"/>
                <w:color w:val="000000"/>
                <w:sz w:val="21"/>
                <w:szCs w:val="21"/>
              </w:rPr>
            </w:pPr>
            <w:r>
              <w:rPr>
                <w:i w:val="0"/>
                <w:iCs w:val="0"/>
                <w:color w:val="000000"/>
                <w:sz w:val="21"/>
                <w:szCs w:val="21"/>
              </w:rPr>
              <w:t>排水采用雨污分流制。雨水排入项目区雨水管网，进入</w:t>
            </w:r>
            <w:r>
              <w:rPr>
                <w:rFonts w:hint="eastAsia"/>
                <w:i w:val="0"/>
                <w:iCs w:val="0"/>
                <w:color w:val="000000"/>
                <w:sz w:val="21"/>
                <w:szCs w:val="21"/>
                <w:lang w:val="en-US" w:eastAsia="zh-CN"/>
              </w:rPr>
              <w:t>浑江</w:t>
            </w:r>
            <w:r>
              <w:rPr>
                <w:rFonts w:hint="eastAsia"/>
                <w:i w:val="0"/>
                <w:iCs w:val="0"/>
                <w:color w:val="000000"/>
                <w:sz w:val="21"/>
                <w:szCs w:val="21"/>
                <w:lang w:eastAsia="zh-CN"/>
              </w:rPr>
              <w:t>，</w:t>
            </w:r>
            <w:r>
              <w:rPr>
                <w:rFonts w:hint="eastAsia"/>
                <w:i w:val="0"/>
                <w:iCs w:val="0"/>
                <w:color w:val="000000"/>
                <w:sz w:val="21"/>
                <w:szCs w:val="21"/>
                <w:u w:val="single"/>
                <w:lang w:val="en-US" w:eastAsia="zh-CN"/>
              </w:rPr>
              <w:t>初期雨水经初期雨水收集池收集，处理达标后排入雨水管网；</w:t>
            </w:r>
            <w:r>
              <w:rPr>
                <w:i w:val="0"/>
                <w:iCs w:val="0"/>
                <w:color w:val="000000"/>
                <w:sz w:val="21"/>
                <w:szCs w:val="21"/>
                <w:u w:val="single"/>
              </w:rPr>
              <w:t>废水经厂区污水处理设施处理达标后，</w:t>
            </w:r>
            <w:r>
              <w:rPr>
                <w:rFonts w:hint="eastAsia"/>
                <w:i w:val="0"/>
                <w:iCs w:val="0"/>
                <w:color w:val="000000"/>
                <w:sz w:val="21"/>
                <w:szCs w:val="21"/>
                <w:u w:val="single"/>
              </w:rPr>
              <w:t>进入开发区</w:t>
            </w:r>
            <w:r>
              <w:rPr>
                <w:i w:val="0"/>
                <w:iCs w:val="0"/>
                <w:color w:val="000000"/>
                <w:sz w:val="21"/>
                <w:szCs w:val="21"/>
                <w:u w:val="single"/>
              </w:rPr>
              <w:t>污水处理厂处理后达标后</w:t>
            </w:r>
            <w:r>
              <w:rPr>
                <w:rFonts w:hint="eastAsia"/>
                <w:i w:val="0"/>
                <w:iCs w:val="0"/>
                <w:color w:val="000000"/>
                <w:sz w:val="21"/>
                <w:szCs w:val="21"/>
                <w:u w:val="single"/>
              </w:rPr>
              <w:t>浑江</w:t>
            </w:r>
            <w:r>
              <w:rPr>
                <w:i w:val="0"/>
                <w:iCs w:val="0"/>
                <w:color w:val="000000"/>
                <w:sz w:val="21"/>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425" w:type="pct"/>
            <w:vMerge w:val="continue"/>
            <w:noWrap w:val="0"/>
            <w:vAlign w:val="center"/>
          </w:tcPr>
          <w:p>
            <w:pPr>
              <w:widowControl/>
              <w:snapToGrid w:val="0"/>
              <w:jc w:val="left"/>
              <w:rPr>
                <w:i w:val="0"/>
                <w:iCs w:val="0"/>
                <w:color w:val="000000"/>
                <w:sz w:val="21"/>
                <w:szCs w:val="21"/>
              </w:rPr>
            </w:pPr>
          </w:p>
        </w:tc>
        <w:tc>
          <w:tcPr>
            <w:tcW w:w="840" w:type="pct"/>
            <w:noWrap w:val="0"/>
            <w:vAlign w:val="center"/>
          </w:tcPr>
          <w:p>
            <w:pPr>
              <w:snapToGrid w:val="0"/>
              <w:jc w:val="center"/>
              <w:rPr>
                <w:i w:val="0"/>
                <w:iCs w:val="0"/>
                <w:color w:val="000000"/>
                <w:sz w:val="21"/>
                <w:szCs w:val="21"/>
              </w:rPr>
            </w:pPr>
            <w:r>
              <w:rPr>
                <w:i w:val="0"/>
                <w:iCs w:val="0"/>
                <w:color w:val="000000"/>
                <w:sz w:val="21"/>
                <w:szCs w:val="21"/>
              </w:rPr>
              <w:t>空调系统</w:t>
            </w:r>
          </w:p>
        </w:tc>
        <w:tc>
          <w:tcPr>
            <w:tcW w:w="3734" w:type="pct"/>
            <w:noWrap w:val="0"/>
            <w:vAlign w:val="center"/>
          </w:tcPr>
          <w:p>
            <w:pPr>
              <w:snapToGrid w:val="0"/>
              <w:rPr>
                <w:i w:val="0"/>
                <w:iCs w:val="0"/>
                <w:color w:val="000000"/>
                <w:sz w:val="21"/>
                <w:szCs w:val="21"/>
              </w:rPr>
            </w:pPr>
            <w:r>
              <w:rPr>
                <w:rFonts w:hint="eastAsia"/>
                <w:i w:val="0"/>
                <w:iCs w:val="0"/>
                <w:color w:val="000000"/>
                <w:sz w:val="21"/>
                <w:szCs w:val="21"/>
              </w:rPr>
              <w:t>提取</w:t>
            </w:r>
            <w:r>
              <w:rPr>
                <w:i w:val="0"/>
                <w:iCs w:val="0"/>
                <w:color w:val="000000"/>
                <w:sz w:val="21"/>
                <w:szCs w:val="21"/>
              </w:rPr>
              <w:t>车间包装工段环境空调设置为</w:t>
            </w:r>
            <w:r>
              <w:rPr>
                <w:rFonts w:hint="eastAsia"/>
                <w:i w:val="0"/>
                <w:iCs w:val="0"/>
                <w:color w:val="000000"/>
                <w:sz w:val="21"/>
                <w:szCs w:val="21"/>
                <w:lang w:val="en-US" w:eastAsia="zh-CN"/>
              </w:rPr>
              <w:t>一般控制区</w:t>
            </w:r>
            <w:r>
              <w:rPr>
                <w:i w:val="0"/>
                <w:iCs w:val="0"/>
                <w:color w:val="000000"/>
                <w:sz w:val="21"/>
                <w:szCs w:val="21"/>
              </w:rPr>
              <w:t>。按工艺要求对各工段进行温湿度控制调节；环境空调采用中央空调机组。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noWrap w:val="0"/>
            <w:vAlign w:val="center"/>
          </w:tcPr>
          <w:p>
            <w:pPr>
              <w:widowControl/>
              <w:snapToGrid w:val="0"/>
              <w:jc w:val="left"/>
              <w:rPr>
                <w:i w:val="0"/>
                <w:iCs w:val="0"/>
                <w:color w:val="000000"/>
                <w:sz w:val="21"/>
                <w:szCs w:val="21"/>
              </w:rPr>
            </w:pPr>
          </w:p>
        </w:tc>
        <w:tc>
          <w:tcPr>
            <w:tcW w:w="840" w:type="pct"/>
            <w:noWrap w:val="0"/>
            <w:vAlign w:val="center"/>
          </w:tcPr>
          <w:p>
            <w:pPr>
              <w:snapToGrid w:val="0"/>
              <w:jc w:val="center"/>
              <w:rPr>
                <w:i w:val="0"/>
                <w:iCs w:val="0"/>
                <w:color w:val="000000"/>
                <w:sz w:val="21"/>
                <w:szCs w:val="21"/>
              </w:rPr>
            </w:pPr>
            <w:r>
              <w:rPr>
                <w:i w:val="0"/>
                <w:iCs w:val="0"/>
                <w:color w:val="000000"/>
                <w:sz w:val="21"/>
                <w:szCs w:val="21"/>
              </w:rPr>
              <w:t>循环冷却水系统</w:t>
            </w:r>
          </w:p>
        </w:tc>
        <w:tc>
          <w:tcPr>
            <w:tcW w:w="3734" w:type="pct"/>
            <w:noWrap w:val="0"/>
            <w:vAlign w:val="center"/>
          </w:tcPr>
          <w:p>
            <w:pPr>
              <w:pStyle w:val="24"/>
              <w:snapToGrid w:val="0"/>
              <w:spacing w:line="240" w:lineRule="auto"/>
              <w:ind w:firstLine="420" w:firstLineChars="200"/>
              <w:rPr>
                <w:i w:val="0"/>
                <w:iCs w:val="0"/>
                <w:color w:val="000000"/>
                <w:sz w:val="21"/>
                <w:szCs w:val="21"/>
                <w:highlight w:val="yellow"/>
              </w:rPr>
            </w:pPr>
            <w:r>
              <w:rPr>
                <w:rFonts w:hint="eastAsia"/>
                <w:i w:val="0"/>
                <w:iCs w:val="0"/>
                <w:color w:val="000000"/>
                <w:sz w:val="21"/>
                <w:szCs w:val="21"/>
              </w:rPr>
              <w:t>位于动力车间厂房东侧，</w:t>
            </w:r>
            <w:r>
              <w:rPr>
                <w:i w:val="0"/>
                <w:iCs w:val="0"/>
                <w:color w:val="000000"/>
                <w:sz w:val="21"/>
                <w:szCs w:val="21"/>
              </w:rPr>
              <w:t>项目设</w:t>
            </w:r>
            <w:r>
              <w:rPr>
                <w:rFonts w:hint="eastAsia"/>
                <w:i w:val="0"/>
                <w:iCs w:val="0"/>
                <w:color w:val="000000"/>
                <w:sz w:val="21"/>
                <w:szCs w:val="21"/>
              </w:rPr>
              <w:t>4</w:t>
            </w:r>
            <w:r>
              <w:rPr>
                <w:i w:val="0"/>
                <w:iCs w:val="0"/>
                <w:color w:val="000000"/>
                <w:sz w:val="21"/>
                <w:szCs w:val="21"/>
              </w:rPr>
              <w:t>00m</w:t>
            </w:r>
            <w:r>
              <w:rPr>
                <w:i w:val="0"/>
                <w:iCs w:val="0"/>
                <w:color w:val="000000"/>
                <w:sz w:val="21"/>
                <w:szCs w:val="21"/>
                <w:vertAlign w:val="superscript"/>
              </w:rPr>
              <w:t>3</w:t>
            </w:r>
            <w:r>
              <w:rPr>
                <w:i w:val="0"/>
                <w:iCs w:val="0"/>
                <w:color w:val="000000"/>
                <w:sz w:val="21"/>
                <w:szCs w:val="21"/>
              </w:rPr>
              <w:t>/h循环水冷却塔</w:t>
            </w:r>
            <w:r>
              <w:rPr>
                <w:rFonts w:hint="eastAsia"/>
                <w:i w:val="0"/>
                <w:iCs w:val="0"/>
                <w:color w:val="000000"/>
                <w:sz w:val="21"/>
                <w:szCs w:val="21"/>
              </w:rPr>
              <w:t>1</w:t>
            </w:r>
            <w:r>
              <w:rPr>
                <w:i w:val="0"/>
                <w:iCs w:val="0"/>
                <w:color w:val="000000"/>
                <w:sz w:val="21"/>
                <w:szCs w:val="21"/>
              </w:rPr>
              <w:t>台</w:t>
            </w:r>
            <w:r>
              <w:rPr>
                <w:rFonts w:hint="eastAsia"/>
                <w:i w:val="0"/>
                <w:iCs w:val="0"/>
                <w:color w:val="000000"/>
                <w:sz w:val="21"/>
                <w:szCs w:val="21"/>
              </w:rPr>
              <w:t>，塔下设循环水池1座。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noWrap w:val="0"/>
            <w:vAlign w:val="center"/>
          </w:tcPr>
          <w:p>
            <w:pPr>
              <w:widowControl/>
              <w:snapToGrid w:val="0"/>
              <w:jc w:val="left"/>
              <w:rPr>
                <w:i w:val="0"/>
                <w:iCs w:val="0"/>
                <w:color w:val="000000"/>
                <w:sz w:val="21"/>
                <w:szCs w:val="21"/>
              </w:rPr>
            </w:pPr>
          </w:p>
        </w:tc>
        <w:tc>
          <w:tcPr>
            <w:tcW w:w="840" w:type="pct"/>
            <w:noWrap w:val="0"/>
            <w:vAlign w:val="center"/>
          </w:tcPr>
          <w:p>
            <w:pPr>
              <w:snapToGrid w:val="0"/>
              <w:jc w:val="center"/>
              <w:rPr>
                <w:i w:val="0"/>
                <w:iCs w:val="0"/>
                <w:color w:val="000000"/>
                <w:sz w:val="21"/>
                <w:szCs w:val="21"/>
              </w:rPr>
            </w:pPr>
            <w:r>
              <w:rPr>
                <w:rFonts w:hint="eastAsia"/>
                <w:i w:val="0"/>
                <w:iCs w:val="0"/>
                <w:color w:val="000000"/>
                <w:sz w:val="21"/>
                <w:szCs w:val="21"/>
              </w:rPr>
              <w:t>供电工程</w:t>
            </w:r>
          </w:p>
        </w:tc>
        <w:tc>
          <w:tcPr>
            <w:tcW w:w="3734" w:type="pct"/>
            <w:noWrap w:val="0"/>
            <w:vAlign w:val="center"/>
          </w:tcPr>
          <w:p>
            <w:pPr>
              <w:snapToGrid w:val="0"/>
              <w:rPr>
                <w:rFonts w:hint="eastAsia"/>
                <w:i w:val="0"/>
                <w:iCs w:val="0"/>
                <w:color w:val="000000"/>
                <w:sz w:val="21"/>
                <w:szCs w:val="21"/>
              </w:rPr>
            </w:pPr>
            <w:r>
              <w:rPr>
                <w:rFonts w:hint="eastAsia"/>
                <w:i w:val="0"/>
                <w:iCs w:val="0"/>
                <w:color w:val="000000"/>
                <w:sz w:val="21"/>
                <w:szCs w:val="21"/>
              </w:rPr>
              <w:t>依托园区供电管网，厂内设置配电房1间，位于动力车间厂房西侧。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noWrap w:val="0"/>
            <w:vAlign w:val="center"/>
          </w:tcPr>
          <w:p>
            <w:pPr>
              <w:widowControl/>
              <w:snapToGrid w:val="0"/>
              <w:jc w:val="left"/>
              <w:rPr>
                <w:i w:val="0"/>
                <w:iCs w:val="0"/>
                <w:color w:val="000000"/>
                <w:sz w:val="21"/>
                <w:szCs w:val="21"/>
              </w:rPr>
            </w:pPr>
          </w:p>
        </w:tc>
        <w:tc>
          <w:tcPr>
            <w:tcW w:w="840" w:type="pct"/>
            <w:noWrap w:val="0"/>
            <w:vAlign w:val="center"/>
          </w:tcPr>
          <w:p>
            <w:pPr>
              <w:snapToGrid w:val="0"/>
              <w:jc w:val="center"/>
              <w:rPr>
                <w:i w:val="0"/>
                <w:iCs w:val="0"/>
                <w:color w:val="000000"/>
                <w:sz w:val="21"/>
                <w:szCs w:val="21"/>
              </w:rPr>
            </w:pPr>
            <w:r>
              <w:rPr>
                <w:i w:val="0"/>
                <w:iCs w:val="0"/>
                <w:color w:val="000000"/>
                <w:sz w:val="21"/>
                <w:szCs w:val="21"/>
              </w:rPr>
              <w:t>供气系统</w:t>
            </w:r>
          </w:p>
        </w:tc>
        <w:tc>
          <w:tcPr>
            <w:tcW w:w="3734" w:type="pct"/>
            <w:noWrap w:val="0"/>
            <w:vAlign w:val="center"/>
          </w:tcPr>
          <w:p>
            <w:pPr>
              <w:snapToGrid w:val="0"/>
              <w:rPr>
                <w:i w:val="0"/>
                <w:iCs w:val="0"/>
                <w:color w:val="000000"/>
                <w:sz w:val="21"/>
                <w:szCs w:val="21"/>
              </w:rPr>
            </w:pPr>
            <w:r>
              <w:rPr>
                <w:i w:val="0"/>
                <w:iCs w:val="0"/>
                <w:color w:val="000000"/>
                <w:sz w:val="21"/>
                <w:szCs w:val="21"/>
              </w:rPr>
              <w:t>新建</w:t>
            </w:r>
            <w:r>
              <w:rPr>
                <w:rFonts w:hint="eastAsia"/>
                <w:i w:val="0"/>
                <w:iCs w:val="0"/>
                <w:color w:val="000000"/>
                <w:sz w:val="21"/>
                <w:szCs w:val="21"/>
              </w:rPr>
              <w:t>动力</w:t>
            </w:r>
            <w:r>
              <w:rPr>
                <w:i w:val="0"/>
                <w:iCs w:val="0"/>
                <w:color w:val="000000"/>
                <w:sz w:val="21"/>
                <w:szCs w:val="21"/>
              </w:rPr>
              <w:t>车间一栋，建筑面积1617.1m</w:t>
            </w:r>
            <w:r>
              <w:rPr>
                <w:i w:val="0"/>
                <w:iCs w:val="0"/>
                <w:color w:val="000000"/>
                <w:sz w:val="21"/>
                <w:szCs w:val="21"/>
                <w:vertAlign w:val="superscript"/>
              </w:rPr>
              <w:t>2</w:t>
            </w:r>
            <w:r>
              <w:rPr>
                <w:i w:val="0"/>
                <w:iCs w:val="0"/>
                <w:color w:val="000000"/>
                <w:sz w:val="21"/>
                <w:szCs w:val="21"/>
              </w:rPr>
              <w:t>，</w:t>
            </w:r>
            <w:r>
              <w:rPr>
                <w:rFonts w:hint="eastAsia"/>
                <w:i w:val="0"/>
                <w:iCs w:val="0"/>
                <w:color w:val="000000"/>
                <w:sz w:val="21"/>
                <w:szCs w:val="21"/>
              </w:rPr>
              <w:t>空压站选用100Nm</w:t>
            </w:r>
            <w:r>
              <w:rPr>
                <w:rFonts w:hint="eastAsia"/>
                <w:i w:val="0"/>
                <w:iCs w:val="0"/>
                <w:color w:val="000000"/>
                <w:sz w:val="21"/>
                <w:szCs w:val="21"/>
                <w:vertAlign w:val="superscript"/>
              </w:rPr>
              <w:t>3</w:t>
            </w:r>
            <w:r>
              <w:rPr>
                <w:rFonts w:hint="eastAsia"/>
                <w:i w:val="0"/>
                <w:iCs w:val="0"/>
                <w:color w:val="000000"/>
                <w:sz w:val="21"/>
                <w:szCs w:val="21"/>
              </w:rPr>
              <w:t>/min；2.5bar空压机2台；空压站选用50Nm</w:t>
            </w:r>
            <w:r>
              <w:rPr>
                <w:rFonts w:hint="eastAsia"/>
                <w:i w:val="0"/>
                <w:iCs w:val="0"/>
                <w:color w:val="000000"/>
                <w:sz w:val="21"/>
                <w:szCs w:val="21"/>
                <w:vertAlign w:val="superscript"/>
              </w:rPr>
              <w:t>3</w:t>
            </w:r>
            <w:r>
              <w:rPr>
                <w:rFonts w:hint="eastAsia"/>
                <w:i w:val="0"/>
                <w:iCs w:val="0"/>
                <w:color w:val="000000"/>
                <w:sz w:val="21"/>
                <w:szCs w:val="21"/>
              </w:rPr>
              <w:t>/min，2.5bar空压机2台：12Nm</w:t>
            </w:r>
            <w:r>
              <w:rPr>
                <w:rFonts w:hint="eastAsia"/>
                <w:i w:val="0"/>
                <w:iCs w:val="0"/>
                <w:color w:val="000000"/>
                <w:sz w:val="21"/>
                <w:szCs w:val="21"/>
                <w:vertAlign w:val="superscript"/>
              </w:rPr>
              <w:t>3</w:t>
            </w:r>
            <w:r>
              <w:rPr>
                <w:rFonts w:hint="eastAsia"/>
                <w:i w:val="0"/>
                <w:iCs w:val="0"/>
                <w:color w:val="000000"/>
                <w:sz w:val="21"/>
                <w:szCs w:val="21"/>
              </w:rPr>
              <w:t>/min空压机8bar空压机2台</w:t>
            </w:r>
            <w:r>
              <w:rPr>
                <w:i w:val="0"/>
                <w:iCs w:val="0"/>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noWrap w:val="0"/>
            <w:vAlign w:val="center"/>
          </w:tcPr>
          <w:p>
            <w:pPr>
              <w:widowControl/>
              <w:snapToGrid w:val="0"/>
              <w:jc w:val="left"/>
              <w:rPr>
                <w:i w:val="0"/>
                <w:iCs w:val="0"/>
                <w:color w:val="000000"/>
                <w:sz w:val="21"/>
                <w:szCs w:val="21"/>
              </w:rPr>
            </w:pPr>
          </w:p>
        </w:tc>
        <w:tc>
          <w:tcPr>
            <w:tcW w:w="840" w:type="pct"/>
            <w:noWrap w:val="0"/>
            <w:vAlign w:val="center"/>
          </w:tcPr>
          <w:p>
            <w:pPr>
              <w:adjustRightInd w:val="0"/>
              <w:snapToGrid w:val="0"/>
              <w:jc w:val="center"/>
              <w:rPr>
                <w:i w:val="0"/>
                <w:iCs w:val="0"/>
                <w:color w:val="000000"/>
                <w:sz w:val="21"/>
                <w:szCs w:val="21"/>
              </w:rPr>
            </w:pPr>
            <w:r>
              <w:rPr>
                <w:i w:val="0"/>
                <w:iCs w:val="0"/>
                <w:color w:val="000000"/>
                <w:sz w:val="21"/>
                <w:szCs w:val="21"/>
              </w:rPr>
              <w:t>消防水池</w:t>
            </w:r>
          </w:p>
        </w:tc>
        <w:tc>
          <w:tcPr>
            <w:tcW w:w="3734" w:type="pct"/>
            <w:noWrap w:val="0"/>
            <w:vAlign w:val="center"/>
          </w:tcPr>
          <w:p>
            <w:pPr>
              <w:adjustRightInd w:val="0"/>
              <w:snapToGrid w:val="0"/>
              <w:jc w:val="center"/>
              <w:rPr>
                <w:i w:val="0"/>
                <w:iCs w:val="0"/>
                <w:color w:val="000000"/>
                <w:sz w:val="21"/>
                <w:szCs w:val="21"/>
              </w:rPr>
            </w:pPr>
            <w:r>
              <w:rPr>
                <w:i w:val="0"/>
                <w:iCs w:val="0"/>
                <w:color w:val="000000"/>
                <w:sz w:val="21"/>
                <w:szCs w:val="21"/>
              </w:rPr>
              <w:t>消防水池布置在</w:t>
            </w:r>
            <w:r>
              <w:rPr>
                <w:rFonts w:hint="eastAsia"/>
                <w:i w:val="0"/>
                <w:iCs w:val="0"/>
                <w:color w:val="000000"/>
                <w:sz w:val="21"/>
                <w:szCs w:val="21"/>
              </w:rPr>
              <w:t>质检楼</w:t>
            </w:r>
            <w:r>
              <w:rPr>
                <w:i w:val="0"/>
                <w:iCs w:val="0"/>
                <w:color w:val="000000"/>
                <w:sz w:val="21"/>
                <w:szCs w:val="21"/>
              </w:rPr>
              <w:t>西</w:t>
            </w:r>
            <w:r>
              <w:rPr>
                <w:rFonts w:hint="eastAsia"/>
                <w:i w:val="0"/>
                <w:iCs w:val="0"/>
                <w:color w:val="000000"/>
                <w:sz w:val="21"/>
                <w:szCs w:val="21"/>
              </w:rPr>
              <w:t>侧</w:t>
            </w:r>
            <w:r>
              <w:rPr>
                <w:i w:val="0"/>
                <w:iCs w:val="0"/>
                <w:color w:val="000000"/>
                <w:sz w:val="21"/>
                <w:szCs w:val="21"/>
              </w:rPr>
              <w:t>。消防水池</w:t>
            </w:r>
            <w:r>
              <w:rPr>
                <w:rFonts w:hint="eastAsia"/>
                <w:i w:val="0"/>
                <w:iCs w:val="0"/>
                <w:color w:val="000000"/>
                <w:sz w:val="21"/>
                <w:szCs w:val="21"/>
              </w:rPr>
              <w:t>1、</w:t>
            </w:r>
            <w:r>
              <w:rPr>
                <w:i w:val="0"/>
                <w:iCs w:val="0"/>
                <w:color w:val="000000"/>
                <w:sz w:val="21"/>
                <w:szCs w:val="21"/>
              </w:rPr>
              <w:t>消防水池</w:t>
            </w:r>
            <w:r>
              <w:rPr>
                <w:rFonts w:hint="eastAsia"/>
                <w:i w:val="0"/>
                <w:iCs w:val="0"/>
                <w:color w:val="000000"/>
                <w:sz w:val="21"/>
                <w:szCs w:val="21"/>
                <w:lang w:val="en-US" w:eastAsia="zh-CN"/>
              </w:rPr>
              <w:t>2</w:t>
            </w:r>
            <w:r>
              <w:rPr>
                <w:i w:val="0"/>
                <w:iCs w:val="0"/>
                <w:color w:val="000000"/>
                <w:sz w:val="21"/>
                <w:szCs w:val="21"/>
              </w:rPr>
              <w:t>有效容积</w:t>
            </w:r>
            <w:r>
              <w:rPr>
                <w:rFonts w:hint="eastAsia"/>
                <w:i w:val="0"/>
                <w:iCs w:val="0"/>
                <w:color w:val="000000"/>
                <w:sz w:val="21"/>
                <w:szCs w:val="21"/>
              </w:rPr>
              <w:t>分别</w:t>
            </w:r>
            <w:r>
              <w:rPr>
                <w:i w:val="0"/>
                <w:iCs w:val="0"/>
                <w:color w:val="000000"/>
                <w:sz w:val="21"/>
                <w:szCs w:val="21"/>
              </w:rPr>
              <w:t>为</w:t>
            </w:r>
            <w:r>
              <w:rPr>
                <w:rFonts w:hint="eastAsia"/>
                <w:i w:val="0"/>
                <w:iCs w:val="0"/>
                <w:color w:val="000000"/>
                <w:sz w:val="21"/>
                <w:szCs w:val="21"/>
                <w:lang w:val="en-US" w:eastAsia="zh-CN"/>
              </w:rPr>
              <w:t>350</w:t>
            </w:r>
            <w:r>
              <w:rPr>
                <w:i w:val="0"/>
                <w:iCs w:val="0"/>
                <w:color w:val="000000"/>
                <w:sz w:val="21"/>
                <w:szCs w:val="21"/>
              </w:rPr>
              <w:t>m</w:t>
            </w:r>
            <w:r>
              <w:rPr>
                <w:i w:val="0"/>
                <w:iCs w:val="0"/>
                <w:color w:val="000000"/>
                <w:sz w:val="21"/>
                <w:szCs w:val="21"/>
                <w:vertAlign w:val="superscript"/>
              </w:rPr>
              <w:t>3</w:t>
            </w:r>
            <w:r>
              <w:rPr>
                <w:rFonts w:hint="eastAsia"/>
                <w:i w:val="0"/>
                <w:iCs w:val="0"/>
                <w:color w:val="000000"/>
                <w:sz w:val="21"/>
                <w:szCs w:val="21"/>
              </w:rPr>
              <w:t>共</w:t>
            </w:r>
            <w:r>
              <w:rPr>
                <w:rFonts w:hint="eastAsia"/>
                <w:i w:val="0"/>
                <w:iCs w:val="0"/>
                <w:color w:val="000000"/>
                <w:sz w:val="21"/>
                <w:szCs w:val="21"/>
                <w:lang w:val="en-US" w:eastAsia="zh-CN"/>
              </w:rPr>
              <w:t>7</w:t>
            </w:r>
            <w:r>
              <w:rPr>
                <w:rFonts w:hint="eastAsia"/>
                <w:i w:val="0"/>
                <w:iCs w:val="0"/>
                <w:color w:val="000000"/>
                <w:sz w:val="21"/>
                <w:szCs w:val="21"/>
              </w:rPr>
              <w:t>00</w:t>
            </w:r>
            <w:r>
              <w:rPr>
                <w:i w:val="0"/>
                <w:iCs w:val="0"/>
                <w:color w:val="000000"/>
                <w:sz w:val="21"/>
                <w:szCs w:val="21"/>
              </w:rPr>
              <w:t>m</w:t>
            </w:r>
            <w:r>
              <w:rPr>
                <w:i w:val="0"/>
                <w:iCs w:val="0"/>
                <w:color w:val="000000"/>
                <w:sz w:val="21"/>
                <w:szCs w:val="21"/>
                <w:vertAlign w:val="superscript"/>
              </w:rPr>
              <w:t>3</w:t>
            </w:r>
            <w:r>
              <w:rPr>
                <w:i w:val="0"/>
                <w:iCs w:val="0"/>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5" w:type="pct"/>
            <w:vMerge w:val="continue"/>
            <w:noWrap w:val="0"/>
            <w:vAlign w:val="center"/>
          </w:tcPr>
          <w:p>
            <w:pPr>
              <w:widowControl/>
              <w:snapToGrid w:val="0"/>
              <w:jc w:val="left"/>
              <w:rPr>
                <w:i w:val="0"/>
                <w:iCs w:val="0"/>
                <w:color w:val="000000"/>
                <w:sz w:val="21"/>
                <w:szCs w:val="21"/>
              </w:rPr>
            </w:pPr>
          </w:p>
        </w:tc>
        <w:tc>
          <w:tcPr>
            <w:tcW w:w="840" w:type="pct"/>
            <w:noWrap w:val="0"/>
            <w:vAlign w:val="center"/>
          </w:tcPr>
          <w:p>
            <w:pPr>
              <w:adjustRightInd w:val="0"/>
              <w:snapToGrid w:val="0"/>
              <w:jc w:val="center"/>
              <w:rPr>
                <w:rFonts w:hint="eastAsia"/>
                <w:i/>
                <w:iCs/>
                <w:color w:val="000000"/>
                <w:sz w:val="21"/>
                <w:szCs w:val="21"/>
                <w:u w:val="single"/>
              </w:rPr>
            </w:pPr>
            <w:r>
              <w:rPr>
                <w:rFonts w:hint="eastAsia"/>
                <w:i/>
                <w:iCs/>
                <w:color w:val="000000"/>
                <w:sz w:val="21"/>
                <w:szCs w:val="21"/>
                <w:u w:val="single"/>
              </w:rPr>
              <w:t>事故池</w:t>
            </w:r>
          </w:p>
        </w:tc>
        <w:tc>
          <w:tcPr>
            <w:tcW w:w="3734" w:type="pct"/>
            <w:noWrap w:val="0"/>
            <w:vAlign w:val="center"/>
          </w:tcPr>
          <w:p>
            <w:pPr>
              <w:adjustRightInd w:val="0"/>
              <w:snapToGrid w:val="0"/>
              <w:jc w:val="center"/>
              <w:rPr>
                <w:i/>
                <w:iCs/>
                <w:color w:val="000000"/>
                <w:sz w:val="21"/>
                <w:szCs w:val="21"/>
                <w:u w:val="single"/>
              </w:rPr>
            </w:pPr>
            <w:r>
              <w:rPr>
                <w:rFonts w:hint="eastAsia"/>
                <w:i/>
                <w:iCs/>
                <w:color w:val="000000"/>
                <w:sz w:val="21"/>
                <w:szCs w:val="21"/>
                <w:u w:val="single"/>
              </w:rPr>
              <w:t>位于污水站</w:t>
            </w:r>
            <w:r>
              <w:rPr>
                <w:rFonts w:hint="eastAsia"/>
                <w:i/>
                <w:iCs/>
                <w:color w:val="000000"/>
                <w:sz w:val="21"/>
                <w:szCs w:val="21"/>
                <w:u w:val="single"/>
                <w:lang w:eastAsia="zh-CN"/>
              </w:rPr>
              <w:t>南</w:t>
            </w:r>
            <w:r>
              <w:rPr>
                <w:rFonts w:hint="eastAsia"/>
                <w:i/>
                <w:iCs/>
                <w:color w:val="000000"/>
                <w:sz w:val="21"/>
                <w:szCs w:val="21"/>
                <w:u w:val="single"/>
              </w:rPr>
              <w:t>侧，容积为467.5m</w:t>
            </w:r>
            <w:r>
              <w:rPr>
                <w:rFonts w:hint="eastAsia"/>
                <w:i/>
                <w:iCs/>
                <w:color w:val="000000"/>
                <w:sz w:val="21"/>
                <w:szCs w:val="21"/>
                <w:u w:val="single"/>
                <w:vertAlign w:val="superscript"/>
              </w:rPr>
              <w:t>3</w:t>
            </w:r>
            <w:r>
              <w:rPr>
                <w:i/>
                <w:iCs/>
                <w:color w:val="000000"/>
                <w:sz w:val="21"/>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425" w:type="pct"/>
            <w:vMerge w:val="restart"/>
            <w:noWrap w:val="0"/>
            <w:vAlign w:val="center"/>
          </w:tcPr>
          <w:p>
            <w:pPr>
              <w:adjustRightInd w:val="0"/>
              <w:snapToGrid w:val="0"/>
              <w:jc w:val="center"/>
              <w:rPr>
                <w:i w:val="0"/>
                <w:iCs w:val="0"/>
                <w:color w:val="000000"/>
                <w:sz w:val="21"/>
                <w:szCs w:val="21"/>
              </w:rPr>
            </w:pPr>
            <w:r>
              <w:rPr>
                <w:i w:val="0"/>
                <w:iCs w:val="0"/>
                <w:color w:val="000000"/>
                <w:sz w:val="21"/>
                <w:szCs w:val="21"/>
              </w:rPr>
              <w:t>环保</w:t>
            </w:r>
          </w:p>
          <w:p>
            <w:pPr>
              <w:adjustRightInd w:val="0"/>
              <w:snapToGrid w:val="0"/>
              <w:jc w:val="center"/>
              <w:rPr>
                <w:i w:val="0"/>
                <w:iCs w:val="0"/>
                <w:color w:val="000000"/>
                <w:sz w:val="21"/>
                <w:szCs w:val="21"/>
              </w:rPr>
            </w:pPr>
            <w:r>
              <w:rPr>
                <w:i w:val="0"/>
                <w:iCs w:val="0"/>
                <w:color w:val="000000"/>
                <w:sz w:val="21"/>
                <w:szCs w:val="21"/>
              </w:rPr>
              <w:t>工程</w:t>
            </w:r>
          </w:p>
        </w:tc>
        <w:tc>
          <w:tcPr>
            <w:tcW w:w="840" w:type="pct"/>
            <w:noWrap w:val="0"/>
            <w:vAlign w:val="center"/>
          </w:tcPr>
          <w:p>
            <w:pPr>
              <w:adjustRightInd w:val="0"/>
              <w:snapToGrid w:val="0"/>
              <w:jc w:val="center"/>
              <w:rPr>
                <w:i w:val="0"/>
                <w:iCs w:val="0"/>
                <w:color w:val="000000"/>
                <w:sz w:val="21"/>
                <w:szCs w:val="21"/>
              </w:rPr>
            </w:pPr>
            <w:r>
              <w:rPr>
                <w:i w:val="0"/>
                <w:iCs w:val="0"/>
                <w:color w:val="000000"/>
                <w:sz w:val="21"/>
                <w:szCs w:val="21"/>
              </w:rPr>
              <w:t>废气治理</w:t>
            </w:r>
          </w:p>
        </w:tc>
        <w:tc>
          <w:tcPr>
            <w:tcW w:w="3734" w:type="pct"/>
            <w:noWrap w:val="0"/>
            <w:vAlign w:val="center"/>
          </w:tcPr>
          <w:p>
            <w:pPr>
              <w:adjustRightInd w:val="0"/>
              <w:snapToGrid w:val="0"/>
              <w:jc w:val="center"/>
              <w:rPr>
                <w:rFonts w:hint="eastAsia" w:eastAsia="宋体"/>
                <w:i w:val="0"/>
                <w:iCs w:val="0"/>
                <w:color w:val="000000"/>
                <w:sz w:val="21"/>
                <w:szCs w:val="21"/>
                <w:lang w:eastAsia="zh-CN"/>
              </w:rPr>
            </w:pPr>
            <w:r>
              <w:rPr>
                <w:rFonts w:hint="eastAsia"/>
                <w:i w:val="0"/>
                <w:iCs w:val="0"/>
                <w:color w:val="000000"/>
                <w:sz w:val="21"/>
                <w:szCs w:val="21"/>
              </w:rPr>
              <w:t>污水站产生的废气经活性炭吸附装置处理后经15m高排气</w:t>
            </w:r>
            <w:r>
              <w:rPr>
                <w:i w:val="0"/>
                <w:iCs w:val="0"/>
                <w:color w:val="000000"/>
                <w:sz w:val="21"/>
                <w:szCs w:val="21"/>
              </w:rPr>
              <w:t>筒</w:t>
            </w:r>
            <w:r>
              <w:rPr>
                <w:rFonts w:hint="eastAsia"/>
                <w:i w:val="0"/>
                <w:iCs w:val="0"/>
                <w:color w:val="000000"/>
                <w:sz w:val="21"/>
                <w:szCs w:val="21"/>
                <w:lang w:eastAsia="zh-CN"/>
              </w:rPr>
              <w:t>（</w:t>
            </w:r>
            <w:r>
              <w:rPr>
                <w:rFonts w:hint="eastAsia"/>
                <w:i w:val="0"/>
                <w:iCs w:val="0"/>
                <w:color w:val="000000"/>
                <w:sz w:val="21"/>
                <w:szCs w:val="21"/>
              </w:rPr>
              <w:t>DA00</w:t>
            </w:r>
            <w:r>
              <w:rPr>
                <w:rFonts w:hint="eastAsia"/>
                <w:i w:val="0"/>
                <w:iCs w:val="0"/>
                <w:color w:val="000000"/>
                <w:sz w:val="21"/>
                <w:szCs w:val="21"/>
                <w:lang w:val="en-US" w:eastAsia="zh-CN"/>
              </w:rPr>
              <w:t>1</w:t>
            </w:r>
            <w:r>
              <w:rPr>
                <w:rFonts w:hint="eastAsia"/>
                <w:i w:val="0"/>
                <w:iCs w:val="0"/>
                <w:color w:val="000000"/>
                <w:sz w:val="21"/>
                <w:szCs w:val="21"/>
                <w:lang w:eastAsia="zh-CN"/>
              </w:rPr>
              <w:t>）</w:t>
            </w:r>
            <w:r>
              <w:rPr>
                <w:rFonts w:hint="eastAsia"/>
                <w:i w:val="0"/>
                <w:iCs w:val="0"/>
                <w:color w:val="000000"/>
                <w:sz w:val="21"/>
                <w:szCs w:val="21"/>
              </w:rPr>
              <w:t>排放</w:t>
            </w:r>
            <w:r>
              <w:rPr>
                <w:rFonts w:hint="eastAsia"/>
                <w:i w:val="0"/>
                <w:iCs w:val="0"/>
                <w:color w:val="000000"/>
                <w:sz w:val="21"/>
                <w:szCs w:val="21"/>
                <w:lang w:eastAsia="zh-CN"/>
              </w:rPr>
              <w:t>，</w:t>
            </w:r>
            <w:r>
              <w:rPr>
                <w:i w:val="0"/>
                <w:iCs w:val="0"/>
                <w:color w:val="000000"/>
                <w:sz w:val="21"/>
                <w:szCs w:val="21"/>
              </w:rPr>
              <w:t>发酵废气收集后经</w:t>
            </w:r>
            <w:r>
              <w:rPr>
                <w:rFonts w:hint="eastAsia"/>
                <w:i w:val="0"/>
                <w:iCs w:val="0"/>
                <w:color w:val="000000"/>
                <w:sz w:val="21"/>
                <w:szCs w:val="21"/>
                <w:lang w:eastAsia="zh-CN"/>
              </w:rPr>
              <w:t>“</w:t>
            </w:r>
            <w:r>
              <w:rPr>
                <w:rFonts w:hint="eastAsia"/>
                <w:i w:val="0"/>
                <w:iCs w:val="0"/>
                <w:color w:val="000000"/>
                <w:sz w:val="21"/>
                <w:szCs w:val="21"/>
              </w:rPr>
              <w:t>喷淋塔</w:t>
            </w:r>
            <w:r>
              <w:rPr>
                <w:rFonts w:hint="eastAsia"/>
                <w:i w:val="0"/>
                <w:iCs w:val="0"/>
                <w:color w:val="000000"/>
                <w:sz w:val="21"/>
                <w:szCs w:val="21"/>
                <w:lang w:eastAsia="zh-CN"/>
              </w:rPr>
              <w:t>”</w:t>
            </w:r>
            <w:r>
              <w:rPr>
                <w:i w:val="0"/>
                <w:iCs w:val="0"/>
                <w:color w:val="000000"/>
                <w:sz w:val="21"/>
                <w:szCs w:val="21"/>
              </w:rPr>
              <w:t>后由</w:t>
            </w:r>
            <w:r>
              <w:rPr>
                <w:rFonts w:hint="eastAsia"/>
                <w:i w:val="0"/>
                <w:iCs w:val="0"/>
                <w:color w:val="000000"/>
                <w:sz w:val="21"/>
                <w:szCs w:val="21"/>
                <w:lang w:eastAsia="zh-CN"/>
              </w:rPr>
              <w:t>24</w:t>
            </w:r>
            <w:r>
              <w:rPr>
                <w:i w:val="0"/>
                <w:iCs w:val="0"/>
                <w:color w:val="000000"/>
                <w:sz w:val="21"/>
                <w:szCs w:val="21"/>
              </w:rPr>
              <w:t>m高排气筒</w:t>
            </w:r>
            <w:r>
              <w:rPr>
                <w:rFonts w:hint="eastAsia"/>
                <w:i w:val="0"/>
                <w:iCs w:val="0"/>
                <w:color w:val="000000"/>
                <w:sz w:val="21"/>
                <w:szCs w:val="21"/>
                <w:lang w:eastAsia="zh-CN"/>
              </w:rPr>
              <w:t>（</w:t>
            </w:r>
            <w:r>
              <w:rPr>
                <w:rFonts w:hint="eastAsia"/>
                <w:i w:val="0"/>
                <w:iCs w:val="0"/>
                <w:color w:val="000000"/>
                <w:sz w:val="21"/>
                <w:szCs w:val="21"/>
              </w:rPr>
              <w:t>DA00</w:t>
            </w:r>
            <w:r>
              <w:rPr>
                <w:rFonts w:hint="eastAsia"/>
                <w:i w:val="0"/>
                <w:iCs w:val="0"/>
                <w:color w:val="000000"/>
                <w:sz w:val="21"/>
                <w:szCs w:val="21"/>
                <w:lang w:val="en-US" w:eastAsia="zh-CN"/>
              </w:rPr>
              <w:t>2</w:t>
            </w:r>
            <w:r>
              <w:rPr>
                <w:rFonts w:hint="eastAsia"/>
                <w:i w:val="0"/>
                <w:iCs w:val="0"/>
                <w:color w:val="000000"/>
                <w:sz w:val="21"/>
                <w:szCs w:val="21"/>
                <w:lang w:eastAsia="zh-CN"/>
              </w:rPr>
              <w:t>）</w:t>
            </w:r>
            <w:r>
              <w:rPr>
                <w:i w:val="0"/>
                <w:iCs w:val="0"/>
                <w:color w:val="000000"/>
                <w:sz w:val="21"/>
                <w:szCs w:val="21"/>
              </w:rPr>
              <w:t>排放</w:t>
            </w:r>
            <w:r>
              <w:rPr>
                <w:rFonts w:hint="eastAsia"/>
                <w:i w:val="0"/>
                <w:iCs w:val="0"/>
                <w:color w:val="000000"/>
                <w:sz w:val="21"/>
                <w:szCs w:val="21"/>
                <w:lang w:eastAsia="zh-CN"/>
              </w:rPr>
              <w:t>，</w:t>
            </w:r>
          </w:p>
          <w:p>
            <w:pPr>
              <w:adjustRightInd w:val="0"/>
              <w:snapToGrid w:val="0"/>
              <w:jc w:val="center"/>
              <w:rPr>
                <w:rFonts w:hint="eastAsia"/>
                <w:i w:val="0"/>
                <w:iCs w:val="0"/>
                <w:color w:val="000000"/>
                <w:sz w:val="21"/>
                <w:szCs w:val="21"/>
                <w:lang w:eastAsia="zh-CN"/>
              </w:rPr>
            </w:pPr>
            <w:r>
              <w:rPr>
                <w:rFonts w:hint="eastAsia"/>
                <w:i w:val="0"/>
                <w:iCs w:val="0"/>
                <w:color w:val="000000"/>
                <w:sz w:val="21"/>
                <w:szCs w:val="21"/>
              </w:rPr>
              <w:t>热风炉</w:t>
            </w:r>
            <w:r>
              <w:rPr>
                <w:rFonts w:hint="eastAsia"/>
                <w:i w:val="0"/>
                <w:iCs w:val="0"/>
                <w:color w:val="000000"/>
                <w:sz w:val="21"/>
                <w:szCs w:val="21"/>
                <w:lang w:val="en-US" w:eastAsia="zh-CN"/>
              </w:rPr>
              <w:t>1产生的</w:t>
            </w:r>
            <w:r>
              <w:rPr>
                <w:rFonts w:hint="eastAsia"/>
                <w:i w:val="0"/>
                <w:iCs w:val="0"/>
                <w:color w:val="000000"/>
                <w:sz w:val="21"/>
                <w:szCs w:val="21"/>
              </w:rPr>
              <w:t>烟气与</w:t>
            </w:r>
            <w:r>
              <w:rPr>
                <w:rFonts w:hint="eastAsia"/>
                <w:i w:val="0"/>
                <w:iCs w:val="0"/>
                <w:color w:val="000000"/>
                <w:sz w:val="21"/>
                <w:szCs w:val="21"/>
                <w:lang w:val="en-US" w:eastAsia="zh-CN"/>
              </w:rPr>
              <w:t>喷雾干燥塔1</w:t>
            </w:r>
            <w:r>
              <w:rPr>
                <w:rFonts w:hint="eastAsia"/>
                <w:i w:val="0"/>
                <w:iCs w:val="0"/>
                <w:color w:val="000000"/>
                <w:sz w:val="21"/>
                <w:szCs w:val="21"/>
              </w:rPr>
              <w:t>喷雾干燥产生的粉尘经过布袋除尘器（效率99%）处理后由同一根</w:t>
            </w:r>
            <w:r>
              <w:rPr>
                <w:rFonts w:hint="eastAsia"/>
                <w:i w:val="0"/>
                <w:iCs w:val="0"/>
                <w:color w:val="000000"/>
                <w:sz w:val="21"/>
                <w:szCs w:val="21"/>
                <w:lang w:val="en-US" w:eastAsia="zh-CN"/>
              </w:rPr>
              <w:t>24</w:t>
            </w:r>
            <w:r>
              <w:rPr>
                <w:rFonts w:hint="eastAsia"/>
                <w:i w:val="0"/>
                <w:iCs w:val="0"/>
                <w:color w:val="000000"/>
                <w:sz w:val="21"/>
                <w:szCs w:val="21"/>
              </w:rPr>
              <w:t>m高排气筒（DA003）排放</w:t>
            </w:r>
            <w:r>
              <w:rPr>
                <w:rFonts w:hint="eastAsia"/>
                <w:i w:val="0"/>
                <w:iCs w:val="0"/>
                <w:color w:val="000000"/>
                <w:sz w:val="21"/>
                <w:szCs w:val="21"/>
                <w:lang w:eastAsia="zh-CN"/>
              </w:rPr>
              <w:t>，</w:t>
            </w:r>
          </w:p>
          <w:p>
            <w:pPr>
              <w:adjustRightInd w:val="0"/>
              <w:snapToGrid w:val="0"/>
              <w:jc w:val="center"/>
              <w:rPr>
                <w:i w:val="0"/>
                <w:iCs w:val="0"/>
                <w:color w:val="000000"/>
                <w:sz w:val="21"/>
                <w:szCs w:val="21"/>
              </w:rPr>
            </w:pPr>
            <w:r>
              <w:rPr>
                <w:rFonts w:hint="eastAsia"/>
                <w:i w:val="0"/>
                <w:iCs w:val="0"/>
                <w:color w:val="000000"/>
                <w:sz w:val="21"/>
                <w:szCs w:val="21"/>
              </w:rPr>
              <w:t>热风炉</w:t>
            </w:r>
            <w:r>
              <w:rPr>
                <w:rFonts w:hint="eastAsia"/>
                <w:i w:val="0"/>
                <w:iCs w:val="0"/>
                <w:color w:val="000000"/>
                <w:sz w:val="21"/>
                <w:szCs w:val="21"/>
                <w:lang w:val="en-US" w:eastAsia="zh-CN"/>
              </w:rPr>
              <w:t>2产生的</w:t>
            </w:r>
            <w:r>
              <w:rPr>
                <w:rFonts w:hint="eastAsia"/>
                <w:i w:val="0"/>
                <w:iCs w:val="0"/>
                <w:color w:val="000000"/>
                <w:sz w:val="21"/>
                <w:szCs w:val="21"/>
              </w:rPr>
              <w:t>烟气与</w:t>
            </w:r>
            <w:r>
              <w:rPr>
                <w:rFonts w:hint="eastAsia"/>
                <w:i w:val="0"/>
                <w:iCs w:val="0"/>
                <w:color w:val="000000"/>
                <w:sz w:val="21"/>
                <w:szCs w:val="21"/>
                <w:lang w:val="en-US" w:eastAsia="zh-CN"/>
              </w:rPr>
              <w:t>喷雾干燥塔2</w:t>
            </w:r>
            <w:r>
              <w:rPr>
                <w:rFonts w:hint="eastAsia"/>
                <w:i w:val="0"/>
                <w:iCs w:val="0"/>
                <w:color w:val="000000"/>
                <w:sz w:val="21"/>
                <w:szCs w:val="21"/>
              </w:rPr>
              <w:t>喷雾干燥产生的粉尘经过布袋除尘器（效率99%）处理后由同一根</w:t>
            </w:r>
            <w:r>
              <w:rPr>
                <w:rFonts w:hint="eastAsia"/>
                <w:i w:val="0"/>
                <w:iCs w:val="0"/>
                <w:color w:val="000000"/>
                <w:sz w:val="21"/>
                <w:szCs w:val="21"/>
                <w:lang w:val="en-US" w:eastAsia="zh-CN"/>
              </w:rPr>
              <w:t>24</w:t>
            </w:r>
            <w:r>
              <w:rPr>
                <w:rFonts w:hint="eastAsia"/>
                <w:i w:val="0"/>
                <w:iCs w:val="0"/>
                <w:color w:val="000000"/>
                <w:sz w:val="21"/>
                <w:szCs w:val="21"/>
              </w:rPr>
              <w:t>m高排气筒（DA00</w:t>
            </w:r>
            <w:r>
              <w:rPr>
                <w:rFonts w:hint="eastAsia"/>
                <w:i w:val="0"/>
                <w:iCs w:val="0"/>
                <w:color w:val="000000"/>
                <w:sz w:val="21"/>
                <w:szCs w:val="21"/>
                <w:lang w:val="en-US" w:eastAsia="zh-CN"/>
              </w:rPr>
              <w:t>4</w:t>
            </w:r>
            <w:r>
              <w:rPr>
                <w:rFonts w:hint="eastAsia"/>
                <w:i w:val="0"/>
                <w:iCs w:val="0"/>
                <w:color w:val="000000"/>
                <w:sz w:val="21"/>
                <w:szCs w:val="21"/>
              </w:rPr>
              <w:t>）排放</w:t>
            </w:r>
            <w:r>
              <w:rPr>
                <w:i w:val="0"/>
                <w:iCs w:val="0"/>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25" w:type="pct"/>
            <w:vMerge w:val="continue"/>
            <w:noWrap w:val="0"/>
            <w:vAlign w:val="center"/>
          </w:tcPr>
          <w:p>
            <w:pPr>
              <w:widowControl/>
              <w:snapToGrid w:val="0"/>
              <w:jc w:val="left"/>
              <w:rPr>
                <w:i w:val="0"/>
                <w:iCs w:val="0"/>
                <w:color w:val="000000"/>
                <w:sz w:val="21"/>
                <w:szCs w:val="21"/>
              </w:rPr>
            </w:pPr>
          </w:p>
        </w:tc>
        <w:tc>
          <w:tcPr>
            <w:tcW w:w="840" w:type="pct"/>
            <w:vMerge w:val="restart"/>
            <w:noWrap w:val="0"/>
            <w:vAlign w:val="center"/>
          </w:tcPr>
          <w:p>
            <w:pPr>
              <w:adjustRightInd w:val="0"/>
              <w:snapToGrid w:val="0"/>
              <w:jc w:val="center"/>
              <w:rPr>
                <w:i w:val="0"/>
                <w:iCs w:val="0"/>
                <w:color w:val="000000"/>
                <w:sz w:val="21"/>
                <w:szCs w:val="21"/>
              </w:rPr>
            </w:pPr>
            <w:r>
              <w:rPr>
                <w:i w:val="0"/>
                <w:iCs w:val="0"/>
                <w:color w:val="000000"/>
                <w:sz w:val="21"/>
                <w:szCs w:val="21"/>
              </w:rPr>
              <w:t>废水处理</w:t>
            </w:r>
          </w:p>
        </w:tc>
        <w:tc>
          <w:tcPr>
            <w:tcW w:w="3734" w:type="pct"/>
            <w:noWrap w:val="0"/>
            <w:vAlign w:val="center"/>
          </w:tcPr>
          <w:p>
            <w:pPr>
              <w:snapToGrid w:val="0"/>
              <w:rPr>
                <w:i w:val="0"/>
                <w:iCs w:val="0"/>
                <w:color w:val="000000"/>
                <w:kern w:val="0"/>
                <w:sz w:val="21"/>
                <w:szCs w:val="21"/>
              </w:rPr>
            </w:pPr>
            <w:r>
              <w:rPr>
                <w:i w:val="0"/>
                <w:iCs w:val="0"/>
                <w:color w:val="000000"/>
                <w:sz w:val="21"/>
                <w:szCs w:val="21"/>
              </w:rPr>
              <w:t>废水经厂区废水处理设施处理后，</w:t>
            </w:r>
            <w:r>
              <w:rPr>
                <w:rFonts w:hint="eastAsia"/>
                <w:i w:val="0"/>
                <w:iCs w:val="0"/>
                <w:color w:val="000000"/>
                <w:sz w:val="21"/>
                <w:szCs w:val="21"/>
              </w:rPr>
              <w:t>进入长白山特色食药科技产业园污水处理厂处理后达标后浑江</w:t>
            </w:r>
            <w:r>
              <w:rPr>
                <w:i w:val="0"/>
                <w:iCs w:val="0"/>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noWrap w:val="0"/>
            <w:vAlign w:val="center"/>
          </w:tcPr>
          <w:p>
            <w:pPr>
              <w:widowControl/>
              <w:snapToGrid w:val="0"/>
              <w:jc w:val="left"/>
              <w:rPr>
                <w:i w:val="0"/>
                <w:iCs w:val="0"/>
                <w:color w:val="000000"/>
                <w:sz w:val="21"/>
                <w:szCs w:val="21"/>
              </w:rPr>
            </w:pPr>
          </w:p>
        </w:tc>
        <w:tc>
          <w:tcPr>
            <w:tcW w:w="840" w:type="pct"/>
            <w:vMerge w:val="continue"/>
            <w:noWrap w:val="0"/>
            <w:vAlign w:val="center"/>
          </w:tcPr>
          <w:p>
            <w:pPr>
              <w:widowControl/>
              <w:snapToGrid w:val="0"/>
              <w:jc w:val="left"/>
              <w:rPr>
                <w:i w:val="0"/>
                <w:iCs w:val="0"/>
                <w:color w:val="000000"/>
                <w:sz w:val="21"/>
                <w:szCs w:val="21"/>
              </w:rPr>
            </w:pPr>
          </w:p>
        </w:tc>
        <w:tc>
          <w:tcPr>
            <w:tcW w:w="3734" w:type="pct"/>
            <w:noWrap w:val="0"/>
            <w:vAlign w:val="center"/>
          </w:tcPr>
          <w:p>
            <w:pPr>
              <w:snapToGrid w:val="0"/>
              <w:rPr>
                <w:i w:val="0"/>
                <w:iCs w:val="0"/>
                <w:color w:val="000000"/>
                <w:sz w:val="21"/>
                <w:szCs w:val="21"/>
              </w:rPr>
            </w:pPr>
            <w:r>
              <w:rPr>
                <w:i w:val="0"/>
                <w:iCs w:val="0"/>
                <w:color w:val="000000"/>
                <w:sz w:val="21"/>
                <w:szCs w:val="21"/>
              </w:rPr>
              <w:t>一期工程废水处理规模200t/d。建设内容主要：污水处理工程整体的公用部分，具体有配电室、电控室、值班室、加药间、风机房、污泥脱水间。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5" w:type="pct"/>
            <w:vMerge w:val="continue"/>
            <w:noWrap w:val="0"/>
            <w:vAlign w:val="center"/>
          </w:tcPr>
          <w:p>
            <w:pPr>
              <w:widowControl/>
              <w:snapToGrid w:val="0"/>
              <w:jc w:val="left"/>
              <w:rPr>
                <w:i w:val="0"/>
                <w:iCs w:val="0"/>
                <w:color w:val="000000"/>
                <w:sz w:val="21"/>
                <w:szCs w:val="21"/>
              </w:rPr>
            </w:pPr>
          </w:p>
        </w:tc>
        <w:tc>
          <w:tcPr>
            <w:tcW w:w="840" w:type="pct"/>
            <w:noWrap w:val="0"/>
            <w:vAlign w:val="center"/>
          </w:tcPr>
          <w:p>
            <w:pPr>
              <w:adjustRightInd w:val="0"/>
              <w:snapToGrid w:val="0"/>
              <w:jc w:val="center"/>
              <w:rPr>
                <w:i w:val="0"/>
                <w:iCs w:val="0"/>
                <w:color w:val="000000"/>
                <w:sz w:val="21"/>
                <w:szCs w:val="21"/>
              </w:rPr>
            </w:pPr>
            <w:r>
              <w:rPr>
                <w:i w:val="0"/>
                <w:iCs w:val="0"/>
                <w:color w:val="000000"/>
                <w:sz w:val="21"/>
                <w:szCs w:val="21"/>
              </w:rPr>
              <w:t>噪声控制</w:t>
            </w:r>
          </w:p>
        </w:tc>
        <w:tc>
          <w:tcPr>
            <w:tcW w:w="3734" w:type="pct"/>
            <w:noWrap w:val="0"/>
            <w:vAlign w:val="center"/>
          </w:tcPr>
          <w:p>
            <w:pPr>
              <w:adjustRightInd w:val="0"/>
              <w:snapToGrid w:val="0"/>
              <w:jc w:val="center"/>
              <w:rPr>
                <w:i w:val="0"/>
                <w:iCs w:val="0"/>
                <w:color w:val="000000"/>
                <w:sz w:val="21"/>
                <w:szCs w:val="21"/>
              </w:rPr>
            </w:pPr>
            <w:r>
              <w:rPr>
                <w:i w:val="0"/>
                <w:iCs w:val="0"/>
                <w:color w:val="000000"/>
                <w:sz w:val="21"/>
                <w:szCs w:val="21"/>
              </w:rPr>
              <w:t>采用低噪声设备、隔声减震、绿化吸声等措施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noWrap w:val="0"/>
            <w:vAlign w:val="center"/>
          </w:tcPr>
          <w:p>
            <w:pPr>
              <w:widowControl/>
              <w:snapToGrid w:val="0"/>
              <w:jc w:val="left"/>
              <w:rPr>
                <w:i w:val="0"/>
                <w:iCs w:val="0"/>
                <w:color w:val="000000"/>
                <w:sz w:val="21"/>
                <w:szCs w:val="21"/>
              </w:rPr>
            </w:pPr>
          </w:p>
        </w:tc>
        <w:tc>
          <w:tcPr>
            <w:tcW w:w="840" w:type="pct"/>
            <w:noWrap w:val="0"/>
            <w:vAlign w:val="center"/>
          </w:tcPr>
          <w:p>
            <w:pPr>
              <w:adjustRightInd w:val="0"/>
              <w:snapToGrid w:val="0"/>
              <w:jc w:val="center"/>
              <w:rPr>
                <w:i w:val="0"/>
                <w:iCs w:val="0"/>
                <w:color w:val="000000"/>
                <w:sz w:val="21"/>
                <w:szCs w:val="21"/>
              </w:rPr>
            </w:pPr>
            <w:r>
              <w:rPr>
                <w:i w:val="0"/>
                <w:iCs w:val="0"/>
                <w:color w:val="000000"/>
                <w:sz w:val="21"/>
                <w:szCs w:val="21"/>
              </w:rPr>
              <w:t>固废处置</w:t>
            </w:r>
          </w:p>
        </w:tc>
        <w:tc>
          <w:tcPr>
            <w:tcW w:w="3734" w:type="pct"/>
            <w:noWrap w:val="0"/>
            <w:vAlign w:val="center"/>
          </w:tcPr>
          <w:p>
            <w:pPr>
              <w:adjustRightInd w:val="0"/>
              <w:snapToGrid w:val="0"/>
              <w:jc w:val="center"/>
              <w:rPr>
                <w:i w:val="0"/>
                <w:iCs w:val="0"/>
                <w:color w:val="000000"/>
                <w:sz w:val="21"/>
                <w:szCs w:val="21"/>
              </w:rPr>
            </w:pPr>
            <w:r>
              <w:rPr>
                <w:i w:val="0"/>
                <w:iCs w:val="0"/>
                <w:color w:val="000000"/>
                <w:sz w:val="21"/>
                <w:szCs w:val="21"/>
              </w:rPr>
              <w:t>一般固废贮存场所20m</w:t>
            </w:r>
            <w:r>
              <w:rPr>
                <w:i w:val="0"/>
                <w:iCs w:val="0"/>
                <w:color w:val="000000"/>
                <w:sz w:val="21"/>
                <w:szCs w:val="21"/>
                <w:vertAlign w:val="superscript"/>
              </w:rPr>
              <w:t>2</w:t>
            </w:r>
          </w:p>
        </w:tc>
      </w:tr>
    </w:tbl>
    <w:p>
      <w:pPr>
        <w:pStyle w:val="26"/>
        <w:spacing w:line="360" w:lineRule="auto"/>
        <w:ind w:firstLine="482"/>
        <w:rPr>
          <w:rFonts w:hint="eastAsia" w:ascii="Times New Roman" w:hAnsi="Times New Roman"/>
          <w:b/>
          <w:i w:val="0"/>
          <w:iCs w:val="0"/>
        </w:rPr>
      </w:pPr>
      <w:r>
        <w:rPr>
          <w:rFonts w:hint="eastAsia" w:ascii="Times New Roman" w:hAnsi="Times New Roman"/>
          <w:b/>
          <w:i w:val="0"/>
          <w:iCs w:val="0"/>
        </w:rPr>
        <w:t>3</w:t>
      </w:r>
      <w:r>
        <w:rPr>
          <w:rFonts w:ascii="Times New Roman" w:hAnsi="Times New Roman"/>
          <w:b/>
          <w:i w:val="0"/>
          <w:iCs w:val="0"/>
        </w:rPr>
        <w:t>.1.</w:t>
      </w:r>
      <w:r>
        <w:rPr>
          <w:rFonts w:hint="eastAsia" w:ascii="Times New Roman" w:hAnsi="Times New Roman"/>
          <w:b/>
          <w:i w:val="0"/>
          <w:iCs w:val="0"/>
        </w:rPr>
        <w:t>4产品方案与产品质量标准</w:t>
      </w:r>
    </w:p>
    <w:p>
      <w:pPr>
        <w:pStyle w:val="26"/>
        <w:spacing w:line="360" w:lineRule="auto"/>
        <w:rPr>
          <w:rFonts w:ascii="Times New Roman" w:hAnsi="Times New Roman"/>
          <w:i w:val="0"/>
          <w:iCs w:val="0"/>
        </w:rPr>
      </w:pPr>
      <w:r>
        <w:rPr>
          <w:rFonts w:hint="eastAsia" w:ascii="Times New Roman" w:hAnsi="Times New Roman"/>
          <w:i w:val="0"/>
          <w:iCs w:val="0"/>
        </w:rPr>
        <w:t>1、</w:t>
      </w:r>
      <w:r>
        <w:rPr>
          <w:rFonts w:ascii="Times New Roman" w:hAnsi="Times New Roman"/>
          <w:i w:val="0"/>
          <w:iCs w:val="0"/>
        </w:rPr>
        <w:t>产品方案</w:t>
      </w:r>
    </w:p>
    <w:p>
      <w:pPr>
        <w:pStyle w:val="26"/>
        <w:spacing w:line="360" w:lineRule="auto"/>
        <w:rPr>
          <w:rFonts w:ascii="Times New Roman" w:hAnsi="Times New Roman"/>
          <w:i w:val="0"/>
          <w:iCs w:val="0"/>
        </w:rPr>
      </w:pPr>
      <w:r>
        <w:rPr>
          <w:rFonts w:hint="eastAsia" w:ascii="Times New Roman" w:hAnsi="Times New Roman"/>
          <w:i w:val="0"/>
          <w:iCs w:val="0"/>
        </w:rPr>
        <w:t>本项目</w:t>
      </w:r>
      <w:r>
        <w:rPr>
          <w:rFonts w:ascii="Times New Roman" w:hAnsi="Times New Roman"/>
          <w:i w:val="0"/>
          <w:iCs w:val="0"/>
        </w:rPr>
        <w:t>产品方案见表</w:t>
      </w:r>
      <w:r>
        <w:rPr>
          <w:rFonts w:hint="eastAsia" w:ascii="Times New Roman" w:hAnsi="Times New Roman"/>
          <w:i w:val="0"/>
          <w:iCs w:val="0"/>
        </w:rPr>
        <w:t>3-3</w:t>
      </w:r>
      <w:r>
        <w:rPr>
          <w:rFonts w:ascii="Times New Roman" w:hAnsi="Times New Roman"/>
          <w:i w:val="0"/>
          <w:iCs w:val="0"/>
        </w:rPr>
        <w:t>。</w:t>
      </w:r>
    </w:p>
    <w:p>
      <w:pPr>
        <w:ind w:firstLine="723" w:firstLineChars="300"/>
        <w:jc w:val="center"/>
        <w:rPr>
          <w:rFonts w:hint="eastAsia"/>
          <w:b/>
          <w:i w:val="0"/>
          <w:iCs w:val="0"/>
        </w:rPr>
      </w:pPr>
      <w:r>
        <w:rPr>
          <w:rFonts w:hint="eastAsia"/>
          <w:b/>
          <w:i w:val="0"/>
          <w:iCs w:val="0"/>
        </w:rPr>
        <w:t>表3-3产品方案</w:t>
      </w:r>
    </w:p>
    <w:tbl>
      <w:tblPr>
        <w:tblStyle w:val="58"/>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03"/>
        <w:gridCol w:w="1905"/>
        <w:gridCol w:w="1899"/>
        <w:gridCol w:w="1903"/>
        <w:gridCol w:w="19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noWrap w:val="0"/>
            <w:vAlign w:val="center"/>
          </w:tcPr>
          <w:p>
            <w:pPr>
              <w:snapToGrid w:val="0"/>
              <w:jc w:val="center"/>
              <w:rPr>
                <w:i w:val="0"/>
                <w:iCs w:val="0"/>
                <w:color w:val="000000"/>
                <w:sz w:val="21"/>
                <w:szCs w:val="21"/>
                <w:u w:val="single"/>
              </w:rPr>
            </w:pPr>
            <w:r>
              <w:rPr>
                <w:rFonts w:hint="eastAsia"/>
                <w:i w:val="0"/>
                <w:iCs w:val="0"/>
                <w:color w:val="000000"/>
                <w:sz w:val="21"/>
                <w:szCs w:val="21"/>
                <w:u w:val="single"/>
              </w:rPr>
              <w:t>产品</w:t>
            </w:r>
          </w:p>
        </w:tc>
        <w:tc>
          <w:tcPr>
            <w:tcW w:w="1001" w:type="pct"/>
            <w:noWrap w:val="0"/>
            <w:vAlign w:val="center"/>
          </w:tcPr>
          <w:p>
            <w:pPr>
              <w:snapToGrid w:val="0"/>
              <w:jc w:val="center"/>
              <w:rPr>
                <w:i w:val="0"/>
                <w:iCs w:val="0"/>
                <w:color w:val="000000"/>
                <w:sz w:val="21"/>
                <w:szCs w:val="21"/>
                <w:u w:val="single"/>
              </w:rPr>
            </w:pPr>
            <w:r>
              <w:rPr>
                <w:i w:val="0"/>
                <w:iCs w:val="0"/>
                <w:color w:val="000000"/>
                <w:sz w:val="21"/>
                <w:szCs w:val="21"/>
                <w:u w:val="single"/>
              </w:rPr>
              <w:t>品种规格</w:t>
            </w:r>
          </w:p>
        </w:tc>
        <w:tc>
          <w:tcPr>
            <w:tcW w:w="998" w:type="pct"/>
            <w:noWrap w:val="0"/>
            <w:vAlign w:val="center"/>
          </w:tcPr>
          <w:p>
            <w:pPr>
              <w:snapToGrid w:val="0"/>
              <w:jc w:val="center"/>
              <w:rPr>
                <w:i w:val="0"/>
                <w:iCs w:val="0"/>
                <w:color w:val="000000"/>
                <w:sz w:val="21"/>
                <w:szCs w:val="21"/>
                <w:u w:val="single"/>
              </w:rPr>
            </w:pPr>
            <w:r>
              <w:rPr>
                <w:i w:val="0"/>
                <w:iCs w:val="0"/>
                <w:color w:val="000000"/>
                <w:sz w:val="21"/>
                <w:szCs w:val="21"/>
                <w:u w:val="single"/>
              </w:rPr>
              <w:t>单位</w:t>
            </w:r>
          </w:p>
        </w:tc>
        <w:tc>
          <w:tcPr>
            <w:tcW w:w="1000" w:type="pct"/>
            <w:noWrap w:val="0"/>
            <w:vAlign w:val="center"/>
          </w:tcPr>
          <w:p>
            <w:pPr>
              <w:snapToGrid w:val="0"/>
              <w:jc w:val="center"/>
              <w:rPr>
                <w:i w:val="0"/>
                <w:iCs w:val="0"/>
                <w:color w:val="000000"/>
                <w:sz w:val="21"/>
                <w:szCs w:val="21"/>
                <w:u w:val="single"/>
              </w:rPr>
            </w:pPr>
            <w:r>
              <w:rPr>
                <w:i w:val="0"/>
                <w:iCs w:val="0"/>
                <w:color w:val="000000"/>
                <w:sz w:val="21"/>
                <w:szCs w:val="21"/>
                <w:u w:val="single"/>
              </w:rPr>
              <w:t>产量</w:t>
            </w:r>
          </w:p>
        </w:tc>
        <w:tc>
          <w:tcPr>
            <w:tcW w:w="1000" w:type="pct"/>
            <w:noWrap w:val="0"/>
            <w:vAlign w:val="center"/>
          </w:tcPr>
          <w:p>
            <w:pPr>
              <w:snapToGrid w:val="0"/>
              <w:jc w:val="center"/>
              <w:rPr>
                <w:rFonts w:hint="eastAsia" w:eastAsia="宋体"/>
                <w:i w:val="0"/>
                <w:iCs w:val="0"/>
                <w:color w:val="000000"/>
                <w:sz w:val="21"/>
                <w:szCs w:val="21"/>
                <w:u w:val="single"/>
                <w:lang w:eastAsia="zh-CN"/>
              </w:rPr>
            </w:pPr>
            <w:r>
              <w:rPr>
                <w:rFonts w:hint="eastAsia"/>
                <w:i w:val="0"/>
                <w:iCs w:val="0"/>
                <w:color w:val="000000"/>
                <w:sz w:val="21"/>
                <w:szCs w:val="21"/>
                <w:u w:val="single"/>
                <w:lang w:eastAsia="zh-CN"/>
              </w:rPr>
              <w:t>用途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0" w:type="pct"/>
            <w:noWrap w:val="0"/>
            <w:vAlign w:val="center"/>
          </w:tcPr>
          <w:p>
            <w:pPr>
              <w:snapToGrid w:val="0"/>
              <w:jc w:val="center"/>
              <w:rPr>
                <w:rFonts w:hint="eastAsia"/>
                <w:i w:val="0"/>
                <w:iCs w:val="0"/>
                <w:color w:val="000000"/>
                <w:sz w:val="21"/>
                <w:szCs w:val="21"/>
                <w:u w:val="single"/>
              </w:rPr>
            </w:pPr>
            <w:r>
              <w:rPr>
                <w:rFonts w:hint="eastAsia"/>
                <w:i w:val="0"/>
                <w:iCs w:val="0"/>
                <w:color w:val="000000"/>
                <w:sz w:val="21"/>
                <w:szCs w:val="21"/>
                <w:u w:val="single"/>
              </w:rPr>
              <w:t>红法夫酵母虾青素</w:t>
            </w:r>
          </w:p>
        </w:tc>
        <w:tc>
          <w:tcPr>
            <w:tcW w:w="1001" w:type="pct"/>
            <w:noWrap w:val="0"/>
            <w:vAlign w:val="center"/>
          </w:tcPr>
          <w:p>
            <w:pPr>
              <w:snapToGrid w:val="0"/>
              <w:jc w:val="center"/>
              <w:rPr>
                <w:rFonts w:hint="eastAsia"/>
                <w:i w:val="0"/>
                <w:iCs w:val="0"/>
                <w:color w:val="000000"/>
                <w:sz w:val="21"/>
                <w:szCs w:val="21"/>
                <w:u w:val="single"/>
              </w:rPr>
            </w:pPr>
            <w:r>
              <w:rPr>
                <w:rFonts w:hint="eastAsia"/>
                <w:i w:val="0"/>
                <w:iCs w:val="0"/>
                <w:color w:val="000000"/>
                <w:sz w:val="21"/>
                <w:szCs w:val="21"/>
                <w:u w:val="single"/>
              </w:rPr>
              <w:t>一期工程</w:t>
            </w:r>
          </w:p>
        </w:tc>
        <w:tc>
          <w:tcPr>
            <w:tcW w:w="998" w:type="pct"/>
            <w:noWrap w:val="0"/>
            <w:vAlign w:val="center"/>
          </w:tcPr>
          <w:p>
            <w:pPr>
              <w:snapToGrid w:val="0"/>
              <w:jc w:val="center"/>
              <w:rPr>
                <w:i w:val="0"/>
                <w:iCs w:val="0"/>
                <w:color w:val="000000"/>
                <w:sz w:val="21"/>
                <w:szCs w:val="21"/>
                <w:u w:val="single"/>
              </w:rPr>
            </w:pPr>
            <w:r>
              <w:rPr>
                <w:i w:val="0"/>
                <w:iCs w:val="0"/>
                <w:color w:val="000000"/>
                <w:sz w:val="21"/>
                <w:szCs w:val="21"/>
                <w:u w:val="single"/>
              </w:rPr>
              <w:t>t/a</w:t>
            </w:r>
          </w:p>
        </w:tc>
        <w:tc>
          <w:tcPr>
            <w:tcW w:w="1000" w:type="pct"/>
            <w:noWrap w:val="0"/>
            <w:vAlign w:val="center"/>
          </w:tcPr>
          <w:p>
            <w:pPr>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2000</w:t>
            </w:r>
          </w:p>
        </w:tc>
        <w:tc>
          <w:tcPr>
            <w:tcW w:w="1000" w:type="pct"/>
            <w:noWrap w:val="0"/>
            <w:vAlign w:val="center"/>
          </w:tcPr>
          <w:p>
            <w:pPr>
              <w:snapToGrid w:val="0"/>
              <w:jc w:val="center"/>
              <w:rPr>
                <w:rFonts w:hint="eastAsia"/>
                <w:i w:val="0"/>
                <w:iCs w:val="0"/>
                <w:color w:val="000000"/>
                <w:sz w:val="21"/>
                <w:szCs w:val="21"/>
                <w:u w:val="single"/>
                <w:lang w:val="en-US" w:eastAsia="zh-CN"/>
              </w:rPr>
            </w:pPr>
            <w:r>
              <w:rPr>
                <w:rFonts w:hint="eastAsia"/>
                <w:i w:val="0"/>
                <w:iCs w:val="0"/>
                <w:color w:val="000000"/>
                <w:sz w:val="21"/>
                <w:szCs w:val="21"/>
                <w:u w:val="single"/>
                <w:lang w:val="en-US" w:eastAsia="zh-CN"/>
              </w:rPr>
              <w:t>水产品养殖饲料</w:t>
            </w:r>
          </w:p>
        </w:tc>
      </w:tr>
    </w:tbl>
    <w:p>
      <w:pPr>
        <w:pStyle w:val="26"/>
        <w:numPr>
          <w:ilvl w:val="0"/>
          <w:numId w:val="12"/>
        </w:numPr>
        <w:spacing w:line="360" w:lineRule="auto"/>
        <w:rPr>
          <w:rFonts w:hint="eastAsia" w:ascii="Times New Roman" w:hAnsi="Times New Roman" w:eastAsia="宋体" w:cs="Times New Roman"/>
          <w:i w:val="0"/>
          <w:iCs w:val="0"/>
        </w:rPr>
      </w:pPr>
      <w:r>
        <w:rPr>
          <w:rFonts w:hint="eastAsia" w:ascii="Times New Roman" w:hAnsi="Times New Roman" w:eastAsia="宋体" w:cs="Times New Roman"/>
          <w:i w:val="0"/>
          <w:iCs w:val="0"/>
        </w:rPr>
        <w:t>产品主要质量指标</w:t>
      </w:r>
    </w:p>
    <w:p>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i w:val="0"/>
          <w:iCs w:val="0"/>
          <w:lang w:val="en-US" w:eastAsia="zh-CN"/>
        </w:rPr>
      </w:pPr>
      <w:r>
        <w:rPr>
          <w:rFonts w:hint="eastAsia" w:ascii="Times New Roman" w:hAnsi="Times New Roman" w:eastAsia="宋体" w:cs="Times New Roman"/>
          <w:i w:val="0"/>
          <w:iCs w:val="0"/>
          <w:kern w:val="2"/>
          <w:sz w:val="24"/>
          <w:szCs w:val="24"/>
          <w:u w:val="single"/>
          <w:lang w:val="en-US" w:eastAsia="zh-CN" w:bidi="ar-SA"/>
        </w:rPr>
        <w:t>本项目产品执行威海东巽生物科技有限公司企业标准，产品主要质量指标详见下表。</w:t>
      </w:r>
    </w:p>
    <w:p>
      <w:pPr>
        <w:ind w:firstLine="723" w:firstLineChars="300"/>
        <w:jc w:val="center"/>
        <w:rPr>
          <w:rFonts w:hint="eastAsia"/>
          <w:b/>
          <w:i w:val="0"/>
          <w:iCs w:val="0"/>
          <w:u w:val="single"/>
        </w:rPr>
      </w:pPr>
      <w:r>
        <w:rPr>
          <w:rFonts w:hint="eastAsia"/>
          <w:b/>
          <w:i w:val="0"/>
          <w:iCs w:val="0"/>
          <w:u w:val="single"/>
        </w:rPr>
        <w:t>表</w:t>
      </w:r>
      <w:r>
        <w:rPr>
          <w:rFonts w:hint="eastAsia"/>
          <w:b/>
          <w:i w:val="0"/>
          <w:iCs w:val="0"/>
          <w:u w:val="single"/>
          <w:lang w:eastAsia="zh-CN"/>
        </w:rPr>
        <w:t>3</w:t>
      </w:r>
      <w:r>
        <w:rPr>
          <w:rFonts w:hint="eastAsia"/>
          <w:b/>
          <w:i w:val="0"/>
          <w:iCs w:val="0"/>
          <w:u w:val="single"/>
          <w:lang w:val="en-US" w:eastAsia="zh-CN"/>
        </w:rPr>
        <w:t>-4</w:t>
      </w:r>
      <w:r>
        <w:rPr>
          <w:rFonts w:hint="eastAsia"/>
          <w:b/>
          <w:i w:val="0"/>
          <w:iCs w:val="0"/>
          <w:u w:val="single"/>
        </w:rPr>
        <w:t xml:space="preserve">    产品主要质量指标</w:t>
      </w:r>
    </w:p>
    <w:tbl>
      <w:tblPr>
        <w:tblStyle w:val="5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85"/>
        <w:gridCol w:w="62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noWrap w:val="0"/>
            <w:vAlign w:val="top"/>
          </w:tcPr>
          <w:p>
            <w:pPr>
              <w:rPr>
                <w:rFonts w:hint="eastAsia" w:ascii="Times New Roman" w:hAnsi="Times New Roman" w:eastAsia="宋体" w:cs="Times New Roman"/>
                <w:i w:val="0"/>
                <w:iCs w:val="0"/>
                <w:color w:val="000000"/>
                <w:sz w:val="21"/>
                <w:szCs w:val="21"/>
                <w:u w:val="single"/>
                <w:lang w:eastAsia="zh-CN"/>
              </w:rPr>
            </w:pPr>
            <w:r>
              <w:rPr>
                <w:rFonts w:hint="default" w:ascii="Times New Roman" w:hAnsi="Times New Roman" w:eastAsia="宋体" w:cs="Times New Roman"/>
                <w:i w:val="0"/>
                <w:iCs w:val="0"/>
                <w:color w:val="000000"/>
                <w:sz w:val="21"/>
                <w:szCs w:val="21"/>
                <w:u w:val="single"/>
              </w:rPr>
              <w:t>感官：为红色粉末:具有该产品的特殊气味，无变质、结块及异味、异臭</w:t>
            </w:r>
            <w:r>
              <w:rPr>
                <w:rFonts w:hint="eastAsia" w:ascii="Times New Roman" w:hAnsi="Times New Roman" w:eastAsia="宋体" w:cs="Times New Roman"/>
                <w:i w:val="0"/>
                <w:iCs w:val="0"/>
                <w:color w:val="000000"/>
                <w:sz w:val="21"/>
                <w:szCs w:val="21"/>
                <w:u w:val="singl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noWrap w:val="0"/>
            <w:vAlign w:val="top"/>
          </w:tcPr>
          <w:p>
            <w:pP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sz w:val="21"/>
                <w:szCs w:val="21"/>
                <w:u w:val="single"/>
              </w:rPr>
              <w:t>水份：不高于</w:t>
            </w:r>
            <w:r>
              <w:rPr>
                <w:rFonts w:hint="eastAsia" w:ascii="Times New Roman" w:hAnsi="Times New Roman" w:eastAsia="宋体" w:cs="Times New Roman"/>
                <w:i w:val="0"/>
                <w:iCs w:val="0"/>
                <w:color w:val="000000"/>
                <w:sz w:val="21"/>
                <w:szCs w:val="21"/>
                <w:u w:val="single"/>
                <w:lang w:val="en-US" w:eastAsia="zh-CN"/>
              </w:rPr>
              <w:t>8</w:t>
            </w:r>
            <w:r>
              <w:rPr>
                <w:rFonts w:hint="default" w:ascii="Times New Roman" w:hAnsi="Times New Roman" w:eastAsia="宋体" w:cs="Times New Roman"/>
                <w:i w:val="0"/>
                <w:iCs w:val="0"/>
                <w:color w:val="000000"/>
                <w:sz w:val="21"/>
                <w:szCs w:val="21"/>
                <w:u w:val="singl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2"/>
            <w:noWrap w:val="0"/>
            <w:vAlign w:val="top"/>
          </w:tcPr>
          <w:p>
            <w:pPr>
              <w:jc w:val="center"/>
              <w:rPr>
                <w:rFonts w:hint="eastAsia" w:ascii="Times New Roman" w:hAnsi="Times New Roman" w:eastAsia="宋体" w:cs="Times New Roman"/>
                <w:i w:val="0"/>
                <w:iCs w:val="0"/>
                <w:color w:val="000000"/>
                <w:sz w:val="21"/>
                <w:szCs w:val="21"/>
                <w:u w:val="single"/>
                <w:lang w:eastAsia="zh-CN"/>
              </w:rPr>
            </w:pPr>
            <w:r>
              <w:rPr>
                <w:rFonts w:hint="eastAsia" w:ascii="Times New Roman" w:hAnsi="Times New Roman" w:eastAsia="宋体" w:cs="Times New Roman"/>
                <w:i w:val="0"/>
                <w:iCs w:val="0"/>
                <w:color w:val="000000"/>
                <w:sz w:val="21"/>
                <w:szCs w:val="21"/>
                <w:u w:val="single"/>
                <w:lang w:eastAsia="zh-CN"/>
              </w:rPr>
              <w:t>卫生指标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26" w:type="pct"/>
            <w:noWrap w:val="0"/>
            <w:vAlign w:val="top"/>
          </w:tcPr>
          <w:p>
            <w:pPr>
              <w:jc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sz w:val="21"/>
                <w:szCs w:val="21"/>
                <w:u w:val="single"/>
              </w:rPr>
              <w:t>项目</w:t>
            </w:r>
          </w:p>
        </w:tc>
        <w:tc>
          <w:tcPr>
            <w:tcW w:w="3273" w:type="pct"/>
            <w:noWrap w:val="0"/>
            <w:vAlign w:val="top"/>
          </w:tcPr>
          <w:p>
            <w:pPr>
              <w:jc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sz w:val="21"/>
                <w:szCs w:val="21"/>
                <w:u w:val="single"/>
              </w:rPr>
              <w:t>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26" w:type="pct"/>
            <w:noWrap w:val="0"/>
            <w:vAlign w:val="top"/>
          </w:tcPr>
          <w:p>
            <w:pPr>
              <w:jc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sz w:val="21"/>
                <w:szCs w:val="21"/>
                <w:u w:val="single"/>
              </w:rPr>
              <w:t>铅(以Pb计)/（mg/kg）≤</w:t>
            </w:r>
          </w:p>
        </w:tc>
        <w:tc>
          <w:tcPr>
            <w:tcW w:w="3273" w:type="pct"/>
            <w:noWrap w:val="0"/>
            <w:vAlign w:val="top"/>
          </w:tcPr>
          <w:p>
            <w:pPr>
              <w:jc w:val="center"/>
              <w:rPr>
                <w:rFonts w:hint="default" w:ascii="Times New Roman" w:hAnsi="Times New Roman" w:eastAsia="宋体" w:cs="Times New Roman"/>
                <w:i w:val="0"/>
                <w:iCs w:val="0"/>
                <w:color w:val="000000"/>
                <w:sz w:val="21"/>
                <w:szCs w:val="21"/>
                <w:u w:val="single"/>
              </w:rPr>
            </w:pPr>
            <w:r>
              <w:rPr>
                <w:rFonts w:hint="eastAsia" w:ascii="Times New Roman" w:hAnsi="Times New Roman" w:eastAsia="宋体" w:cs="Times New Roman"/>
                <w:i w:val="0"/>
                <w:iCs w:val="0"/>
                <w:color w:val="000000"/>
                <w:sz w:val="21"/>
                <w:szCs w:val="21"/>
                <w:u w:val="single"/>
                <w:lang w:val="en-US" w:eastAsia="zh-CN"/>
              </w:rPr>
              <w:t>5</w:t>
            </w:r>
            <w:r>
              <w:rPr>
                <w:rFonts w:hint="default" w:ascii="Times New Roman" w:hAnsi="Times New Roman" w:eastAsia="宋体" w:cs="Times New Roman"/>
                <w:i w:val="0"/>
                <w:iCs w:val="0"/>
                <w:color w:val="000000"/>
                <w:sz w:val="21"/>
                <w:szCs w:val="21"/>
                <w:u w:val="singl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26" w:type="pct"/>
            <w:noWrap w:val="0"/>
            <w:vAlign w:val="top"/>
          </w:tcPr>
          <w:p>
            <w:pPr>
              <w:jc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sz w:val="21"/>
                <w:szCs w:val="21"/>
                <w:u w:val="single"/>
              </w:rPr>
              <w:t>砷(以As计)/（mg/kg）≤</w:t>
            </w:r>
          </w:p>
        </w:tc>
        <w:tc>
          <w:tcPr>
            <w:tcW w:w="3273" w:type="pct"/>
            <w:noWrap w:val="0"/>
            <w:vAlign w:val="top"/>
          </w:tcPr>
          <w:p>
            <w:pPr>
              <w:jc w:val="center"/>
              <w:rPr>
                <w:rFonts w:hint="default" w:ascii="Times New Roman" w:hAnsi="Times New Roman" w:eastAsia="宋体" w:cs="Times New Roman"/>
                <w:i w:val="0"/>
                <w:iCs w:val="0"/>
                <w:color w:val="000000"/>
                <w:sz w:val="21"/>
                <w:szCs w:val="21"/>
                <w:u w:val="single"/>
              </w:rPr>
            </w:pPr>
            <w:r>
              <w:rPr>
                <w:rFonts w:hint="eastAsia" w:ascii="Times New Roman" w:hAnsi="Times New Roman" w:eastAsia="宋体" w:cs="Times New Roman"/>
                <w:i w:val="0"/>
                <w:iCs w:val="0"/>
                <w:color w:val="000000"/>
                <w:sz w:val="21"/>
                <w:szCs w:val="21"/>
                <w:u w:val="single"/>
                <w:lang w:val="en-US" w:eastAsia="zh-CN"/>
              </w:rPr>
              <w:t>2</w:t>
            </w:r>
            <w:r>
              <w:rPr>
                <w:rFonts w:hint="default" w:ascii="Times New Roman" w:hAnsi="Times New Roman" w:eastAsia="宋体" w:cs="Times New Roman"/>
                <w:i w:val="0"/>
                <w:iCs w:val="0"/>
                <w:color w:val="000000"/>
                <w:sz w:val="21"/>
                <w:szCs w:val="21"/>
                <w:u w:val="singl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26" w:type="pct"/>
            <w:noWrap w:val="0"/>
            <w:vAlign w:val="center"/>
          </w:tcPr>
          <w:p>
            <w:pPr>
              <w:jc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sz w:val="21"/>
                <w:szCs w:val="21"/>
                <w:u w:val="single"/>
              </w:rPr>
              <w:t>沙门氏菌/（CFU/25g）</w:t>
            </w:r>
          </w:p>
        </w:tc>
        <w:tc>
          <w:tcPr>
            <w:tcW w:w="3273" w:type="pct"/>
            <w:noWrap w:val="0"/>
            <w:vAlign w:val="center"/>
          </w:tcPr>
          <w:p>
            <w:pPr>
              <w:jc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sz w:val="21"/>
                <w:szCs w:val="21"/>
                <w:u w:val="single"/>
              </w:rPr>
              <w:t>不得检出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26" w:type="pct"/>
            <w:noWrap w:val="0"/>
            <w:vAlign w:val="center"/>
          </w:tcPr>
          <w:p>
            <w:pPr>
              <w:ind w:firstLine="420" w:firstLineChars="200"/>
              <w:jc w:val="center"/>
              <w:rPr>
                <w:rFonts w:hint="default" w:ascii="Times New Roman" w:hAnsi="Times New Roman" w:cs="Times New Roman"/>
                <w:i w:val="0"/>
                <w:iCs w:val="0"/>
                <w:color w:val="000000"/>
                <w:sz w:val="21"/>
                <w:szCs w:val="21"/>
                <w:u w:val="single"/>
              </w:rPr>
            </w:pPr>
            <w:r>
              <w:rPr>
                <w:rFonts w:hint="default" w:ascii="Times New Roman" w:hAnsi="Times New Roman" w:cs="Times New Roman"/>
                <w:i w:val="0"/>
                <w:iCs w:val="0"/>
                <w:color w:val="000000"/>
                <w:sz w:val="21"/>
                <w:szCs w:val="21"/>
                <w:u w:val="single"/>
              </w:rPr>
              <w:t>大肠菌群/(MPN/100g)≤</w:t>
            </w:r>
          </w:p>
        </w:tc>
        <w:tc>
          <w:tcPr>
            <w:tcW w:w="3273" w:type="pct"/>
            <w:noWrap w:val="0"/>
            <w:vAlign w:val="center"/>
          </w:tcPr>
          <w:p>
            <w:pPr>
              <w:jc w:val="center"/>
              <w:rPr>
                <w:rFonts w:hint="default" w:ascii="Times New Roman" w:hAnsi="Times New Roman" w:cs="Times New Roman"/>
                <w:i w:val="0"/>
                <w:iCs w:val="0"/>
                <w:color w:val="000000"/>
                <w:sz w:val="21"/>
                <w:szCs w:val="21"/>
                <w:u w:val="single"/>
              </w:rPr>
            </w:pPr>
            <w:r>
              <w:rPr>
                <w:rFonts w:hint="default" w:ascii="Times New Roman" w:hAnsi="Times New Roman" w:cs="Times New Roman"/>
                <w:i w:val="0"/>
                <w:iCs w:val="0"/>
                <w:color w:val="000000"/>
                <w:sz w:val="21"/>
                <w:szCs w:val="21"/>
                <w:u w:val="single"/>
              </w:rPr>
              <w:t>1.0×10</w:t>
            </w:r>
            <w:r>
              <w:rPr>
                <w:rFonts w:hint="default" w:ascii="Times New Roman" w:hAnsi="Times New Roman" w:cs="Times New Roman"/>
                <w:i w:val="0"/>
                <w:iCs w:val="0"/>
                <w:color w:val="000000"/>
                <w:sz w:val="21"/>
                <w:szCs w:val="21"/>
                <w:u w:val="single"/>
                <w:vertAlign w:val="superscript"/>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26" w:type="pct"/>
            <w:noWrap w:val="0"/>
            <w:vAlign w:val="center"/>
          </w:tcPr>
          <w:p>
            <w:pPr>
              <w:ind w:firstLine="420" w:firstLineChars="200"/>
              <w:jc w:val="center"/>
              <w:rPr>
                <w:rFonts w:hint="default" w:ascii="Times New Roman" w:hAnsi="Times New Roman" w:eastAsia="宋体" w:cs="Times New Roman"/>
                <w:i w:val="0"/>
                <w:iCs w:val="0"/>
                <w:color w:val="000000"/>
                <w:sz w:val="21"/>
                <w:szCs w:val="21"/>
                <w:u w:val="single"/>
                <w:lang w:val="en-US" w:eastAsia="zh-CN"/>
              </w:rPr>
            </w:pPr>
            <w:r>
              <w:rPr>
                <w:rFonts w:hint="eastAsia" w:ascii="Times New Roman" w:hAnsi="Times New Roman" w:eastAsia="宋体" w:cs="Times New Roman"/>
                <w:i w:val="0"/>
                <w:iCs w:val="0"/>
                <w:color w:val="000000"/>
                <w:sz w:val="21"/>
                <w:szCs w:val="21"/>
                <w:u w:val="single"/>
                <w:lang w:eastAsia="zh-CN"/>
              </w:rPr>
              <w:t>黄曲霉毒素</w:t>
            </w:r>
            <w:r>
              <w:rPr>
                <w:rFonts w:hint="eastAsia" w:ascii="Times New Roman" w:hAnsi="Times New Roman" w:eastAsia="宋体" w:cs="Times New Roman"/>
                <w:i w:val="0"/>
                <w:iCs w:val="0"/>
                <w:color w:val="000000"/>
                <w:sz w:val="21"/>
                <w:szCs w:val="21"/>
                <w:u w:val="single"/>
                <w:lang w:val="en-US" w:eastAsia="zh-CN"/>
              </w:rPr>
              <w:t>B</w:t>
            </w:r>
            <w:r>
              <w:rPr>
                <w:rFonts w:hint="eastAsia" w:ascii="Times New Roman" w:hAnsi="Times New Roman" w:eastAsia="宋体" w:cs="Times New Roman"/>
                <w:i w:val="0"/>
                <w:iCs w:val="0"/>
                <w:color w:val="000000"/>
                <w:sz w:val="21"/>
                <w:szCs w:val="21"/>
                <w:u w:val="single"/>
                <w:vertAlign w:val="subscript"/>
                <w:lang w:val="en-US" w:eastAsia="zh-CN"/>
              </w:rPr>
              <w:t>2</w:t>
            </w:r>
            <w:r>
              <w:rPr>
                <w:rFonts w:hint="default" w:ascii="Times New Roman" w:hAnsi="Times New Roman" w:cs="Times New Roman"/>
                <w:i w:val="0"/>
                <w:iCs w:val="0"/>
                <w:color w:val="000000"/>
                <w:sz w:val="21"/>
                <w:szCs w:val="21"/>
                <w:u w:val="single"/>
              </w:rPr>
              <w:t>/（</w:t>
            </w:r>
            <w:r>
              <w:rPr>
                <w:rFonts w:hint="eastAsia" w:ascii="Times New Roman" w:hAnsi="Times New Roman" w:eastAsia="宋体" w:cs="Times New Roman"/>
                <w:i w:val="0"/>
                <w:iCs w:val="0"/>
                <w:color w:val="000000"/>
                <w:sz w:val="21"/>
                <w:szCs w:val="21"/>
                <w:u w:val="single"/>
                <w:lang w:val="en-US" w:eastAsia="zh-CN"/>
              </w:rPr>
              <w:t>μg/kg</w:t>
            </w:r>
            <w:r>
              <w:rPr>
                <w:rFonts w:hint="default" w:ascii="Times New Roman" w:hAnsi="Times New Roman" w:cs="Times New Roman"/>
                <w:i w:val="0"/>
                <w:iCs w:val="0"/>
                <w:color w:val="000000"/>
                <w:sz w:val="21"/>
                <w:szCs w:val="21"/>
                <w:u w:val="single"/>
              </w:rPr>
              <w:t>）≤</w:t>
            </w:r>
          </w:p>
        </w:tc>
        <w:tc>
          <w:tcPr>
            <w:tcW w:w="3273" w:type="pct"/>
            <w:noWrap w:val="0"/>
            <w:vAlign w:val="center"/>
          </w:tcPr>
          <w:p>
            <w:pPr>
              <w:ind w:firstLine="420" w:firstLineChars="200"/>
              <w:jc w:val="center"/>
              <w:rPr>
                <w:rFonts w:hint="default" w:ascii="Times New Roman" w:hAnsi="Times New Roman" w:eastAsia="宋体" w:cs="Times New Roman"/>
                <w:i w:val="0"/>
                <w:iCs w:val="0"/>
                <w:color w:val="000000"/>
                <w:sz w:val="21"/>
                <w:szCs w:val="21"/>
                <w:u w:val="single"/>
                <w:lang w:val="en-US" w:eastAsia="zh-CN"/>
              </w:rPr>
            </w:pPr>
            <w:r>
              <w:rPr>
                <w:rFonts w:hint="eastAsia" w:ascii="Times New Roman" w:hAnsi="Times New Roman" w:eastAsia="宋体" w:cs="Times New Roman"/>
                <w:i w:val="0"/>
                <w:iCs w:val="0"/>
                <w:color w:val="000000"/>
                <w:sz w:val="21"/>
                <w:szCs w:val="21"/>
                <w:u w:val="singl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noWrap w:val="0"/>
            <w:vAlign w:val="top"/>
          </w:tcPr>
          <w:p>
            <w:pPr>
              <w:jc w:val="center"/>
              <w:rPr>
                <w:rFonts w:hint="default" w:ascii="Times New Roman" w:hAnsi="Times New Roman" w:cs="Times New Roman"/>
                <w:i w:val="0"/>
                <w:iCs w:val="0"/>
                <w:color w:val="000000"/>
                <w:sz w:val="21"/>
                <w:szCs w:val="21"/>
                <w:u w:val="single"/>
              </w:rPr>
            </w:pPr>
            <w:r>
              <w:rPr>
                <w:rFonts w:hint="eastAsia" w:ascii="Times New Roman" w:hAnsi="Times New Roman" w:cs="Times New Roman"/>
                <w:i w:val="0"/>
                <w:iCs w:val="0"/>
                <w:color w:val="000000"/>
                <w:sz w:val="21"/>
                <w:szCs w:val="21"/>
                <w:u w:val="single"/>
                <w:lang w:eastAsia="zh-CN"/>
              </w:rPr>
              <w:t>技术</w:t>
            </w:r>
            <w:r>
              <w:rPr>
                <w:rFonts w:hint="default" w:ascii="Times New Roman" w:hAnsi="Times New Roman" w:cs="Times New Roman"/>
                <w:i w:val="0"/>
                <w:iCs w:val="0"/>
                <w:color w:val="000000"/>
                <w:sz w:val="21"/>
                <w:szCs w:val="21"/>
                <w:u w:val="single"/>
              </w:rPr>
              <w:t>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26" w:type="pct"/>
            <w:noWrap w:val="0"/>
            <w:vAlign w:val="center"/>
          </w:tcPr>
          <w:p>
            <w:pPr>
              <w:ind w:firstLine="420" w:firstLineChars="200"/>
              <w:jc w:val="center"/>
              <w:rPr>
                <w:rFonts w:hint="default" w:ascii="Times New Roman" w:hAnsi="Times New Roman" w:cs="Times New Roman"/>
                <w:i w:val="0"/>
                <w:iCs w:val="0"/>
                <w:color w:val="000000"/>
                <w:sz w:val="21"/>
                <w:szCs w:val="21"/>
                <w:u w:val="single"/>
              </w:rPr>
            </w:pPr>
            <w:r>
              <w:rPr>
                <w:rFonts w:hint="default" w:ascii="Times New Roman" w:hAnsi="Times New Roman" w:cs="Times New Roman"/>
                <w:i w:val="0"/>
                <w:iCs w:val="0"/>
                <w:color w:val="000000"/>
                <w:sz w:val="21"/>
                <w:szCs w:val="21"/>
                <w:u w:val="single"/>
              </w:rPr>
              <w:t>项目</w:t>
            </w:r>
          </w:p>
        </w:tc>
        <w:tc>
          <w:tcPr>
            <w:tcW w:w="3273" w:type="pct"/>
            <w:noWrap w:val="0"/>
            <w:vAlign w:val="center"/>
          </w:tcPr>
          <w:p>
            <w:pPr>
              <w:jc w:val="center"/>
              <w:rPr>
                <w:rFonts w:hint="default" w:ascii="Times New Roman" w:hAnsi="Times New Roman" w:cs="Times New Roman"/>
                <w:i w:val="0"/>
                <w:iCs w:val="0"/>
                <w:color w:val="000000"/>
                <w:sz w:val="21"/>
                <w:szCs w:val="21"/>
                <w:u w:val="single"/>
              </w:rPr>
            </w:pPr>
            <w:r>
              <w:rPr>
                <w:rFonts w:hint="default" w:ascii="Times New Roman" w:hAnsi="Times New Roman" w:cs="Times New Roman"/>
                <w:i w:val="0"/>
                <w:iCs w:val="0"/>
                <w:color w:val="000000"/>
                <w:sz w:val="21"/>
                <w:szCs w:val="21"/>
                <w:u w:val="single"/>
              </w:rPr>
              <w:t>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26" w:type="pct"/>
            <w:noWrap w:val="0"/>
            <w:vAlign w:val="center"/>
          </w:tcPr>
          <w:p>
            <w:pPr>
              <w:ind w:firstLine="420" w:firstLineChars="200"/>
              <w:jc w:val="center"/>
              <w:rPr>
                <w:rFonts w:hint="default" w:ascii="Times New Roman" w:hAnsi="Times New Roman" w:eastAsia="宋体" w:cs="Times New Roman"/>
                <w:i w:val="0"/>
                <w:iCs w:val="0"/>
                <w:color w:val="000000"/>
                <w:sz w:val="21"/>
                <w:szCs w:val="21"/>
                <w:u w:val="single"/>
                <w:lang w:val="en-US" w:eastAsia="zh-CN"/>
              </w:rPr>
            </w:pPr>
            <w:r>
              <w:rPr>
                <w:rFonts w:hint="eastAsia" w:ascii="Times New Roman" w:hAnsi="Times New Roman" w:cs="Times New Roman"/>
                <w:i w:val="0"/>
                <w:iCs w:val="0"/>
                <w:color w:val="000000"/>
                <w:sz w:val="21"/>
                <w:szCs w:val="21"/>
                <w:u w:val="single"/>
                <w:lang w:eastAsia="zh-CN"/>
              </w:rPr>
              <w:t>虾青素，</w:t>
            </w:r>
            <w:r>
              <w:rPr>
                <w:rFonts w:hint="eastAsia" w:ascii="Times New Roman" w:hAnsi="Times New Roman" w:cs="Times New Roman"/>
                <w:i w:val="0"/>
                <w:iCs w:val="0"/>
                <w:color w:val="000000"/>
                <w:sz w:val="21"/>
                <w:szCs w:val="21"/>
                <w:u w:val="single"/>
                <w:lang w:val="en-US" w:eastAsia="zh-CN"/>
              </w:rPr>
              <w:t>%≥</w:t>
            </w:r>
          </w:p>
        </w:tc>
        <w:tc>
          <w:tcPr>
            <w:tcW w:w="3273" w:type="pct"/>
            <w:noWrap w:val="0"/>
            <w:vAlign w:val="center"/>
          </w:tcPr>
          <w:p>
            <w:pPr>
              <w:jc w:val="center"/>
              <w:rPr>
                <w:rFonts w:hint="default" w:ascii="Times New Roman" w:hAnsi="Times New Roman" w:eastAsia="宋体" w:cs="Times New Roman"/>
                <w:i w:val="0"/>
                <w:iCs w:val="0"/>
                <w:color w:val="000000"/>
                <w:sz w:val="21"/>
                <w:szCs w:val="21"/>
                <w:u w:val="single"/>
                <w:lang w:val="en-US" w:eastAsia="zh-CN"/>
              </w:rPr>
            </w:pPr>
            <w:r>
              <w:rPr>
                <w:rFonts w:hint="eastAsia" w:ascii="Times New Roman" w:hAnsi="Times New Roman" w:cs="Times New Roman"/>
                <w:i w:val="0"/>
                <w:iCs w:val="0"/>
                <w:color w:val="000000"/>
                <w:sz w:val="21"/>
                <w:szCs w:val="21"/>
                <w:u w:val="single"/>
                <w:lang w:val="en-US" w:eastAsia="zh-CN"/>
              </w:rPr>
              <w:t>0.40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26" w:type="pct"/>
            <w:noWrap w:val="0"/>
            <w:vAlign w:val="center"/>
          </w:tcPr>
          <w:p>
            <w:pPr>
              <w:ind w:firstLine="420" w:firstLineChars="200"/>
              <w:jc w:val="center"/>
              <w:rPr>
                <w:rFonts w:hint="default" w:ascii="Times New Roman" w:hAnsi="Times New Roman" w:eastAsia="宋体" w:cs="Times New Roman"/>
                <w:i w:val="0"/>
                <w:iCs w:val="0"/>
                <w:color w:val="000000"/>
                <w:sz w:val="21"/>
                <w:szCs w:val="21"/>
                <w:u w:val="single"/>
                <w:lang w:val="en-US" w:eastAsia="zh-CN"/>
              </w:rPr>
            </w:pPr>
            <w:r>
              <w:rPr>
                <w:rFonts w:hint="eastAsia" w:ascii="Times New Roman" w:hAnsi="Times New Roman" w:cs="Times New Roman"/>
                <w:i w:val="0"/>
                <w:iCs w:val="0"/>
                <w:color w:val="000000"/>
                <w:sz w:val="21"/>
                <w:szCs w:val="21"/>
                <w:u w:val="single"/>
                <w:lang w:eastAsia="zh-CN"/>
              </w:rPr>
              <w:t>粗蛋白，</w:t>
            </w:r>
            <w:r>
              <w:rPr>
                <w:rFonts w:hint="eastAsia" w:ascii="Times New Roman" w:hAnsi="Times New Roman" w:cs="Times New Roman"/>
                <w:i w:val="0"/>
                <w:iCs w:val="0"/>
                <w:color w:val="000000"/>
                <w:sz w:val="21"/>
                <w:szCs w:val="21"/>
                <w:u w:val="single"/>
                <w:lang w:val="en-US" w:eastAsia="zh-CN"/>
              </w:rPr>
              <w:t>%≥</w:t>
            </w:r>
          </w:p>
        </w:tc>
        <w:tc>
          <w:tcPr>
            <w:tcW w:w="3273" w:type="pct"/>
            <w:noWrap w:val="0"/>
            <w:vAlign w:val="center"/>
          </w:tcPr>
          <w:p>
            <w:pPr>
              <w:jc w:val="center"/>
              <w:rPr>
                <w:rFonts w:hint="default" w:ascii="Times New Roman" w:hAnsi="Times New Roman" w:eastAsia="宋体" w:cs="Times New Roman"/>
                <w:i w:val="0"/>
                <w:iCs w:val="0"/>
                <w:color w:val="000000"/>
                <w:sz w:val="21"/>
                <w:szCs w:val="21"/>
                <w:u w:val="single"/>
                <w:lang w:val="en-US" w:eastAsia="zh-CN"/>
              </w:rPr>
            </w:pPr>
            <w:r>
              <w:rPr>
                <w:rFonts w:hint="eastAsia" w:ascii="Times New Roman" w:hAnsi="Times New Roman" w:cs="Times New Roman"/>
                <w:i w:val="0"/>
                <w:iCs w:val="0"/>
                <w:color w:val="000000"/>
                <w:sz w:val="21"/>
                <w:szCs w:val="21"/>
                <w:u w:val="single"/>
                <w:lang w:val="en-US" w:eastAsia="zh-CN"/>
              </w:rPr>
              <w:t>14</w:t>
            </w:r>
          </w:p>
        </w:tc>
      </w:tr>
    </w:tbl>
    <w:p>
      <w:pPr>
        <w:spacing w:line="360" w:lineRule="auto"/>
        <w:ind w:firstLine="482" w:firstLineChars="200"/>
        <w:rPr>
          <w:rFonts w:hint="default" w:eastAsia="宋体"/>
          <w:b/>
          <w:i w:val="0"/>
          <w:iCs w:val="0"/>
          <w:lang w:val="en-US" w:eastAsia="zh-CN"/>
        </w:rPr>
      </w:pPr>
      <w:r>
        <w:rPr>
          <w:rFonts w:hint="eastAsia"/>
          <w:b/>
          <w:i w:val="0"/>
          <w:iCs w:val="0"/>
          <w:lang w:val="en-US" w:eastAsia="zh-CN"/>
        </w:rPr>
        <w:t>3.1.5</w:t>
      </w:r>
      <w:r>
        <w:rPr>
          <w:rFonts w:hint="eastAsia" w:ascii="Times New Roman" w:hAnsi="Times New Roman" w:eastAsia="宋体" w:cs="Times New Roman"/>
          <w:b/>
          <w:i w:val="0"/>
          <w:iCs w:val="0"/>
          <w:lang w:val="en-US" w:eastAsia="zh-CN"/>
        </w:rPr>
        <w:t>生产周期</w:t>
      </w:r>
    </w:p>
    <w:p>
      <w:pPr>
        <w:spacing w:line="360" w:lineRule="auto"/>
        <w:ind w:firstLine="480" w:firstLineChars="200"/>
        <w:rPr>
          <w:rFonts w:hint="eastAsia" w:ascii="Times New Roman" w:hAnsi="Times New Roman" w:eastAsia="宋体" w:cs="Times New Roman"/>
          <w:i w:val="0"/>
          <w:iCs w:val="0"/>
          <w:u w:val="single"/>
          <w:lang w:val="en-US" w:eastAsia="zh-CN"/>
        </w:rPr>
      </w:pPr>
      <w:r>
        <w:rPr>
          <w:rFonts w:hint="eastAsia" w:ascii="Times New Roman" w:hAnsi="Times New Roman" w:eastAsia="宋体" w:cs="Times New Roman"/>
          <w:i w:val="0"/>
          <w:iCs w:val="0"/>
          <w:u w:val="single"/>
          <w:lang w:val="en-US" w:eastAsia="zh-CN"/>
        </w:rPr>
        <w:t>本项目批次间隔周期为2.5d（60h），在这60h中，每级种子培养仅需要36h（＜60h），可以满足种子扩培要求；菌泥离心分离和喷雾干燥同时进行，菌泥离心分离较喷雾干燥提前完成，菌泥离心分离时间包含在喷雾干燥用时中，故菌泥离心分离和喷雾干燥共需40h（＜60h），即在下一批（60h后）发酵液到来之前完全可以将本批次的发酵液经离心和喷雾干燥得到产品，本项目主要生产安排即在发酵阶段。发酵阶段共4个156m³的发酵罐，发酵需要192h（8d），4个罐轮流开始，每2d即可排开，再加上放罐、清洗及消毒的时间大约0.5d，故批次间隔周期为2.5d（60h）。</w:t>
      </w:r>
    </w:p>
    <w:p>
      <w:pPr>
        <w:spacing w:line="360" w:lineRule="auto"/>
        <w:ind w:firstLine="480" w:firstLineChars="200"/>
        <w:rPr>
          <w:rFonts w:hint="eastAsia" w:ascii="Times New Roman" w:hAnsi="Times New Roman" w:eastAsia="宋体" w:cs="Times New Roman"/>
          <w:i w:val="0"/>
          <w:iCs w:val="0"/>
          <w:u w:val="single"/>
          <w:lang w:val="en-US" w:eastAsia="zh-CN"/>
        </w:rPr>
      </w:pPr>
      <w:r>
        <w:rPr>
          <w:rFonts w:hint="eastAsia" w:ascii="Times New Roman" w:hAnsi="Times New Roman" w:eastAsia="宋体" w:cs="Times New Roman"/>
          <w:i w:val="0"/>
          <w:iCs w:val="0"/>
          <w:u w:val="single"/>
          <w:lang w:val="en-US" w:eastAsia="zh-CN"/>
        </w:rPr>
        <w:t>每批次运行时间对应关系如下：</w:t>
      </w:r>
    </w:p>
    <w:p>
      <w:pPr>
        <w:spacing w:line="360" w:lineRule="auto"/>
        <w:ind w:firstLine="480" w:firstLineChars="200"/>
        <w:rPr>
          <w:rFonts w:hint="default" w:ascii="Times New Roman" w:hAnsi="Times New Roman" w:eastAsia="宋体" w:cs="Times New Roman"/>
          <w:i w:val="0"/>
          <w:iCs w:val="0"/>
          <w:u w:val="single"/>
          <w:lang w:val="en-US" w:eastAsia="zh-CN"/>
        </w:rPr>
      </w:pPr>
      <w:r>
        <w:rPr>
          <w:rFonts w:hint="eastAsia" w:ascii="Times New Roman" w:hAnsi="Times New Roman" w:eastAsia="宋体" w:cs="Times New Roman"/>
          <w:i w:val="0"/>
          <w:iCs w:val="0"/>
          <w:u w:val="single"/>
          <w:lang w:val="en-US" w:eastAsia="zh-CN"/>
        </w:rPr>
        <w:t>第一批：0h进一级，36h转至二级，72h转至3级，108h转至发酵，300h放至提取，340h离心及喷干完成；</w:t>
      </w:r>
    </w:p>
    <w:p>
      <w:pPr>
        <w:spacing w:line="360" w:lineRule="auto"/>
        <w:ind w:firstLine="480" w:firstLineChars="200"/>
        <w:rPr>
          <w:rFonts w:hint="default" w:ascii="Times New Roman" w:hAnsi="Times New Roman" w:eastAsia="宋体" w:cs="Times New Roman"/>
          <w:i w:val="0"/>
          <w:iCs w:val="0"/>
          <w:u w:val="single"/>
          <w:lang w:val="en-US" w:eastAsia="zh-CN"/>
        </w:rPr>
      </w:pPr>
      <w:r>
        <w:rPr>
          <w:rFonts w:hint="eastAsia" w:ascii="Times New Roman" w:hAnsi="Times New Roman" w:eastAsia="宋体" w:cs="Times New Roman"/>
          <w:i w:val="0"/>
          <w:iCs w:val="0"/>
          <w:u w:val="single"/>
          <w:lang w:val="en-US" w:eastAsia="zh-CN"/>
        </w:rPr>
        <w:t>第二批60h进一级，96h转至二级，132h转至3级，168h转至发酵，360h放至提取，400h离心及喷干完成；</w:t>
      </w:r>
    </w:p>
    <w:p>
      <w:pPr>
        <w:spacing w:line="360" w:lineRule="auto"/>
        <w:ind w:firstLine="480" w:firstLineChars="200"/>
        <w:rPr>
          <w:rFonts w:hint="eastAsia" w:ascii="Times New Roman" w:hAnsi="Times New Roman" w:eastAsia="宋体" w:cs="Times New Roman"/>
          <w:i w:val="0"/>
          <w:iCs w:val="0"/>
          <w:u w:val="single"/>
          <w:lang w:val="en-US" w:eastAsia="zh-CN"/>
        </w:rPr>
      </w:pPr>
      <w:r>
        <w:rPr>
          <w:rFonts w:hint="eastAsia" w:ascii="Times New Roman" w:hAnsi="Times New Roman" w:eastAsia="宋体" w:cs="Times New Roman"/>
          <w:i w:val="0"/>
          <w:iCs w:val="0"/>
          <w:u w:val="single"/>
          <w:lang w:val="en-US" w:eastAsia="zh-CN"/>
        </w:rPr>
        <w:t>第三批120h进一级，156h转至二级，192h转至3级，228h转至发酵，420h放至提取，460h离心及喷干完成；</w:t>
      </w:r>
    </w:p>
    <w:p>
      <w:pPr>
        <w:spacing w:line="360" w:lineRule="auto"/>
        <w:ind w:firstLine="480" w:firstLineChars="200"/>
        <w:rPr>
          <w:rFonts w:hint="default" w:ascii="Times New Roman" w:hAnsi="Times New Roman" w:eastAsia="宋体" w:cs="Times New Roman"/>
          <w:i w:val="0"/>
          <w:iCs w:val="0"/>
          <w:u w:val="single"/>
          <w:lang w:val="en-US" w:eastAsia="zh-CN"/>
        </w:rPr>
      </w:pPr>
      <w:r>
        <w:rPr>
          <w:rFonts w:hint="eastAsia" w:ascii="Times New Roman" w:hAnsi="Times New Roman" w:eastAsia="宋体" w:cs="Times New Roman"/>
          <w:i w:val="0"/>
          <w:iCs w:val="0"/>
          <w:u w:val="single"/>
          <w:lang w:val="en-US" w:eastAsia="zh-CN"/>
        </w:rPr>
        <w:t>第四批180h进一级，216h转至二级，252h转至3级，288h转至发酵，480h放至提取，520h离心及喷干完成；</w:t>
      </w:r>
    </w:p>
    <w:p>
      <w:pPr>
        <w:spacing w:line="360" w:lineRule="auto"/>
        <w:ind w:firstLine="480" w:firstLineChars="200"/>
        <w:rPr>
          <w:rFonts w:hint="eastAsia" w:cs="Times New Roman"/>
          <w:i w:val="0"/>
          <w:iCs w:val="0"/>
          <w:u w:val="single"/>
          <w:lang w:val="en-US" w:eastAsia="zh-CN"/>
        </w:rPr>
      </w:pPr>
      <w:r>
        <w:rPr>
          <w:rFonts w:hint="eastAsia" w:ascii="Times New Roman" w:hAnsi="Times New Roman" w:eastAsia="宋体" w:cs="Times New Roman"/>
          <w:i w:val="0"/>
          <w:iCs w:val="0"/>
          <w:u w:val="single"/>
          <w:lang w:val="en-US" w:eastAsia="zh-CN"/>
        </w:rPr>
        <w:t>后面批次依次交替穿插进行。</w:t>
      </w:r>
      <w:r>
        <w:rPr>
          <w:rFonts w:hint="eastAsia" w:cs="Times New Roman"/>
          <w:i w:val="0"/>
          <w:iCs w:val="0"/>
          <w:u w:val="single"/>
          <w:lang w:val="en-US" w:eastAsia="zh-CN"/>
        </w:rPr>
        <w:t>各工序生产时间见下表。</w:t>
      </w:r>
    </w:p>
    <w:p>
      <w:pPr>
        <w:spacing w:line="360" w:lineRule="auto"/>
        <w:ind w:firstLine="480" w:firstLineChars="200"/>
        <w:rPr>
          <w:rFonts w:hint="default" w:cs="Times New Roman"/>
          <w:i w:val="0"/>
          <w:iCs w:val="0"/>
          <w:u w:val="single"/>
          <w:lang w:val="en-US" w:eastAsia="zh-CN"/>
        </w:rPr>
      </w:pPr>
    </w:p>
    <w:p>
      <w:pPr>
        <w:ind w:firstLine="723" w:firstLineChars="300"/>
        <w:jc w:val="center"/>
        <w:rPr>
          <w:rFonts w:hint="default" w:ascii="Times New Roman" w:hAnsi="Times New Roman" w:eastAsia="宋体" w:cs="Times New Roman"/>
          <w:b/>
          <w:i w:val="0"/>
          <w:iCs w:val="0"/>
          <w:u w:val="single"/>
          <w:lang w:val="en-US" w:eastAsia="zh-CN"/>
        </w:rPr>
      </w:pPr>
      <w:r>
        <w:rPr>
          <w:rFonts w:hint="eastAsia" w:cs="Times New Roman"/>
          <w:b/>
          <w:i w:val="0"/>
          <w:iCs w:val="0"/>
          <w:u w:val="single"/>
          <w:lang w:val="en-US" w:eastAsia="zh-CN"/>
        </w:rPr>
        <w:t xml:space="preserve">表3-5 </w:t>
      </w:r>
      <w:r>
        <w:rPr>
          <w:rFonts w:hint="eastAsia" w:ascii="Times New Roman" w:hAnsi="Times New Roman" w:eastAsia="宋体" w:cs="Times New Roman"/>
          <w:b/>
          <w:i w:val="0"/>
          <w:iCs w:val="0"/>
          <w:u w:val="single"/>
          <w:lang w:val="en-US" w:eastAsia="zh-CN"/>
        </w:rPr>
        <w:t>各工序生产时间一览表</w:t>
      </w:r>
    </w:p>
    <w:tbl>
      <w:tblPr>
        <w:tblStyle w:val="5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57" w:type="dxa"/>
            <w:tcBorders>
              <w:tl2br w:val="nil"/>
              <w:tr2bl w:val="nil"/>
            </w:tcBorders>
            <w:vAlign w:val="center"/>
          </w:tcPr>
          <w:p>
            <w:pPr>
              <w:adjustRightInd w:val="0"/>
              <w:snapToGrid w:val="0"/>
              <w:jc w:val="center"/>
              <w:rPr>
                <w:rFonts w:hint="default" w:ascii="Times New Roman" w:hAnsi="Times New Roman" w:eastAsia="宋体" w:cs="Times New Roman"/>
                <w:i w:val="0"/>
                <w:iCs w:val="0"/>
                <w:color w:val="000000"/>
                <w:sz w:val="21"/>
                <w:szCs w:val="21"/>
                <w:u w:val="single"/>
                <w:lang w:val="en-US" w:eastAsia="zh-CN"/>
              </w:rPr>
            </w:pPr>
            <w:r>
              <w:rPr>
                <w:rFonts w:hint="eastAsia" w:ascii="Times New Roman" w:hAnsi="Times New Roman" w:eastAsia="宋体" w:cs="Times New Roman"/>
                <w:i w:val="0"/>
                <w:iCs w:val="0"/>
                <w:color w:val="000000"/>
                <w:sz w:val="21"/>
                <w:szCs w:val="21"/>
                <w:u w:val="single"/>
                <w:lang w:val="en-US" w:eastAsia="zh-CN"/>
              </w:rPr>
              <w:t>工序</w:t>
            </w:r>
          </w:p>
        </w:tc>
        <w:tc>
          <w:tcPr>
            <w:tcW w:w="4758" w:type="dxa"/>
            <w:tcBorders>
              <w:tl2br w:val="nil"/>
              <w:tr2bl w:val="nil"/>
            </w:tcBorders>
            <w:vAlign w:val="center"/>
          </w:tcPr>
          <w:p>
            <w:pPr>
              <w:adjustRightInd w:val="0"/>
              <w:snapToGrid w:val="0"/>
              <w:jc w:val="center"/>
              <w:rPr>
                <w:rFonts w:hint="default" w:ascii="Times New Roman" w:hAnsi="Times New Roman" w:eastAsia="宋体" w:cs="Times New Roman"/>
                <w:i w:val="0"/>
                <w:iCs w:val="0"/>
                <w:color w:val="000000"/>
                <w:sz w:val="21"/>
                <w:szCs w:val="21"/>
                <w:u w:val="single"/>
                <w:lang w:val="en-US" w:eastAsia="zh-CN"/>
              </w:rPr>
            </w:pPr>
            <w:r>
              <w:rPr>
                <w:rFonts w:hint="eastAsia" w:ascii="Times New Roman" w:hAnsi="Times New Roman" w:eastAsia="宋体" w:cs="Times New Roman"/>
                <w:i w:val="0"/>
                <w:iCs w:val="0"/>
                <w:color w:val="000000"/>
                <w:sz w:val="21"/>
                <w:szCs w:val="21"/>
                <w:u w:val="single"/>
                <w:lang w:val="en-US" w:eastAsia="zh-CN"/>
              </w:rPr>
              <w:t>年生产时间（h）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57" w:type="dxa"/>
            <w:tcBorders>
              <w:tl2br w:val="nil"/>
              <w:tr2bl w:val="nil"/>
            </w:tcBorders>
            <w:vAlign w:val="center"/>
          </w:tcPr>
          <w:p>
            <w:pPr>
              <w:adjustRightInd w:val="0"/>
              <w:snapToGrid w:val="0"/>
              <w:jc w:val="center"/>
              <w:rPr>
                <w:rFonts w:hint="default" w:ascii="Times New Roman" w:hAnsi="Times New Roman" w:eastAsia="宋体" w:cs="Times New Roman"/>
                <w:i w:val="0"/>
                <w:iCs w:val="0"/>
                <w:color w:val="000000"/>
                <w:sz w:val="21"/>
                <w:szCs w:val="21"/>
                <w:u w:val="single"/>
                <w:lang w:val="en-US" w:eastAsia="zh-CN"/>
              </w:rPr>
            </w:pPr>
            <w:r>
              <w:rPr>
                <w:rFonts w:hint="eastAsia" w:ascii="Times New Roman" w:hAnsi="Times New Roman" w:eastAsia="宋体" w:cs="Times New Roman"/>
                <w:i w:val="0"/>
                <w:iCs w:val="0"/>
                <w:color w:val="000000"/>
                <w:sz w:val="21"/>
                <w:szCs w:val="21"/>
                <w:u w:val="single"/>
                <w:lang w:val="en-US" w:eastAsia="zh-CN"/>
              </w:rPr>
              <w:t>种子一级扩培</w:t>
            </w:r>
          </w:p>
        </w:tc>
        <w:tc>
          <w:tcPr>
            <w:tcW w:w="4758" w:type="dxa"/>
            <w:tcBorders>
              <w:tl2br w:val="nil"/>
              <w:tr2bl w:val="nil"/>
            </w:tcBorders>
            <w:vAlign w:val="center"/>
          </w:tcPr>
          <w:p>
            <w:pPr>
              <w:adjustRightInd w:val="0"/>
              <w:snapToGrid w:val="0"/>
              <w:jc w:val="center"/>
              <w:rPr>
                <w:rFonts w:hint="default" w:ascii="Times New Roman" w:hAnsi="Times New Roman" w:eastAsia="宋体" w:cs="Times New Roman"/>
                <w:i w:val="0"/>
                <w:iCs w:val="0"/>
                <w:color w:val="000000"/>
                <w:sz w:val="21"/>
                <w:szCs w:val="21"/>
                <w:u w:val="single"/>
                <w:lang w:val="en-US" w:eastAsia="zh-CN"/>
              </w:rPr>
            </w:pPr>
            <w:r>
              <w:rPr>
                <w:rFonts w:hint="eastAsia" w:ascii="Times New Roman" w:hAnsi="Times New Roman" w:eastAsia="宋体" w:cs="Times New Roman"/>
                <w:i w:val="0"/>
                <w:iCs w:val="0"/>
                <w:color w:val="000000"/>
                <w:sz w:val="21"/>
                <w:szCs w:val="21"/>
                <w:u w:val="single"/>
                <w:lang w:val="en-US" w:eastAsia="zh-CN"/>
              </w:rPr>
              <w:t>4500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57" w:type="dxa"/>
            <w:tcBorders>
              <w:tl2br w:val="nil"/>
              <w:tr2bl w:val="nil"/>
            </w:tcBorders>
            <w:vAlign w:val="center"/>
          </w:tcPr>
          <w:p>
            <w:pPr>
              <w:adjustRightInd w:val="0"/>
              <w:snapToGrid w:val="0"/>
              <w:jc w:val="center"/>
              <w:rPr>
                <w:rFonts w:hint="eastAsia" w:ascii="Times New Roman" w:hAnsi="Times New Roman" w:eastAsia="宋体" w:cs="Times New Roman"/>
                <w:i w:val="0"/>
                <w:iCs w:val="0"/>
                <w:color w:val="000000"/>
                <w:sz w:val="21"/>
                <w:szCs w:val="21"/>
                <w:u w:val="single"/>
              </w:rPr>
            </w:pPr>
            <w:r>
              <w:rPr>
                <w:rFonts w:hint="eastAsia" w:ascii="Times New Roman" w:hAnsi="Times New Roman" w:eastAsia="宋体" w:cs="Times New Roman"/>
                <w:i w:val="0"/>
                <w:iCs w:val="0"/>
                <w:color w:val="000000"/>
                <w:sz w:val="21"/>
                <w:szCs w:val="21"/>
                <w:u w:val="single"/>
                <w:lang w:val="en-US" w:eastAsia="zh-CN"/>
              </w:rPr>
              <w:t>种子二级扩培</w:t>
            </w:r>
          </w:p>
        </w:tc>
        <w:tc>
          <w:tcPr>
            <w:tcW w:w="4758" w:type="dxa"/>
            <w:tcBorders>
              <w:tl2br w:val="nil"/>
              <w:tr2bl w:val="nil"/>
            </w:tcBorders>
            <w:vAlign w:val="center"/>
          </w:tcPr>
          <w:p>
            <w:pPr>
              <w:adjustRightInd w:val="0"/>
              <w:snapToGrid w:val="0"/>
              <w:jc w:val="center"/>
              <w:rPr>
                <w:rFonts w:hint="eastAsia" w:ascii="Times New Roman" w:hAnsi="Times New Roman" w:eastAsia="宋体" w:cs="Times New Roman"/>
                <w:i w:val="0"/>
                <w:iCs w:val="0"/>
                <w:color w:val="000000"/>
                <w:sz w:val="21"/>
                <w:szCs w:val="21"/>
                <w:u w:val="single"/>
              </w:rPr>
            </w:pPr>
            <w:r>
              <w:rPr>
                <w:rFonts w:hint="eastAsia" w:ascii="Times New Roman" w:hAnsi="Times New Roman" w:eastAsia="宋体" w:cs="Times New Roman"/>
                <w:i w:val="0"/>
                <w:iCs w:val="0"/>
                <w:color w:val="000000"/>
                <w:sz w:val="21"/>
                <w:szCs w:val="21"/>
                <w:u w:val="single"/>
                <w:lang w:val="en-US" w:eastAsia="zh-CN"/>
              </w:rPr>
              <w:t>4500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57" w:type="dxa"/>
            <w:tcBorders>
              <w:tl2br w:val="nil"/>
              <w:tr2bl w:val="nil"/>
            </w:tcBorders>
            <w:vAlign w:val="center"/>
          </w:tcPr>
          <w:p>
            <w:pPr>
              <w:adjustRightInd w:val="0"/>
              <w:snapToGrid w:val="0"/>
              <w:jc w:val="center"/>
              <w:rPr>
                <w:rFonts w:hint="eastAsia" w:ascii="Times New Roman" w:hAnsi="Times New Roman" w:eastAsia="宋体" w:cs="Times New Roman"/>
                <w:i w:val="0"/>
                <w:iCs w:val="0"/>
                <w:color w:val="000000"/>
                <w:sz w:val="21"/>
                <w:szCs w:val="21"/>
                <w:u w:val="single"/>
              </w:rPr>
            </w:pPr>
            <w:r>
              <w:rPr>
                <w:rFonts w:hint="eastAsia" w:ascii="Times New Roman" w:hAnsi="Times New Roman" w:eastAsia="宋体" w:cs="Times New Roman"/>
                <w:i w:val="0"/>
                <w:iCs w:val="0"/>
                <w:color w:val="000000"/>
                <w:sz w:val="21"/>
                <w:szCs w:val="21"/>
                <w:u w:val="single"/>
                <w:lang w:val="en-US" w:eastAsia="zh-CN"/>
              </w:rPr>
              <w:t>种子三级扩培</w:t>
            </w:r>
          </w:p>
        </w:tc>
        <w:tc>
          <w:tcPr>
            <w:tcW w:w="4758" w:type="dxa"/>
            <w:tcBorders>
              <w:tl2br w:val="nil"/>
              <w:tr2bl w:val="nil"/>
            </w:tcBorders>
            <w:vAlign w:val="center"/>
          </w:tcPr>
          <w:p>
            <w:pPr>
              <w:adjustRightInd w:val="0"/>
              <w:snapToGrid w:val="0"/>
              <w:jc w:val="center"/>
              <w:rPr>
                <w:rFonts w:hint="eastAsia" w:ascii="Times New Roman" w:hAnsi="Times New Roman" w:eastAsia="宋体" w:cs="Times New Roman"/>
                <w:i w:val="0"/>
                <w:iCs w:val="0"/>
                <w:color w:val="000000"/>
                <w:sz w:val="21"/>
                <w:szCs w:val="21"/>
                <w:u w:val="single"/>
              </w:rPr>
            </w:pPr>
            <w:r>
              <w:rPr>
                <w:rFonts w:hint="eastAsia" w:ascii="Times New Roman" w:hAnsi="Times New Roman" w:eastAsia="宋体" w:cs="Times New Roman"/>
                <w:i w:val="0"/>
                <w:iCs w:val="0"/>
                <w:color w:val="000000"/>
                <w:sz w:val="21"/>
                <w:szCs w:val="21"/>
                <w:u w:val="single"/>
                <w:lang w:val="en-US" w:eastAsia="zh-CN"/>
              </w:rPr>
              <w:t>4500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57" w:type="dxa"/>
            <w:tcBorders>
              <w:tl2br w:val="nil"/>
              <w:tr2bl w:val="nil"/>
            </w:tcBorders>
            <w:vAlign w:val="center"/>
          </w:tcPr>
          <w:p>
            <w:pPr>
              <w:adjustRightInd w:val="0"/>
              <w:snapToGrid w:val="0"/>
              <w:jc w:val="center"/>
              <w:rPr>
                <w:rFonts w:hint="eastAsia" w:ascii="Times New Roman" w:hAnsi="Times New Roman" w:eastAsia="宋体" w:cs="Times New Roman"/>
                <w:i w:val="0"/>
                <w:iCs w:val="0"/>
                <w:color w:val="000000"/>
                <w:sz w:val="21"/>
                <w:szCs w:val="21"/>
                <w:u w:val="single"/>
                <w:lang w:val="en-US" w:eastAsia="zh-CN"/>
              </w:rPr>
            </w:pPr>
            <w:r>
              <w:rPr>
                <w:rFonts w:hint="eastAsia" w:ascii="Times New Roman" w:hAnsi="Times New Roman" w:eastAsia="宋体" w:cs="Times New Roman"/>
                <w:i w:val="0"/>
                <w:iCs w:val="0"/>
                <w:color w:val="000000"/>
                <w:sz w:val="21"/>
                <w:szCs w:val="21"/>
                <w:u w:val="single"/>
                <w:lang w:val="en-US" w:eastAsia="zh-CN"/>
              </w:rPr>
              <w:t>发酵</w:t>
            </w:r>
          </w:p>
        </w:tc>
        <w:tc>
          <w:tcPr>
            <w:tcW w:w="4758" w:type="dxa"/>
            <w:tcBorders>
              <w:tl2br w:val="nil"/>
              <w:tr2bl w:val="nil"/>
            </w:tcBorders>
            <w:vAlign w:val="center"/>
          </w:tcPr>
          <w:p>
            <w:pPr>
              <w:adjustRightInd w:val="0"/>
              <w:snapToGrid w:val="0"/>
              <w:jc w:val="center"/>
              <w:rPr>
                <w:rFonts w:hint="default" w:ascii="Times New Roman" w:hAnsi="Times New Roman" w:eastAsia="宋体" w:cs="Times New Roman"/>
                <w:i w:val="0"/>
                <w:iCs w:val="0"/>
                <w:color w:val="000000"/>
                <w:sz w:val="21"/>
                <w:szCs w:val="21"/>
                <w:u w:val="single"/>
                <w:lang w:val="en-US" w:eastAsia="zh-CN"/>
              </w:rPr>
            </w:pPr>
            <w:r>
              <w:rPr>
                <w:rFonts w:hint="eastAsia" w:ascii="Times New Roman" w:hAnsi="Times New Roman" w:eastAsia="宋体" w:cs="Times New Roman"/>
                <w:i w:val="0"/>
                <w:iCs w:val="0"/>
                <w:color w:val="000000"/>
                <w:sz w:val="21"/>
                <w:szCs w:val="21"/>
                <w:u w:val="single"/>
                <w:lang w:val="en-US" w:eastAsia="zh-CN"/>
              </w:rPr>
              <w:t>7632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57" w:type="dxa"/>
            <w:tcBorders>
              <w:tl2br w:val="nil"/>
              <w:tr2bl w:val="nil"/>
            </w:tcBorders>
            <w:vAlign w:val="center"/>
          </w:tcPr>
          <w:p>
            <w:pPr>
              <w:adjustRightInd w:val="0"/>
              <w:snapToGrid w:val="0"/>
              <w:jc w:val="center"/>
              <w:rPr>
                <w:rFonts w:hint="eastAsia" w:ascii="Times New Roman" w:hAnsi="Times New Roman" w:eastAsia="宋体" w:cs="Times New Roman"/>
                <w:i w:val="0"/>
                <w:iCs w:val="0"/>
                <w:color w:val="000000"/>
                <w:sz w:val="21"/>
                <w:szCs w:val="21"/>
              </w:rPr>
            </w:pPr>
            <w:r>
              <w:rPr>
                <w:rFonts w:hint="eastAsia" w:ascii="Times New Roman" w:hAnsi="Times New Roman" w:eastAsia="宋体" w:cs="Times New Roman"/>
                <w:i w:val="0"/>
                <w:iCs w:val="0"/>
                <w:color w:val="000000"/>
                <w:sz w:val="21"/>
                <w:szCs w:val="21"/>
                <w:lang w:val="en-US" w:eastAsia="zh-CN"/>
              </w:rPr>
              <w:t>离心及喷干</w:t>
            </w:r>
          </w:p>
        </w:tc>
        <w:tc>
          <w:tcPr>
            <w:tcW w:w="4758" w:type="dxa"/>
            <w:tcBorders>
              <w:tl2br w:val="nil"/>
              <w:tr2bl w:val="nil"/>
            </w:tcBorders>
            <w:vAlign w:val="center"/>
          </w:tcPr>
          <w:p>
            <w:pPr>
              <w:adjustRightInd w:val="0"/>
              <w:snapToGrid w:val="0"/>
              <w:jc w:val="center"/>
              <w:rPr>
                <w:rFonts w:hint="default" w:ascii="Times New Roman" w:hAnsi="Times New Roman" w:eastAsia="宋体" w:cs="Times New Roman"/>
                <w:i w:val="0"/>
                <w:iCs w:val="0"/>
                <w:color w:val="000000"/>
                <w:sz w:val="21"/>
                <w:szCs w:val="21"/>
                <w:lang w:val="en-US" w:eastAsia="zh-CN"/>
              </w:rPr>
            </w:pPr>
            <w:r>
              <w:rPr>
                <w:rFonts w:hint="eastAsia" w:ascii="Times New Roman" w:hAnsi="Times New Roman" w:eastAsia="宋体" w:cs="Times New Roman"/>
                <w:i w:val="0"/>
                <w:iCs w:val="0"/>
                <w:color w:val="000000"/>
                <w:sz w:val="21"/>
                <w:szCs w:val="21"/>
                <w:lang w:val="en-US" w:eastAsia="zh-CN"/>
              </w:rPr>
              <w:t>5000</w:t>
            </w:r>
          </w:p>
        </w:tc>
      </w:tr>
    </w:tbl>
    <w:p>
      <w:pPr>
        <w:spacing w:line="360" w:lineRule="auto"/>
        <w:ind w:firstLine="482" w:firstLineChars="200"/>
        <w:rPr>
          <w:b/>
          <w:i w:val="0"/>
          <w:iCs w:val="0"/>
          <w:u w:val="single"/>
        </w:rPr>
      </w:pPr>
      <w:r>
        <w:rPr>
          <w:rFonts w:hint="eastAsia"/>
          <w:b/>
          <w:i w:val="0"/>
          <w:iCs w:val="0"/>
          <w:u w:val="single"/>
        </w:rPr>
        <w:t>3.1.</w:t>
      </w:r>
      <w:r>
        <w:rPr>
          <w:rFonts w:hint="eastAsia"/>
          <w:b/>
          <w:i w:val="0"/>
          <w:iCs w:val="0"/>
          <w:u w:val="single"/>
          <w:lang w:val="en-US" w:eastAsia="zh-CN"/>
        </w:rPr>
        <w:t>6</w:t>
      </w:r>
      <w:r>
        <w:rPr>
          <w:b/>
          <w:i w:val="0"/>
          <w:iCs w:val="0"/>
          <w:u w:val="single"/>
        </w:rPr>
        <w:t>主要生产设备</w:t>
      </w:r>
    </w:p>
    <w:p>
      <w:pPr>
        <w:spacing w:line="360" w:lineRule="auto"/>
        <w:ind w:firstLine="480" w:firstLineChars="200"/>
        <w:rPr>
          <w:rFonts w:hint="eastAsia"/>
          <w:i w:val="0"/>
          <w:iCs w:val="0"/>
          <w:u w:val="single"/>
        </w:rPr>
      </w:pPr>
      <w:r>
        <w:rPr>
          <w:rFonts w:hint="eastAsia"/>
          <w:i w:val="0"/>
          <w:iCs w:val="0"/>
          <w:u w:val="single"/>
        </w:rPr>
        <w:t>根据本项目产品方案、生产规模、生产工艺流程，本项目生产主要设备见表3-</w:t>
      </w:r>
      <w:r>
        <w:rPr>
          <w:rFonts w:hint="eastAsia"/>
          <w:i w:val="0"/>
          <w:iCs w:val="0"/>
          <w:u w:val="single"/>
          <w:lang w:val="en-US" w:eastAsia="zh-CN"/>
        </w:rPr>
        <w:t>6</w:t>
      </w:r>
      <w:r>
        <w:rPr>
          <w:rFonts w:hint="eastAsia"/>
          <w:i w:val="0"/>
          <w:iCs w:val="0"/>
          <w:u w:val="single"/>
        </w:rPr>
        <w:t>。</w:t>
      </w:r>
    </w:p>
    <w:p>
      <w:pPr>
        <w:ind w:firstLine="723" w:firstLineChars="300"/>
        <w:jc w:val="center"/>
        <w:rPr>
          <w:rFonts w:hint="eastAsia"/>
          <w:b/>
          <w:i w:val="0"/>
          <w:iCs w:val="0"/>
          <w:u w:val="single"/>
        </w:rPr>
      </w:pPr>
      <w:r>
        <w:rPr>
          <w:rFonts w:hint="eastAsia"/>
          <w:b/>
          <w:i w:val="0"/>
          <w:iCs w:val="0"/>
          <w:u w:val="single"/>
        </w:rPr>
        <w:t>表3-</w:t>
      </w:r>
      <w:r>
        <w:rPr>
          <w:rFonts w:hint="eastAsia"/>
          <w:b/>
          <w:i w:val="0"/>
          <w:iCs w:val="0"/>
          <w:u w:val="single"/>
          <w:lang w:val="en-US" w:eastAsia="zh-CN"/>
        </w:rPr>
        <w:t>6</w:t>
      </w:r>
      <w:r>
        <w:rPr>
          <w:rFonts w:hint="eastAsia"/>
          <w:b/>
          <w:i w:val="0"/>
          <w:iCs w:val="0"/>
          <w:u w:val="single"/>
        </w:rPr>
        <w:t>本项目主要设备表</w:t>
      </w:r>
    </w:p>
    <w:tbl>
      <w:tblPr>
        <w:tblStyle w:val="5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0"/>
        <w:gridCol w:w="4455"/>
        <w:gridCol w:w="953"/>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142" w:type="pct"/>
            <w:tcBorders>
              <w:top w:val="single" w:color="auto" w:sz="12" w:space="0"/>
              <w:left w:val="nil"/>
              <w:bottom w:val="single" w:color="auto" w:sz="4" w:space="0"/>
              <w:right w:val="single" w:color="auto" w:sz="4" w:space="0"/>
            </w:tcBorders>
            <w:noWrap w:val="0"/>
            <w:vAlign w:val="center"/>
          </w:tcPr>
          <w:p>
            <w:pPr>
              <w:snapToGrid w:val="0"/>
              <w:jc w:val="center"/>
              <w:rPr>
                <w:rFonts w:hint="eastAsia"/>
                <w:i w:val="0"/>
                <w:iCs w:val="0"/>
                <w:color w:val="000000"/>
                <w:sz w:val="21"/>
                <w:szCs w:val="21"/>
                <w:u w:val="single"/>
              </w:rPr>
            </w:pPr>
            <w:r>
              <w:rPr>
                <w:rFonts w:hint="eastAsia"/>
                <w:i w:val="0"/>
                <w:iCs w:val="0"/>
                <w:color w:val="000000"/>
                <w:sz w:val="21"/>
                <w:szCs w:val="21"/>
                <w:u w:val="single"/>
              </w:rPr>
              <w:t>设备名称</w:t>
            </w:r>
          </w:p>
        </w:tc>
        <w:tc>
          <w:tcPr>
            <w:tcW w:w="2343" w:type="pct"/>
            <w:tcBorders>
              <w:top w:val="single" w:color="auto" w:sz="12" w:space="0"/>
              <w:left w:val="single" w:color="auto" w:sz="4" w:space="0"/>
              <w:bottom w:val="single" w:color="auto" w:sz="4" w:space="0"/>
              <w:right w:val="single" w:color="auto" w:sz="4" w:space="0"/>
            </w:tcBorders>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型号</w:t>
            </w:r>
          </w:p>
        </w:tc>
        <w:tc>
          <w:tcPr>
            <w:tcW w:w="501" w:type="pct"/>
            <w:tcBorders>
              <w:top w:val="single" w:color="auto" w:sz="12" w:space="0"/>
              <w:left w:val="single" w:color="auto" w:sz="4" w:space="0"/>
              <w:bottom w:val="single" w:color="auto" w:sz="4" w:space="0"/>
              <w:right w:val="single" w:color="auto" w:sz="4" w:space="0"/>
            </w:tcBorders>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数量</w:t>
            </w:r>
          </w:p>
        </w:tc>
        <w:tc>
          <w:tcPr>
            <w:tcW w:w="1013" w:type="pct"/>
            <w:tcBorders>
              <w:top w:val="single" w:color="auto" w:sz="12" w:space="0"/>
              <w:left w:val="single" w:color="auto" w:sz="4" w:space="0"/>
              <w:bottom w:val="single" w:color="auto" w:sz="4" w:space="0"/>
              <w:right w:val="nil"/>
            </w:tcBorders>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2" w:type="pct"/>
            <w:tcBorders>
              <w:top w:val="single" w:color="auto" w:sz="4" w:space="0"/>
              <w:left w:val="nil"/>
              <w:bottom w:val="single" w:color="auto" w:sz="4" w:space="0"/>
              <w:right w:val="single" w:color="auto" w:sz="4" w:space="0"/>
            </w:tcBorders>
            <w:noWrap w:val="0"/>
            <w:vAlign w:val="center"/>
          </w:tcPr>
          <w:p>
            <w:pPr>
              <w:snapToGrid w:val="0"/>
              <w:jc w:val="center"/>
              <w:rPr>
                <w:rFonts w:hint="eastAsia"/>
                <w:i w:val="0"/>
                <w:iCs w:val="0"/>
                <w:color w:val="000000"/>
                <w:sz w:val="21"/>
                <w:szCs w:val="21"/>
                <w:u w:val="single"/>
              </w:rPr>
            </w:pPr>
            <w:r>
              <w:rPr>
                <w:rFonts w:hint="eastAsia"/>
                <w:i w:val="0"/>
                <w:iCs w:val="0"/>
                <w:color w:val="000000"/>
                <w:sz w:val="21"/>
                <w:szCs w:val="21"/>
                <w:u w:val="single"/>
              </w:rPr>
              <w:t>一级种子罐</w:t>
            </w:r>
          </w:p>
        </w:tc>
        <w:tc>
          <w:tcPr>
            <w:tcW w:w="234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50L</w:t>
            </w:r>
          </w:p>
        </w:tc>
        <w:tc>
          <w:tcPr>
            <w:tcW w:w="50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2</w:t>
            </w:r>
          </w:p>
        </w:tc>
        <w:tc>
          <w:tcPr>
            <w:tcW w:w="1013" w:type="pct"/>
            <w:vMerge w:val="restart"/>
            <w:tcBorders>
              <w:top w:val="single" w:color="auto" w:sz="4" w:space="0"/>
              <w:left w:val="single" w:color="auto" w:sz="4" w:space="0"/>
              <w:right w:val="nil"/>
            </w:tcBorders>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发酵车间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1142" w:type="pct"/>
            <w:tcBorders>
              <w:top w:val="single" w:color="auto" w:sz="4" w:space="0"/>
              <w:left w:val="nil"/>
              <w:bottom w:val="single" w:color="auto" w:sz="4" w:space="0"/>
              <w:right w:val="single" w:color="auto" w:sz="4" w:space="0"/>
            </w:tcBorders>
            <w:noWrap w:val="0"/>
            <w:vAlign w:val="center"/>
          </w:tcPr>
          <w:p>
            <w:pPr>
              <w:snapToGrid w:val="0"/>
              <w:jc w:val="center"/>
              <w:rPr>
                <w:rFonts w:hint="eastAsia"/>
                <w:i w:val="0"/>
                <w:iCs w:val="0"/>
                <w:color w:val="000000"/>
                <w:sz w:val="21"/>
                <w:szCs w:val="21"/>
                <w:u w:val="single"/>
              </w:rPr>
            </w:pPr>
            <w:r>
              <w:rPr>
                <w:rFonts w:hint="eastAsia"/>
                <w:i w:val="0"/>
                <w:iCs w:val="0"/>
                <w:color w:val="000000"/>
                <w:sz w:val="21"/>
                <w:szCs w:val="21"/>
                <w:u w:val="single"/>
              </w:rPr>
              <w:t>二级种子罐</w:t>
            </w:r>
          </w:p>
        </w:tc>
        <w:tc>
          <w:tcPr>
            <w:tcW w:w="234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1.1m</w:t>
            </w:r>
            <w:r>
              <w:rPr>
                <w:rFonts w:hint="eastAsia"/>
                <w:i w:val="0"/>
                <w:iCs w:val="0"/>
                <w:color w:val="000000"/>
                <w:sz w:val="21"/>
                <w:szCs w:val="21"/>
                <w:u w:val="single"/>
                <w:vertAlign w:val="superscript"/>
              </w:rPr>
              <w:t>3</w:t>
            </w:r>
          </w:p>
        </w:tc>
        <w:tc>
          <w:tcPr>
            <w:tcW w:w="50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2</w:t>
            </w:r>
          </w:p>
        </w:tc>
        <w:tc>
          <w:tcPr>
            <w:tcW w:w="1013" w:type="pct"/>
            <w:vMerge w:val="continue"/>
            <w:tcBorders>
              <w:left w:val="single" w:color="auto" w:sz="4" w:space="0"/>
              <w:right w:val="nil"/>
            </w:tcBorders>
            <w:noWrap w:val="0"/>
            <w:vAlign w:val="center"/>
          </w:tcPr>
          <w:p>
            <w:pPr>
              <w:adjustRightInd w:val="0"/>
              <w:snapToGrid w:val="0"/>
              <w:jc w:val="center"/>
              <w:rPr>
                <w:rFonts w:hint="eastAsia"/>
                <w:i w:val="0"/>
                <w:iCs w:val="0"/>
                <w:color w:val="00000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142" w:type="pct"/>
            <w:tcBorders>
              <w:top w:val="single" w:color="auto" w:sz="4" w:space="0"/>
              <w:left w:val="nil"/>
              <w:bottom w:val="single" w:color="auto" w:sz="4" w:space="0"/>
              <w:right w:val="single" w:color="auto" w:sz="4" w:space="0"/>
            </w:tcBorders>
            <w:noWrap w:val="0"/>
            <w:vAlign w:val="center"/>
          </w:tcPr>
          <w:p>
            <w:pPr>
              <w:snapToGrid w:val="0"/>
              <w:jc w:val="center"/>
              <w:rPr>
                <w:rFonts w:hint="eastAsia"/>
                <w:i w:val="0"/>
                <w:iCs w:val="0"/>
                <w:color w:val="000000"/>
                <w:sz w:val="21"/>
                <w:szCs w:val="21"/>
                <w:u w:val="single"/>
              </w:rPr>
            </w:pPr>
            <w:r>
              <w:rPr>
                <w:rFonts w:hint="eastAsia"/>
                <w:i w:val="0"/>
                <w:iCs w:val="0"/>
                <w:color w:val="000000"/>
                <w:sz w:val="21"/>
                <w:szCs w:val="21"/>
                <w:u w:val="single"/>
              </w:rPr>
              <w:t>三级种子罐</w:t>
            </w:r>
          </w:p>
        </w:tc>
        <w:tc>
          <w:tcPr>
            <w:tcW w:w="234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18m</w:t>
            </w:r>
            <w:r>
              <w:rPr>
                <w:rFonts w:hint="eastAsia"/>
                <w:i w:val="0"/>
                <w:iCs w:val="0"/>
                <w:color w:val="000000"/>
                <w:sz w:val="21"/>
                <w:szCs w:val="21"/>
                <w:u w:val="single"/>
                <w:vertAlign w:val="superscript"/>
              </w:rPr>
              <w:t>3</w:t>
            </w:r>
          </w:p>
        </w:tc>
        <w:tc>
          <w:tcPr>
            <w:tcW w:w="50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2</w:t>
            </w:r>
          </w:p>
        </w:tc>
        <w:tc>
          <w:tcPr>
            <w:tcW w:w="1013" w:type="pct"/>
            <w:vMerge w:val="continue"/>
            <w:tcBorders>
              <w:left w:val="single" w:color="auto" w:sz="4" w:space="0"/>
              <w:right w:val="nil"/>
            </w:tcBorders>
            <w:noWrap w:val="0"/>
            <w:vAlign w:val="center"/>
          </w:tcPr>
          <w:p>
            <w:pPr>
              <w:adjustRightInd w:val="0"/>
              <w:snapToGrid w:val="0"/>
              <w:jc w:val="center"/>
              <w:rPr>
                <w:rFonts w:hint="eastAsia"/>
                <w:i w:val="0"/>
                <w:iCs w:val="0"/>
                <w:color w:val="00000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exact"/>
          <w:jc w:val="center"/>
        </w:trPr>
        <w:tc>
          <w:tcPr>
            <w:tcW w:w="1142" w:type="pct"/>
            <w:tcBorders>
              <w:top w:val="single" w:color="auto" w:sz="4" w:space="0"/>
              <w:left w:val="nil"/>
              <w:bottom w:val="single" w:color="auto" w:sz="4" w:space="0"/>
              <w:right w:val="single" w:color="auto" w:sz="4" w:space="0"/>
            </w:tcBorders>
            <w:noWrap w:val="0"/>
            <w:vAlign w:val="center"/>
          </w:tcPr>
          <w:p>
            <w:pPr>
              <w:snapToGrid w:val="0"/>
              <w:jc w:val="center"/>
              <w:rPr>
                <w:rFonts w:hint="eastAsia"/>
                <w:i w:val="0"/>
                <w:iCs w:val="0"/>
                <w:color w:val="000000"/>
                <w:sz w:val="21"/>
                <w:szCs w:val="21"/>
                <w:u w:val="single"/>
              </w:rPr>
            </w:pPr>
            <w:r>
              <w:rPr>
                <w:rFonts w:hint="eastAsia"/>
                <w:i w:val="0"/>
                <w:iCs w:val="0"/>
                <w:color w:val="000000"/>
                <w:sz w:val="21"/>
                <w:szCs w:val="21"/>
                <w:u w:val="single"/>
              </w:rPr>
              <w:t>发酵罐</w:t>
            </w:r>
          </w:p>
        </w:tc>
        <w:tc>
          <w:tcPr>
            <w:tcW w:w="234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156m</w:t>
            </w:r>
            <w:r>
              <w:rPr>
                <w:rFonts w:hint="eastAsia"/>
                <w:i w:val="0"/>
                <w:iCs w:val="0"/>
                <w:color w:val="000000"/>
                <w:sz w:val="21"/>
                <w:szCs w:val="21"/>
                <w:u w:val="single"/>
                <w:vertAlign w:val="superscript"/>
              </w:rPr>
              <w:t>3</w:t>
            </w:r>
          </w:p>
        </w:tc>
        <w:tc>
          <w:tcPr>
            <w:tcW w:w="50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4</w:t>
            </w:r>
          </w:p>
        </w:tc>
        <w:tc>
          <w:tcPr>
            <w:tcW w:w="1013" w:type="pct"/>
            <w:vMerge w:val="continue"/>
            <w:tcBorders>
              <w:left w:val="single" w:color="auto" w:sz="4" w:space="0"/>
              <w:right w:val="nil"/>
            </w:tcBorders>
            <w:noWrap w:val="0"/>
            <w:vAlign w:val="center"/>
          </w:tcPr>
          <w:p>
            <w:pPr>
              <w:adjustRightInd w:val="0"/>
              <w:snapToGrid w:val="0"/>
              <w:jc w:val="center"/>
              <w:rPr>
                <w:rFonts w:hint="eastAsia"/>
                <w:i w:val="0"/>
                <w:iCs w:val="0"/>
                <w:color w:val="00000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exact"/>
          <w:jc w:val="center"/>
        </w:trPr>
        <w:tc>
          <w:tcPr>
            <w:tcW w:w="1142" w:type="pct"/>
            <w:tcBorders>
              <w:top w:val="single" w:color="auto" w:sz="4" w:space="0"/>
              <w:left w:val="nil"/>
              <w:bottom w:val="single" w:color="auto" w:sz="4" w:space="0"/>
              <w:right w:val="single" w:color="auto" w:sz="4" w:space="0"/>
            </w:tcBorders>
            <w:noWrap w:val="0"/>
            <w:vAlign w:val="center"/>
          </w:tcPr>
          <w:p>
            <w:pPr>
              <w:snapToGrid w:val="0"/>
              <w:jc w:val="center"/>
              <w:rPr>
                <w:rFonts w:hint="eastAsia"/>
                <w:i w:val="0"/>
                <w:iCs w:val="0"/>
                <w:color w:val="000000"/>
                <w:sz w:val="21"/>
                <w:szCs w:val="21"/>
                <w:u w:val="single"/>
              </w:rPr>
            </w:pPr>
            <w:r>
              <w:rPr>
                <w:rFonts w:hint="eastAsia"/>
                <w:i w:val="0"/>
                <w:iCs w:val="0"/>
                <w:color w:val="000000"/>
                <w:sz w:val="21"/>
                <w:szCs w:val="21"/>
                <w:u w:val="single"/>
              </w:rPr>
              <w:t>液糖消后罐</w:t>
            </w:r>
          </w:p>
        </w:tc>
        <w:tc>
          <w:tcPr>
            <w:tcW w:w="234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43</w:t>
            </w:r>
            <w:r>
              <w:rPr>
                <w:rFonts w:hint="eastAsia"/>
                <w:i w:val="0"/>
                <w:iCs w:val="0"/>
                <w:color w:val="000000"/>
                <w:sz w:val="21"/>
                <w:szCs w:val="21"/>
                <w:u w:val="single"/>
              </w:rPr>
              <w:t>m</w:t>
            </w:r>
            <w:r>
              <w:rPr>
                <w:rFonts w:hint="eastAsia"/>
                <w:i w:val="0"/>
                <w:iCs w:val="0"/>
                <w:color w:val="000000"/>
                <w:sz w:val="21"/>
                <w:szCs w:val="21"/>
                <w:u w:val="single"/>
                <w:vertAlign w:val="superscript"/>
              </w:rPr>
              <w:t>3</w:t>
            </w:r>
          </w:p>
        </w:tc>
        <w:tc>
          <w:tcPr>
            <w:tcW w:w="50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eastAsia="宋体"/>
                <w:i w:val="0"/>
                <w:iCs w:val="0"/>
                <w:color w:val="000000"/>
                <w:sz w:val="21"/>
                <w:szCs w:val="21"/>
                <w:u w:val="single"/>
                <w:lang w:val="en-US" w:eastAsia="zh-CN"/>
              </w:rPr>
            </w:pPr>
            <w:r>
              <w:rPr>
                <w:rFonts w:hint="eastAsia"/>
                <w:i w:val="0"/>
                <w:iCs w:val="0"/>
                <w:color w:val="000000"/>
                <w:sz w:val="21"/>
                <w:szCs w:val="21"/>
                <w:u w:val="single"/>
                <w:lang w:val="en-US" w:eastAsia="zh-CN"/>
              </w:rPr>
              <w:t>2</w:t>
            </w:r>
          </w:p>
        </w:tc>
        <w:tc>
          <w:tcPr>
            <w:tcW w:w="1013" w:type="pct"/>
            <w:vMerge w:val="continue"/>
            <w:tcBorders>
              <w:left w:val="single" w:color="auto" w:sz="4" w:space="0"/>
              <w:right w:val="nil"/>
            </w:tcBorders>
            <w:noWrap w:val="0"/>
            <w:vAlign w:val="center"/>
          </w:tcPr>
          <w:p>
            <w:pPr>
              <w:adjustRightInd w:val="0"/>
              <w:snapToGrid w:val="0"/>
              <w:jc w:val="center"/>
              <w:rPr>
                <w:rFonts w:hint="eastAsia"/>
                <w:i w:val="0"/>
                <w:iCs w:val="0"/>
                <w:color w:val="00000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exact"/>
          <w:jc w:val="center"/>
        </w:trPr>
        <w:tc>
          <w:tcPr>
            <w:tcW w:w="1142" w:type="pct"/>
            <w:tcBorders>
              <w:top w:val="single" w:color="auto" w:sz="4" w:space="0"/>
              <w:left w:val="nil"/>
              <w:bottom w:val="single" w:color="auto" w:sz="4" w:space="0"/>
              <w:right w:val="single" w:color="auto" w:sz="4" w:space="0"/>
            </w:tcBorders>
            <w:noWrap w:val="0"/>
            <w:vAlign w:val="center"/>
          </w:tcPr>
          <w:p>
            <w:pPr>
              <w:snapToGrid w:val="0"/>
              <w:jc w:val="center"/>
              <w:rPr>
                <w:rFonts w:hint="eastAsia"/>
                <w:i w:val="0"/>
                <w:iCs w:val="0"/>
                <w:color w:val="000000"/>
                <w:sz w:val="21"/>
                <w:szCs w:val="21"/>
                <w:u w:val="single"/>
              </w:rPr>
            </w:pPr>
            <w:r>
              <w:rPr>
                <w:rFonts w:hint="eastAsia"/>
                <w:i w:val="0"/>
                <w:iCs w:val="0"/>
                <w:color w:val="000000"/>
                <w:sz w:val="21"/>
                <w:szCs w:val="21"/>
                <w:u w:val="single"/>
              </w:rPr>
              <w:t>氨水滤后罐</w:t>
            </w:r>
          </w:p>
        </w:tc>
        <w:tc>
          <w:tcPr>
            <w:tcW w:w="234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2.5</w:t>
            </w:r>
            <w:r>
              <w:rPr>
                <w:rFonts w:hint="eastAsia"/>
                <w:i w:val="0"/>
                <w:iCs w:val="0"/>
                <w:color w:val="000000"/>
                <w:sz w:val="21"/>
                <w:szCs w:val="21"/>
                <w:u w:val="single"/>
              </w:rPr>
              <w:t>m</w:t>
            </w:r>
            <w:r>
              <w:rPr>
                <w:rFonts w:hint="eastAsia"/>
                <w:i w:val="0"/>
                <w:iCs w:val="0"/>
                <w:color w:val="000000"/>
                <w:sz w:val="21"/>
                <w:szCs w:val="21"/>
                <w:u w:val="single"/>
                <w:vertAlign w:val="superscript"/>
              </w:rPr>
              <w:t>3</w:t>
            </w:r>
          </w:p>
        </w:tc>
        <w:tc>
          <w:tcPr>
            <w:tcW w:w="50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i w:val="0"/>
                <w:iCs w:val="0"/>
                <w:color w:val="000000"/>
                <w:sz w:val="21"/>
                <w:szCs w:val="21"/>
                <w:u w:val="single"/>
                <w:lang w:val="en-US" w:eastAsia="zh-CN"/>
              </w:rPr>
            </w:pPr>
            <w:r>
              <w:rPr>
                <w:rFonts w:hint="eastAsia"/>
                <w:i w:val="0"/>
                <w:iCs w:val="0"/>
                <w:color w:val="000000"/>
                <w:sz w:val="21"/>
                <w:szCs w:val="21"/>
                <w:u w:val="single"/>
                <w:lang w:val="en-US" w:eastAsia="zh-CN"/>
              </w:rPr>
              <w:t>2</w:t>
            </w:r>
          </w:p>
        </w:tc>
        <w:tc>
          <w:tcPr>
            <w:tcW w:w="1013" w:type="pct"/>
            <w:vMerge w:val="continue"/>
            <w:tcBorders>
              <w:left w:val="single" w:color="auto" w:sz="4" w:space="0"/>
              <w:right w:val="nil"/>
            </w:tcBorders>
            <w:noWrap w:val="0"/>
            <w:vAlign w:val="center"/>
          </w:tcPr>
          <w:p>
            <w:pPr>
              <w:adjustRightInd w:val="0"/>
              <w:snapToGrid w:val="0"/>
              <w:jc w:val="center"/>
              <w:rPr>
                <w:rFonts w:hint="eastAsia"/>
                <w:i w:val="0"/>
                <w:iCs w:val="0"/>
                <w:color w:val="00000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exact"/>
          <w:jc w:val="center"/>
        </w:trPr>
        <w:tc>
          <w:tcPr>
            <w:tcW w:w="114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single"/>
                <w:lang w:val="en-US" w:eastAsia="zh-CN" w:bidi="ar"/>
              </w:rPr>
            </w:pPr>
            <w:r>
              <w:rPr>
                <w:rFonts w:hint="eastAsia" w:ascii="宋体" w:hAnsi="宋体" w:eastAsia="宋体" w:cs="宋体"/>
                <w:i w:val="0"/>
                <w:iCs w:val="0"/>
                <w:color w:val="000000"/>
                <w:kern w:val="0"/>
                <w:sz w:val="20"/>
                <w:szCs w:val="20"/>
                <w:u w:val="single"/>
                <w:lang w:val="en-US" w:eastAsia="zh-CN" w:bidi="ar"/>
              </w:rPr>
              <w:t>配料罐</w:t>
            </w:r>
          </w:p>
        </w:tc>
        <w:tc>
          <w:tcPr>
            <w:tcW w:w="234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12</w:t>
            </w:r>
            <w:r>
              <w:rPr>
                <w:rFonts w:hint="eastAsia"/>
                <w:i w:val="0"/>
                <w:iCs w:val="0"/>
                <w:color w:val="000000"/>
                <w:sz w:val="21"/>
                <w:szCs w:val="21"/>
                <w:u w:val="single"/>
              </w:rPr>
              <w:t>m</w:t>
            </w:r>
            <w:r>
              <w:rPr>
                <w:rFonts w:hint="eastAsia"/>
                <w:i w:val="0"/>
                <w:iCs w:val="0"/>
                <w:color w:val="000000"/>
                <w:sz w:val="21"/>
                <w:szCs w:val="21"/>
                <w:u w:val="single"/>
                <w:vertAlign w:val="superscript"/>
              </w:rPr>
              <w:t>3</w:t>
            </w:r>
          </w:p>
        </w:tc>
        <w:tc>
          <w:tcPr>
            <w:tcW w:w="50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eastAsia="宋体"/>
                <w:i w:val="0"/>
                <w:iCs w:val="0"/>
                <w:color w:val="000000"/>
                <w:sz w:val="21"/>
                <w:szCs w:val="21"/>
                <w:u w:val="single"/>
                <w:lang w:val="en-US" w:eastAsia="zh-CN"/>
              </w:rPr>
            </w:pPr>
            <w:r>
              <w:rPr>
                <w:rFonts w:hint="eastAsia"/>
                <w:i w:val="0"/>
                <w:iCs w:val="0"/>
                <w:color w:val="000000"/>
                <w:sz w:val="21"/>
                <w:szCs w:val="21"/>
                <w:u w:val="single"/>
                <w:lang w:val="en-US" w:eastAsia="zh-CN"/>
              </w:rPr>
              <w:t>1</w:t>
            </w:r>
          </w:p>
        </w:tc>
        <w:tc>
          <w:tcPr>
            <w:tcW w:w="1013" w:type="pct"/>
            <w:vMerge w:val="continue"/>
            <w:tcBorders>
              <w:left w:val="single" w:color="auto" w:sz="4" w:space="0"/>
              <w:right w:val="nil"/>
            </w:tcBorders>
            <w:noWrap w:val="0"/>
            <w:vAlign w:val="center"/>
          </w:tcPr>
          <w:p>
            <w:pPr>
              <w:adjustRightInd w:val="0"/>
              <w:snapToGrid w:val="0"/>
              <w:jc w:val="center"/>
              <w:rPr>
                <w:rFonts w:hint="eastAsia"/>
                <w:i w:val="0"/>
                <w:iCs w:val="0"/>
                <w:color w:val="00000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exact"/>
          <w:jc w:val="center"/>
        </w:trPr>
        <w:tc>
          <w:tcPr>
            <w:tcW w:w="114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single"/>
                <w:lang w:val="en-US" w:eastAsia="zh-CN" w:bidi="ar"/>
              </w:rPr>
            </w:pPr>
            <w:r>
              <w:rPr>
                <w:rFonts w:hint="eastAsia" w:ascii="宋体" w:hAnsi="宋体" w:eastAsia="宋体" w:cs="宋体"/>
                <w:i w:val="0"/>
                <w:iCs w:val="0"/>
                <w:color w:val="000000"/>
                <w:kern w:val="0"/>
                <w:sz w:val="20"/>
                <w:szCs w:val="20"/>
                <w:u w:val="single"/>
                <w:lang w:val="en-US" w:eastAsia="zh-CN" w:bidi="ar"/>
              </w:rPr>
              <w:t>发酵配料罐</w:t>
            </w:r>
          </w:p>
        </w:tc>
        <w:tc>
          <w:tcPr>
            <w:tcW w:w="234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i w:val="0"/>
                <w:iCs w:val="0"/>
                <w:color w:val="000000"/>
                <w:sz w:val="21"/>
                <w:szCs w:val="21"/>
                <w:u w:val="single"/>
                <w:lang w:val="en-US" w:eastAsia="zh-CN"/>
              </w:rPr>
            </w:pPr>
            <w:r>
              <w:rPr>
                <w:rFonts w:hint="eastAsia"/>
                <w:i w:val="0"/>
                <w:iCs w:val="0"/>
                <w:color w:val="000000"/>
                <w:sz w:val="21"/>
                <w:szCs w:val="21"/>
                <w:u w:val="single"/>
                <w:lang w:val="en-US" w:eastAsia="zh-CN"/>
              </w:rPr>
              <w:t>44.5</w:t>
            </w:r>
            <w:r>
              <w:rPr>
                <w:rFonts w:hint="eastAsia"/>
                <w:i w:val="0"/>
                <w:iCs w:val="0"/>
                <w:color w:val="000000"/>
                <w:sz w:val="21"/>
                <w:szCs w:val="21"/>
                <w:u w:val="single"/>
              </w:rPr>
              <w:t>m</w:t>
            </w:r>
            <w:r>
              <w:rPr>
                <w:rFonts w:hint="eastAsia"/>
                <w:i w:val="0"/>
                <w:iCs w:val="0"/>
                <w:color w:val="000000"/>
                <w:sz w:val="21"/>
                <w:szCs w:val="21"/>
                <w:u w:val="single"/>
                <w:vertAlign w:val="superscript"/>
              </w:rPr>
              <w:t>3</w:t>
            </w:r>
          </w:p>
        </w:tc>
        <w:tc>
          <w:tcPr>
            <w:tcW w:w="50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i w:val="0"/>
                <w:iCs w:val="0"/>
                <w:color w:val="000000"/>
                <w:sz w:val="21"/>
                <w:szCs w:val="21"/>
                <w:u w:val="single"/>
                <w:lang w:val="en-US" w:eastAsia="zh-CN"/>
              </w:rPr>
            </w:pPr>
            <w:r>
              <w:rPr>
                <w:rFonts w:hint="eastAsia"/>
                <w:i w:val="0"/>
                <w:iCs w:val="0"/>
                <w:color w:val="000000"/>
                <w:sz w:val="21"/>
                <w:szCs w:val="21"/>
                <w:u w:val="single"/>
                <w:lang w:val="en-US" w:eastAsia="zh-CN"/>
              </w:rPr>
              <w:t>2</w:t>
            </w:r>
          </w:p>
        </w:tc>
        <w:tc>
          <w:tcPr>
            <w:tcW w:w="1013" w:type="pct"/>
            <w:vMerge w:val="continue"/>
            <w:tcBorders>
              <w:left w:val="single" w:color="auto" w:sz="4" w:space="0"/>
              <w:right w:val="nil"/>
            </w:tcBorders>
            <w:noWrap w:val="0"/>
            <w:vAlign w:val="center"/>
          </w:tcPr>
          <w:p>
            <w:pPr>
              <w:adjustRightInd w:val="0"/>
              <w:snapToGrid w:val="0"/>
              <w:jc w:val="center"/>
              <w:rPr>
                <w:rFonts w:hint="eastAsia"/>
                <w:i w:val="0"/>
                <w:iCs w:val="0"/>
                <w:color w:val="00000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exact"/>
          <w:jc w:val="center"/>
        </w:trPr>
        <w:tc>
          <w:tcPr>
            <w:tcW w:w="114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single"/>
                <w:lang w:val="en-US" w:eastAsia="zh-CN" w:bidi="ar"/>
              </w:rPr>
            </w:pPr>
            <w:r>
              <w:rPr>
                <w:rFonts w:hint="eastAsia" w:ascii="宋体" w:hAnsi="宋体" w:eastAsia="宋体" w:cs="宋体"/>
                <w:i w:val="0"/>
                <w:iCs w:val="0"/>
                <w:color w:val="000000"/>
                <w:kern w:val="0"/>
                <w:sz w:val="20"/>
                <w:szCs w:val="20"/>
                <w:u w:val="single"/>
                <w:lang w:val="en-US" w:eastAsia="zh-CN" w:bidi="ar"/>
              </w:rPr>
              <w:t>乙醇滤后罐</w:t>
            </w:r>
          </w:p>
        </w:tc>
        <w:tc>
          <w:tcPr>
            <w:tcW w:w="234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i w:val="0"/>
                <w:iCs w:val="0"/>
                <w:color w:val="000000"/>
                <w:sz w:val="21"/>
                <w:szCs w:val="21"/>
                <w:u w:val="single"/>
                <w:lang w:val="en-US" w:eastAsia="zh-CN"/>
              </w:rPr>
            </w:pPr>
            <w:r>
              <w:rPr>
                <w:rFonts w:hint="eastAsia"/>
                <w:i w:val="0"/>
                <w:iCs w:val="0"/>
                <w:color w:val="000000"/>
                <w:sz w:val="21"/>
                <w:szCs w:val="21"/>
                <w:u w:val="single"/>
                <w:lang w:val="en-US" w:eastAsia="zh-CN"/>
              </w:rPr>
              <w:t>1.1</w:t>
            </w:r>
            <w:r>
              <w:rPr>
                <w:rFonts w:hint="eastAsia"/>
                <w:i w:val="0"/>
                <w:iCs w:val="0"/>
                <w:color w:val="000000"/>
                <w:sz w:val="21"/>
                <w:szCs w:val="21"/>
                <w:u w:val="single"/>
              </w:rPr>
              <w:t>m</w:t>
            </w:r>
            <w:r>
              <w:rPr>
                <w:rFonts w:hint="eastAsia"/>
                <w:i w:val="0"/>
                <w:iCs w:val="0"/>
                <w:color w:val="000000"/>
                <w:sz w:val="21"/>
                <w:szCs w:val="21"/>
                <w:u w:val="single"/>
                <w:vertAlign w:val="superscript"/>
              </w:rPr>
              <w:t>3</w:t>
            </w:r>
          </w:p>
        </w:tc>
        <w:tc>
          <w:tcPr>
            <w:tcW w:w="50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i w:val="0"/>
                <w:iCs w:val="0"/>
                <w:color w:val="000000"/>
                <w:sz w:val="21"/>
                <w:szCs w:val="21"/>
                <w:u w:val="single"/>
                <w:lang w:val="en-US" w:eastAsia="zh-CN"/>
              </w:rPr>
            </w:pPr>
            <w:r>
              <w:rPr>
                <w:rFonts w:hint="eastAsia"/>
                <w:i w:val="0"/>
                <w:iCs w:val="0"/>
                <w:color w:val="000000"/>
                <w:sz w:val="21"/>
                <w:szCs w:val="21"/>
                <w:u w:val="single"/>
                <w:lang w:val="en-US" w:eastAsia="zh-CN"/>
              </w:rPr>
              <w:t>1</w:t>
            </w:r>
          </w:p>
        </w:tc>
        <w:tc>
          <w:tcPr>
            <w:tcW w:w="1013" w:type="pct"/>
            <w:vMerge w:val="continue"/>
            <w:tcBorders>
              <w:left w:val="single" w:color="auto" w:sz="4" w:space="0"/>
              <w:right w:val="nil"/>
            </w:tcBorders>
            <w:noWrap w:val="0"/>
            <w:vAlign w:val="center"/>
          </w:tcPr>
          <w:p>
            <w:pPr>
              <w:adjustRightInd w:val="0"/>
              <w:snapToGrid w:val="0"/>
              <w:jc w:val="center"/>
              <w:rPr>
                <w:rFonts w:hint="eastAsia"/>
                <w:i w:val="0"/>
                <w:iCs w:val="0"/>
                <w:color w:val="00000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exact"/>
          <w:jc w:val="center"/>
        </w:trPr>
        <w:tc>
          <w:tcPr>
            <w:tcW w:w="114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single"/>
                <w:lang w:val="en-US" w:eastAsia="zh-CN" w:bidi="ar"/>
              </w:rPr>
            </w:pPr>
            <w:r>
              <w:rPr>
                <w:rFonts w:hint="eastAsia" w:ascii="宋体" w:hAnsi="宋体" w:eastAsia="宋体" w:cs="宋体"/>
                <w:i w:val="0"/>
                <w:iCs w:val="0"/>
                <w:color w:val="000000"/>
                <w:kern w:val="0"/>
                <w:sz w:val="20"/>
                <w:szCs w:val="20"/>
                <w:u w:val="single"/>
                <w:lang w:val="en-US" w:eastAsia="zh-CN" w:bidi="ar"/>
              </w:rPr>
              <w:t>柠檬酸配料罐</w:t>
            </w:r>
          </w:p>
        </w:tc>
        <w:tc>
          <w:tcPr>
            <w:tcW w:w="234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i w:val="0"/>
                <w:iCs w:val="0"/>
                <w:color w:val="000000"/>
                <w:sz w:val="21"/>
                <w:szCs w:val="21"/>
                <w:u w:val="single"/>
                <w:lang w:val="en-US" w:eastAsia="zh-CN"/>
              </w:rPr>
            </w:pPr>
            <w:r>
              <w:rPr>
                <w:rFonts w:hint="eastAsia"/>
                <w:i w:val="0"/>
                <w:iCs w:val="0"/>
                <w:color w:val="000000"/>
                <w:sz w:val="21"/>
                <w:szCs w:val="21"/>
                <w:u w:val="single"/>
                <w:lang w:val="en-US" w:eastAsia="zh-CN"/>
              </w:rPr>
              <w:t>1.1</w:t>
            </w:r>
          </w:p>
        </w:tc>
        <w:tc>
          <w:tcPr>
            <w:tcW w:w="50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i w:val="0"/>
                <w:iCs w:val="0"/>
                <w:color w:val="000000"/>
                <w:sz w:val="21"/>
                <w:szCs w:val="21"/>
                <w:u w:val="single"/>
                <w:lang w:val="en-US" w:eastAsia="zh-CN"/>
              </w:rPr>
            </w:pPr>
            <w:r>
              <w:rPr>
                <w:rFonts w:hint="eastAsia"/>
                <w:i w:val="0"/>
                <w:iCs w:val="0"/>
                <w:color w:val="000000"/>
                <w:sz w:val="21"/>
                <w:szCs w:val="21"/>
                <w:u w:val="single"/>
                <w:lang w:val="en-US" w:eastAsia="zh-CN"/>
              </w:rPr>
              <w:t>1</w:t>
            </w:r>
          </w:p>
        </w:tc>
        <w:tc>
          <w:tcPr>
            <w:tcW w:w="1013" w:type="pct"/>
            <w:vMerge w:val="continue"/>
            <w:tcBorders>
              <w:left w:val="single" w:color="auto" w:sz="4" w:space="0"/>
              <w:right w:val="nil"/>
            </w:tcBorders>
            <w:noWrap w:val="0"/>
            <w:vAlign w:val="center"/>
          </w:tcPr>
          <w:p>
            <w:pPr>
              <w:adjustRightInd w:val="0"/>
              <w:snapToGrid w:val="0"/>
              <w:jc w:val="center"/>
              <w:rPr>
                <w:rFonts w:hint="eastAsia" w:eastAsia="宋体"/>
                <w:i w:val="0"/>
                <w:iCs w:val="0"/>
                <w:color w:val="000000"/>
                <w:sz w:val="21"/>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exact"/>
          <w:jc w:val="center"/>
        </w:trPr>
        <w:tc>
          <w:tcPr>
            <w:tcW w:w="114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single"/>
                <w:lang w:val="en-US" w:eastAsia="zh-CN" w:bidi="ar"/>
              </w:rPr>
            </w:pPr>
            <w:r>
              <w:rPr>
                <w:rFonts w:hint="eastAsia" w:ascii="宋体" w:hAnsi="宋体" w:eastAsia="宋体" w:cs="宋体"/>
                <w:i w:val="0"/>
                <w:iCs w:val="0"/>
                <w:color w:val="000000"/>
                <w:kern w:val="0"/>
                <w:sz w:val="20"/>
                <w:szCs w:val="20"/>
                <w:u w:val="single"/>
                <w:lang w:val="en-US" w:eastAsia="zh-CN" w:bidi="ar"/>
              </w:rPr>
              <w:t>柠檬酸消后罐</w:t>
            </w:r>
          </w:p>
        </w:tc>
        <w:tc>
          <w:tcPr>
            <w:tcW w:w="234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i w:val="0"/>
                <w:iCs w:val="0"/>
                <w:color w:val="000000"/>
                <w:sz w:val="21"/>
                <w:szCs w:val="21"/>
                <w:u w:val="single"/>
                <w:lang w:val="en-US" w:eastAsia="zh-CN"/>
              </w:rPr>
            </w:pPr>
            <w:r>
              <w:rPr>
                <w:rFonts w:hint="eastAsia"/>
                <w:i w:val="0"/>
                <w:iCs w:val="0"/>
                <w:color w:val="000000"/>
                <w:sz w:val="21"/>
                <w:szCs w:val="21"/>
                <w:u w:val="single"/>
                <w:lang w:val="en-US" w:eastAsia="zh-CN"/>
              </w:rPr>
              <w:t>2.5</w:t>
            </w:r>
          </w:p>
        </w:tc>
        <w:tc>
          <w:tcPr>
            <w:tcW w:w="50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i w:val="0"/>
                <w:iCs w:val="0"/>
                <w:color w:val="000000"/>
                <w:sz w:val="21"/>
                <w:szCs w:val="21"/>
                <w:u w:val="single"/>
                <w:lang w:val="en-US" w:eastAsia="zh-CN"/>
              </w:rPr>
            </w:pPr>
            <w:r>
              <w:rPr>
                <w:rFonts w:hint="eastAsia"/>
                <w:i w:val="0"/>
                <w:iCs w:val="0"/>
                <w:color w:val="000000"/>
                <w:sz w:val="21"/>
                <w:szCs w:val="21"/>
                <w:u w:val="single"/>
                <w:lang w:val="en-US" w:eastAsia="zh-CN"/>
              </w:rPr>
              <w:t>2</w:t>
            </w:r>
          </w:p>
        </w:tc>
        <w:tc>
          <w:tcPr>
            <w:tcW w:w="1013" w:type="pct"/>
            <w:vMerge w:val="continue"/>
            <w:tcBorders>
              <w:left w:val="single" w:color="auto" w:sz="4" w:space="0"/>
              <w:right w:val="nil"/>
            </w:tcBorders>
            <w:noWrap w:val="0"/>
            <w:vAlign w:val="center"/>
          </w:tcPr>
          <w:p>
            <w:pPr>
              <w:adjustRightInd w:val="0"/>
              <w:snapToGrid w:val="0"/>
              <w:jc w:val="center"/>
              <w:rPr>
                <w:rFonts w:hint="eastAsia"/>
                <w:i w:val="0"/>
                <w:iCs w:val="0"/>
                <w:color w:val="000000"/>
                <w:sz w:val="21"/>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exact"/>
          <w:jc w:val="center"/>
        </w:trPr>
        <w:tc>
          <w:tcPr>
            <w:tcW w:w="114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single"/>
                <w:lang w:val="en-US" w:eastAsia="zh-CN" w:bidi="ar"/>
              </w:rPr>
            </w:pPr>
            <w:r>
              <w:rPr>
                <w:rFonts w:hint="eastAsia" w:ascii="宋体" w:hAnsi="宋体" w:eastAsia="宋体" w:cs="宋体"/>
                <w:i w:val="0"/>
                <w:iCs w:val="0"/>
                <w:color w:val="000000"/>
                <w:kern w:val="0"/>
                <w:sz w:val="20"/>
                <w:szCs w:val="20"/>
                <w:u w:val="single"/>
                <w:lang w:val="en-US" w:eastAsia="zh-CN" w:bidi="ar"/>
              </w:rPr>
              <w:t>消泡剂消后罐</w:t>
            </w:r>
          </w:p>
        </w:tc>
        <w:tc>
          <w:tcPr>
            <w:tcW w:w="234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i w:val="0"/>
                <w:iCs w:val="0"/>
                <w:color w:val="000000"/>
                <w:sz w:val="21"/>
                <w:szCs w:val="21"/>
                <w:u w:val="single"/>
                <w:lang w:val="en-US" w:eastAsia="zh-CN"/>
              </w:rPr>
            </w:pPr>
            <w:r>
              <w:rPr>
                <w:rFonts w:hint="eastAsia"/>
                <w:i w:val="0"/>
                <w:iCs w:val="0"/>
                <w:color w:val="000000"/>
                <w:sz w:val="21"/>
                <w:szCs w:val="21"/>
                <w:u w:val="single"/>
                <w:lang w:val="en-US" w:eastAsia="zh-CN"/>
              </w:rPr>
              <w:t>1.1</w:t>
            </w:r>
          </w:p>
        </w:tc>
        <w:tc>
          <w:tcPr>
            <w:tcW w:w="50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i w:val="0"/>
                <w:iCs w:val="0"/>
                <w:color w:val="000000"/>
                <w:sz w:val="21"/>
                <w:szCs w:val="21"/>
                <w:u w:val="single"/>
                <w:lang w:val="en-US" w:eastAsia="zh-CN"/>
              </w:rPr>
            </w:pPr>
            <w:r>
              <w:rPr>
                <w:rFonts w:hint="eastAsia"/>
                <w:i w:val="0"/>
                <w:iCs w:val="0"/>
                <w:color w:val="000000"/>
                <w:sz w:val="21"/>
                <w:szCs w:val="21"/>
                <w:u w:val="single"/>
                <w:lang w:val="en-US" w:eastAsia="zh-CN"/>
              </w:rPr>
              <w:t>2</w:t>
            </w:r>
          </w:p>
        </w:tc>
        <w:tc>
          <w:tcPr>
            <w:tcW w:w="1013" w:type="pct"/>
            <w:vMerge w:val="continue"/>
            <w:tcBorders>
              <w:left w:val="single" w:color="auto" w:sz="4" w:space="0"/>
              <w:bottom w:val="single" w:color="auto" w:sz="4" w:space="0"/>
              <w:right w:val="nil"/>
            </w:tcBorders>
            <w:noWrap w:val="0"/>
            <w:vAlign w:val="center"/>
          </w:tcPr>
          <w:p>
            <w:pPr>
              <w:adjustRightInd w:val="0"/>
              <w:snapToGrid w:val="0"/>
              <w:jc w:val="center"/>
              <w:rPr>
                <w:rFonts w:hint="eastAsia"/>
                <w:i w:val="0"/>
                <w:iCs w:val="0"/>
                <w:color w:val="000000"/>
                <w:sz w:val="21"/>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142" w:type="pct"/>
            <w:tcBorders>
              <w:top w:val="single" w:color="auto" w:sz="4" w:space="0"/>
              <w:left w:val="nil"/>
              <w:bottom w:val="single" w:color="auto" w:sz="4" w:space="0"/>
              <w:right w:val="single" w:color="auto" w:sz="4" w:space="0"/>
            </w:tcBorders>
            <w:noWrap w:val="0"/>
            <w:vAlign w:val="center"/>
          </w:tcPr>
          <w:p>
            <w:pPr>
              <w:snapToGrid w:val="0"/>
              <w:jc w:val="center"/>
              <w:rPr>
                <w:rFonts w:hint="eastAsia"/>
                <w:i w:val="0"/>
                <w:iCs w:val="0"/>
                <w:color w:val="000000"/>
                <w:sz w:val="21"/>
                <w:szCs w:val="21"/>
                <w:u w:val="single"/>
              </w:rPr>
            </w:pPr>
            <w:r>
              <w:rPr>
                <w:rFonts w:hint="eastAsia"/>
                <w:i w:val="0"/>
                <w:iCs w:val="0"/>
                <w:color w:val="000000"/>
                <w:sz w:val="21"/>
                <w:szCs w:val="21"/>
                <w:u w:val="single"/>
              </w:rPr>
              <w:t>离心机</w:t>
            </w:r>
          </w:p>
        </w:tc>
        <w:tc>
          <w:tcPr>
            <w:tcW w:w="234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eastAsia="宋体"/>
                <w:i w:val="0"/>
                <w:iCs w:val="0"/>
                <w:color w:val="000000"/>
                <w:sz w:val="21"/>
                <w:szCs w:val="21"/>
                <w:u w:val="single"/>
                <w:lang w:val="en-US" w:eastAsia="zh-CN"/>
              </w:rPr>
            </w:pPr>
            <w:r>
              <w:rPr>
                <w:rFonts w:hint="eastAsia"/>
                <w:i w:val="0"/>
                <w:iCs w:val="0"/>
                <w:color w:val="000000"/>
                <w:sz w:val="21"/>
                <w:szCs w:val="21"/>
                <w:u w:val="single"/>
                <w:lang w:val="en-US" w:eastAsia="zh-CN"/>
              </w:rPr>
              <w:t>/</w:t>
            </w:r>
          </w:p>
        </w:tc>
        <w:tc>
          <w:tcPr>
            <w:tcW w:w="50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3</w:t>
            </w:r>
          </w:p>
        </w:tc>
        <w:tc>
          <w:tcPr>
            <w:tcW w:w="1013" w:type="pct"/>
            <w:vMerge w:val="restart"/>
            <w:tcBorders>
              <w:top w:val="single" w:color="auto" w:sz="4" w:space="0"/>
              <w:left w:val="single" w:color="auto" w:sz="4" w:space="0"/>
              <w:right w:val="nil"/>
            </w:tcBorders>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提取车间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142" w:type="pct"/>
            <w:tcBorders>
              <w:top w:val="single" w:color="auto" w:sz="4" w:space="0"/>
              <w:left w:val="nil"/>
              <w:bottom w:val="single" w:color="auto" w:sz="4" w:space="0"/>
              <w:right w:val="single" w:color="auto" w:sz="4" w:space="0"/>
            </w:tcBorders>
            <w:noWrap w:val="0"/>
            <w:vAlign w:val="center"/>
          </w:tcPr>
          <w:p>
            <w:pPr>
              <w:snapToGrid w:val="0"/>
              <w:jc w:val="center"/>
              <w:rPr>
                <w:rFonts w:hint="eastAsia"/>
                <w:i w:val="0"/>
                <w:iCs w:val="0"/>
                <w:color w:val="000000"/>
                <w:sz w:val="21"/>
                <w:szCs w:val="21"/>
                <w:u w:val="single"/>
              </w:rPr>
            </w:pPr>
            <w:r>
              <w:rPr>
                <w:rFonts w:hint="eastAsia"/>
                <w:i w:val="0"/>
                <w:iCs w:val="0"/>
                <w:color w:val="000000"/>
                <w:sz w:val="21"/>
                <w:szCs w:val="21"/>
                <w:u w:val="single"/>
              </w:rPr>
              <w:t>发酵液暂存罐</w:t>
            </w:r>
          </w:p>
        </w:tc>
        <w:tc>
          <w:tcPr>
            <w:tcW w:w="234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80</w:t>
            </w:r>
          </w:p>
        </w:tc>
        <w:tc>
          <w:tcPr>
            <w:tcW w:w="50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eastAsia="宋体"/>
                <w:i w:val="0"/>
                <w:iCs w:val="0"/>
                <w:color w:val="000000"/>
                <w:sz w:val="21"/>
                <w:szCs w:val="21"/>
                <w:u w:val="single"/>
                <w:lang w:val="en-US" w:eastAsia="zh-CN"/>
              </w:rPr>
            </w:pPr>
            <w:r>
              <w:rPr>
                <w:rFonts w:hint="eastAsia"/>
                <w:i w:val="0"/>
                <w:iCs w:val="0"/>
                <w:color w:val="000000"/>
                <w:sz w:val="21"/>
                <w:szCs w:val="21"/>
                <w:u w:val="single"/>
                <w:lang w:val="en-US" w:eastAsia="zh-CN"/>
              </w:rPr>
              <w:t>2</w:t>
            </w:r>
          </w:p>
        </w:tc>
        <w:tc>
          <w:tcPr>
            <w:tcW w:w="1013" w:type="pct"/>
            <w:vMerge w:val="continue"/>
            <w:tcBorders>
              <w:left w:val="single" w:color="auto" w:sz="4" w:space="0"/>
              <w:right w:val="nil"/>
            </w:tcBorders>
            <w:noWrap w:val="0"/>
            <w:vAlign w:val="center"/>
          </w:tcPr>
          <w:p>
            <w:pPr>
              <w:adjustRightInd w:val="0"/>
              <w:snapToGrid w:val="0"/>
              <w:jc w:val="center"/>
              <w:rPr>
                <w:rFonts w:hint="eastAsia"/>
                <w:i w:val="0"/>
                <w:iCs w:val="0"/>
                <w:color w:val="00000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142" w:type="pct"/>
            <w:tcBorders>
              <w:top w:val="single" w:color="auto" w:sz="4" w:space="0"/>
              <w:left w:val="nil"/>
              <w:bottom w:val="single" w:color="auto" w:sz="4" w:space="0"/>
              <w:right w:val="single" w:color="auto" w:sz="4" w:space="0"/>
            </w:tcBorders>
            <w:noWrap w:val="0"/>
            <w:vAlign w:val="center"/>
          </w:tcPr>
          <w:p>
            <w:pPr>
              <w:snapToGrid w:val="0"/>
              <w:jc w:val="center"/>
              <w:rPr>
                <w:rFonts w:hint="eastAsia"/>
                <w:i w:val="0"/>
                <w:iCs w:val="0"/>
                <w:color w:val="000000"/>
                <w:sz w:val="21"/>
                <w:szCs w:val="21"/>
                <w:u w:val="single"/>
              </w:rPr>
            </w:pPr>
            <w:r>
              <w:rPr>
                <w:rFonts w:hint="eastAsia"/>
                <w:i w:val="0"/>
                <w:iCs w:val="0"/>
                <w:color w:val="000000"/>
                <w:sz w:val="21"/>
                <w:szCs w:val="21"/>
                <w:u w:val="single"/>
              </w:rPr>
              <w:t>喷雾干燥塔</w:t>
            </w:r>
          </w:p>
        </w:tc>
        <w:tc>
          <w:tcPr>
            <w:tcW w:w="234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i w:val="0"/>
                <w:iCs w:val="0"/>
                <w:color w:val="000000"/>
                <w:sz w:val="21"/>
                <w:szCs w:val="21"/>
                <w:u w:val="single"/>
                <w:lang w:val="en-US" w:eastAsia="zh-CN"/>
              </w:rPr>
            </w:pPr>
            <w:r>
              <w:rPr>
                <w:rFonts w:hint="eastAsia"/>
                <w:i w:val="0"/>
                <w:iCs w:val="0"/>
                <w:color w:val="000000"/>
                <w:sz w:val="21"/>
                <w:szCs w:val="21"/>
                <w:u w:val="single"/>
                <w:lang w:val="en-US" w:eastAsia="zh-CN"/>
              </w:rPr>
              <w:t>/</w:t>
            </w:r>
          </w:p>
        </w:tc>
        <w:tc>
          <w:tcPr>
            <w:tcW w:w="50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i w:val="0"/>
                <w:iCs w:val="0"/>
                <w:color w:val="000000"/>
                <w:sz w:val="21"/>
                <w:szCs w:val="21"/>
                <w:u w:val="single"/>
                <w:lang w:val="en-US" w:eastAsia="zh-CN"/>
              </w:rPr>
            </w:pPr>
            <w:r>
              <w:rPr>
                <w:rFonts w:hint="eastAsia"/>
                <w:i w:val="0"/>
                <w:iCs w:val="0"/>
                <w:color w:val="000000"/>
                <w:sz w:val="21"/>
                <w:szCs w:val="21"/>
                <w:u w:val="single"/>
                <w:lang w:val="en-US" w:eastAsia="zh-CN"/>
              </w:rPr>
              <w:t>2</w:t>
            </w:r>
          </w:p>
        </w:tc>
        <w:tc>
          <w:tcPr>
            <w:tcW w:w="1013" w:type="pct"/>
            <w:vMerge w:val="continue"/>
            <w:tcBorders>
              <w:left w:val="single" w:color="auto" w:sz="4" w:space="0"/>
              <w:right w:val="nil"/>
            </w:tcBorders>
            <w:noWrap w:val="0"/>
            <w:vAlign w:val="center"/>
          </w:tcPr>
          <w:p>
            <w:pPr>
              <w:adjustRightInd w:val="0"/>
              <w:snapToGrid w:val="0"/>
              <w:jc w:val="center"/>
              <w:rPr>
                <w:rFonts w:hint="eastAsia"/>
                <w:i w:val="0"/>
                <w:iCs w:val="0"/>
                <w:color w:val="00000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142" w:type="pct"/>
            <w:tcBorders>
              <w:top w:val="single" w:color="auto" w:sz="4" w:space="0"/>
              <w:left w:val="nil"/>
              <w:bottom w:val="single" w:color="auto" w:sz="4" w:space="0"/>
              <w:right w:val="single" w:color="auto" w:sz="4" w:space="0"/>
            </w:tcBorders>
            <w:noWrap w:val="0"/>
            <w:vAlign w:val="center"/>
          </w:tcPr>
          <w:p>
            <w:pPr>
              <w:snapToGrid w:val="0"/>
              <w:jc w:val="center"/>
              <w:rPr>
                <w:rFonts w:hint="eastAsia"/>
                <w:i w:val="0"/>
                <w:iCs w:val="0"/>
                <w:color w:val="000000"/>
                <w:sz w:val="21"/>
                <w:szCs w:val="21"/>
                <w:u w:val="single"/>
              </w:rPr>
            </w:pPr>
            <w:r>
              <w:rPr>
                <w:rFonts w:hint="eastAsia"/>
                <w:i w:val="0"/>
                <w:iCs w:val="0"/>
                <w:color w:val="000000"/>
                <w:sz w:val="21"/>
                <w:szCs w:val="21"/>
                <w:u w:val="single"/>
              </w:rPr>
              <w:t>上清液暂存罐</w:t>
            </w:r>
          </w:p>
        </w:tc>
        <w:tc>
          <w:tcPr>
            <w:tcW w:w="234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i w:val="0"/>
                <w:iCs w:val="0"/>
                <w:color w:val="000000"/>
                <w:sz w:val="21"/>
                <w:szCs w:val="21"/>
                <w:u w:val="single"/>
                <w:lang w:val="en-US" w:eastAsia="zh-CN"/>
              </w:rPr>
            </w:pPr>
            <w:r>
              <w:rPr>
                <w:rFonts w:hint="eastAsia"/>
                <w:i w:val="0"/>
                <w:iCs w:val="0"/>
                <w:color w:val="000000"/>
                <w:sz w:val="21"/>
                <w:szCs w:val="21"/>
                <w:u w:val="single"/>
                <w:lang w:val="en-US" w:eastAsia="zh-CN"/>
              </w:rPr>
              <w:t>40</w:t>
            </w:r>
          </w:p>
        </w:tc>
        <w:tc>
          <w:tcPr>
            <w:tcW w:w="50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i w:val="0"/>
                <w:iCs w:val="0"/>
                <w:color w:val="000000"/>
                <w:sz w:val="21"/>
                <w:szCs w:val="21"/>
                <w:u w:val="single"/>
                <w:lang w:val="en-US" w:eastAsia="zh-CN"/>
              </w:rPr>
            </w:pPr>
            <w:r>
              <w:rPr>
                <w:rFonts w:hint="eastAsia"/>
                <w:i w:val="0"/>
                <w:iCs w:val="0"/>
                <w:color w:val="000000"/>
                <w:sz w:val="21"/>
                <w:szCs w:val="21"/>
                <w:u w:val="single"/>
                <w:lang w:val="en-US" w:eastAsia="zh-CN"/>
              </w:rPr>
              <w:t>2</w:t>
            </w:r>
          </w:p>
        </w:tc>
        <w:tc>
          <w:tcPr>
            <w:tcW w:w="1013" w:type="pct"/>
            <w:vMerge w:val="continue"/>
            <w:tcBorders>
              <w:left w:val="single" w:color="auto" w:sz="4" w:space="0"/>
              <w:right w:val="nil"/>
            </w:tcBorders>
            <w:noWrap w:val="0"/>
            <w:vAlign w:val="center"/>
          </w:tcPr>
          <w:p>
            <w:pPr>
              <w:adjustRightInd w:val="0"/>
              <w:snapToGrid w:val="0"/>
              <w:jc w:val="center"/>
              <w:rPr>
                <w:rFonts w:hint="eastAsia"/>
                <w:i w:val="0"/>
                <w:iCs w:val="0"/>
                <w:color w:val="00000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2" w:type="pct"/>
            <w:tcBorders>
              <w:top w:val="single" w:color="auto" w:sz="4" w:space="0"/>
              <w:left w:val="nil"/>
              <w:bottom w:val="single" w:color="auto" w:sz="4" w:space="0"/>
              <w:right w:val="single" w:color="auto" w:sz="4" w:space="0"/>
            </w:tcBorders>
            <w:noWrap w:val="0"/>
            <w:vAlign w:val="center"/>
          </w:tcPr>
          <w:p>
            <w:pPr>
              <w:snapToGrid w:val="0"/>
              <w:jc w:val="center"/>
              <w:rPr>
                <w:rFonts w:hint="eastAsia" w:eastAsia="宋体"/>
                <w:i w:val="0"/>
                <w:iCs w:val="0"/>
                <w:color w:val="000000"/>
                <w:sz w:val="21"/>
                <w:szCs w:val="21"/>
                <w:u w:val="single"/>
                <w:lang w:eastAsia="zh-CN"/>
              </w:rPr>
            </w:pPr>
            <w:r>
              <w:rPr>
                <w:rFonts w:hint="eastAsia"/>
                <w:i w:val="0"/>
                <w:iCs w:val="0"/>
                <w:color w:val="000000"/>
                <w:sz w:val="21"/>
                <w:szCs w:val="21"/>
                <w:u w:val="single"/>
                <w:lang w:eastAsia="zh-CN"/>
              </w:rPr>
              <w:t>热风炉</w:t>
            </w:r>
          </w:p>
        </w:tc>
        <w:tc>
          <w:tcPr>
            <w:tcW w:w="234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i w:val="0"/>
                <w:iCs w:val="0"/>
                <w:color w:val="000000"/>
                <w:sz w:val="21"/>
                <w:szCs w:val="21"/>
                <w:u w:val="single"/>
                <w:lang w:val="en-US" w:eastAsia="zh-CN"/>
              </w:rPr>
            </w:pPr>
            <w:r>
              <w:rPr>
                <w:rFonts w:hint="eastAsia"/>
                <w:i w:val="0"/>
                <w:iCs w:val="0"/>
                <w:color w:val="000000"/>
                <w:sz w:val="21"/>
                <w:szCs w:val="21"/>
                <w:u w:val="single"/>
                <w:lang w:val="en-US" w:eastAsia="zh-CN"/>
              </w:rPr>
              <w:t>/</w:t>
            </w:r>
          </w:p>
        </w:tc>
        <w:tc>
          <w:tcPr>
            <w:tcW w:w="50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i w:val="0"/>
                <w:iCs w:val="0"/>
                <w:color w:val="000000"/>
                <w:sz w:val="21"/>
                <w:szCs w:val="21"/>
                <w:u w:val="single"/>
                <w:lang w:val="en-US" w:eastAsia="zh-CN"/>
              </w:rPr>
            </w:pPr>
            <w:r>
              <w:rPr>
                <w:rFonts w:hint="eastAsia"/>
                <w:i w:val="0"/>
                <w:iCs w:val="0"/>
                <w:color w:val="000000"/>
                <w:sz w:val="21"/>
                <w:szCs w:val="21"/>
                <w:u w:val="single"/>
                <w:lang w:val="en-US" w:eastAsia="zh-CN"/>
              </w:rPr>
              <w:t>2</w:t>
            </w:r>
          </w:p>
        </w:tc>
        <w:tc>
          <w:tcPr>
            <w:tcW w:w="1013" w:type="pct"/>
            <w:vMerge w:val="continue"/>
            <w:tcBorders>
              <w:left w:val="single" w:color="auto" w:sz="4" w:space="0"/>
              <w:bottom w:val="single" w:color="auto" w:sz="4" w:space="0"/>
              <w:right w:val="nil"/>
            </w:tcBorders>
            <w:noWrap w:val="0"/>
            <w:vAlign w:val="center"/>
          </w:tcPr>
          <w:p>
            <w:pPr>
              <w:adjustRightInd w:val="0"/>
              <w:snapToGrid w:val="0"/>
              <w:jc w:val="center"/>
              <w:rPr>
                <w:rFonts w:hint="eastAsia"/>
                <w:i w:val="0"/>
                <w:iCs w:val="0"/>
                <w:color w:val="00000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1142" w:type="pct"/>
            <w:tcBorders>
              <w:top w:val="single" w:color="auto" w:sz="4" w:space="0"/>
              <w:left w:val="nil"/>
              <w:bottom w:val="single" w:color="auto" w:sz="12" w:space="0"/>
              <w:right w:val="single" w:color="auto" w:sz="4" w:space="0"/>
            </w:tcBorders>
            <w:noWrap w:val="0"/>
            <w:vAlign w:val="center"/>
          </w:tcPr>
          <w:p>
            <w:pPr>
              <w:snapToGrid w:val="0"/>
              <w:jc w:val="center"/>
              <w:rPr>
                <w:rFonts w:hint="eastAsia"/>
                <w:i w:val="0"/>
                <w:iCs w:val="0"/>
                <w:color w:val="000000"/>
                <w:sz w:val="21"/>
                <w:szCs w:val="21"/>
                <w:u w:val="single"/>
              </w:rPr>
            </w:pPr>
            <w:r>
              <w:rPr>
                <w:rFonts w:hint="eastAsia"/>
                <w:i w:val="0"/>
                <w:iCs w:val="0"/>
                <w:color w:val="000000"/>
                <w:sz w:val="21"/>
                <w:szCs w:val="21"/>
                <w:u w:val="single"/>
              </w:rPr>
              <w:t>空压机</w:t>
            </w:r>
          </w:p>
        </w:tc>
        <w:tc>
          <w:tcPr>
            <w:tcW w:w="2343" w:type="pct"/>
            <w:tcBorders>
              <w:top w:val="single" w:color="auto" w:sz="4" w:space="0"/>
              <w:left w:val="single" w:color="auto" w:sz="4" w:space="0"/>
              <w:bottom w:val="single" w:color="auto" w:sz="12" w:space="0"/>
              <w:right w:val="single" w:color="auto" w:sz="4" w:space="0"/>
            </w:tcBorders>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lang w:val="en-US" w:eastAsia="zh-CN"/>
              </w:rPr>
              <w:t>/</w:t>
            </w:r>
          </w:p>
        </w:tc>
        <w:tc>
          <w:tcPr>
            <w:tcW w:w="501" w:type="pct"/>
            <w:tcBorders>
              <w:top w:val="single" w:color="auto" w:sz="4" w:space="0"/>
              <w:left w:val="single" w:color="auto" w:sz="4" w:space="0"/>
              <w:bottom w:val="single" w:color="auto" w:sz="12" w:space="0"/>
              <w:right w:val="single" w:color="auto" w:sz="4" w:space="0"/>
            </w:tcBorders>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6</w:t>
            </w:r>
          </w:p>
        </w:tc>
        <w:tc>
          <w:tcPr>
            <w:tcW w:w="1013" w:type="pct"/>
            <w:tcBorders>
              <w:top w:val="single" w:color="auto" w:sz="4" w:space="0"/>
              <w:left w:val="single" w:color="auto" w:sz="4" w:space="0"/>
              <w:bottom w:val="single" w:color="auto" w:sz="12" w:space="0"/>
              <w:right w:val="nil"/>
            </w:tcBorders>
            <w:noWrap w:val="0"/>
            <w:vAlign w:val="center"/>
          </w:tcPr>
          <w:p>
            <w:pPr>
              <w:adjustRightInd w:val="0"/>
              <w:snapToGrid w:val="0"/>
              <w:jc w:val="center"/>
              <w:rPr>
                <w:rFonts w:hint="eastAsia" w:eastAsia="宋体"/>
                <w:i w:val="0"/>
                <w:iCs w:val="0"/>
                <w:color w:val="000000"/>
                <w:sz w:val="21"/>
                <w:szCs w:val="21"/>
                <w:u w:val="single"/>
                <w:lang w:eastAsia="zh-CN"/>
              </w:rPr>
            </w:pPr>
            <w:r>
              <w:rPr>
                <w:rFonts w:hint="eastAsia"/>
                <w:i w:val="0"/>
                <w:iCs w:val="0"/>
                <w:color w:val="000000"/>
                <w:sz w:val="21"/>
                <w:szCs w:val="21"/>
                <w:u w:val="single"/>
              </w:rPr>
              <w:t>动力</w:t>
            </w:r>
            <w:r>
              <w:rPr>
                <w:rFonts w:hint="eastAsia"/>
                <w:i w:val="0"/>
                <w:iCs w:val="0"/>
                <w:color w:val="000000"/>
                <w:sz w:val="21"/>
                <w:szCs w:val="21"/>
                <w:u w:val="single"/>
                <w:lang w:eastAsia="zh-CN"/>
              </w:rPr>
              <w:t>车间</w:t>
            </w:r>
          </w:p>
        </w:tc>
      </w:tr>
    </w:tbl>
    <w:p>
      <w:pPr>
        <w:spacing w:line="360" w:lineRule="auto"/>
        <w:ind w:firstLine="482" w:firstLineChars="200"/>
        <w:rPr>
          <w:b/>
          <w:i w:val="0"/>
          <w:iCs w:val="0"/>
          <w:u w:val="single"/>
        </w:rPr>
      </w:pPr>
      <w:r>
        <w:rPr>
          <w:rFonts w:hint="eastAsia"/>
          <w:b/>
          <w:i w:val="0"/>
          <w:iCs w:val="0"/>
          <w:u w:val="single"/>
        </w:rPr>
        <w:t>3.1.</w:t>
      </w:r>
      <w:r>
        <w:rPr>
          <w:rFonts w:hint="eastAsia"/>
          <w:b/>
          <w:i w:val="0"/>
          <w:iCs w:val="0"/>
          <w:u w:val="single"/>
          <w:lang w:val="en-US" w:eastAsia="zh-CN"/>
        </w:rPr>
        <w:t>7</w:t>
      </w:r>
      <w:r>
        <w:rPr>
          <w:rFonts w:hint="eastAsia"/>
          <w:b/>
          <w:i w:val="0"/>
          <w:iCs w:val="0"/>
          <w:u w:val="single"/>
        </w:rPr>
        <w:t>原辅材料、动力消耗</w:t>
      </w:r>
    </w:p>
    <w:p>
      <w:pPr>
        <w:spacing w:line="360" w:lineRule="auto"/>
        <w:ind w:firstLine="480" w:firstLineChars="200"/>
        <w:rPr>
          <w:i w:val="0"/>
          <w:iCs w:val="0"/>
          <w:u w:val="single"/>
        </w:rPr>
      </w:pPr>
      <w:r>
        <w:rPr>
          <w:rFonts w:hint="eastAsia"/>
          <w:i w:val="0"/>
          <w:iCs w:val="0"/>
          <w:u w:val="single"/>
        </w:rPr>
        <w:t>本项目</w:t>
      </w:r>
      <w:r>
        <w:rPr>
          <w:i w:val="0"/>
          <w:iCs w:val="0"/>
          <w:u w:val="single"/>
        </w:rPr>
        <w:t>原料消耗具体见表</w:t>
      </w:r>
      <w:r>
        <w:rPr>
          <w:rFonts w:hint="eastAsia"/>
          <w:i w:val="0"/>
          <w:iCs w:val="0"/>
          <w:u w:val="single"/>
        </w:rPr>
        <w:t>3</w:t>
      </w:r>
      <w:r>
        <w:rPr>
          <w:i w:val="0"/>
          <w:iCs w:val="0"/>
          <w:u w:val="single"/>
        </w:rPr>
        <w:t>-</w:t>
      </w:r>
      <w:r>
        <w:rPr>
          <w:rFonts w:hint="eastAsia"/>
          <w:i w:val="0"/>
          <w:iCs w:val="0"/>
          <w:u w:val="single"/>
          <w:lang w:val="en-US" w:eastAsia="zh-CN"/>
        </w:rPr>
        <w:t>7</w:t>
      </w:r>
      <w:r>
        <w:rPr>
          <w:i w:val="0"/>
          <w:iCs w:val="0"/>
          <w:u w:val="single"/>
        </w:rPr>
        <w:t>。</w:t>
      </w:r>
    </w:p>
    <w:p>
      <w:pPr>
        <w:ind w:firstLine="482" w:firstLineChars="200"/>
        <w:jc w:val="center"/>
        <w:rPr>
          <w:b/>
          <w:i w:val="0"/>
          <w:iCs w:val="0"/>
          <w:u w:val="single"/>
        </w:rPr>
      </w:pPr>
      <w:r>
        <w:rPr>
          <w:b/>
          <w:i w:val="0"/>
          <w:iCs w:val="0"/>
          <w:u w:val="single"/>
        </w:rPr>
        <w:t>表</w:t>
      </w:r>
      <w:r>
        <w:rPr>
          <w:rFonts w:hint="eastAsia"/>
          <w:b/>
          <w:i w:val="0"/>
          <w:iCs w:val="0"/>
          <w:u w:val="single"/>
        </w:rPr>
        <w:t>3-</w:t>
      </w:r>
      <w:r>
        <w:rPr>
          <w:rFonts w:hint="eastAsia"/>
          <w:b/>
          <w:i w:val="0"/>
          <w:iCs w:val="0"/>
          <w:u w:val="single"/>
          <w:lang w:val="en-US" w:eastAsia="zh-CN"/>
        </w:rPr>
        <w:t>7</w:t>
      </w:r>
      <w:r>
        <w:rPr>
          <w:b/>
          <w:i w:val="0"/>
          <w:iCs w:val="0"/>
          <w:u w:val="single"/>
        </w:rPr>
        <w:t>原辅材料及动力消耗一览表</w:t>
      </w:r>
    </w:p>
    <w:tbl>
      <w:tblPr>
        <w:tblStyle w:val="5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1838"/>
        <w:gridCol w:w="1636"/>
        <w:gridCol w:w="1775"/>
        <w:gridCol w:w="1779"/>
        <w:gridCol w:w="1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6" w:hRule="atLeast"/>
          <w:jc w:val="center"/>
        </w:trPr>
        <w:tc>
          <w:tcPr>
            <w:tcW w:w="365" w:type="pct"/>
            <w:tcBorders>
              <w:top w:val="single" w:color="auto" w:sz="12" w:space="0"/>
              <w:left w:val="nil"/>
            </w:tcBorders>
            <w:noWrap w:val="0"/>
            <w:vAlign w:val="center"/>
          </w:tcPr>
          <w:p>
            <w:pPr>
              <w:adjustRightInd w:val="0"/>
              <w:snapToGrid w:val="0"/>
              <w:jc w:val="center"/>
              <w:rPr>
                <w:rFonts w:hint="eastAsia"/>
                <w:i w:val="0"/>
                <w:iCs w:val="0"/>
                <w:color w:val="000000"/>
                <w:sz w:val="21"/>
                <w:szCs w:val="21"/>
                <w:u w:val="single"/>
              </w:rPr>
            </w:pPr>
            <w:bookmarkStart w:id="82" w:name="OLE_LINK6"/>
            <w:bookmarkStart w:id="83" w:name="_Toc309821144"/>
            <w:r>
              <w:rPr>
                <w:rFonts w:hint="eastAsia"/>
                <w:i w:val="0"/>
                <w:iCs w:val="0"/>
                <w:color w:val="000000"/>
                <w:sz w:val="21"/>
                <w:szCs w:val="21"/>
                <w:u w:val="single"/>
              </w:rPr>
              <w:t>工段</w:t>
            </w:r>
          </w:p>
        </w:tc>
        <w:tc>
          <w:tcPr>
            <w:tcW w:w="966" w:type="pct"/>
            <w:tcBorders>
              <w:top w:val="single" w:color="auto" w:sz="12" w:space="0"/>
            </w:tcBorders>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原材料名称</w:t>
            </w:r>
          </w:p>
        </w:tc>
        <w:tc>
          <w:tcPr>
            <w:tcW w:w="860" w:type="pct"/>
            <w:tcBorders>
              <w:top w:val="single" w:color="auto" w:sz="12" w:space="0"/>
            </w:tcBorders>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年耗量</w:t>
            </w:r>
          </w:p>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（t）</w:t>
            </w:r>
          </w:p>
        </w:tc>
        <w:tc>
          <w:tcPr>
            <w:tcW w:w="933" w:type="pct"/>
            <w:tcBorders>
              <w:top w:val="single" w:color="auto" w:sz="12" w:space="0"/>
              <w:right w:val="nil"/>
            </w:tcBorders>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吨产品消耗量（t)</w:t>
            </w:r>
          </w:p>
        </w:tc>
        <w:tc>
          <w:tcPr>
            <w:tcW w:w="935" w:type="pct"/>
            <w:tcBorders>
              <w:top w:val="single" w:color="auto" w:sz="12" w:space="0"/>
              <w:right w:val="nil"/>
            </w:tcBorders>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储存方式</w:t>
            </w:r>
          </w:p>
        </w:tc>
        <w:tc>
          <w:tcPr>
            <w:tcW w:w="936" w:type="pct"/>
            <w:tcBorders>
              <w:top w:val="single" w:color="auto" w:sz="12" w:space="0"/>
              <w:right w:val="nil"/>
            </w:tcBorders>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储存位置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65" w:type="pct"/>
            <w:vMerge w:val="restart"/>
            <w:tcBorders>
              <w:left w:val="nil"/>
            </w:tcBorders>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发酵</w:t>
            </w:r>
          </w:p>
        </w:tc>
        <w:tc>
          <w:tcPr>
            <w:tcW w:w="966" w:type="pct"/>
            <w:noWrap w:val="0"/>
            <w:vAlign w:val="center"/>
          </w:tcPr>
          <w:p>
            <w:pPr>
              <w:jc w:val="center"/>
              <w:rPr>
                <w:rFonts w:hint="eastAsia"/>
                <w:i w:val="0"/>
                <w:iCs w:val="0"/>
                <w:sz w:val="21"/>
                <w:szCs w:val="21"/>
                <w:u w:val="single"/>
              </w:rPr>
            </w:pPr>
            <w:r>
              <w:rPr>
                <w:rFonts w:hint="eastAsia"/>
                <w:i w:val="0"/>
                <w:iCs w:val="0"/>
                <w:sz w:val="21"/>
                <w:szCs w:val="21"/>
                <w:u w:val="single"/>
              </w:rPr>
              <w:t>葡萄糖</w:t>
            </w:r>
          </w:p>
        </w:tc>
        <w:tc>
          <w:tcPr>
            <w:tcW w:w="860" w:type="pct"/>
            <w:noWrap w:val="0"/>
            <w:vAlign w:val="center"/>
          </w:tcPr>
          <w:p>
            <w:pPr>
              <w:jc w:val="center"/>
              <w:rPr>
                <w:rFonts w:hint="default" w:eastAsia="宋体"/>
                <w:i w:val="0"/>
                <w:iCs w:val="0"/>
                <w:sz w:val="21"/>
                <w:szCs w:val="21"/>
                <w:u w:val="single"/>
                <w:lang w:val="en-US" w:eastAsia="zh-CN"/>
              </w:rPr>
            </w:pPr>
            <w:r>
              <w:rPr>
                <w:rFonts w:hint="eastAsia"/>
                <w:i w:val="0"/>
                <w:iCs w:val="0"/>
                <w:sz w:val="21"/>
                <w:szCs w:val="21"/>
                <w:u w:val="single"/>
                <w:lang w:val="en-US" w:eastAsia="zh-CN"/>
              </w:rPr>
              <w:t>2641.15625</w:t>
            </w:r>
          </w:p>
        </w:tc>
        <w:tc>
          <w:tcPr>
            <w:tcW w:w="933" w:type="pct"/>
            <w:tcBorders>
              <w:right w:val="nil"/>
            </w:tcBorders>
            <w:noWrap w:val="0"/>
            <w:vAlign w:val="center"/>
          </w:tcPr>
          <w:p>
            <w:pPr>
              <w:jc w:val="center"/>
              <w:rPr>
                <w:rFonts w:hint="eastAsia"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1.3206</w:t>
            </w:r>
          </w:p>
        </w:tc>
        <w:tc>
          <w:tcPr>
            <w:tcW w:w="935"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袋装</w:t>
            </w:r>
          </w:p>
        </w:tc>
        <w:tc>
          <w:tcPr>
            <w:tcW w:w="936"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综合库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65" w:type="pct"/>
            <w:vMerge w:val="continue"/>
            <w:tcBorders>
              <w:left w:val="nil"/>
            </w:tcBorders>
            <w:noWrap w:val="0"/>
            <w:vAlign w:val="center"/>
          </w:tcPr>
          <w:p>
            <w:pPr>
              <w:adjustRightInd w:val="0"/>
              <w:snapToGrid w:val="0"/>
              <w:jc w:val="center"/>
              <w:rPr>
                <w:rFonts w:hint="eastAsia"/>
                <w:i w:val="0"/>
                <w:iCs w:val="0"/>
                <w:color w:val="000000"/>
                <w:sz w:val="21"/>
                <w:szCs w:val="21"/>
                <w:u w:val="single"/>
              </w:rPr>
            </w:pPr>
          </w:p>
        </w:tc>
        <w:tc>
          <w:tcPr>
            <w:tcW w:w="966" w:type="pct"/>
            <w:noWrap w:val="0"/>
            <w:vAlign w:val="center"/>
          </w:tcPr>
          <w:p>
            <w:pPr>
              <w:jc w:val="center"/>
              <w:rPr>
                <w:rFonts w:hint="eastAsia"/>
                <w:i w:val="0"/>
                <w:iCs w:val="0"/>
                <w:sz w:val="21"/>
                <w:szCs w:val="21"/>
                <w:u w:val="single"/>
              </w:rPr>
            </w:pPr>
            <w:r>
              <w:rPr>
                <w:rFonts w:hint="eastAsia"/>
                <w:i w:val="0"/>
                <w:iCs w:val="0"/>
                <w:sz w:val="21"/>
                <w:szCs w:val="21"/>
                <w:u w:val="single"/>
              </w:rPr>
              <w:t>酵母浸粉</w:t>
            </w:r>
          </w:p>
        </w:tc>
        <w:tc>
          <w:tcPr>
            <w:tcW w:w="860" w:type="pct"/>
            <w:noWrap w:val="0"/>
            <w:vAlign w:val="top"/>
          </w:tcPr>
          <w:p>
            <w:pPr>
              <w:jc w:val="center"/>
              <w:rPr>
                <w:rFonts w:hint="default" w:eastAsia="宋体"/>
                <w:i w:val="0"/>
                <w:iCs w:val="0"/>
                <w:sz w:val="21"/>
                <w:szCs w:val="21"/>
                <w:u w:val="single"/>
                <w:lang w:val="en-US" w:eastAsia="zh-CN"/>
              </w:rPr>
            </w:pPr>
            <w:r>
              <w:rPr>
                <w:rFonts w:hint="eastAsia"/>
                <w:i w:val="0"/>
                <w:iCs w:val="0"/>
                <w:sz w:val="21"/>
                <w:szCs w:val="21"/>
                <w:u w:val="single"/>
              </w:rPr>
              <w:t>79.</w:t>
            </w:r>
            <w:r>
              <w:rPr>
                <w:rFonts w:hint="eastAsia"/>
                <w:i w:val="0"/>
                <w:iCs w:val="0"/>
                <w:sz w:val="21"/>
                <w:szCs w:val="21"/>
                <w:u w:val="single"/>
                <w:lang w:val="en-US" w:eastAsia="zh-CN"/>
              </w:rPr>
              <w:t>55</w:t>
            </w:r>
          </w:p>
        </w:tc>
        <w:tc>
          <w:tcPr>
            <w:tcW w:w="933" w:type="pct"/>
            <w:tcBorders>
              <w:right w:val="nil"/>
            </w:tcBorders>
            <w:noWrap w:val="0"/>
            <w:vAlign w:val="center"/>
          </w:tcPr>
          <w:p>
            <w:pPr>
              <w:jc w:val="center"/>
              <w:rPr>
                <w:rFonts w:hint="eastAsia"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0.0398</w:t>
            </w:r>
          </w:p>
        </w:tc>
        <w:tc>
          <w:tcPr>
            <w:tcW w:w="935"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袋装</w:t>
            </w:r>
          </w:p>
        </w:tc>
        <w:tc>
          <w:tcPr>
            <w:tcW w:w="936"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综合库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65" w:type="pct"/>
            <w:vMerge w:val="continue"/>
            <w:tcBorders>
              <w:left w:val="nil"/>
            </w:tcBorders>
            <w:noWrap w:val="0"/>
            <w:vAlign w:val="center"/>
          </w:tcPr>
          <w:p>
            <w:pPr>
              <w:adjustRightInd w:val="0"/>
              <w:snapToGrid w:val="0"/>
              <w:jc w:val="center"/>
              <w:rPr>
                <w:rFonts w:hint="eastAsia"/>
                <w:i w:val="0"/>
                <w:iCs w:val="0"/>
                <w:color w:val="000000"/>
                <w:sz w:val="21"/>
                <w:szCs w:val="21"/>
                <w:u w:val="single"/>
              </w:rPr>
            </w:pPr>
          </w:p>
        </w:tc>
        <w:tc>
          <w:tcPr>
            <w:tcW w:w="966" w:type="pct"/>
            <w:noWrap w:val="0"/>
            <w:vAlign w:val="center"/>
          </w:tcPr>
          <w:p>
            <w:pPr>
              <w:jc w:val="center"/>
              <w:rPr>
                <w:rFonts w:hint="eastAsia"/>
                <w:i w:val="0"/>
                <w:iCs w:val="0"/>
                <w:sz w:val="21"/>
                <w:szCs w:val="21"/>
                <w:u w:val="single"/>
              </w:rPr>
            </w:pPr>
            <w:r>
              <w:rPr>
                <w:rFonts w:hint="eastAsia"/>
                <w:i w:val="0"/>
                <w:iCs w:val="0"/>
                <w:sz w:val="21"/>
                <w:szCs w:val="21"/>
                <w:u w:val="single"/>
              </w:rPr>
              <w:t>蛋白胨</w:t>
            </w:r>
          </w:p>
        </w:tc>
        <w:tc>
          <w:tcPr>
            <w:tcW w:w="860" w:type="pct"/>
            <w:noWrap w:val="0"/>
            <w:vAlign w:val="top"/>
          </w:tcPr>
          <w:p>
            <w:pPr>
              <w:jc w:val="center"/>
              <w:rPr>
                <w:rFonts w:hint="default" w:eastAsia="宋体"/>
                <w:i w:val="0"/>
                <w:iCs w:val="0"/>
                <w:sz w:val="21"/>
                <w:szCs w:val="21"/>
                <w:u w:val="single"/>
                <w:lang w:val="en-US" w:eastAsia="zh-CN"/>
              </w:rPr>
            </w:pPr>
            <w:r>
              <w:rPr>
                <w:rFonts w:hint="eastAsia"/>
                <w:i w:val="0"/>
                <w:iCs w:val="0"/>
                <w:sz w:val="21"/>
                <w:szCs w:val="21"/>
                <w:u w:val="single"/>
              </w:rPr>
              <w:t>79.</w:t>
            </w:r>
            <w:r>
              <w:rPr>
                <w:rFonts w:hint="eastAsia"/>
                <w:i w:val="0"/>
                <w:iCs w:val="0"/>
                <w:sz w:val="21"/>
                <w:szCs w:val="21"/>
                <w:u w:val="single"/>
                <w:lang w:val="en-US" w:eastAsia="zh-CN"/>
              </w:rPr>
              <w:t>55</w:t>
            </w:r>
          </w:p>
        </w:tc>
        <w:tc>
          <w:tcPr>
            <w:tcW w:w="933" w:type="pct"/>
            <w:tcBorders>
              <w:right w:val="nil"/>
            </w:tcBorders>
            <w:noWrap w:val="0"/>
            <w:vAlign w:val="center"/>
          </w:tcPr>
          <w:p>
            <w:pPr>
              <w:jc w:val="center"/>
              <w:rPr>
                <w:rFonts w:hint="eastAsia"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0.0398</w:t>
            </w:r>
          </w:p>
        </w:tc>
        <w:tc>
          <w:tcPr>
            <w:tcW w:w="935"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袋装</w:t>
            </w:r>
          </w:p>
        </w:tc>
        <w:tc>
          <w:tcPr>
            <w:tcW w:w="936"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综合库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65" w:type="pct"/>
            <w:vMerge w:val="continue"/>
            <w:tcBorders>
              <w:left w:val="nil"/>
            </w:tcBorders>
            <w:noWrap w:val="0"/>
            <w:vAlign w:val="center"/>
          </w:tcPr>
          <w:p>
            <w:pPr>
              <w:adjustRightInd w:val="0"/>
              <w:snapToGrid w:val="0"/>
              <w:jc w:val="center"/>
              <w:rPr>
                <w:rFonts w:hint="eastAsia"/>
                <w:i w:val="0"/>
                <w:iCs w:val="0"/>
                <w:color w:val="000000"/>
                <w:sz w:val="21"/>
                <w:szCs w:val="21"/>
                <w:u w:val="single"/>
              </w:rPr>
            </w:pPr>
          </w:p>
        </w:tc>
        <w:tc>
          <w:tcPr>
            <w:tcW w:w="966" w:type="pct"/>
            <w:noWrap w:val="0"/>
            <w:vAlign w:val="center"/>
          </w:tcPr>
          <w:p>
            <w:pPr>
              <w:jc w:val="center"/>
              <w:rPr>
                <w:rFonts w:hint="eastAsia"/>
                <w:i w:val="0"/>
                <w:iCs w:val="0"/>
                <w:sz w:val="21"/>
                <w:szCs w:val="21"/>
                <w:u w:val="single"/>
              </w:rPr>
            </w:pPr>
            <w:r>
              <w:rPr>
                <w:rFonts w:hint="eastAsia"/>
                <w:i w:val="0"/>
                <w:iCs w:val="0"/>
                <w:sz w:val="21"/>
                <w:szCs w:val="21"/>
                <w:u w:val="single"/>
              </w:rPr>
              <w:t>柠檬酸</w:t>
            </w:r>
          </w:p>
        </w:tc>
        <w:tc>
          <w:tcPr>
            <w:tcW w:w="860" w:type="pct"/>
            <w:noWrap w:val="0"/>
            <w:vAlign w:val="top"/>
          </w:tcPr>
          <w:p>
            <w:pPr>
              <w:jc w:val="center"/>
              <w:rPr>
                <w:rFonts w:hint="default" w:eastAsia="宋体"/>
                <w:i w:val="0"/>
                <w:iCs w:val="0"/>
                <w:sz w:val="21"/>
                <w:szCs w:val="21"/>
                <w:u w:val="single"/>
                <w:lang w:val="en-US" w:eastAsia="zh-CN"/>
              </w:rPr>
            </w:pPr>
            <w:r>
              <w:rPr>
                <w:rFonts w:hint="eastAsia"/>
                <w:i w:val="0"/>
                <w:iCs w:val="0"/>
                <w:sz w:val="21"/>
                <w:szCs w:val="21"/>
                <w:u w:val="single"/>
                <w:lang w:val="en-US" w:eastAsia="zh-CN"/>
              </w:rPr>
              <w:t>32.5</w:t>
            </w:r>
          </w:p>
        </w:tc>
        <w:tc>
          <w:tcPr>
            <w:tcW w:w="933" w:type="pct"/>
            <w:tcBorders>
              <w:right w:val="nil"/>
            </w:tcBorders>
            <w:noWrap w:val="0"/>
            <w:vAlign w:val="center"/>
          </w:tcPr>
          <w:p>
            <w:pPr>
              <w:jc w:val="center"/>
              <w:rPr>
                <w:rFonts w:hint="eastAsia"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0.0163</w:t>
            </w:r>
          </w:p>
        </w:tc>
        <w:tc>
          <w:tcPr>
            <w:tcW w:w="935"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袋装</w:t>
            </w:r>
          </w:p>
        </w:tc>
        <w:tc>
          <w:tcPr>
            <w:tcW w:w="936"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综合库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65" w:type="pct"/>
            <w:vMerge w:val="continue"/>
            <w:tcBorders>
              <w:left w:val="nil"/>
            </w:tcBorders>
            <w:noWrap w:val="0"/>
            <w:vAlign w:val="center"/>
          </w:tcPr>
          <w:p>
            <w:pPr>
              <w:adjustRightInd w:val="0"/>
              <w:snapToGrid w:val="0"/>
              <w:jc w:val="center"/>
              <w:rPr>
                <w:rFonts w:hint="eastAsia"/>
                <w:i w:val="0"/>
                <w:iCs w:val="0"/>
                <w:color w:val="000000"/>
                <w:sz w:val="21"/>
                <w:szCs w:val="21"/>
                <w:u w:val="single"/>
              </w:rPr>
            </w:pPr>
          </w:p>
        </w:tc>
        <w:tc>
          <w:tcPr>
            <w:tcW w:w="966" w:type="pct"/>
            <w:noWrap w:val="0"/>
            <w:vAlign w:val="center"/>
          </w:tcPr>
          <w:p>
            <w:pPr>
              <w:jc w:val="center"/>
              <w:rPr>
                <w:i w:val="0"/>
                <w:iCs w:val="0"/>
                <w:sz w:val="21"/>
                <w:szCs w:val="21"/>
                <w:u w:val="single"/>
              </w:rPr>
            </w:pPr>
            <w:r>
              <w:rPr>
                <w:rFonts w:hint="eastAsia"/>
                <w:i w:val="0"/>
                <w:iCs w:val="0"/>
                <w:sz w:val="21"/>
                <w:szCs w:val="21"/>
                <w:u w:val="single"/>
              </w:rPr>
              <w:t>乙醇</w:t>
            </w:r>
          </w:p>
        </w:tc>
        <w:tc>
          <w:tcPr>
            <w:tcW w:w="860" w:type="pct"/>
            <w:noWrap w:val="0"/>
            <w:vAlign w:val="top"/>
          </w:tcPr>
          <w:p>
            <w:pPr>
              <w:jc w:val="center"/>
              <w:rPr>
                <w:rFonts w:hint="eastAsia" w:eastAsia="宋体"/>
                <w:i w:val="0"/>
                <w:iCs w:val="0"/>
                <w:sz w:val="21"/>
                <w:szCs w:val="21"/>
                <w:u w:val="single"/>
                <w:lang w:eastAsia="zh-CN"/>
              </w:rPr>
            </w:pPr>
            <w:r>
              <w:rPr>
                <w:rFonts w:hint="eastAsia"/>
                <w:i w:val="0"/>
                <w:iCs w:val="0"/>
                <w:sz w:val="21"/>
                <w:szCs w:val="21"/>
                <w:u w:val="single"/>
              </w:rPr>
              <w:t>23.7</w:t>
            </w:r>
            <w:r>
              <w:rPr>
                <w:rFonts w:hint="eastAsia"/>
                <w:i w:val="0"/>
                <w:iCs w:val="0"/>
                <w:sz w:val="21"/>
                <w:szCs w:val="21"/>
                <w:u w:val="single"/>
                <w:lang w:val="en-US" w:eastAsia="zh-CN"/>
              </w:rPr>
              <w:t>5</w:t>
            </w:r>
          </w:p>
        </w:tc>
        <w:tc>
          <w:tcPr>
            <w:tcW w:w="933" w:type="pct"/>
            <w:tcBorders>
              <w:right w:val="nil"/>
            </w:tcBorders>
            <w:noWrap w:val="0"/>
            <w:vAlign w:val="center"/>
          </w:tcPr>
          <w:p>
            <w:pPr>
              <w:jc w:val="center"/>
              <w:rPr>
                <w:rFonts w:hint="eastAsia"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0.0119</w:t>
            </w:r>
          </w:p>
        </w:tc>
        <w:tc>
          <w:tcPr>
            <w:tcW w:w="935"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储罐</w:t>
            </w:r>
          </w:p>
        </w:tc>
        <w:tc>
          <w:tcPr>
            <w:tcW w:w="936"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65" w:type="pct"/>
            <w:vMerge w:val="continue"/>
            <w:tcBorders>
              <w:left w:val="nil"/>
            </w:tcBorders>
            <w:noWrap w:val="0"/>
            <w:vAlign w:val="center"/>
          </w:tcPr>
          <w:p>
            <w:pPr>
              <w:adjustRightInd w:val="0"/>
              <w:snapToGrid w:val="0"/>
              <w:jc w:val="center"/>
              <w:rPr>
                <w:rFonts w:hint="eastAsia"/>
                <w:i w:val="0"/>
                <w:iCs w:val="0"/>
                <w:color w:val="000000"/>
                <w:sz w:val="21"/>
                <w:szCs w:val="21"/>
                <w:u w:val="single"/>
              </w:rPr>
            </w:pPr>
          </w:p>
        </w:tc>
        <w:tc>
          <w:tcPr>
            <w:tcW w:w="966" w:type="pct"/>
            <w:noWrap w:val="0"/>
            <w:vAlign w:val="center"/>
          </w:tcPr>
          <w:p>
            <w:pPr>
              <w:jc w:val="center"/>
              <w:rPr>
                <w:rFonts w:hint="eastAsia"/>
                <w:i w:val="0"/>
                <w:iCs w:val="0"/>
                <w:sz w:val="21"/>
                <w:szCs w:val="21"/>
                <w:u w:val="single"/>
              </w:rPr>
            </w:pPr>
            <w:r>
              <w:rPr>
                <w:rFonts w:hint="eastAsia"/>
                <w:i w:val="0"/>
                <w:iCs w:val="0"/>
                <w:sz w:val="21"/>
                <w:szCs w:val="21"/>
                <w:u w:val="single"/>
              </w:rPr>
              <w:t>氨水</w:t>
            </w:r>
          </w:p>
        </w:tc>
        <w:tc>
          <w:tcPr>
            <w:tcW w:w="860" w:type="pct"/>
            <w:noWrap w:val="0"/>
            <w:vAlign w:val="top"/>
          </w:tcPr>
          <w:p>
            <w:pPr>
              <w:jc w:val="center"/>
              <w:rPr>
                <w:rFonts w:hint="default" w:eastAsia="宋体"/>
                <w:i w:val="0"/>
                <w:iCs w:val="0"/>
                <w:sz w:val="21"/>
                <w:szCs w:val="21"/>
                <w:u w:val="single"/>
                <w:lang w:val="en-US" w:eastAsia="zh-CN"/>
              </w:rPr>
            </w:pPr>
            <w:r>
              <w:rPr>
                <w:rFonts w:hint="eastAsia"/>
                <w:i w:val="0"/>
                <w:iCs w:val="0"/>
                <w:sz w:val="21"/>
                <w:szCs w:val="21"/>
                <w:u w:val="single"/>
                <w:lang w:val="en-US" w:eastAsia="zh-CN"/>
              </w:rPr>
              <w:t>75</w:t>
            </w:r>
          </w:p>
        </w:tc>
        <w:tc>
          <w:tcPr>
            <w:tcW w:w="933" w:type="pct"/>
            <w:tcBorders>
              <w:right w:val="nil"/>
            </w:tcBorders>
            <w:noWrap w:val="0"/>
            <w:vAlign w:val="center"/>
          </w:tcPr>
          <w:p>
            <w:pPr>
              <w:jc w:val="center"/>
              <w:rPr>
                <w:rFonts w:hint="eastAsia"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0.0375</w:t>
            </w:r>
          </w:p>
        </w:tc>
        <w:tc>
          <w:tcPr>
            <w:tcW w:w="935"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储罐</w:t>
            </w:r>
          </w:p>
        </w:tc>
        <w:tc>
          <w:tcPr>
            <w:tcW w:w="936"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65" w:type="pct"/>
            <w:vMerge w:val="continue"/>
            <w:tcBorders>
              <w:left w:val="nil"/>
            </w:tcBorders>
            <w:noWrap w:val="0"/>
            <w:vAlign w:val="center"/>
          </w:tcPr>
          <w:p>
            <w:pPr>
              <w:adjustRightInd w:val="0"/>
              <w:snapToGrid w:val="0"/>
              <w:jc w:val="center"/>
              <w:rPr>
                <w:rFonts w:hint="eastAsia"/>
                <w:i w:val="0"/>
                <w:iCs w:val="0"/>
                <w:color w:val="000000"/>
                <w:sz w:val="21"/>
                <w:szCs w:val="21"/>
                <w:u w:val="single"/>
              </w:rPr>
            </w:pPr>
          </w:p>
        </w:tc>
        <w:tc>
          <w:tcPr>
            <w:tcW w:w="966" w:type="pct"/>
            <w:noWrap w:val="0"/>
            <w:vAlign w:val="center"/>
          </w:tcPr>
          <w:p>
            <w:pPr>
              <w:jc w:val="center"/>
              <w:rPr>
                <w:rFonts w:hint="eastAsia"/>
                <w:i w:val="0"/>
                <w:iCs w:val="0"/>
                <w:sz w:val="21"/>
                <w:szCs w:val="21"/>
                <w:u w:val="single"/>
              </w:rPr>
            </w:pPr>
            <w:r>
              <w:rPr>
                <w:rFonts w:hint="eastAsia"/>
                <w:i w:val="0"/>
                <w:iCs w:val="0"/>
                <w:sz w:val="21"/>
                <w:szCs w:val="21"/>
                <w:u w:val="single"/>
              </w:rPr>
              <w:t>消泡剂</w:t>
            </w:r>
          </w:p>
        </w:tc>
        <w:tc>
          <w:tcPr>
            <w:tcW w:w="860" w:type="pct"/>
            <w:noWrap w:val="0"/>
            <w:vAlign w:val="top"/>
          </w:tcPr>
          <w:p>
            <w:pPr>
              <w:jc w:val="center"/>
              <w:rPr>
                <w:rFonts w:hint="default" w:eastAsia="宋体"/>
                <w:i w:val="0"/>
                <w:iCs w:val="0"/>
                <w:sz w:val="21"/>
                <w:szCs w:val="21"/>
                <w:u w:val="single"/>
                <w:lang w:val="en-US" w:eastAsia="zh-CN"/>
              </w:rPr>
            </w:pPr>
            <w:r>
              <w:rPr>
                <w:rFonts w:hint="eastAsia"/>
                <w:i w:val="0"/>
                <w:iCs w:val="0"/>
                <w:sz w:val="21"/>
                <w:szCs w:val="21"/>
                <w:u w:val="single"/>
                <w:lang w:val="en-US" w:eastAsia="zh-CN"/>
              </w:rPr>
              <w:t>25.47375</w:t>
            </w:r>
          </w:p>
        </w:tc>
        <w:tc>
          <w:tcPr>
            <w:tcW w:w="933" w:type="pct"/>
            <w:tcBorders>
              <w:right w:val="nil"/>
            </w:tcBorders>
            <w:noWrap w:val="0"/>
            <w:vAlign w:val="center"/>
          </w:tcPr>
          <w:p>
            <w:pPr>
              <w:jc w:val="center"/>
              <w:rPr>
                <w:rFonts w:hint="eastAsia"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0.0127</w:t>
            </w:r>
          </w:p>
        </w:tc>
        <w:tc>
          <w:tcPr>
            <w:tcW w:w="935"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袋装</w:t>
            </w:r>
          </w:p>
        </w:tc>
        <w:tc>
          <w:tcPr>
            <w:tcW w:w="936"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危品库液体间内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65" w:type="pct"/>
            <w:vMerge w:val="continue"/>
            <w:tcBorders>
              <w:left w:val="nil"/>
            </w:tcBorders>
            <w:noWrap w:val="0"/>
            <w:vAlign w:val="center"/>
          </w:tcPr>
          <w:p>
            <w:pPr>
              <w:adjustRightInd w:val="0"/>
              <w:snapToGrid w:val="0"/>
              <w:jc w:val="center"/>
              <w:rPr>
                <w:rFonts w:hint="eastAsia"/>
                <w:i w:val="0"/>
                <w:iCs w:val="0"/>
                <w:color w:val="000000"/>
                <w:sz w:val="21"/>
                <w:szCs w:val="21"/>
                <w:u w:val="single"/>
              </w:rPr>
            </w:pPr>
          </w:p>
        </w:tc>
        <w:tc>
          <w:tcPr>
            <w:tcW w:w="966" w:type="pct"/>
            <w:noWrap w:val="0"/>
            <w:vAlign w:val="center"/>
          </w:tcPr>
          <w:p>
            <w:pPr>
              <w:jc w:val="center"/>
              <w:rPr>
                <w:rFonts w:hint="eastAsia" w:eastAsia="宋体"/>
                <w:i w:val="0"/>
                <w:iCs w:val="0"/>
                <w:sz w:val="21"/>
                <w:szCs w:val="21"/>
                <w:u w:val="single"/>
                <w:lang w:eastAsia="zh-CN"/>
              </w:rPr>
            </w:pPr>
            <w:r>
              <w:rPr>
                <w:rFonts w:hint="eastAsia"/>
                <w:i w:val="0"/>
                <w:iCs w:val="0"/>
                <w:sz w:val="21"/>
                <w:szCs w:val="21"/>
                <w:u w:val="single"/>
                <w:lang w:eastAsia="zh-CN"/>
              </w:rPr>
              <w:t>酿酒酵母粉</w:t>
            </w:r>
          </w:p>
        </w:tc>
        <w:tc>
          <w:tcPr>
            <w:tcW w:w="860" w:type="pct"/>
            <w:noWrap w:val="0"/>
            <w:vAlign w:val="top"/>
          </w:tcPr>
          <w:p>
            <w:pPr>
              <w:jc w:val="center"/>
              <w:rPr>
                <w:rFonts w:hint="default"/>
                <w:i w:val="0"/>
                <w:iCs w:val="0"/>
                <w:sz w:val="21"/>
                <w:szCs w:val="21"/>
                <w:u w:val="single"/>
                <w:lang w:val="en-US" w:eastAsia="zh-CN"/>
              </w:rPr>
            </w:pPr>
            <w:r>
              <w:rPr>
                <w:rFonts w:hint="eastAsia"/>
                <w:i w:val="0"/>
                <w:iCs w:val="0"/>
                <w:sz w:val="21"/>
                <w:szCs w:val="21"/>
                <w:u w:val="single"/>
                <w:lang w:val="en-US" w:eastAsia="zh-CN"/>
              </w:rPr>
              <w:t>938.5</w:t>
            </w:r>
          </w:p>
        </w:tc>
        <w:tc>
          <w:tcPr>
            <w:tcW w:w="933" w:type="pct"/>
            <w:tcBorders>
              <w:right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r>
              <w:rPr>
                <w:rFonts w:hint="eastAsia" w:cs="Times New Roman"/>
                <w:i w:val="0"/>
                <w:iCs w:val="0"/>
                <w:sz w:val="21"/>
                <w:szCs w:val="21"/>
                <w:u w:val="single"/>
                <w:lang w:val="en-US" w:eastAsia="zh-CN"/>
              </w:rPr>
              <w:t>0.46925</w:t>
            </w:r>
          </w:p>
        </w:tc>
        <w:tc>
          <w:tcPr>
            <w:tcW w:w="935"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袋装</w:t>
            </w:r>
          </w:p>
        </w:tc>
        <w:tc>
          <w:tcPr>
            <w:tcW w:w="936"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综合库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65" w:type="pct"/>
            <w:vMerge w:val="continue"/>
            <w:tcBorders>
              <w:left w:val="nil"/>
            </w:tcBorders>
            <w:noWrap w:val="0"/>
            <w:vAlign w:val="center"/>
          </w:tcPr>
          <w:p>
            <w:pPr>
              <w:adjustRightInd w:val="0"/>
              <w:snapToGrid w:val="0"/>
              <w:jc w:val="center"/>
              <w:rPr>
                <w:rFonts w:hint="eastAsia"/>
                <w:i w:val="0"/>
                <w:iCs w:val="0"/>
                <w:color w:val="000000"/>
                <w:sz w:val="21"/>
                <w:szCs w:val="21"/>
                <w:u w:val="single"/>
              </w:rPr>
            </w:pPr>
          </w:p>
        </w:tc>
        <w:tc>
          <w:tcPr>
            <w:tcW w:w="966" w:type="pct"/>
            <w:noWrap w:val="0"/>
            <w:vAlign w:val="center"/>
          </w:tcPr>
          <w:p>
            <w:pPr>
              <w:jc w:val="center"/>
              <w:rPr>
                <w:rFonts w:hint="eastAsia"/>
                <w:i w:val="0"/>
                <w:iCs w:val="0"/>
                <w:sz w:val="21"/>
                <w:szCs w:val="21"/>
                <w:u w:val="single"/>
                <w:lang w:eastAsia="zh-CN"/>
              </w:rPr>
            </w:pPr>
            <w:r>
              <w:rPr>
                <w:rFonts w:hint="eastAsia"/>
                <w:i w:val="0"/>
                <w:iCs w:val="0"/>
                <w:sz w:val="21"/>
                <w:szCs w:val="21"/>
                <w:u w:val="single"/>
                <w:lang w:eastAsia="zh-CN"/>
              </w:rPr>
              <w:t>麦芽糊精</w:t>
            </w:r>
          </w:p>
        </w:tc>
        <w:tc>
          <w:tcPr>
            <w:tcW w:w="860" w:type="pct"/>
            <w:noWrap w:val="0"/>
            <w:vAlign w:val="top"/>
          </w:tcPr>
          <w:p>
            <w:pPr>
              <w:jc w:val="center"/>
              <w:rPr>
                <w:rFonts w:hint="default"/>
                <w:i w:val="0"/>
                <w:iCs w:val="0"/>
                <w:sz w:val="21"/>
                <w:szCs w:val="21"/>
                <w:u w:val="single"/>
                <w:lang w:val="en-US" w:eastAsia="zh-CN"/>
              </w:rPr>
            </w:pPr>
            <w:r>
              <w:rPr>
                <w:rFonts w:hint="eastAsia"/>
                <w:i w:val="0"/>
                <w:iCs w:val="0"/>
                <w:sz w:val="21"/>
                <w:szCs w:val="21"/>
                <w:u w:val="single"/>
                <w:lang w:val="en-US" w:eastAsia="zh-CN"/>
              </w:rPr>
              <w:t>98.55</w:t>
            </w:r>
          </w:p>
        </w:tc>
        <w:tc>
          <w:tcPr>
            <w:tcW w:w="933" w:type="pct"/>
            <w:tcBorders>
              <w:right w:val="nil"/>
            </w:tcBorders>
            <w:noWrap w:val="0"/>
            <w:vAlign w:val="center"/>
          </w:tcPr>
          <w:p>
            <w:pPr>
              <w:jc w:val="center"/>
              <w:rPr>
                <w:rFonts w:hint="default" w:cs="Times New Roman"/>
                <w:i w:val="0"/>
                <w:iCs w:val="0"/>
                <w:sz w:val="21"/>
                <w:szCs w:val="21"/>
                <w:u w:val="single"/>
                <w:lang w:val="en-US" w:eastAsia="zh-CN"/>
              </w:rPr>
            </w:pPr>
            <w:r>
              <w:rPr>
                <w:rFonts w:hint="eastAsia" w:cs="Times New Roman"/>
                <w:i w:val="0"/>
                <w:iCs w:val="0"/>
                <w:sz w:val="21"/>
                <w:szCs w:val="21"/>
                <w:u w:val="single"/>
                <w:lang w:val="en-US" w:eastAsia="zh-CN"/>
              </w:rPr>
              <w:t>0.049275</w:t>
            </w:r>
          </w:p>
        </w:tc>
        <w:tc>
          <w:tcPr>
            <w:tcW w:w="1779" w:type="dxa"/>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袋装</w:t>
            </w:r>
          </w:p>
        </w:tc>
        <w:tc>
          <w:tcPr>
            <w:tcW w:w="1781" w:type="dxa"/>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综合库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65" w:type="pct"/>
            <w:vMerge w:val="continue"/>
            <w:tcBorders>
              <w:left w:val="nil"/>
            </w:tcBorders>
            <w:noWrap w:val="0"/>
            <w:vAlign w:val="center"/>
          </w:tcPr>
          <w:p>
            <w:pPr>
              <w:adjustRightInd w:val="0"/>
              <w:snapToGrid w:val="0"/>
              <w:jc w:val="center"/>
              <w:rPr>
                <w:rFonts w:hint="eastAsia"/>
                <w:i w:val="0"/>
                <w:iCs w:val="0"/>
                <w:color w:val="000000"/>
                <w:sz w:val="21"/>
                <w:szCs w:val="21"/>
                <w:u w:val="single"/>
              </w:rPr>
            </w:pPr>
          </w:p>
        </w:tc>
        <w:tc>
          <w:tcPr>
            <w:tcW w:w="966" w:type="pct"/>
            <w:noWrap w:val="0"/>
            <w:vAlign w:val="center"/>
          </w:tcPr>
          <w:p>
            <w:pPr>
              <w:jc w:val="center"/>
              <w:rPr>
                <w:rFonts w:hint="eastAsia" w:eastAsia="宋体"/>
                <w:i w:val="0"/>
                <w:iCs w:val="0"/>
                <w:sz w:val="21"/>
                <w:szCs w:val="21"/>
                <w:u w:val="single"/>
                <w:lang w:eastAsia="zh-CN"/>
              </w:rPr>
            </w:pPr>
            <w:r>
              <w:rPr>
                <w:rFonts w:hint="eastAsia"/>
                <w:i w:val="0"/>
                <w:iCs w:val="0"/>
                <w:sz w:val="21"/>
                <w:szCs w:val="21"/>
                <w:u w:val="single"/>
                <w:lang w:eastAsia="zh-CN"/>
              </w:rPr>
              <w:t>菌种</w:t>
            </w:r>
          </w:p>
        </w:tc>
        <w:tc>
          <w:tcPr>
            <w:tcW w:w="860" w:type="pct"/>
            <w:noWrap w:val="0"/>
            <w:vAlign w:val="top"/>
          </w:tcPr>
          <w:p>
            <w:pPr>
              <w:jc w:val="center"/>
              <w:rPr>
                <w:rFonts w:hint="default"/>
                <w:i w:val="0"/>
                <w:iCs w:val="0"/>
                <w:sz w:val="21"/>
                <w:szCs w:val="21"/>
                <w:u w:val="single"/>
                <w:lang w:val="en-US" w:eastAsia="zh-CN"/>
              </w:rPr>
            </w:pPr>
            <w:r>
              <w:rPr>
                <w:rFonts w:hint="eastAsia"/>
                <w:i w:val="0"/>
                <w:iCs w:val="0"/>
                <w:sz w:val="21"/>
                <w:szCs w:val="21"/>
                <w:u w:val="single"/>
                <w:lang w:val="en-US" w:eastAsia="zh-CN"/>
              </w:rPr>
              <w:t>0.15625</w:t>
            </w:r>
          </w:p>
        </w:tc>
        <w:tc>
          <w:tcPr>
            <w:tcW w:w="933" w:type="pct"/>
            <w:tcBorders>
              <w:right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r>
              <w:rPr>
                <w:rFonts w:hint="eastAsia" w:cs="Times New Roman"/>
                <w:i w:val="0"/>
                <w:iCs w:val="0"/>
                <w:sz w:val="21"/>
                <w:szCs w:val="21"/>
                <w:u w:val="single"/>
                <w:lang w:val="en-US" w:eastAsia="zh-CN"/>
              </w:rPr>
              <w:t>0.078kg</w:t>
            </w:r>
          </w:p>
        </w:tc>
        <w:tc>
          <w:tcPr>
            <w:tcW w:w="935"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超低温冰箱储存</w:t>
            </w:r>
          </w:p>
        </w:tc>
        <w:tc>
          <w:tcPr>
            <w:tcW w:w="936" w:type="pct"/>
            <w:tcBorders>
              <w:right w:val="nil"/>
            </w:tcBorders>
            <w:noWrap w:val="0"/>
            <w:vAlign w:val="center"/>
          </w:tcPr>
          <w:p>
            <w:pPr>
              <w:jc w:val="center"/>
              <w:rPr>
                <w:rFonts w:hint="eastAsia" w:eastAsia="宋体"/>
                <w:i w:val="0"/>
                <w:iCs w:val="0"/>
                <w:sz w:val="21"/>
                <w:szCs w:val="21"/>
                <w:u w:val="single"/>
                <w:lang w:eastAsia="zh-CN"/>
              </w:rPr>
            </w:pPr>
            <w:r>
              <w:rPr>
                <w:rFonts w:hint="eastAsia"/>
                <w:i w:val="0"/>
                <w:iCs w:val="0"/>
                <w:sz w:val="21"/>
                <w:szCs w:val="21"/>
                <w:u w:val="single"/>
                <w:lang w:eastAsia="zh-CN"/>
              </w:rPr>
              <w:t>质检楼实验室内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65" w:type="pct"/>
            <w:vMerge w:val="restart"/>
            <w:tcBorders>
              <w:left w:val="nil"/>
            </w:tcBorders>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质检及实验过程</w:t>
            </w:r>
          </w:p>
        </w:tc>
        <w:tc>
          <w:tcPr>
            <w:tcW w:w="966" w:type="pct"/>
            <w:noWrap w:val="0"/>
            <w:vAlign w:val="top"/>
          </w:tcPr>
          <w:p>
            <w:pPr>
              <w:jc w:val="center"/>
              <w:rPr>
                <w:rFonts w:hint="eastAsia"/>
                <w:i w:val="0"/>
                <w:iCs w:val="0"/>
                <w:sz w:val="21"/>
                <w:szCs w:val="21"/>
                <w:u w:val="single"/>
              </w:rPr>
            </w:pPr>
            <w:r>
              <w:rPr>
                <w:rFonts w:hint="eastAsia"/>
                <w:i w:val="0"/>
                <w:iCs w:val="0"/>
                <w:sz w:val="21"/>
                <w:szCs w:val="21"/>
                <w:u w:val="single"/>
              </w:rPr>
              <w:t>氢氧化钠</w:t>
            </w:r>
          </w:p>
        </w:tc>
        <w:tc>
          <w:tcPr>
            <w:tcW w:w="860" w:type="pct"/>
            <w:noWrap w:val="0"/>
            <w:vAlign w:val="top"/>
          </w:tcPr>
          <w:p>
            <w:pPr>
              <w:jc w:val="center"/>
              <w:rPr>
                <w:rFonts w:hint="default" w:eastAsia="宋体"/>
                <w:i w:val="0"/>
                <w:iCs w:val="0"/>
                <w:sz w:val="21"/>
                <w:szCs w:val="21"/>
                <w:u w:val="single"/>
                <w:lang w:val="en-US" w:eastAsia="zh-CN"/>
              </w:rPr>
            </w:pPr>
            <w:r>
              <w:rPr>
                <w:rFonts w:hint="eastAsia"/>
                <w:i w:val="0"/>
                <w:iCs w:val="0"/>
                <w:sz w:val="21"/>
                <w:szCs w:val="21"/>
                <w:u w:val="single"/>
              </w:rPr>
              <w:t>1</w:t>
            </w:r>
            <w:r>
              <w:rPr>
                <w:rFonts w:hint="eastAsia"/>
                <w:i w:val="0"/>
                <w:iCs w:val="0"/>
                <w:sz w:val="21"/>
                <w:szCs w:val="21"/>
                <w:u w:val="single"/>
                <w:lang w:val="en-US" w:eastAsia="zh-CN"/>
              </w:rPr>
              <w:t>kg</w:t>
            </w:r>
          </w:p>
        </w:tc>
        <w:tc>
          <w:tcPr>
            <w:tcW w:w="933"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w:t>
            </w:r>
          </w:p>
        </w:tc>
        <w:tc>
          <w:tcPr>
            <w:tcW w:w="935"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袋装</w:t>
            </w:r>
          </w:p>
        </w:tc>
        <w:tc>
          <w:tcPr>
            <w:tcW w:w="936"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固体间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65" w:type="pct"/>
            <w:vMerge w:val="continue"/>
            <w:tcBorders>
              <w:left w:val="nil"/>
            </w:tcBorders>
            <w:noWrap w:val="0"/>
            <w:vAlign w:val="center"/>
          </w:tcPr>
          <w:p>
            <w:pPr>
              <w:adjustRightInd w:val="0"/>
              <w:snapToGrid w:val="0"/>
              <w:jc w:val="center"/>
              <w:rPr>
                <w:rFonts w:hint="eastAsia"/>
                <w:i w:val="0"/>
                <w:iCs w:val="0"/>
                <w:color w:val="000000"/>
                <w:sz w:val="21"/>
                <w:szCs w:val="21"/>
                <w:u w:val="single"/>
              </w:rPr>
            </w:pPr>
          </w:p>
        </w:tc>
        <w:tc>
          <w:tcPr>
            <w:tcW w:w="966" w:type="pct"/>
            <w:noWrap w:val="0"/>
            <w:vAlign w:val="top"/>
          </w:tcPr>
          <w:p>
            <w:pPr>
              <w:jc w:val="center"/>
              <w:rPr>
                <w:rFonts w:hint="eastAsia"/>
                <w:i w:val="0"/>
                <w:iCs w:val="0"/>
                <w:sz w:val="21"/>
                <w:szCs w:val="21"/>
                <w:u w:val="single"/>
              </w:rPr>
            </w:pPr>
            <w:r>
              <w:rPr>
                <w:rFonts w:hint="eastAsia"/>
                <w:i w:val="0"/>
                <w:iCs w:val="0"/>
                <w:sz w:val="21"/>
                <w:szCs w:val="21"/>
                <w:u w:val="single"/>
              </w:rPr>
              <w:t>无水乙醚</w:t>
            </w:r>
          </w:p>
        </w:tc>
        <w:tc>
          <w:tcPr>
            <w:tcW w:w="860" w:type="pct"/>
            <w:noWrap w:val="0"/>
            <w:vAlign w:val="top"/>
          </w:tcPr>
          <w:p>
            <w:pPr>
              <w:jc w:val="center"/>
              <w:rPr>
                <w:rFonts w:hint="eastAsia"/>
                <w:i w:val="0"/>
                <w:iCs w:val="0"/>
                <w:sz w:val="21"/>
                <w:szCs w:val="21"/>
                <w:u w:val="single"/>
              </w:rPr>
            </w:pPr>
            <w:r>
              <w:rPr>
                <w:i w:val="0"/>
                <w:iCs w:val="0"/>
                <w:sz w:val="21"/>
                <w:szCs w:val="21"/>
                <w:u w:val="single"/>
              </w:rPr>
              <w:t>10</w:t>
            </w:r>
            <w:r>
              <w:rPr>
                <w:rFonts w:hint="eastAsia"/>
                <w:i w:val="0"/>
                <w:iCs w:val="0"/>
                <w:sz w:val="21"/>
                <w:szCs w:val="21"/>
                <w:u w:val="single"/>
              </w:rPr>
              <w:t>L</w:t>
            </w:r>
          </w:p>
        </w:tc>
        <w:tc>
          <w:tcPr>
            <w:tcW w:w="933" w:type="pct"/>
            <w:tcBorders>
              <w:right w:val="nil"/>
            </w:tcBorders>
            <w:noWrap w:val="0"/>
            <w:vAlign w:val="center"/>
          </w:tcPr>
          <w:p>
            <w:pPr>
              <w:jc w:val="center"/>
              <w:rPr>
                <w:i w:val="0"/>
                <w:iCs w:val="0"/>
                <w:sz w:val="21"/>
                <w:szCs w:val="21"/>
                <w:u w:val="single"/>
              </w:rPr>
            </w:pPr>
            <w:r>
              <w:rPr>
                <w:rFonts w:hint="eastAsia"/>
                <w:i w:val="0"/>
                <w:iCs w:val="0"/>
                <w:sz w:val="21"/>
                <w:szCs w:val="21"/>
                <w:u w:val="single"/>
              </w:rPr>
              <w:t>/</w:t>
            </w:r>
          </w:p>
        </w:tc>
        <w:tc>
          <w:tcPr>
            <w:tcW w:w="935"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瓶装</w:t>
            </w:r>
          </w:p>
        </w:tc>
        <w:tc>
          <w:tcPr>
            <w:tcW w:w="936" w:type="pct"/>
            <w:vMerge w:val="restar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危品库试剂间一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65" w:type="pct"/>
            <w:vMerge w:val="continue"/>
            <w:tcBorders>
              <w:left w:val="nil"/>
            </w:tcBorders>
            <w:noWrap w:val="0"/>
            <w:vAlign w:val="center"/>
          </w:tcPr>
          <w:p>
            <w:pPr>
              <w:adjustRightInd w:val="0"/>
              <w:snapToGrid w:val="0"/>
              <w:jc w:val="center"/>
              <w:rPr>
                <w:rFonts w:hint="eastAsia"/>
                <w:i w:val="0"/>
                <w:iCs w:val="0"/>
                <w:color w:val="000000"/>
                <w:sz w:val="21"/>
                <w:szCs w:val="21"/>
                <w:u w:val="single"/>
              </w:rPr>
            </w:pPr>
          </w:p>
        </w:tc>
        <w:tc>
          <w:tcPr>
            <w:tcW w:w="966" w:type="pct"/>
            <w:noWrap w:val="0"/>
            <w:vAlign w:val="top"/>
          </w:tcPr>
          <w:p>
            <w:pPr>
              <w:jc w:val="center"/>
              <w:rPr>
                <w:rFonts w:hint="eastAsia"/>
                <w:i w:val="0"/>
                <w:iCs w:val="0"/>
                <w:sz w:val="21"/>
                <w:szCs w:val="21"/>
                <w:u w:val="single"/>
              </w:rPr>
            </w:pPr>
            <w:r>
              <w:rPr>
                <w:rFonts w:hint="eastAsia"/>
                <w:i w:val="0"/>
                <w:iCs w:val="0"/>
                <w:sz w:val="21"/>
                <w:szCs w:val="21"/>
                <w:u w:val="single"/>
              </w:rPr>
              <w:t>盐酸</w:t>
            </w:r>
          </w:p>
        </w:tc>
        <w:tc>
          <w:tcPr>
            <w:tcW w:w="860" w:type="pct"/>
            <w:noWrap w:val="0"/>
            <w:vAlign w:val="top"/>
          </w:tcPr>
          <w:p>
            <w:pPr>
              <w:jc w:val="center"/>
              <w:rPr>
                <w:i w:val="0"/>
                <w:iCs w:val="0"/>
                <w:sz w:val="21"/>
                <w:szCs w:val="21"/>
                <w:u w:val="single"/>
              </w:rPr>
            </w:pPr>
            <w:r>
              <w:rPr>
                <w:i w:val="0"/>
                <w:iCs w:val="0"/>
                <w:sz w:val="21"/>
                <w:szCs w:val="21"/>
                <w:u w:val="single"/>
              </w:rPr>
              <w:t>5</w:t>
            </w:r>
            <w:r>
              <w:rPr>
                <w:rFonts w:hint="eastAsia"/>
                <w:i w:val="0"/>
                <w:iCs w:val="0"/>
                <w:sz w:val="21"/>
                <w:szCs w:val="21"/>
                <w:u w:val="single"/>
              </w:rPr>
              <w:t>L</w:t>
            </w:r>
          </w:p>
        </w:tc>
        <w:tc>
          <w:tcPr>
            <w:tcW w:w="933"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w:t>
            </w:r>
          </w:p>
        </w:tc>
        <w:tc>
          <w:tcPr>
            <w:tcW w:w="935"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瓶装</w:t>
            </w:r>
          </w:p>
        </w:tc>
        <w:tc>
          <w:tcPr>
            <w:tcW w:w="936" w:type="pct"/>
            <w:vMerge w:val="continue"/>
            <w:tcBorders>
              <w:right w:val="nil"/>
            </w:tcBorders>
            <w:noWrap w:val="0"/>
            <w:vAlign w:val="center"/>
          </w:tcPr>
          <w:p>
            <w:pPr>
              <w:jc w:val="center"/>
              <w:rPr>
                <w:rFonts w:hint="eastAsia"/>
                <w:i w:val="0"/>
                <w:iCs w:val="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65" w:type="pct"/>
            <w:vMerge w:val="continue"/>
            <w:tcBorders>
              <w:left w:val="nil"/>
            </w:tcBorders>
            <w:noWrap w:val="0"/>
            <w:vAlign w:val="center"/>
          </w:tcPr>
          <w:p>
            <w:pPr>
              <w:adjustRightInd w:val="0"/>
              <w:snapToGrid w:val="0"/>
              <w:jc w:val="center"/>
              <w:rPr>
                <w:rFonts w:hint="eastAsia"/>
                <w:i w:val="0"/>
                <w:iCs w:val="0"/>
                <w:color w:val="000000"/>
                <w:sz w:val="21"/>
                <w:szCs w:val="21"/>
                <w:u w:val="single"/>
              </w:rPr>
            </w:pPr>
          </w:p>
        </w:tc>
        <w:tc>
          <w:tcPr>
            <w:tcW w:w="966" w:type="pct"/>
            <w:noWrap w:val="0"/>
            <w:vAlign w:val="top"/>
          </w:tcPr>
          <w:p>
            <w:pPr>
              <w:jc w:val="center"/>
              <w:rPr>
                <w:rFonts w:hint="eastAsia"/>
                <w:i w:val="0"/>
                <w:iCs w:val="0"/>
                <w:sz w:val="21"/>
                <w:szCs w:val="21"/>
                <w:u w:val="single"/>
              </w:rPr>
            </w:pPr>
            <w:r>
              <w:rPr>
                <w:rFonts w:hint="eastAsia"/>
                <w:i w:val="0"/>
                <w:iCs w:val="0"/>
                <w:sz w:val="21"/>
                <w:szCs w:val="21"/>
                <w:u w:val="single"/>
              </w:rPr>
              <w:t>硫酸</w:t>
            </w:r>
          </w:p>
        </w:tc>
        <w:tc>
          <w:tcPr>
            <w:tcW w:w="860" w:type="pct"/>
            <w:noWrap w:val="0"/>
            <w:vAlign w:val="top"/>
          </w:tcPr>
          <w:p>
            <w:pPr>
              <w:jc w:val="center"/>
              <w:rPr>
                <w:rFonts w:hint="eastAsia"/>
                <w:i w:val="0"/>
                <w:iCs w:val="0"/>
                <w:sz w:val="21"/>
                <w:szCs w:val="21"/>
                <w:u w:val="single"/>
              </w:rPr>
            </w:pPr>
            <w:r>
              <w:rPr>
                <w:i w:val="0"/>
                <w:iCs w:val="0"/>
                <w:sz w:val="21"/>
                <w:szCs w:val="21"/>
                <w:u w:val="single"/>
              </w:rPr>
              <w:t>5</w:t>
            </w:r>
            <w:r>
              <w:rPr>
                <w:rFonts w:hint="eastAsia"/>
                <w:i w:val="0"/>
                <w:iCs w:val="0"/>
                <w:sz w:val="21"/>
                <w:szCs w:val="21"/>
                <w:u w:val="single"/>
              </w:rPr>
              <w:t>L</w:t>
            </w:r>
          </w:p>
        </w:tc>
        <w:tc>
          <w:tcPr>
            <w:tcW w:w="933"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w:t>
            </w:r>
          </w:p>
        </w:tc>
        <w:tc>
          <w:tcPr>
            <w:tcW w:w="935"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瓶装</w:t>
            </w:r>
          </w:p>
        </w:tc>
        <w:tc>
          <w:tcPr>
            <w:tcW w:w="936" w:type="pct"/>
            <w:vMerge w:val="continue"/>
            <w:tcBorders>
              <w:right w:val="nil"/>
            </w:tcBorders>
            <w:noWrap w:val="0"/>
            <w:vAlign w:val="center"/>
          </w:tcPr>
          <w:p>
            <w:pPr>
              <w:jc w:val="center"/>
              <w:rPr>
                <w:rFonts w:hint="eastAsia"/>
                <w:i w:val="0"/>
                <w:iCs w:val="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65" w:type="pct"/>
            <w:vMerge w:val="continue"/>
            <w:tcBorders>
              <w:left w:val="nil"/>
            </w:tcBorders>
            <w:noWrap w:val="0"/>
            <w:vAlign w:val="center"/>
          </w:tcPr>
          <w:p>
            <w:pPr>
              <w:adjustRightInd w:val="0"/>
              <w:snapToGrid w:val="0"/>
              <w:jc w:val="center"/>
              <w:rPr>
                <w:rFonts w:hint="eastAsia"/>
                <w:i w:val="0"/>
                <w:iCs w:val="0"/>
                <w:color w:val="000000"/>
                <w:sz w:val="21"/>
                <w:szCs w:val="21"/>
                <w:u w:val="single"/>
              </w:rPr>
            </w:pPr>
          </w:p>
        </w:tc>
        <w:tc>
          <w:tcPr>
            <w:tcW w:w="966" w:type="pct"/>
            <w:noWrap w:val="0"/>
            <w:vAlign w:val="top"/>
          </w:tcPr>
          <w:p>
            <w:pPr>
              <w:jc w:val="center"/>
              <w:rPr>
                <w:rFonts w:hint="eastAsia"/>
                <w:i w:val="0"/>
                <w:iCs w:val="0"/>
                <w:sz w:val="21"/>
                <w:szCs w:val="21"/>
                <w:u w:val="single"/>
              </w:rPr>
            </w:pPr>
            <w:r>
              <w:rPr>
                <w:rFonts w:hint="eastAsia"/>
                <w:i w:val="0"/>
                <w:iCs w:val="0"/>
                <w:sz w:val="21"/>
                <w:szCs w:val="21"/>
                <w:u w:val="single"/>
              </w:rPr>
              <w:t>三氯甲烷</w:t>
            </w:r>
          </w:p>
        </w:tc>
        <w:tc>
          <w:tcPr>
            <w:tcW w:w="860" w:type="pct"/>
            <w:noWrap w:val="0"/>
            <w:vAlign w:val="top"/>
          </w:tcPr>
          <w:p>
            <w:pPr>
              <w:jc w:val="center"/>
              <w:rPr>
                <w:rFonts w:hint="eastAsia"/>
                <w:i w:val="0"/>
                <w:iCs w:val="0"/>
                <w:sz w:val="21"/>
                <w:szCs w:val="21"/>
                <w:u w:val="single"/>
              </w:rPr>
            </w:pPr>
            <w:r>
              <w:rPr>
                <w:i w:val="0"/>
                <w:iCs w:val="0"/>
                <w:sz w:val="21"/>
                <w:szCs w:val="21"/>
                <w:u w:val="single"/>
              </w:rPr>
              <w:t>10</w:t>
            </w:r>
            <w:r>
              <w:rPr>
                <w:rFonts w:hint="eastAsia"/>
                <w:i w:val="0"/>
                <w:iCs w:val="0"/>
                <w:sz w:val="21"/>
                <w:szCs w:val="21"/>
                <w:u w:val="single"/>
              </w:rPr>
              <w:t>L</w:t>
            </w:r>
          </w:p>
        </w:tc>
        <w:tc>
          <w:tcPr>
            <w:tcW w:w="933"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w:t>
            </w:r>
          </w:p>
        </w:tc>
        <w:tc>
          <w:tcPr>
            <w:tcW w:w="935"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瓶装</w:t>
            </w:r>
          </w:p>
        </w:tc>
        <w:tc>
          <w:tcPr>
            <w:tcW w:w="936" w:type="pct"/>
            <w:vMerge w:val="continue"/>
            <w:tcBorders>
              <w:right w:val="nil"/>
            </w:tcBorders>
            <w:noWrap w:val="0"/>
            <w:vAlign w:val="center"/>
          </w:tcPr>
          <w:p>
            <w:pPr>
              <w:jc w:val="center"/>
              <w:rPr>
                <w:rFonts w:hint="eastAsia"/>
                <w:i w:val="0"/>
                <w:iCs w:val="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65" w:type="pct"/>
            <w:vMerge w:val="continue"/>
            <w:tcBorders>
              <w:left w:val="nil"/>
            </w:tcBorders>
            <w:noWrap w:val="0"/>
            <w:vAlign w:val="center"/>
          </w:tcPr>
          <w:p>
            <w:pPr>
              <w:adjustRightInd w:val="0"/>
              <w:snapToGrid w:val="0"/>
              <w:jc w:val="center"/>
              <w:rPr>
                <w:rFonts w:hint="eastAsia"/>
                <w:i w:val="0"/>
                <w:iCs w:val="0"/>
                <w:color w:val="000000"/>
                <w:sz w:val="21"/>
                <w:szCs w:val="21"/>
                <w:u w:val="single"/>
              </w:rPr>
            </w:pPr>
          </w:p>
        </w:tc>
        <w:tc>
          <w:tcPr>
            <w:tcW w:w="966" w:type="pct"/>
            <w:noWrap w:val="0"/>
            <w:vAlign w:val="top"/>
          </w:tcPr>
          <w:p>
            <w:pPr>
              <w:jc w:val="center"/>
              <w:rPr>
                <w:rFonts w:hint="eastAsia"/>
                <w:i w:val="0"/>
                <w:iCs w:val="0"/>
                <w:sz w:val="21"/>
                <w:szCs w:val="21"/>
                <w:u w:val="single"/>
              </w:rPr>
            </w:pPr>
            <w:r>
              <w:rPr>
                <w:rFonts w:hint="eastAsia"/>
                <w:i w:val="0"/>
                <w:iCs w:val="0"/>
                <w:sz w:val="21"/>
                <w:szCs w:val="21"/>
                <w:u w:val="single"/>
              </w:rPr>
              <w:t>甲苯</w:t>
            </w:r>
          </w:p>
        </w:tc>
        <w:tc>
          <w:tcPr>
            <w:tcW w:w="860" w:type="pct"/>
            <w:noWrap w:val="0"/>
            <w:vAlign w:val="top"/>
          </w:tcPr>
          <w:p>
            <w:pPr>
              <w:jc w:val="center"/>
              <w:rPr>
                <w:rFonts w:hint="eastAsia"/>
                <w:i w:val="0"/>
                <w:iCs w:val="0"/>
                <w:sz w:val="21"/>
                <w:szCs w:val="21"/>
                <w:u w:val="single"/>
              </w:rPr>
            </w:pPr>
            <w:r>
              <w:rPr>
                <w:i w:val="0"/>
                <w:iCs w:val="0"/>
                <w:sz w:val="21"/>
                <w:szCs w:val="21"/>
                <w:u w:val="single"/>
              </w:rPr>
              <w:t>1</w:t>
            </w:r>
            <w:r>
              <w:rPr>
                <w:rFonts w:hint="eastAsia"/>
                <w:i w:val="0"/>
                <w:iCs w:val="0"/>
                <w:sz w:val="21"/>
                <w:szCs w:val="21"/>
                <w:u w:val="single"/>
              </w:rPr>
              <w:t>L</w:t>
            </w:r>
          </w:p>
        </w:tc>
        <w:tc>
          <w:tcPr>
            <w:tcW w:w="933"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w:t>
            </w:r>
          </w:p>
        </w:tc>
        <w:tc>
          <w:tcPr>
            <w:tcW w:w="935"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瓶装</w:t>
            </w:r>
          </w:p>
        </w:tc>
        <w:tc>
          <w:tcPr>
            <w:tcW w:w="936" w:type="pct"/>
            <w:vMerge w:val="continue"/>
            <w:tcBorders>
              <w:right w:val="nil"/>
            </w:tcBorders>
            <w:noWrap w:val="0"/>
            <w:vAlign w:val="center"/>
          </w:tcPr>
          <w:p>
            <w:pPr>
              <w:jc w:val="center"/>
              <w:rPr>
                <w:rFonts w:hint="eastAsia"/>
                <w:i w:val="0"/>
                <w:iCs w:val="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65" w:type="pct"/>
            <w:vMerge w:val="continue"/>
            <w:tcBorders>
              <w:left w:val="nil"/>
            </w:tcBorders>
            <w:noWrap w:val="0"/>
            <w:vAlign w:val="center"/>
          </w:tcPr>
          <w:p>
            <w:pPr>
              <w:adjustRightInd w:val="0"/>
              <w:snapToGrid w:val="0"/>
              <w:jc w:val="center"/>
              <w:rPr>
                <w:rFonts w:hint="eastAsia"/>
                <w:i w:val="0"/>
                <w:iCs w:val="0"/>
                <w:color w:val="000000"/>
                <w:sz w:val="21"/>
                <w:szCs w:val="21"/>
                <w:u w:val="single"/>
              </w:rPr>
            </w:pPr>
          </w:p>
        </w:tc>
        <w:tc>
          <w:tcPr>
            <w:tcW w:w="966" w:type="pct"/>
            <w:noWrap w:val="0"/>
            <w:vAlign w:val="top"/>
          </w:tcPr>
          <w:p>
            <w:pPr>
              <w:jc w:val="center"/>
              <w:rPr>
                <w:rFonts w:hint="eastAsia"/>
                <w:i w:val="0"/>
                <w:iCs w:val="0"/>
                <w:sz w:val="21"/>
                <w:szCs w:val="21"/>
                <w:u w:val="single"/>
              </w:rPr>
            </w:pPr>
            <w:r>
              <w:rPr>
                <w:rFonts w:hint="eastAsia"/>
                <w:i w:val="0"/>
                <w:iCs w:val="0"/>
                <w:sz w:val="21"/>
                <w:szCs w:val="21"/>
                <w:u w:val="single"/>
              </w:rPr>
              <w:t>丙酮</w:t>
            </w:r>
          </w:p>
        </w:tc>
        <w:tc>
          <w:tcPr>
            <w:tcW w:w="860" w:type="pct"/>
            <w:noWrap w:val="0"/>
            <w:vAlign w:val="top"/>
          </w:tcPr>
          <w:p>
            <w:pPr>
              <w:jc w:val="center"/>
              <w:rPr>
                <w:rFonts w:hint="eastAsia"/>
                <w:i w:val="0"/>
                <w:iCs w:val="0"/>
                <w:sz w:val="21"/>
                <w:szCs w:val="21"/>
                <w:u w:val="single"/>
              </w:rPr>
            </w:pPr>
            <w:r>
              <w:rPr>
                <w:i w:val="0"/>
                <w:iCs w:val="0"/>
                <w:sz w:val="21"/>
                <w:szCs w:val="21"/>
                <w:u w:val="single"/>
              </w:rPr>
              <w:t>10</w:t>
            </w:r>
            <w:r>
              <w:rPr>
                <w:rFonts w:hint="eastAsia"/>
                <w:i w:val="0"/>
                <w:iCs w:val="0"/>
                <w:sz w:val="21"/>
                <w:szCs w:val="21"/>
                <w:u w:val="single"/>
              </w:rPr>
              <w:t>L</w:t>
            </w:r>
          </w:p>
        </w:tc>
        <w:tc>
          <w:tcPr>
            <w:tcW w:w="933"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w:t>
            </w:r>
          </w:p>
        </w:tc>
        <w:tc>
          <w:tcPr>
            <w:tcW w:w="935"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瓶装</w:t>
            </w:r>
          </w:p>
        </w:tc>
        <w:tc>
          <w:tcPr>
            <w:tcW w:w="936" w:type="pct"/>
            <w:vMerge w:val="continue"/>
            <w:tcBorders>
              <w:right w:val="nil"/>
            </w:tcBorders>
            <w:noWrap w:val="0"/>
            <w:vAlign w:val="center"/>
          </w:tcPr>
          <w:p>
            <w:pPr>
              <w:jc w:val="center"/>
              <w:rPr>
                <w:rFonts w:hint="eastAsia"/>
                <w:i w:val="0"/>
                <w:iCs w:val="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65" w:type="pct"/>
            <w:vMerge w:val="continue"/>
            <w:tcBorders>
              <w:left w:val="nil"/>
            </w:tcBorders>
            <w:noWrap w:val="0"/>
            <w:vAlign w:val="center"/>
          </w:tcPr>
          <w:p>
            <w:pPr>
              <w:adjustRightInd w:val="0"/>
              <w:snapToGrid w:val="0"/>
              <w:jc w:val="center"/>
              <w:rPr>
                <w:rFonts w:hint="eastAsia"/>
                <w:i w:val="0"/>
                <w:iCs w:val="0"/>
                <w:color w:val="000000"/>
                <w:sz w:val="21"/>
                <w:szCs w:val="21"/>
                <w:u w:val="single"/>
              </w:rPr>
            </w:pPr>
          </w:p>
        </w:tc>
        <w:tc>
          <w:tcPr>
            <w:tcW w:w="966" w:type="pct"/>
            <w:noWrap w:val="0"/>
            <w:vAlign w:val="top"/>
          </w:tcPr>
          <w:p>
            <w:pPr>
              <w:jc w:val="center"/>
              <w:rPr>
                <w:rFonts w:hint="eastAsia"/>
                <w:i w:val="0"/>
                <w:iCs w:val="0"/>
                <w:sz w:val="21"/>
                <w:szCs w:val="21"/>
                <w:u w:val="single"/>
              </w:rPr>
            </w:pPr>
            <w:r>
              <w:rPr>
                <w:rFonts w:hint="eastAsia"/>
                <w:i w:val="0"/>
                <w:iCs w:val="0"/>
                <w:sz w:val="21"/>
                <w:szCs w:val="21"/>
                <w:u w:val="single"/>
              </w:rPr>
              <w:t>硝酸</w:t>
            </w:r>
          </w:p>
        </w:tc>
        <w:tc>
          <w:tcPr>
            <w:tcW w:w="860" w:type="pct"/>
            <w:noWrap w:val="0"/>
            <w:vAlign w:val="top"/>
          </w:tcPr>
          <w:p>
            <w:pPr>
              <w:jc w:val="center"/>
              <w:rPr>
                <w:rFonts w:hint="eastAsia"/>
                <w:i w:val="0"/>
                <w:iCs w:val="0"/>
                <w:sz w:val="21"/>
                <w:szCs w:val="21"/>
                <w:u w:val="single"/>
              </w:rPr>
            </w:pPr>
            <w:r>
              <w:rPr>
                <w:i w:val="0"/>
                <w:iCs w:val="0"/>
                <w:sz w:val="21"/>
                <w:szCs w:val="21"/>
                <w:u w:val="single"/>
              </w:rPr>
              <w:t>5</w:t>
            </w:r>
            <w:r>
              <w:rPr>
                <w:rFonts w:hint="eastAsia"/>
                <w:i w:val="0"/>
                <w:iCs w:val="0"/>
                <w:sz w:val="21"/>
                <w:szCs w:val="21"/>
                <w:u w:val="single"/>
              </w:rPr>
              <w:t>L</w:t>
            </w:r>
          </w:p>
        </w:tc>
        <w:tc>
          <w:tcPr>
            <w:tcW w:w="933"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w:t>
            </w:r>
          </w:p>
        </w:tc>
        <w:tc>
          <w:tcPr>
            <w:tcW w:w="935"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瓶装</w:t>
            </w:r>
          </w:p>
        </w:tc>
        <w:tc>
          <w:tcPr>
            <w:tcW w:w="936" w:type="pct"/>
            <w:vMerge w:val="restar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危品库试剂间二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65" w:type="pct"/>
            <w:vMerge w:val="continue"/>
            <w:tcBorders>
              <w:left w:val="nil"/>
            </w:tcBorders>
            <w:noWrap w:val="0"/>
            <w:vAlign w:val="center"/>
          </w:tcPr>
          <w:p>
            <w:pPr>
              <w:adjustRightInd w:val="0"/>
              <w:snapToGrid w:val="0"/>
              <w:jc w:val="center"/>
              <w:rPr>
                <w:rFonts w:hint="eastAsia"/>
                <w:i w:val="0"/>
                <w:iCs w:val="0"/>
                <w:color w:val="000000"/>
                <w:sz w:val="21"/>
                <w:szCs w:val="21"/>
                <w:u w:val="single"/>
              </w:rPr>
            </w:pPr>
          </w:p>
        </w:tc>
        <w:tc>
          <w:tcPr>
            <w:tcW w:w="966" w:type="pct"/>
            <w:noWrap w:val="0"/>
            <w:vAlign w:val="top"/>
          </w:tcPr>
          <w:p>
            <w:pPr>
              <w:jc w:val="center"/>
              <w:rPr>
                <w:rFonts w:hint="eastAsia"/>
                <w:i w:val="0"/>
                <w:iCs w:val="0"/>
                <w:sz w:val="21"/>
                <w:szCs w:val="21"/>
                <w:u w:val="single"/>
              </w:rPr>
            </w:pPr>
            <w:r>
              <w:rPr>
                <w:rFonts w:hint="eastAsia"/>
                <w:i w:val="0"/>
                <w:iCs w:val="0"/>
                <w:sz w:val="21"/>
                <w:szCs w:val="21"/>
                <w:u w:val="single"/>
              </w:rPr>
              <w:t>硝酸银</w:t>
            </w:r>
          </w:p>
        </w:tc>
        <w:tc>
          <w:tcPr>
            <w:tcW w:w="860" w:type="pct"/>
            <w:noWrap w:val="0"/>
            <w:vAlign w:val="top"/>
          </w:tcPr>
          <w:p>
            <w:pPr>
              <w:jc w:val="center"/>
              <w:rPr>
                <w:rFonts w:hint="eastAsia"/>
                <w:i w:val="0"/>
                <w:iCs w:val="0"/>
                <w:sz w:val="21"/>
                <w:szCs w:val="21"/>
                <w:u w:val="single"/>
              </w:rPr>
            </w:pPr>
            <w:r>
              <w:rPr>
                <w:i w:val="0"/>
                <w:iCs w:val="0"/>
                <w:sz w:val="21"/>
                <w:szCs w:val="21"/>
                <w:u w:val="single"/>
              </w:rPr>
              <w:t>1</w:t>
            </w:r>
            <w:r>
              <w:rPr>
                <w:rFonts w:hint="eastAsia"/>
                <w:i w:val="0"/>
                <w:iCs w:val="0"/>
                <w:sz w:val="21"/>
                <w:szCs w:val="21"/>
                <w:u w:val="single"/>
              </w:rPr>
              <w:t>L</w:t>
            </w:r>
          </w:p>
        </w:tc>
        <w:tc>
          <w:tcPr>
            <w:tcW w:w="933"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w:t>
            </w:r>
          </w:p>
        </w:tc>
        <w:tc>
          <w:tcPr>
            <w:tcW w:w="935"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瓶装</w:t>
            </w:r>
          </w:p>
        </w:tc>
        <w:tc>
          <w:tcPr>
            <w:tcW w:w="936" w:type="pct"/>
            <w:vMerge w:val="continue"/>
            <w:tcBorders>
              <w:right w:val="nil"/>
            </w:tcBorders>
            <w:noWrap w:val="0"/>
            <w:vAlign w:val="center"/>
          </w:tcPr>
          <w:p>
            <w:pPr>
              <w:jc w:val="center"/>
              <w:rPr>
                <w:rFonts w:hint="eastAsia"/>
                <w:i w:val="0"/>
                <w:iCs w:val="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65" w:type="pct"/>
            <w:vMerge w:val="continue"/>
            <w:tcBorders>
              <w:left w:val="nil"/>
            </w:tcBorders>
            <w:noWrap w:val="0"/>
            <w:vAlign w:val="center"/>
          </w:tcPr>
          <w:p>
            <w:pPr>
              <w:adjustRightInd w:val="0"/>
              <w:snapToGrid w:val="0"/>
              <w:jc w:val="center"/>
              <w:rPr>
                <w:rFonts w:hint="eastAsia"/>
                <w:i w:val="0"/>
                <w:iCs w:val="0"/>
                <w:color w:val="000000"/>
                <w:sz w:val="21"/>
                <w:szCs w:val="21"/>
                <w:u w:val="single"/>
              </w:rPr>
            </w:pPr>
          </w:p>
        </w:tc>
        <w:tc>
          <w:tcPr>
            <w:tcW w:w="966" w:type="pct"/>
            <w:noWrap w:val="0"/>
            <w:vAlign w:val="top"/>
          </w:tcPr>
          <w:p>
            <w:pPr>
              <w:jc w:val="center"/>
              <w:rPr>
                <w:rFonts w:hint="eastAsia"/>
                <w:i w:val="0"/>
                <w:iCs w:val="0"/>
                <w:sz w:val="21"/>
                <w:szCs w:val="21"/>
                <w:u w:val="single"/>
              </w:rPr>
            </w:pPr>
            <w:r>
              <w:rPr>
                <w:rFonts w:hint="eastAsia"/>
                <w:i w:val="0"/>
                <w:iCs w:val="0"/>
                <w:sz w:val="21"/>
                <w:szCs w:val="21"/>
                <w:u w:val="single"/>
              </w:rPr>
              <w:t>硝酸铵</w:t>
            </w:r>
          </w:p>
        </w:tc>
        <w:tc>
          <w:tcPr>
            <w:tcW w:w="860" w:type="pct"/>
            <w:noWrap w:val="0"/>
            <w:vAlign w:val="top"/>
          </w:tcPr>
          <w:p>
            <w:pPr>
              <w:jc w:val="center"/>
              <w:rPr>
                <w:rFonts w:hint="eastAsia"/>
                <w:i w:val="0"/>
                <w:iCs w:val="0"/>
                <w:sz w:val="21"/>
                <w:szCs w:val="21"/>
                <w:u w:val="single"/>
              </w:rPr>
            </w:pPr>
            <w:r>
              <w:rPr>
                <w:rFonts w:hint="eastAsia"/>
                <w:i w:val="0"/>
                <w:iCs w:val="0"/>
                <w:sz w:val="21"/>
                <w:szCs w:val="21"/>
                <w:u w:val="single"/>
              </w:rPr>
              <w:t>1L</w:t>
            </w:r>
          </w:p>
        </w:tc>
        <w:tc>
          <w:tcPr>
            <w:tcW w:w="933"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w:t>
            </w:r>
          </w:p>
        </w:tc>
        <w:tc>
          <w:tcPr>
            <w:tcW w:w="935"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瓶装</w:t>
            </w:r>
          </w:p>
        </w:tc>
        <w:tc>
          <w:tcPr>
            <w:tcW w:w="936" w:type="pct"/>
            <w:vMerge w:val="continue"/>
            <w:tcBorders>
              <w:right w:val="nil"/>
            </w:tcBorders>
            <w:noWrap w:val="0"/>
            <w:vAlign w:val="center"/>
          </w:tcPr>
          <w:p>
            <w:pPr>
              <w:jc w:val="center"/>
              <w:rPr>
                <w:rFonts w:hint="eastAsia"/>
                <w:i w:val="0"/>
                <w:iCs w:val="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65" w:type="pct"/>
            <w:vMerge w:val="continue"/>
            <w:tcBorders>
              <w:left w:val="nil"/>
            </w:tcBorders>
            <w:noWrap w:val="0"/>
            <w:vAlign w:val="center"/>
          </w:tcPr>
          <w:p>
            <w:pPr>
              <w:adjustRightInd w:val="0"/>
              <w:snapToGrid w:val="0"/>
              <w:jc w:val="center"/>
              <w:rPr>
                <w:rFonts w:hint="eastAsia"/>
                <w:i w:val="0"/>
                <w:iCs w:val="0"/>
                <w:color w:val="000000"/>
                <w:sz w:val="21"/>
                <w:szCs w:val="21"/>
                <w:u w:val="single"/>
              </w:rPr>
            </w:pPr>
          </w:p>
        </w:tc>
        <w:tc>
          <w:tcPr>
            <w:tcW w:w="966" w:type="pct"/>
            <w:noWrap w:val="0"/>
            <w:vAlign w:val="top"/>
          </w:tcPr>
          <w:p>
            <w:pPr>
              <w:jc w:val="center"/>
              <w:rPr>
                <w:rFonts w:hint="eastAsia"/>
                <w:i w:val="0"/>
                <w:iCs w:val="0"/>
                <w:sz w:val="21"/>
                <w:szCs w:val="21"/>
                <w:u w:val="single"/>
              </w:rPr>
            </w:pPr>
            <w:r>
              <w:rPr>
                <w:rFonts w:hint="eastAsia"/>
                <w:i w:val="0"/>
                <w:iCs w:val="0"/>
                <w:sz w:val="21"/>
                <w:szCs w:val="21"/>
                <w:u w:val="single"/>
              </w:rPr>
              <w:t>硝酸钾</w:t>
            </w:r>
          </w:p>
        </w:tc>
        <w:tc>
          <w:tcPr>
            <w:tcW w:w="860" w:type="pct"/>
            <w:noWrap w:val="0"/>
            <w:vAlign w:val="top"/>
          </w:tcPr>
          <w:p>
            <w:pPr>
              <w:jc w:val="center"/>
              <w:rPr>
                <w:rFonts w:hint="eastAsia"/>
                <w:i w:val="0"/>
                <w:iCs w:val="0"/>
                <w:sz w:val="21"/>
                <w:szCs w:val="21"/>
                <w:u w:val="single"/>
              </w:rPr>
            </w:pPr>
            <w:r>
              <w:rPr>
                <w:i w:val="0"/>
                <w:iCs w:val="0"/>
                <w:sz w:val="21"/>
                <w:szCs w:val="21"/>
                <w:u w:val="single"/>
              </w:rPr>
              <w:t>1</w:t>
            </w:r>
            <w:r>
              <w:rPr>
                <w:rFonts w:hint="eastAsia"/>
                <w:i w:val="0"/>
                <w:iCs w:val="0"/>
                <w:sz w:val="21"/>
                <w:szCs w:val="21"/>
                <w:u w:val="single"/>
              </w:rPr>
              <w:t>L</w:t>
            </w:r>
          </w:p>
        </w:tc>
        <w:tc>
          <w:tcPr>
            <w:tcW w:w="933"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w:t>
            </w:r>
          </w:p>
        </w:tc>
        <w:tc>
          <w:tcPr>
            <w:tcW w:w="935"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瓶装</w:t>
            </w:r>
          </w:p>
        </w:tc>
        <w:tc>
          <w:tcPr>
            <w:tcW w:w="936" w:type="pct"/>
            <w:vMerge w:val="continue"/>
            <w:tcBorders>
              <w:right w:val="nil"/>
            </w:tcBorders>
            <w:noWrap w:val="0"/>
            <w:vAlign w:val="center"/>
          </w:tcPr>
          <w:p>
            <w:pPr>
              <w:jc w:val="center"/>
              <w:rPr>
                <w:rFonts w:hint="eastAsia"/>
                <w:i w:val="0"/>
                <w:iCs w:val="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65" w:type="pct"/>
            <w:vMerge w:val="continue"/>
            <w:tcBorders>
              <w:left w:val="nil"/>
            </w:tcBorders>
            <w:noWrap w:val="0"/>
            <w:vAlign w:val="center"/>
          </w:tcPr>
          <w:p>
            <w:pPr>
              <w:adjustRightInd w:val="0"/>
              <w:snapToGrid w:val="0"/>
              <w:jc w:val="center"/>
              <w:rPr>
                <w:rFonts w:hint="eastAsia"/>
                <w:i w:val="0"/>
                <w:iCs w:val="0"/>
                <w:color w:val="000000"/>
                <w:sz w:val="21"/>
                <w:szCs w:val="21"/>
                <w:u w:val="single"/>
              </w:rPr>
            </w:pPr>
          </w:p>
        </w:tc>
        <w:tc>
          <w:tcPr>
            <w:tcW w:w="966" w:type="pct"/>
            <w:noWrap w:val="0"/>
            <w:vAlign w:val="top"/>
          </w:tcPr>
          <w:p>
            <w:pPr>
              <w:jc w:val="center"/>
              <w:rPr>
                <w:rFonts w:hint="eastAsia"/>
                <w:i w:val="0"/>
                <w:iCs w:val="0"/>
                <w:sz w:val="21"/>
                <w:szCs w:val="21"/>
                <w:u w:val="single"/>
              </w:rPr>
            </w:pPr>
            <w:r>
              <w:rPr>
                <w:rFonts w:hint="eastAsia"/>
                <w:i w:val="0"/>
                <w:iCs w:val="0"/>
                <w:sz w:val="21"/>
                <w:szCs w:val="21"/>
                <w:u w:val="single"/>
              </w:rPr>
              <w:t>硝酸钠</w:t>
            </w:r>
          </w:p>
        </w:tc>
        <w:tc>
          <w:tcPr>
            <w:tcW w:w="860" w:type="pct"/>
            <w:noWrap w:val="0"/>
            <w:vAlign w:val="top"/>
          </w:tcPr>
          <w:p>
            <w:pPr>
              <w:jc w:val="center"/>
              <w:rPr>
                <w:rFonts w:hint="eastAsia"/>
                <w:i w:val="0"/>
                <w:iCs w:val="0"/>
                <w:sz w:val="21"/>
                <w:szCs w:val="21"/>
                <w:u w:val="single"/>
              </w:rPr>
            </w:pPr>
            <w:r>
              <w:rPr>
                <w:i w:val="0"/>
                <w:iCs w:val="0"/>
                <w:sz w:val="21"/>
                <w:szCs w:val="21"/>
                <w:u w:val="single"/>
              </w:rPr>
              <w:t>1</w:t>
            </w:r>
            <w:r>
              <w:rPr>
                <w:rFonts w:hint="eastAsia"/>
                <w:i w:val="0"/>
                <w:iCs w:val="0"/>
                <w:sz w:val="21"/>
                <w:szCs w:val="21"/>
                <w:u w:val="single"/>
              </w:rPr>
              <w:t>L</w:t>
            </w:r>
          </w:p>
        </w:tc>
        <w:tc>
          <w:tcPr>
            <w:tcW w:w="933"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w:t>
            </w:r>
          </w:p>
        </w:tc>
        <w:tc>
          <w:tcPr>
            <w:tcW w:w="935"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瓶装</w:t>
            </w:r>
          </w:p>
        </w:tc>
        <w:tc>
          <w:tcPr>
            <w:tcW w:w="936" w:type="pct"/>
            <w:vMerge w:val="continue"/>
            <w:tcBorders>
              <w:right w:val="nil"/>
            </w:tcBorders>
            <w:noWrap w:val="0"/>
            <w:vAlign w:val="center"/>
          </w:tcPr>
          <w:p>
            <w:pPr>
              <w:jc w:val="center"/>
              <w:rPr>
                <w:rFonts w:hint="eastAsia"/>
                <w:i w:val="0"/>
                <w:iCs w:val="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65" w:type="pct"/>
            <w:vMerge w:val="continue"/>
            <w:tcBorders>
              <w:left w:val="nil"/>
            </w:tcBorders>
            <w:noWrap w:val="0"/>
            <w:vAlign w:val="center"/>
          </w:tcPr>
          <w:p>
            <w:pPr>
              <w:adjustRightInd w:val="0"/>
              <w:snapToGrid w:val="0"/>
              <w:jc w:val="center"/>
              <w:rPr>
                <w:rFonts w:hint="eastAsia"/>
                <w:i w:val="0"/>
                <w:iCs w:val="0"/>
                <w:color w:val="000000"/>
                <w:sz w:val="21"/>
                <w:szCs w:val="21"/>
                <w:u w:val="single"/>
              </w:rPr>
            </w:pPr>
          </w:p>
        </w:tc>
        <w:tc>
          <w:tcPr>
            <w:tcW w:w="966" w:type="pct"/>
            <w:noWrap w:val="0"/>
            <w:vAlign w:val="top"/>
          </w:tcPr>
          <w:p>
            <w:pPr>
              <w:jc w:val="center"/>
              <w:rPr>
                <w:rFonts w:hint="eastAsia"/>
                <w:i w:val="0"/>
                <w:iCs w:val="0"/>
                <w:sz w:val="21"/>
                <w:szCs w:val="21"/>
                <w:u w:val="single"/>
              </w:rPr>
            </w:pPr>
            <w:r>
              <w:rPr>
                <w:rFonts w:hint="eastAsia"/>
                <w:i w:val="0"/>
                <w:iCs w:val="0"/>
                <w:sz w:val="21"/>
                <w:szCs w:val="21"/>
                <w:u w:val="single"/>
              </w:rPr>
              <w:t>硝酸镁</w:t>
            </w:r>
          </w:p>
        </w:tc>
        <w:tc>
          <w:tcPr>
            <w:tcW w:w="860" w:type="pct"/>
            <w:noWrap w:val="0"/>
            <w:vAlign w:val="top"/>
          </w:tcPr>
          <w:p>
            <w:pPr>
              <w:jc w:val="center"/>
              <w:rPr>
                <w:rFonts w:hint="eastAsia"/>
                <w:i w:val="0"/>
                <w:iCs w:val="0"/>
                <w:sz w:val="21"/>
                <w:szCs w:val="21"/>
                <w:u w:val="single"/>
              </w:rPr>
            </w:pPr>
            <w:r>
              <w:rPr>
                <w:i w:val="0"/>
                <w:iCs w:val="0"/>
                <w:sz w:val="21"/>
                <w:szCs w:val="21"/>
                <w:u w:val="single"/>
              </w:rPr>
              <w:t>1</w:t>
            </w:r>
            <w:r>
              <w:rPr>
                <w:rFonts w:hint="eastAsia"/>
                <w:i w:val="0"/>
                <w:iCs w:val="0"/>
                <w:sz w:val="21"/>
                <w:szCs w:val="21"/>
                <w:u w:val="single"/>
              </w:rPr>
              <w:t>L</w:t>
            </w:r>
          </w:p>
        </w:tc>
        <w:tc>
          <w:tcPr>
            <w:tcW w:w="933"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w:t>
            </w:r>
          </w:p>
        </w:tc>
        <w:tc>
          <w:tcPr>
            <w:tcW w:w="935"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瓶装</w:t>
            </w:r>
          </w:p>
        </w:tc>
        <w:tc>
          <w:tcPr>
            <w:tcW w:w="936" w:type="pct"/>
            <w:vMerge w:val="continue"/>
            <w:tcBorders>
              <w:right w:val="nil"/>
            </w:tcBorders>
            <w:noWrap w:val="0"/>
            <w:vAlign w:val="center"/>
          </w:tcPr>
          <w:p>
            <w:pPr>
              <w:jc w:val="center"/>
              <w:rPr>
                <w:rFonts w:hint="eastAsia"/>
                <w:i w:val="0"/>
                <w:iCs w:val="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65" w:type="pct"/>
            <w:vMerge w:val="continue"/>
            <w:tcBorders>
              <w:left w:val="nil"/>
            </w:tcBorders>
            <w:noWrap w:val="0"/>
            <w:vAlign w:val="center"/>
          </w:tcPr>
          <w:p>
            <w:pPr>
              <w:adjustRightInd w:val="0"/>
              <w:snapToGrid w:val="0"/>
              <w:jc w:val="center"/>
              <w:rPr>
                <w:rFonts w:hint="eastAsia"/>
                <w:i w:val="0"/>
                <w:iCs w:val="0"/>
                <w:color w:val="000000"/>
                <w:sz w:val="21"/>
                <w:szCs w:val="21"/>
                <w:u w:val="single"/>
              </w:rPr>
            </w:pPr>
          </w:p>
        </w:tc>
        <w:tc>
          <w:tcPr>
            <w:tcW w:w="966" w:type="pct"/>
            <w:noWrap w:val="0"/>
            <w:vAlign w:val="top"/>
          </w:tcPr>
          <w:p>
            <w:pPr>
              <w:jc w:val="center"/>
              <w:rPr>
                <w:rFonts w:hint="eastAsia"/>
                <w:i w:val="0"/>
                <w:iCs w:val="0"/>
                <w:sz w:val="21"/>
                <w:szCs w:val="21"/>
                <w:u w:val="single"/>
              </w:rPr>
            </w:pPr>
            <w:r>
              <w:rPr>
                <w:rFonts w:hint="eastAsia"/>
                <w:i w:val="0"/>
                <w:iCs w:val="0"/>
                <w:sz w:val="21"/>
                <w:szCs w:val="21"/>
                <w:u w:val="single"/>
              </w:rPr>
              <w:t>过氧化氢</w:t>
            </w:r>
          </w:p>
        </w:tc>
        <w:tc>
          <w:tcPr>
            <w:tcW w:w="860" w:type="pct"/>
            <w:noWrap w:val="0"/>
            <w:vAlign w:val="top"/>
          </w:tcPr>
          <w:p>
            <w:pPr>
              <w:jc w:val="center"/>
              <w:rPr>
                <w:rFonts w:hint="eastAsia"/>
                <w:i w:val="0"/>
                <w:iCs w:val="0"/>
                <w:sz w:val="21"/>
                <w:szCs w:val="21"/>
                <w:u w:val="single"/>
              </w:rPr>
            </w:pPr>
            <w:r>
              <w:rPr>
                <w:i w:val="0"/>
                <w:iCs w:val="0"/>
                <w:sz w:val="21"/>
                <w:szCs w:val="21"/>
                <w:u w:val="single"/>
              </w:rPr>
              <w:t>10</w:t>
            </w:r>
            <w:r>
              <w:rPr>
                <w:rFonts w:hint="eastAsia"/>
                <w:i w:val="0"/>
                <w:iCs w:val="0"/>
                <w:sz w:val="21"/>
                <w:szCs w:val="21"/>
                <w:u w:val="single"/>
              </w:rPr>
              <w:t>L</w:t>
            </w:r>
          </w:p>
        </w:tc>
        <w:tc>
          <w:tcPr>
            <w:tcW w:w="933"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w:t>
            </w:r>
          </w:p>
        </w:tc>
        <w:tc>
          <w:tcPr>
            <w:tcW w:w="935"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瓶装</w:t>
            </w:r>
          </w:p>
        </w:tc>
        <w:tc>
          <w:tcPr>
            <w:tcW w:w="936" w:type="pct"/>
            <w:vMerge w:val="continue"/>
            <w:tcBorders>
              <w:right w:val="nil"/>
            </w:tcBorders>
            <w:noWrap w:val="0"/>
            <w:vAlign w:val="center"/>
          </w:tcPr>
          <w:p>
            <w:pPr>
              <w:jc w:val="center"/>
              <w:rPr>
                <w:rFonts w:hint="eastAsia"/>
                <w:i w:val="0"/>
                <w:iCs w:val="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65" w:type="pct"/>
            <w:vMerge w:val="continue"/>
            <w:tcBorders>
              <w:left w:val="nil"/>
            </w:tcBorders>
            <w:noWrap w:val="0"/>
            <w:vAlign w:val="center"/>
          </w:tcPr>
          <w:p>
            <w:pPr>
              <w:adjustRightInd w:val="0"/>
              <w:snapToGrid w:val="0"/>
              <w:jc w:val="center"/>
              <w:rPr>
                <w:rFonts w:hint="eastAsia"/>
                <w:i w:val="0"/>
                <w:iCs w:val="0"/>
                <w:color w:val="000000"/>
                <w:sz w:val="21"/>
                <w:szCs w:val="21"/>
                <w:u w:val="single"/>
              </w:rPr>
            </w:pPr>
          </w:p>
        </w:tc>
        <w:tc>
          <w:tcPr>
            <w:tcW w:w="966" w:type="pct"/>
            <w:noWrap w:val="0"/>
            <w:vAlign w:val="top"/>
          </w:tcPr>
          <w:p>
            <w:pPr>
              <w:jc w:val="center"/>
              <w:rPr>
                <w:rFonts w:hint="eastAsia"/>
                <w:i w:val="0"/>
                <w:iCs w:val="0"/>
                <w:sz w:val="21"/>
                <w:szCs w:val="21"/>
                <w:u w:val="single"/>
              </w:rPr>
            </w:pPr>
            <w:r>
              <w:rPr>
                <w:rFonts w:hint="eastAsia"/>
                <w:i w:val="0"/>
                <w:iCs w:val="0"/>
                <w:sz w:val="21"/>
                <w:szCs w:val="21"/>
                <w:u w:val="single"/>
              </w:rPr>
              <w:t>高锰酸钾</w:t>
            </w:r>
          </w:p>
        </w:tc>
        <w:tc>
          <w:tcPr>
            <w:tcW w:w="860" w:type="pct"/>
            <w:noWrap w:val="0"/>
            <w:vAlign w:val="top"/>
          </w:tcPr>
          <w:p>
            <w:pPr>
              <w:jc w:val="center"/>
              <w:rPr>
                <w:rFonts w:hint="eastAsia"/>
                <w:i w:val="0"/>
                <w:iCs w:val="0"/>
                <w:sz w:val="21"/>
                <w:szCs w:val="21"/>
                <w:u w:val="single"/>
              </w:rPr>
            </w:pPr>
            <w:r>
              <w:rPr>
                <w:i w:val="0"/>
                <w:iCs w:val="0"/>
                <w:sz w:val="21"/>
                <w:szCs w:val="21"/>
                <w:u w:val="single"/>
              </w:rPr>
              <w:t>2.5</w:t>
            </w:r>
            <w:r>
              <w:rPr>
                <w:rFonts w:hint="eastAsia"/>
                <w:i w:val="0"/>
                <w:iCs w:val="0"/>
                <w:sz w:val="21"/>
                <w:szCs w:val="21"/>
                <w:u w:val="single"/>
              </w:rPr>
              <w:t>L</w:t>
            </w:r>
          </w:p>
        </w:tc>
        <w:tc>
          <w:tcPr>
            <w:tcW w:w="933"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w:t>
            </w:r>
          </w:p>
        </w:tc>
        <w:tc>
          <w:tcPr>
            <w:tcW w:w="935"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瓶装</w:t>
            </w:r>
          </w:p>
        </w:tc>
        <w:tc>
          <w:tcPr>
            <w:tcW w:w="936" w:type="pct"/>
            <w:vMerge w:val="continue"/>
            <w:tcBorders>
              <w:right w:val="nil"/>
            </w:tcBorders>
            <w:noWrap w:val="0"/>
            <w:vAlign w:val="center"/>
          </w:tcPr>
          <w:p>
            <w:pPr>
              <w:jc w:val="center"/>
              <w:rPr>
                <w:rFonts w:hint="eastAsia"/>
                <w:i w:val="0"/>
                <w:iCs w:val="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65" w:type="pct"/>
            <w:tcBorders>
              <w:left w:val="nil"/>
            </w:tcBorders>
            <w:noWrap w:val="0"/>
            <w:vAlign w:val="center"/>
          </w:tcPr>
          <w:p>
            <w:pPr>
              <w:adjustRightInd w:val="0"/>
              <w:snapToGrid w:val="0"/>
              <w:jc w:val="center"/>
              <w:rPr>
                <w:rFonts w:hint="eastAsia" w:eastAsia="宋体"/>
                <w:i w:val="0"/>
                <w:iCs w:val="0"/>
                <w:color w:val="000000"/>
                <w:sz w:val="21"/>
                <w:szCs w:val="21"/>
                <w:u w:val="single"/>
                <w:lang w:eastAsia="zh-CN"/>
              </w:rPr>
            </w:pPr>
            <w:r>
              <w:rPr>
                <w:rFonts w:hint="eastAsia"/>
                <w:i w:val="0"/>
                <w:iCs w:val="0"/>
                <w:color w:val="000000"/>
                <w:sz w:val="21"/>
                <w:szCs w:val="21"/>
                <w:u w:val="single"/>
                <w:lang w:eastAsia="zh-CN"/>
              </w:rPr>
              <w:t>喷雾干燥</w:t>
            </w:r>
          </w:p>
        </w:tc>
        <w:tc>
          <w:tcPr>
            <w:tcW w:w="966" w:type="pct"/>
            <w:noWrap w:val="0"/>
            <w:vAlign w:val="center"/>
          </w:tcPr>
          <w:p>
            <w:pPr>
              <w:jc w:val="center"/>
              <w:rPr>
                <w:rFonts w:hint="eastAsia" w:eastAsia="宋体"/>
                <w:i w:val="0"/>
                <w:iCs w:val="0"/>
                <w:sz w:val="21"/>
                <w:szCs w:val="21"/>
                <w:u w:val="single"/>
                <w:lang w:eastAsia="zh-CN"/>
              </w:rPr>
            </w:pPr>
            <w:r>
              <w:rPr>
                <w:rFonts w:hint="eastAsia"/>
                <w:i w:val="0"/>
                <w:iCs w:val="0"/>
                <w:sz w:val="21"/>
                <w:szCs w:val="21"/>
                <w:u w:val="single"/>
                <w:lang w:eastAsia="zh-CN"/>
              </w:rPr>
              <w:t>天然气</w:t>
            </w:r>
          </w:p>
        </w:tc>
        <w:tc>
          <w:tcPr>
            <w:tcW w:w="860" w:type="pct"/>
            <w:noWrap w:val="0"/>
            <w:vAlign w:val="center"/>
          </w:tcPr>
          <w:p>
            <w:pPr>
              <w:jc w:val="center"/>
              <w:rPr>
                <w:rFonts w:hint="default" w:eastAsia="宋体"/>
                <w:i w:val="0"/>
                <w:iCs w:val="0"/>
                <w:sz w:val="21"/>
                <w:szCs w:val="21"/>
                <w:u w:val="single"/>
                <w:lang w:val="en-US" w:eastAsia="zh-CN"/>
              </w:rPr>
            </w:pPr>
            <w:r>
              <w:rPr>
                <w:rFonts w:hint="eastAsia"/>
                <w:i w:val="0"/>
                <w:iCs w:val="0"/>
                <w:sz w:val="21"/>
                <w:szCs w:val="21"/>
                <w:u w:val="single"/>
                <w:lang w:val="en-US" w:eastAsia="zh-CN"/>
              </w:rPr>
              <w:t>240万m</w:t>
            </w:r>
            <w:r>
              <w:rPr>
                <w:rFonts w:hint="eastAsia"/>
                <w:i w:val="0"/>
                <w:iCs w:val="0"/>
                <w:sz w:val="21"/>
                <w:szCs w:val="21"/>
                <w:u w:val="single"/>
                <w:vertAlign w:val="superscript"/>
                <w:lang w:val="en-US" w:eastAsia="zh-CN"/>
              </w:rPr>
              <w:t>3</w:t>
            </w:r>
          </w:p>
        </w:tc>
        <w:tc>
          <w:tcPr>
            <w:tcW w:w="933"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w:t>
            </w:r>
          </w:p>
        </w:tc>
        <w:tc>
          <w:tcPr>
            <w:tcW w:w="935" w:type="pct"/>
            <w:tcBorders>
              <w:right w:val="nil"/>
            </w:tcBorders>
            <w:noWrap w:val="0"/>
            <w:vAlign w:val="center"/>
          </w:tcPr>
          <w:p>
            <w:pPr>
              <w:jc w:val="center"/>
              <w:rPr>
                <w:rFonts w:hint="eastAsia" w:eastAsia="宋体"/>
                <w:i w:val="0"/>
                <w:iCs w:val="0"/>
                <w:sz w:val="21"/>
                <w:szCs w:val="21"/>
                <w:u w:val="single"/>
                <w:lang w:eastAsia="zh-CN"/>
              </w:rPr>
            </w:pPr>
            <w:r>
              <w:rPr>
                <w:rFonts w:hint="eastAsia"/>
                <w:i w:val="0"/>
                <w:iCs w:val="0"/>
                <w:sz w:val="21"/>
                <w:szCs w:val="21"/>
                <w:u w:val="single"/>
                <w:lang w:eastAsia="zh-CN"/>
              </w:rPr>
              <w:t>管道</w:t>
            </w:r>
          </w:p>
        </w:tc>
        <w:tc>
          <w:tcPr>
            <w:tcW w:w="936" w:type="pct"/>
            <w:tcBorders>
              <w:right w:val="nil"/>
            </w:tcBorders>
            <w:noWrap w:val="0"/>
            <w:vAlign w:val="center"/>
          </w:tcPr>
          <w:p>
            <w:pPr>
              <w:jc w:val="center"/>
              <w:rPr>
                <w:rFonts w:hint="eastAsia" w:eastAsia="宋体"/>
                <w:i w:val="0"/>
                <w:iCs w:val="0"/>
                <w:sz w:val="21"/>
                <w:szCs w:val="21"/>
                <w:u w:val="single"/>
                <w:lang w:val="en-US" w:eastAsia="zh-CN"/>
              </w:rPr>
            </w:pPr>
            <w:r>
              <w:rPr>
                <w:rFonts w:hint="eastAsia"/>
                <w:i w:val="0"/>
                <w:iCs w:val="0"/>
                <w:sz w:val="21"/>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65" w:type="pct"/>
            <w:vMerge w:val="restart"/>
            <w:tcBorders>
              <w:left w:val="nil"/>
            </w:tcBorders>
            <w:noWrap w:val="0"/>
            <w:vAlign w:val="center"/>
          </w:tcPr>
          <w:p>
            <w:pPr>
              <w:adjustRightInd w:val="0"/>
              <w:snapToGrid w:val="0"/>
              <w:jc w:val="center"/>
              <w:rPr>
                <w:rFonts w:hint="eastAsia"/>
                <w:i w:val="0"/>
                <w:iCs w:val="0"/>
                <w:color w:val="000000"/>
                <w:sz w:val="21"/>
                <w:szCs w:val="21"/>
                <w:u w:val="single"/>
                <w:lang w:eastAsia="zh-CN"/>
              </w:rPr>
            </w:pPr>
            <w:r>
              <w:rPr>
                <w:rFonts w:hint="eastAsia"/>
                <w:i w:val="0"/>
                <w:iCs w:val="0"/>
                <w:color w:val="000000"/>
                <w:sz w:val="21"/>
                <w:szCs w:val="21"/>
                <w:u w:val="single"/>
                <w:lang w:eastAsia="zh-CN"/>
              </w:rPr>
              <w:t>污水站</w:t>
            </w:r>
          </w:p>
        </w:tc>
        <w:tc>
          <w:tcPr>
            <w:tcW w:w="966" w:type="pct"/>
            <w:noWrap w:val="0"/>
            <w:vAlign w:val="center"/>
          </w:tcPr>
          <w:p>
            <w:pPr>
              <w:jc w:val="center"/>
              <w:rPr>
                <w:rFonts w:hint="default"/>
                <w:i w:val="0"/>
                <w:iCs w:val="0"/>
                <w:sz w:val="21"/>
                <w:szCs w:val="21"/>
                <w:u w:val="single"/>
                <w:lang w:val="en-US" w:eastAsia="zh-CN"/>
              </w:rPr>
            </w:pPr>
            <w:r>
              <w:rPr>
                <w:rFonts w:hint="eastAsia"/>
                <w:i w:val="0"/>
                <w:iCs w:val="0"/>
                <w:sz w:val="21"/>
                <w:szCs w:val="21"/>
                <w:u w:val="single"/>
                <w:lang w:val="en-US" w:eastAsia="zh-CN"/>
              </w:rPr>
              <w:t>PAC</w:t>
            </w:r>
          </w:p>
        </w:tc>
        <w:tc>
          <w:tcPr>
            <w:tcW w:w="860" w:type="pct"/>
            <w:noWrap w:val="0"/>
            <w:vAlign w:val="center"/>
          </w:tcPr>
          <w:p>
            <w:pPr>
              <w:jc w:val="center"/>
              <w:rPr>
                <w:rFonts w:hint="default"/>
                <w:i w:val="0"/>
                <w:iCs w:val="0"/>
                <w:sz w:val="21"/>
                <w:szCs w:val="21"/>
                <w:u w:val="single"/>
                <w:lang w:val="en-US" w:eastAsia="zh-CN"/>
              </w:rPr>
            </w:pPr>
            <w:r>
              <w:rPr>
                <w:rFonts w:hint="eastAsia"/>
                <w:i w:val="0"/>
                <w:iCs w:val="0"/>
                <w:sz w:val="21"/>
                <w:szCs w:val="21"/>
                <w:u w:val="single"/>
                <w:lang w:val="en-US" w:eastAsia="zh-CN"/>
              </w:rPr>
              <w:t>20</w:t>
            </w:r>
          </w:p>
        </w:tc>
        <w:tc>
          <w:tcPr>
            <w:tcW w:w="933" w:type="pct"/>
            <w:tcBorders>
              <w:right w:val="nil"/>
            </w:tcBorders>
            <w:noWrap w:val="0"/>
            <w:vAlign w:val="center"/>
          </w:tcPr>
          <w:p>
            <w:pPr>
              <w:jc w:val="center"/>
              <w:rPr>
                <w:rFonts w:hint="eastAsia" w:eastAsia="宋体"/>
                <w:i w:val="0"/>
                <w:iCs w:val="0"/>
                <w:sz w:val="21"/>
                <w:szCs w:val="21"/>
                <w:u w:val="single"/>
                <w:lang w:val="en-US" w:eastAsia="zh-CN"/>
              </w:rPr>
            </w:pPr>
            <w:r>
              <w:rPr>
                <w:rFonts w:hint="eastAsia"/>
                <w:i w:val="0"/>
                <w:iCs w:val="0"/>
                <w:sz w:val="21"/>
                <w:szCs w:val="21"/>
                <w:u w:val="single"/>
                <w:lang w:val="en-US" w:eastAsia="zh-CN"/>
              </w:rPr>
              <w:t>/</w:t>
            </w:r>
          </w:p>
        </w:tc>
        <w:tc>
          <w:tcPr>
            <w:tcW w:w="935" w:type="pct"/>
            <w:tcBorders>
              <w:right w:val="nil"/>
            </w:tcBorders>
            <w:noWrap w:val="0"/>
            <w:vAlign w:val="center"/>
          </w:tcPr>
          <w:p>
            <w:pPr>
              <w:jc w:val="center"/>
              <w:rPr>
                <w:rFonts w:hint="eastAsia"/>
                <w:i w:val="0"/>
                <w:iCs w:val="0"/>
                <w:sz w:val="21"/>
                <w:szCs w:val="21"/>
                <w:u w:val="single"/>
                <w:lang w:eastAsia="zh-CN"/>
              </w:rPr>
            </w:pPr>
            <w:r>
              <w:rPr>
                <w:rFonts w:hint="eastAsia"/>
                <w:i w:val="0"/>
                <w:iCs w:val="0"/>
                <w:sz w:val="21"/>
                <w:szCs w:val="21"/>
                <w:u w:val="single"/>
              </w:rPr>
              <w:t>袋装</w:t>
            </w:r>
          </w:p>
        </w:tc>
        <w:tc>
          <w:tcPr>
            <w:tcW w:w="936" w:type="pct"/>
            <w:tcBorders>
              <w:right w:val="nil"/>
            </w:tcBorders>
            <w:noWrap w:val="0"/>
            <w:vAlign w:val="center"/>
          </w:tcPr>
          <w:p>
            <w:pPr>
              <w:jc w:val="center"/>
              <w:rPr>
                <w:rFonts w:hint="default"/>
                <w:i w:val="0"/>
                <w:iCs w:val="0"/>
                <w:sz w:val="21"/>
                <w:szCs w:val="21"/>
                <w:u w:val="single"/>
                <w:lang w:val="en-US" w:eastAsia="zh-CN"/>
              </w:rPr>
            </w:pPr>
            <w:r>
              <w:rPr>
                <w:rFonts w:hint="eastAsia"/>
                <w:i w:val="0"/>
                <w:iCs w:val="0"/>
                <w:sz w:val="21"/>
                <w:szCs w:val="21"/>
                <w:u w:val="single"/>
                <w:lang w:val="en-US" w:eastAsia="zh-CN"/>
              </w:rPr>
              <w:t>污水站内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65" w:type="pct"/>
            <w:vMerge w:val="continue"/>
            <w:tcBorders>
              <w:left w:val="nil"/>
            </w:tcBorders>
            <w:noWrap w:val="0"/>
            <w:vAlign w:val="center"/>
          </w:tcPr>
          <w:p>
            <w:pPr>
              <w:adjustRightInd w:val="0"/>
              <w:snapToGrid w:val="0"/>
              <w:jc w:val="center"/>
              <w:rPr>
                <w:rFonts w:hint="eastAsia"/>
                <w:i w:val="0"/>
                <w:iCs w:val="0"/>
                <w:color w:val="000000"/>
                <w:sz w:val="21"/>
                <w:szCs w:val="21"/>
                <w:u w:val="single"/>
                <w:lang w:eastAsia="zh-CN"/>
              </w:rPr>
            </w:pPr>
          </w:p>
        </w:tc>
        <w:tc>
          <w:tcPr>
            <w:tcW w:w="966" w:type="pct"/>
            <w:noWrap w:val="0"/>
            <w:vAlign w:val="center"/>
          </w:tcPr>
          <w:p>
            <w:pPr>
              <w:jc w:val="center"/>
              <w:rPr>
                <w:rFonts w:hint="default"/>
                <w:i w:val="0"/>
                <w:iCs w:val="0"/>
                <w:sz w:val="21"/>
                <w:szCs w:val="21"/>
                <w:u w:val="single"/>
                <w:lang w:val="en-US" w:eastAsia="zh-CN"/>
              </w:rPr>
            </w:pPr>
            <w:r>
              <w:rPr>
                <w:rFonts w:hint="eastAsia"/>
                <w:i w:val="0"/>
                <w:iCs w:val="0"/>
                <w:sz w:val="21"/>
                <w:szCs w:val="21"/>
                <w:u w:val="single"/>
                <w:lang w:val="en-US" w:eastAsia="zh-CN"/>
              </w:rPr>
              <w:t>PAM</w:t>
            </w:r>
          </w:p>
        </w:tc>
        <w:tc>
          <w:tcPr>
            <w:tcW w:w="860" w:type="pct"/>
            <w:noWrap w:val="0"/>
            <w:vAlign w:val="center"/>
          </w:tcPr>
          <w:p>
            <w:pPr>
              <w:jc w:val="center"/>
              <w:rPr>
                <w:rFonts w:hint="default"/>
                <w:i w:val="0"/>
                <w:iCs w:val="0"/>
                <w:sz w:val="21"/>
                <w:szCs w:val="21"/>
                <w:u w:val="single"/>
                <w:lang w:val="en-US" w:eastAsia="zh-CN"/>
              </w:rPr>
            </w:pPr>
            <w:r>
              <w:rPr>
                <w:rFonts w:hint="eastAsia"/>
                <w:i w:val="0"/>
                <w:iCs w:val="0"/>
                <w:sz w:val="21"/>
                <w:szCs w:val="21"/>
                <w:u w:val="single"/>
                <w:lang w:val="en-US" w:eastAsia="zh-CN"/>
              </w:rPr>
              <w:t>5</w:t>
            </w:r>
          </w:p>
        </w:tc>
        <w:tc>
          <w:tcPr>
            <w:tcW w:w="933" w:type="pct"/>
            <w:tcBorders>
              <w:right w:val="nil"/>
            </w:tcBorders>
            <w:noWrap w:val="0"/>
            <w:vAlign w:val="center"/>
          </w:tcPr>
          <w:p>
            <w:pPr>
              <w:jc w:val="center"/>
              <w:rPr>
                <w:rFonts w:hint="eastAsia" w:eastAsia="宋体"/>
                <w:i w:val="0"/>
                <w:iCs w:val="0"/>
                <w:sz w:val="21"/>
                <w:szCs w:val="21"/>
                <w:u w:val="single"/>
                <w:lang w:val="en-US" w:eastAsia="zh-CN"/>
              </w:rPr>
            </w:pPr>
            <w:r>
              <w:rPr>
                <w:rFonts w:hint="eastAsia"/>
                <w:i w:val="0"/>
                <w:iCs w:val="0"/>
                <w:sz w:val="21"/>
                <w:szCs w:val="21"/>
                <w:u w:val="single"/>
                <w:lang w:val="en-US" w:eastAsia="zh-CN"/>
              </w:rPr>
              <w:t>/</w:t>
            </w:r>
          </w:p>
        </w:tc>
        <w:tc>
          <w:tcPr>
            <w:tcW w:w="935" w:type="pct"/>
            <w:tcBorders>
              <w:right w:val="nil"/>
            </w:tcBorders>
            <w:noWrap w:val="0"/>
            <w:vAlign w:val="center"/>
          </w:tcPr>
          <w:p>
            <w:pPr>
              <w:jc w:val="center"/>
              <w:rPr>
                <w:rFonts w:hint="eastAsia"/>
                <w:i w:val="0"/>
                <w:iCs w:val="0"/>
                <w:sz w:val="21"/>
                <w:szCs w:val="21"/>
                <w:u w:val="single"/>
              </w:rPr>
            </w:pPr>
            <w:r>
              <w:rPr>
                <w:rFonts w:hint="eastAsia"/>
                <w:i w:val="0"/>
                <w:iCs w:val="0"/>
                <w:sz w:val="21"/>
                <w:szCs w:val="21"/>
                <w:u w:val="single"/>
              </w:rPr>
              <w:t>袋装</w:t>
            </w:r>
          </w:p>
        </w:tc>
        <w:tc>
          <w:tcPr>
            <w:tcW w:w="936" w:type="pct"/>
            <w:tcBorders>
              <w:right w:val="nil"/>
            </w:tcBorders>
            <w:noWrap w:val="0"/>
            <w:vAlign w:val="center"/>
          </w:tcPr>
          <w:p>
            <w:pPr>
              <w:jc w:val="center"/>
              <w:rPr>
                <w:rFonts w:hint="eastAsia"/>
                <w:i w:val="0"/>
                <w:iCs w:val="0"/>
                <w:sz w:val="21"/>
                <w:szCs w:val="21"/>
                <w:u w:val="single"/>
                <w:lang w:val="en-US" w:eastAsia="zh-CN"/>
              </w:rPr>
            </w:pPr>
            <w:r>
              <w:rPr>
                <w:rFonts w:hint="eastAsia"/>
                <w:i w:val="0"/>
                <w:iCs w:val="0"/>
                <w:sz w:val="21"/>
                <w:szCs w:val="21"/>
                <w:u w:val="single"/>
                <w:lang w:val="en-US" w:eastAsia="zh-CN"/>
              </w:rPr>
              <w:t>污水站内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65" w:type="pct"/>
            <w:vMerge w:val="continue"/>
            <w:tcBorders>
              <w:left w:val="nil"/>
              <w:bottom w:val="single" w:color="auto" w:sz="12" w:space="0"/>
            </w:tcBorders>
            <w:noWrap w:val="0"/>
            <w:vAlign w:val="center"/>
          </w:tcPr>
          <w:p>
            <w:pPr>
              <w:adjustRightInd w:val="0"/>
              <w:snapToGrid w:val="0"/>
              <w:jc w:val="center"/>
              <w:rPr>
                <w:rFonts w:hint="eastAsia"/>
                <w:i w:val="0"/>
                <w:iCs w:val="0"/>
                <w:color w:val="000000"/>
                <w:sz w:val="21"/>
                <w:szCs w:val="21"/>
                <w:u w:val="single"/>
                <w:lang w:eastAsia="zh-CN"/>
              </w:rPr>
            </w:pPr>
          </w:p>
        </w:tc>
        <w:tc>
          <w:tcPr>
            <w:tcW w:w="966" w:type="pct"/>
            <w:tcBorders>
              <w:bottom w:val="single" w:color="auto" w:sz="12" w:space="0"/>
            </w:tcBorders>
            <w:noWrap w:val="0"/>
            <w:vAlign w:val="center"/>
          </w:tcPr>
          <w:p>
            <w:pPr>
              <w:jc w:val="center"/>
              <w:rPr>
                <w:rFonts w:hint="eastAsia"/>
                <w:i w:val="0"/>
                <w:iCs w:val="0"/>
                <w:sz w:val="21"/>
                <w:szCs w:val="21"/>
                <w:u w:val="single"/>
                <w:lang w:val="en-US" w:eastAsia="zh-CN"/>
              </w:rPr>
            </w:pPr>
            <w:r>
              <w:rPr>
                <w:rFonts w:hint="eastAsia"/>
                <w:i w:val="0"/>
                <w:iCs w:val="0"/>
                <w:sz w:val="21"/>
                <w:szCs w:val="21"/>
                <w:u w:val="single"/>
                <w:lang w:val="en-US" w:eastAsia="zh-CN"/>
              </w:rPr>
              <w:t>液碱</w:t>
            </w:r>
          </w:p>
        </w:tc>
        <w:tc>
          <w:tcPr>
            <w:tcW w:w="860" w:type="pct"/>
            <w:tcBorders>
              <w:bottom w:val="single" w:color="auto" w:sz="12" w:space="0"/>
            </w:tcBorders>
            <w:noWrap w:val="0"/>
            <w:vAlign w:val="center"/>
          </w:tcPr>
          <w:p>
            <w:pPr>
              <w:jc w:val="center"/>
              <w:rPr>
                <w:rFonts w:hint="default"/>
                <w:i w:val="0"/>
                <w:iCs w:val="0"/>
                <w:sz w:val="21"/>
                <w:szCs w:val="21"/>
                <w:u w:val="single"/>
                <w:lang w:val="en-US" w:eastAsia="zh-CN"/>
              </w:rPr>
            </w:pPr>
            <w:r>
              <w:rPr>
                <w:rFonts w:hint="eastAsia"/>
                <w:i w:val="0"/>
                <w:iCs w:val="0"/>
                <w:sz w:val="21"/>
                <w:szCs w:val="21"/>
                <w:u w:val="single"/>
                <w:lang w:val="en-US" w:eastAsia="zh-CN"/>
              </w:rPr>
              <w:t>0.3</w:t>
            </w:r>
          </w:p>
        </w:tc>
        <w:tc>
          <w:tcPr>
            <w:tcW w:w="933" w:type="pct"/>
            <w:tcBorders>
              <w:bottom w:val="single" w:color="auto" w:sz="12" w:space="0"/>
              <w:right w:val="nil"/>
            </w:tcBorders>
            <w:noWrap w:val="0"/>
            <w:vAlign w:val="center"/>
          </w:tcPr>
          <w:p>
            <w:pPr>
              <w:jc w:val="center"/>
              <w:rPr>
                <w:rFonts w:hint="eastAsia"/>
                <w:i w:val="0"/>
                <w:iCs w:val="0"/>
                <w:sz w:val="21"/>
                <w:szCs w:val="21"/>
                <w:u w:val="single"/>
              </w:rPr>
            </w:pPr>
            <w:r>
              <w:rPr>
                <w:rFonts w:hint="eastAsia"/>
                <w:i w:val="0"/>
                <w:iCs w:val="0"/>
                <w:sz w:val="21"/>
                <w:szCs w:val="21"/>
                <w:u w:val="single"/>
                <w:lang w:val="en-US" w:eastAsia="zh-CN"/>
              </w:rPr>
              <w:t>/</w:t>
            </w:r>
          </w:p>
        </w:tc>
        <w:tc>
          <w:tcPr>
            <w:tcW w:w="935" w:type="pct"/>
            <w:tcBorders>
              <w:bottom w:val="single" w:color="auto" w:sz="12" w:space="0"/>
              <w:right w:val="nil"/>
            </w:tcBorders>
            <w:noWrap w:val="0"/>
            <w:vAlign w:val="center"/>
          </w:tcPr>
          <w:p>
            <w:pPr>
              <w:jc w:val="center"/>
              <w:rPr>
                <w:rFonts w:hint="eastAsia" w:eastAsia="宋体"/>
                <w:i w:val="0"/>
                <w:iCs w:val="0"/>
                <w:sz w:val="21"/>
                <w:szCs w:val="21"/>
                <w:u w:val="single"/>
                <w:lang w:eastAsia="zh-CN"/>
              </w:rPr>
            </w:pPr>
            <w:r>
              <w:rPr>
                <w:rFonts w:hint="eastAsia"/>
                <w:i w:val="0"/>
                <w:iCs w:val="0"/>
                <w:sz w:val="21"/>
                <w:szCs w:val="21"/>
                <w:u w:val="single"/>
                <w:lang w:eastAsia="zh-CN"/>
              </w:rPr>
              <w:t>桶装</w:t>
            </w:r>
          </w:p>
        </w:tc>
        <w:tc>
          <w:tcPr>
            <w:tcW w:w="936" w:type="pct"/>
            <w:tcBorders>
              <w:bottom w:val="single" w:color="auto" w:sz="12" w:space="0"/>
              <w:right w:val="nil"/>
            </w:tcBorders>
            <w:noWrap w:val="0"/>
            <w:vAlign w:val="center"/>
          </w:tcPr>
          <w:p>
            <w:pPr>
              <w:jc w:val="center"/>
              <w:rPr>
                <w:rFonts w:hint="eastAsia"/>
                <w:i w:val="0"/>
                <w:iCs w:val="0"/>
                <w:sz w:val="21"/>
                <w:szCs w:val="21"/>
                <w:u w:val="single"/>
                <w:lang w:val="en-US" w:eastAsia="zh-CN"/>
              </w:rPr>
            </w:pPr>
            <w:r>
              <w:rPr>
                <w:rFonts w:hint="eastAsia"/>
                <w:i w:val="0"/>
                <w:iCs w:val="0"/>
                <w:sz w:val="21"/>
                <w:szCs w:val="21"/>
                <w:u w:val="single"/>
                <w:lang w:val="en-US" w:eastAsia="zh-CN"/>
              </w:rPr>
              <w:t>污水站内</w:t>
            </w:r>
          </w:p>
        </w:tc>
      </w:tr>
      <w:bookmarkEnd w:id="82"/>
    </w:tbl>
    <w:p>
      <w:pPr>
        <w:spacing w:line="360" w:lineRule="auto"/>
        <w:ind w:firstLine="361" w:firstLineChars="200"/>
        <w:rPr>
          <w:rFonts w:hint="eastAsia"/>
          <w:i w:val="0"/>
          <w:iCs w:val="0"/>
          <w:sz w:val="18"/>
          <w:szCs w:val="18"/>
          <w:u w:val="single"/>
        </w:rPr>
      </w:pPr>
      <w:r>
        <w:rPr>
          <w:rFonts w:hint="eastAsia"/>
          <w:b/>
          <w:bCs/>
          <w:i w:val="0"/>
          <w:iCs w:val="0"/>
          <w:sz w:val="18"/>
          <w:szCs w:val="18"/>
          <w:u w:val="single"/>
        </w:rPr>
        <w:t>葡萄糖:</w:t>
      </w:r>
      <w:r>
        <w:rPr>
          <w:rFonts w:hint="eastAsia"/>
          <w:i w:val="0"/>
          <w:iCs w:val="0"/>
          <w:sz w:val="18"/>
          <w:szCs w:val="18"/>
          <w:u w:val="single"/>
        </w:rPr>
        <w:t>有机化合物，分子式C</w:t>
      </w:r>
      <w:r>
        <w:rPr>
          <w:rFonts w:hint="eastAsia"/>
          <w:i w:val="0"/>
          <w:iCs w:val="0"/>
          <w:sz w:val="18"/>
          <w:szCs w:val="18"/>
          <w:u w:val="single"/>
          <w:vertAlign w:val="subscript"/>
        </w:rPr>
        <w:t>6</w:t>
      </w:r>
      <w:r>
        <w:rPr>
          <w:rFonts w:hint="eastAsia"/>
          <w:i w:val="0"/>
          <w:iCs w:val="0"/>
          <w:sz w:val="18"/>
          <w:szCs w:val="18"/>
          <w:u w:val="single"/>
        </w:rPr>
        <w:t>H</w:t>
      </w:r>
      <w:r>
        <w:rPr>
          <w:rFonts w:hint="eastAsia"/>
          <w:i w:val="0"/>
          <w:iCs w:val="0"/>
          <w:sz w:val="18"/>
          <w:szCs w:val="18"/>
          <w:u w:val="single"/>
          <w:vertAlign w:val="subscript"/>
        </w:rPr>
        <w:t>12</w:t>
      </w:r>
      <w:r>
        <w:rPr>
          <w:rFonts w:hint="eastAsia"/>
          <w:i w:val="0"/>
          <w:iCs w:val="0"/>
          <w:sz w:val="18"/>
          <w:szCs w:val="18"/>
          <w:u w:val="single"/>
        </w:rPr>
        <w:t>O</w:t>
      </w:r>
      <w:r>
        <w:rPr>
          <w:rFonts w:hint="eastAsia"/>
          <w:i w:val="0"/>
          <w:iCs w:val="0"/>
          <w:sz w:val="18"/>
          <w:szCs w:val="18"/>
          <w:u w:val="single"/>
          <w:vertAlign w:val="subscript"/>
        </w:rPr>
        <w:t>6</w:t>
      </w:r>
      <w:r>
        <w:rPr>
          <w:rFonts w:hint="eastAsia"/>
          <w:i w:val="0"/>
          <w:iCs w:val="0"/>
          <w:sz w:val="18"/>
          <w:szCs w:val="18"/>
          <w:u w:val="single"/>
        </w:rPr>
        <w:t>。是自然界分布最广且最为重要的一种单糖，它是一种多羟基醛。纯净的葡萄糖为无色晶体，有甜味但甜味不如蔗糖，易溶于水，微溶于乙醇，不溶于乙醚。</w:t>
      </w:r>
    </w:p>
    <w:p>
      <w:pPr>
        <w:spacing w:line="360" w:lineRule="auto"/>
        <w:ind w:firstLine="361" w:firstLineChars="200"/>
        <w:rPr>
          <w:rFonts w:hint="eastAsia"/>
          <w:i w:val="0"/>
          <w:iCs w:val="0"/>
          <w:sz w:val="18"/>
          <w:szCs w:val="18"/>
          <w:u w:val="single"/>
        </w:rPr>
      </w:pPr>
      <w:r>
        <w:rPr>
          <w:rFonts w:hint="eastAsia"/>
          <w:b/>
          <w:bCs/>
          <w:i w:val="0"/>
          <w:iCs w:val="0"/>
          <w:sz w:val="18"/>
          <w:szCs w:val="18"/>
          <w:u w:val="single"/>
        </w:rPr>
        <w:t>酵母浸粉:</w:t>
      </w:r>
      <w:r>
        <w:rPr>
          <w:rFonts w:hint="eastAsia"/>
          <w:i w:val="0"/>
          <w:iCs w:val="0"/>
          <w:sz w:val="18"/>
          <w:szCs w:val="18"/>
          <w:u w:val="single"/>
        </w:rPr>
        <w:t>酵母浸粉采用高蛋白质含量的鲜面包酵母，经自溶抽提、离心分离、喷雾干燥等工艺精制而成。它富含蛋白质、氨基酸、多肽等物质，营养丰富。酵母浸粉外观:黄色粉末，气味:略带肉香味，风味:口感纯正、柔和，溶解性:良好，溶液较透亮；项目所用酵母浸粉水分≤6%，总氮(以N计，干基)12.0%，氨基氮(干基)4.0%;食盐(以NaCl计)≤2.0%，pH值(2%水溶液)4.5-6.5。</w:t>
      </w:r>
    </w:p>
    <w:p>
      <w:pPr>
        <w:spacing w:line="360" w:lineRule="auto"/>
        <w:ind w:firstLine="361" w:firstLineChars="200"/>
        <w:rPr>
          <w:rFonts w:hint="eastAsia"/>
          <w:i w:val="0"/>
          <w:iCs w:val="0"/>
          <w:sz w:val="18"/>
          <w:szCs w:val="18"/>
          <w:u w:val="single"/>
        </w:rPr>
      </w:pPr>
      <w:r>
        <w:rPr>
          <w:rFonts w:hint="eastAsia"/>
          <w:b/>
          <w:bCs/>
          <w:i w:val="0"/>
          <w:iCs w:val="0"/>
          <w:sz w:val="18"/>
          <w:szCs w:val="18"/>
          <w:u w:val="single"/>
        </w:rPr>
        <w:t>蛋白胨：</w:t>
      </w:r>
      <w:r>
        <w:rPr>
          <w:rFonts w:hint="eastAsia"/>
          <w:i w:val="0"/>
          <w:iCs w:val="0"/>
          <w:sz w:val="18"/>
          <w:szCs w:val="18"/>
          <w:u w:val="single"/>
        </w:rPr>
        <w:t>主要成分包括氮源、氨基酸、维生素和糖类。</w:t>
      </w:r>
      <w:r>
        <w:rPr>
          <w:i w:val="0"/>
          <w:iCs w:val="0"/>
          <w:sz w:val="18"/>
          <w:szCs w:val="18"/>
          <w:u w:val="single"/>
        </w:rPr>
        <w:t>它是通过将肉、酪素或明胶用酸或蛋白酶水解后干燥而成的淡黄色粉剂，具有肉香的特殊气息。</w:t>
      </w:r>
    </w:p>
    <w:p>
      <w:pPr>
        <w:spacing w:line="360" w:lineRule="auto"/>
        <w:ind w:firstLine="361" w:firstLineChars="200"/>
        <w:rPr>
          <w:rFonts w:ascii="Helvetica" w:hAnsi="Helvetica" w:eastAsia="Helvetica" w:cs="Helvetica"/>
          <w:i w:val="0"/>
          <w:iCs w:val="0"/>
          <w:color w:val="333333"/>
          <w:sz w:val="21"/>
          <w:szCs w:val="21"/>
          <w:u w:val="single"/>
          <w:shd w:val="clear" w:color="auto" w:fill="FFFFFF"/>
        </w:rPr>
      </w:pPr>
      <w:r>
        <w:rPr>
          <w:rFonts w:hint="eastAsia"/>
          <w:b/>
          <w:bCs/>
          <w:i w:val="0"/>
          <w:iCs w:val="0"/>
          <w:sz w:val="18"/>
          <w:szCs w:val="18"/>
          <w:u w:val="single"/>
        </w:rPr>
        <w:t>柠檬酸：</w:t>
      </w:r>
      <w:r>
        <w:rPr>
          <w:rFonts w:hint="eastAsia"/>
          <w:i w:val="0"/>
          <w:iCs w:val="0"/>
          <w:sz w:val="18"/>
          <w:szCs w:val="18"/>
          <w:u w:val="single"/>
        </w:rPr>
        <w:t>又名</w:t>
      </w:r>
      <w:r>
        <w:rPr>
          <w:i w:val="0"/>
          <w:iCs w:val="0"/>
          <w:sz w:val="18"/>
          <w:szCs w:val="18"/>
          <w:u w:val="single"/>
        </w:rPr>
        <w:fldChar w:fldCharType="begin"/>
      </w:r>
      <w:r>
        <w:rPr>
          <w:i w:val="0"/>
          <w:iCs w:val="0"/>
          <w:sz w:val="18"/>
          <w:szCs w:val="18"/>
          <w:u w:val="single"/>
        </w:rPr>
        <w:instrText xml:space="preserve"> HYPERLINK "https://baike.baidu.com/item/%E6%9E%B8%E6%A9%BC%E9%85%B8/1188933?fromModule=lemma_inlink" \t "https://baike.baidu.com/item/%E6%9F%A0%E6%AA%AC%E9%85%B8/_blank" </w:instrText>
      </w:r>
      <w:r>
        <w:rPr>
          <w:i w:val="0"/>
          <w:iCs w:val="0"/>
          <w:sz w:val="18"/>
          <w:szCs w:val="18"/>
          <w:u w:val="single"/>
        </w:rPr>
        <w:fldChar w:fldCharType="separate"/>
      </w:r>
      <w:r>
        <w:rPr>
          <w:i w:val="0"/>
          <w:iCs w:val="0"/>
          <w:sz w:val="18"/>
          <w:szCs w:val="18"/>
          <w:u w:val="single"/>
        </w:rPr>
        <w:t>枸橼酸</w:t>
      </w:r>
      <w:r>
        <w:rPr>
          <w:i w:val="0"/>
          <w:iCs w:val="0"/>
          <w:sz w:val="18"/>
          <w:szCs w:val="18"/>
          <w:u w:val="single"/>
        </w:rPr>
        <w:fldChar w:fldCharType="end"/>
      </w:r>
      <w:r>
        <w:rPr>
          <w:i w:val="0"/>
          <w:iCs w:val="0"/>
          <w:sz w:val="18"/>
          <w:szCs w:val="18"/>
          <w:u w:val="single"/>
        </w:rPr>
        <w:t>，分子式为</w:t>
      </w:r>
      <w:r>
        <w:rPr>
          <w:rFonts w:hint="eastAsia"/>
          <w:i w:val="0"/>
          <w:iCs w:val="0"/>
          <w:sz w:val="18"/>
          <w:szCs w:val="18"/>
          <w:u w:val="single"/>
        </w:rPr>
        <w:t>C</w:t>
      </w:r>
      <w:r>
        <w:rPr>
          <w:rFonts w:hint="eastAsia"/>
          <w:i w:val="0"/>
          <w:iCs w:val="0"/>
          <w:sz w:val="18"/>
          <w:szCs w:val="18"/>
          <w:u w:val="single"/>
          <w:vertAlign w:val="subscript"/>
        </w:rPr>
        <w:t>6</w:t>
      </w:r>
      <w:r>
        <w:rPr>
          <w:rFonts w:hint="eastAsia"/>
          <w:i w:val="0"/>
          <w:iCs w:val="0"/>
          <w:sz w:val="18"/>
          <w:szCs w:val="18"/>
          <w:u w:val="single"/>
        </w:rPr>
        <w:t>H</w:t>
      </w:r>
      <w:r>
        <w:rPr>
          <w:rFonts w:hint="eastAsia"/>
          <w:i w:val="0"/>
          <w:iCs w:val="0"/>
          <w:sz w:val="18"/>
          <w:szCs w:val="18"/>
          <w:u w:val="single"/>
          <w:vertAlign w:val="subscript"/>
        </w:rPr>
        <w:t>8</w:t>
      </w:r>
      <w:r>
        <w:rPr>
          <w:rFonts w:hint="eastAsia"/>
          <w:i w:val="0"/>
          <w:iCs w:val="0"/>
          <w:sz w:val="18"/>
          <w:szCs w:val="18"/>
          <w:u w:val="single"/>
        </w:rPr>
        <w:t>O</w:t>
      </w:r>
      <w:r>
        <w:rPr>
          <w:rFonts w:hint="eastAsia"/>
          <w:i w:val="0"/>
          <w:iCs w:val="0"/>
          <w:sz w:val="18"/>
          <w:szCs w:val="18"/>
          <w:u w:val="single"/>
          <w:vertAlign w:val="subscript"/>
        </w:rPr>
        <w:t>7</w:t>
      </w:r>
      <w:r>
        <w:rPr>
          <w:i w:val="0"/>
          <w:iCs w:val="0"/>
          <w:sz w:val="18"/>
          <w:szCs w:val="18"/>
          <w:u w:val="single"/>
        </w:rPr>
        <w:t>，是一种重要的有机弱酸，为无色晶体，无臭，易溶于水，溶液显酸性。</w:t>
      </w:r>
    </w:p>
    <w:p>
      <w:pPr>
        <w:spacing w:line="360" w:lineRule="auto"/>
        <w:ind w:firstLine="361" w:firstLineChars="200"/>
        <w:rPr>
          <w:b/>
          <w:bCs/>
          <w:i w:val="0"/>
          <w:iCs w:val="0"/>
          <w:sz w:val="18"/>
          <w:szCs w:val="18"/>
          <w:u w:val="single"/>
        </w:rPr>
      </w:pPr>
      <w:r>
        <w:rPr>
          <w:rFonts w:hint="eastAsia"/>
          <w:b/>
          <w:bCs/>
          <w:i w:val="0"/>
          <w:iCs w:val="0"/>
          <w:sz w:val="18"/>
          <w:szCs w:val="18"/>
          <w:u w:val="single"/>
        </w:rPr>
        <w:t>氨水：</w:t>
      </w:r>
      <w:r>
        <w:rPr>
          <w:rFonts w:hint="eastAsia"/>
          <w:i w:val="0"/>
          <w:iCs w:val="0"/>
          <w:sz w:val="18"/>
          <w:szCs w:val="18"/>
          <w:u w:val="single"/>
        </w:rPr>
        <w:t>氨的水溶液，主要成分为NH</w:t>
      </w:r>
      <w:r>
        <w:rPr>
          <w:i w:val="0"/>
          <w:iCs w:val="0"/>
          <w:sz w:val="18"/>
          <w:szCs w:val="18"/>
          <w:u w:val="single"/>
          <w:vertAlign w:val="subscript"/>
        </w:rPr>
        <w:t>3</w:t>
      </w:r>
      <w:r>
        <w:rPr>
          <w:i w:val="0"/>
          <w:iCs w:val="0"/>
          <w:sz w:val="18"/>
          <w:szCs w:val="18"/>
          <w:u w:val="single"/>
        </w:rPr>
        <w:t>·H</w:t>
      </w:r>
      <w:r>
        <w:rPr>
          <w:i w:val="0"/>
          <w:iCs w:val="0"/>
          <w:sz w:val="18"/>
          <w:szCs w:val="18"/>
          <w:u w:val="single"/>
          <w:vertAlign w:val="subscript"/>
        </w:rPr>
        <w:t>2</w:t>
      </w:r>
      <w:r>
        <w:rPr>
          <w:i w:val="0"/>
          <w:iCs w:val="0"/>
          <w:sz w:val="18"/>
          <w:szCs w:val="18"/>
          <w:u w:val="single"/>
        </w:rPr>
        <w:t>O，无色透明且具有刺激性气味。氨水易挥发，具有部分碱的通性，由氨气通入水中制得。</w:t>
      </w:r>
    </w:p>
    <w:p>
      <w:pPr>
        <w:spacing w:line="360" w:lineRule="auto"/>
        <w:ind w:firstLine="361" w:firstLineChars="200"/>
        <w:rPr>
          <w:rFonts w:hint="eastAsia"/>
          <w:i w:val="0"/>
          <w:iCs w:val="0"/>
          <w:sz w:val="18"/>
          <w:szCs w:val="18"/>
          <w:u w:val="single"/>
        </w:rPr>
      </w:pPr>
      <w:r>
        <w:rPr>
          <w:rFonts w:hint="eastAsia"/>
          <w:b/>
          <w:bCs/>
          <w:i w:val="0"/>
          <w:iCs w:val="0"/>
          <w:sz w:val="18"/>
          <w:szCs w:val="18"/>
          <w:u w:val="single"/>
        </w:rPr>
        <w:t>消泡剂:</w:t>
      </w:r>
      <w:r>
        <w:rPr>
          <w:rFonts w:hint="eastAsia"/>
          <w:i w:val="0"/>
          <w:iCs w:val="0"/>
          <w:sz w:val="18"/>
          <w:szCs w:val="18"/>
          <w:u w:val="single"/>
        </w:rPr>
        <w:t>又称为抗泡剂，在工业生产的过程中会产生许多有害泡沫，需要添加消泡剂。广泛应用于清除胶乳、纺织上浆、食品发酵、生物医药、涂料、石油化工、造纸、工业清洗等行业生产过程中产生的有害泡沫。本项目消泡剂采用有机硅。</w:t>
      </w:r>
    </w:p>
    <w:p>
      <w:pPr>
        <w:ind w:firstLine="482" w:firstLineChars="200"/>
        <w:jc w:val="center"/>
        <w:rPr>
          <w:rFonts w:hint="eastAsia"/>
          <w:b/>
          <w:i w:val="0"/>
          <w:iCs w:val="0"/>
          <w:u w:val="single"/>
          <w:lang w:eastAsia="zh-CN"/>
        </w:rPr>
      </w:pPr>
      <w:r>
        <w:rPr>
          <w:rFonts w:hint="eastAsia"/>
          <w:b/>
          <w:i w:val="0"/>
          <w:iCs w:val="0"/>
          <w:u w:val="single"/>
          <w:lang w:eastAsia="zh-CN"/>
        </w:rPr>
        <w:t>表</w:t>
      </w:r>
      <w:r>
        <w:rPr>
          <w:rFonts w:hint="eastAsia"/>
          <w:b/>
          <w:i w:val="0"/>
          <w:iCs w:val="0"/>
          <w:u w:val="single"/>
          <w:lang w:val="en-US" w:eastAsia="zh-CN"/>
        </w:rPr>
        <w:t>3-8 天然气</w:t>
      </w:r>
      <w:r>
        <w:rPr>
          <w:rFonts w:hint="eastAsia"/>
          <w:b/>
          <w:i w:val="0"/>
          <w:iCs w:val="0"/>
          <w:u w:val="single"/>
          <w:lang w:eastAsia="zh-CN"/>
        </w:rPr>
        <w:t>燃料参数表</w:t>
      </w:r>
    </w:p>
    <w:tbl>
      <w:tblPr>
        <w:tblStyle w:val="5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60"/>
        <w:gridCol w:w="3107"/>
        <w:gridCol w:w="2510"/>
        <w:gridCol w:w="263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66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rPr>
            </w:pPr>
            <w:r>
              <w:rPr>
                <w:rFonts w:hint="default"/>
                <w:i w:val="0"/>
                <w:iCs w:val="0"/>
                <w:sz w:val="21"/>
                <w:szCs w:val="21"/>
                <w:u w:val="single"/>
              </w:rPr>
              <w:t>序  号</w:t>
            </w:r>
          </w:p>
        </w:tc>
        <w:tc>
          <w:tcPr>
            <w:tcW w:w="163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rPr>
            </w:pPr>
            <w:r>
              <w:rPr>
                <w:rFonts w:hint="default"/>
                <w:i w:val="0"/>
                <w:iCs w:val="0"/>
                <w:sz w:val="21"/>
                <w:szCs w:val="21"/>
                <w:u w:val="single"/>
              </w:rPr>
              <w:t>项目</w:t>
            </w:r>
          </w:p>
        </w:tc>
        <w:tc>
          <w:tcPr>
            <w:tcW w:w="131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rPr>
            </w:pPr>
            <w:r>
              <w:rPr>
                <w:rFonts w:hint="default"/>
                <w:i w:val="0"/>
                <w:iCs w:val="0"/>
                <w:sz w:val="21"/>
                <w:szCs w:val="21"/>
                <w:u w:val="single"/>
              </w:rPr>
              <w:t>单位</w:t>
            </w:r>
          </w:p>
        </w:tc>
        <w:tc>
          <w:tcPr>
            <w:tcW w:w="138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rPr>
            </w:pPr>
            <w:r>
              <w:rPr>
                <w:rFonts w:hint="default"/>
                <w:i w:val="0"/>
                <w:iCs w:val="0"/>
                <w:sz w:val="21"/>
                <w:szCs w:val="21"/>
                <w:u w:val="single"/>
              </w:rPr>
              <w:t>数值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66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i w:val="0"/>
                <w:iCs w:val="0"/>
                <w:sz w:val="21"/>
                <w:szCs w:val="21"/>
                <w:u w:val="single"/>
                <w:lang w:eastAsia="zh-CN"/>
              </w:rPr>
            </w:pPr>
            <w:r>
              <w:rPr>
                <w:rFonts w:hint="eastAsia"/>
                <w:i w:val="0"/>
                <w:iCs w:val="0"/>
                <w:sz w:val="21"/>
                <w:szCs w:val="21"/>
                <w:u w:val="single"/>
                <w:lang w:val="en-US" w:eastAsia="zh-CN"/>
              </w:rPr>
              <w:t>1</w:t>
            </w:r>
          </w:p>
        </w:tc>
        <w:tc>
          <w:tcPr>
            <w:tcW w:w="163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甲烷</w:t>
            </w:r>
          </w:p>
        </w:tc>
        <w:tc>
          <w:tcPr>
            <w:tcW w:w="131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rPr>
            </w:pPr>
            <w:r>
              <w:rPr>
                <w:rFonts w:hint="default"/>
                <w:i w:val="0"/>
                <w:iCs w:val="0"/>
                <w:sz w:val="21"/>
                <w:szCs w:val="21"/>
                <w:u w:val="single"/>
              </w:rPr>
              <w:t>%</w:t>
            </w:r>
          </w:p>
        </w:tc>
        <w:tc>
          <w:tcPr>
            <w:tcW w:w="138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92.93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66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i w:val="0"/>
                <w:iCs w:val="0"/>
                <w:sz w:val="21"/>
                <w:szCs w:val="21"/>
                <w:u w:val="single"/>
                <w:lang w:eastAsia="zh-CN"/>
              </w:rPr>
            </w:pPr>
            <w:r>
              <w:rPr>
                <w:rFonts w:hint="eastAsia"/>
                <w:i w:val="0"/>
                <w:iCs w:val="0"/>
                <w:sz w:val="21"/>
                <w:szCs w:val="21"/>
                <w:u w:val="single"/>
                <w:lang w:val="en-US" w:eastAsia="zh-CN"/>
              </w:rPr>
              <w:t>2</w:t>
            </w:r>
          </w:p>
        </w:tc>
        <w:tc>
          <w:tcPr>
            <w:tcW w:w="163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乙烷</w:t>
            </w:r>
          </w:p>
        </w:tc>
        <w:tc>
          <w:tcPr>
            <w:tcW w:w="131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rPr>
            </w:pPr>
            <w:r>
              <w:rPr>
                <w:rFonts w:hint="default"/>
                <w:i w:val="0"/>
                <w:iCs w:val="0"/>
                <w:sz w:val="21"/>
                <w:szCs w:val="21"/>
                <w:u w:val="single"/>
              </w:rPr>
              <w:t>%</w:t>
            </w:r>
          </w:p>
        </w:tc>
        <w:tc>
          <w:tcPr>
            <w:tcW w:w="138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1.33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66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i w:val="0"/>
                <w:iCs w:val="0"/>
                <w:sz w:val="21"/>
                <w:szCs w:val="21"/>
                <w:u w:val="single"/>
                <w:lang w:eastAsia="zh-CN"/>
              </w:rPr>
            </w:pPr>
            <w:r>
              <w:rPr>
                <w:rFonts w:hint="eastAsia"/>
                <w:i w:val="0"/>
                <w:iCs w:val="0"/>
                <w:sz w:val="21"/>
                <w:szCs w:val="21"/>
                <w:u w:val="single"/>
                <w:lang w:val="en-US" w:eastAsia="zh-CN"/>
              </w:rPr>
              <w:t>3</w:t>
            </w:r>
          </w:p>
        </w:tc>
        <w:tc>
          <w:tcPr>
            <w:tcW w:w="163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丙烷</w:t>
            </w:r>
          </w:p>
        </w:tc>
        <w:tc>
          <w:tcPr>
            <w:tcW w:w="131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rPr>
            </w:pPr>
            <w:r>
              <w:rPr>
                <w:rFonts w:hint="default"/>
                <w:i w:val="0"/>
                <w:iCs w:val="0"/>
                <w:sz w:val="21"/>
                <w:szCs w:val="21"/>
                <w:u w:val="single"/>
              </w:rPr>
              <w:t>%</w:t>
            </w:r>
          </w:p>
        </w:tc>
        <w:tc>
          <w:tcPr>
            <w:tcW w:w="138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1.56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66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i w:val="0"/>
                <w:iCs w:val="0"/>
                <w:sz w:val="21"/>
                <w:szCs w:val="21"/>
                <w:u w:val="single"/>
                <w:lang w:eastAsia="zh-CN"/>
              </w:rPr>
            </w:pPr>
            <w:r>
              <w:rPr>
                <w:rFonts w:hint="eastAsia"/>
                <w:i w:val="0"/>
                <w:iCs w:val="0"/>
                <w:sz w:val="21"/>
                <w:szCs w:val="21"/>
                <w:u w:val="single"/>
                <w:lang w:val="en-US" w:eastAsia="zh-CN"/>
              </w:rPr>
              <w:t>4</w:t>
            </w:r>
          </w:p>
        </w:tc>
        <w:tc>
          <w:tcPr>
            <w:tcW w:w="163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正丁烷</w:t>
            </w:r>
          </w:p>
        </w:tc>
        <w:tc>
          <w:tcPr>
            <w:tcW w:w="131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rPr>
            </w:pPr>
            <w:r>
              <w:rPr>
                <w:rFonts w:hint="default"/>
                <w:i w:val="0"/>
                <w:iCs w:val="0"/>
                <w:sz w:val="21"/>
                <w:szCs w:val="21"/>
                <w:u w:val="single"/>
              </w:rPr>
              <w:t>%</w:t>
            </w:r>
          </w:p>
        </w:tc>
        <w:tc>
          <w:tcPr>
            <w:tcW w:w="138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0.16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25" w:hRule="atLeast"/>
          <w:tblHeader/>
          <w:jc w:val="center"/>
        </w:trPr>
        <w:tc>
          <w:tcPr>
            <w:tcW w:w="66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i w:val="0"/>
                <w:iCs w:val="0"/>
                <w:sz w:val="21"/>
                <w:szCs w:val="21"/>
                <w:u w:val="single"/>
                <w:lang w:eastAsia="zh-CN"/>
              </w:rPr>
            </w:pPr>
            <w:r>
              <w:rPr>
                <w:rFonts w:hint="eastAsia"/>
                <w:i w:val="0"/>
                <w:iCs w:val="0"/>
                <w:sz w:val="21"/>
                <w:szCs w:val="21"/>
                <w:u w:val="single"/>
                <w:lang w:val="en-US" w:eastAsia="zh-CN"/>
              </w:rPr>
              <w:t>5</w:t>
            </w:r>
          </w:p>
        </w:tc>
        <w:tc>
          <w:tcPr>
            <w:tcW w:w="163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异丁烷</w:t>
            </w:r>
          </w:p>
        </w:tc>
        <w:tc>
          <w:tcPr>
            <w:tcW w:w="131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rPr>
            </w:pPr>
            <w:r>
              <w:rPr>
                <w:rFonts w:hint="default"/>
                <w:i w:val="0"/>
                <w:iCs w:val="0"/>
                <w:sz w:val="21"/>
                <w:szCs w:val="21"/>
                <w:u w:val="single"/>
              </w:rPr>
              <w:t>%</w:t>
            </w:r>
          </w:p>
        </w:tc>
        <w:tc>
          <w:tcPr>
            <w:tcW w:w="138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0.34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66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i w:val="0"/>
                <w:iCs w:val="0"/>
                <w:sz w:val="21"/>
                <w:szCs w:val="21"/>
                <w:u w:val="single"/>
                <w:lang w:eastAsia="zh-CN"/>
              </w:rPr>
            </w:pPr>
            <w:r>
              <w:rPr>
                <w:rFonts w:hint="eastAsia"/>
                <w:i w:val="0"/>
                <w:iCs w:val="0"/>
                <w:sz w:val="21"/>
                <w:szCs w:val="21"/>
                <w:u w:val="single"/>
                <w:lang w:val="en-US" w:eastAsia="zh-CN"/>
              </w:rPr>
              <w:t>6</w:t>
            </w:r>
          </w:p>
        </w:tc>
        <w:tc>
          <w:tcPr>
            <w:tcW w:w="163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异戊烷</w:t>
            </w:r>
          </w:p>
        </w:tc>
        <w:tc>
          <w:tcPr>
            <w:tcW w:w="131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rPr>
            </w:pPr>
            <w:r>
              <w:rPr>
                <w:rFonts w:hint="default"/>
                <w:i w:val="0"/>
                <w:iCs w:val="0"/>
                <w:sz w:val="21"/>
                <w:szCs w:val="21"/>
                <w:u w:val="single"/>
              </w:rPr>
              <w:t>%</w:t>
            </w:r>
          </w:p>
        </w:tc>
        <w:tc>
          <w:tcPr>
            <w:tcW w:w="138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66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7</w:t>
            </w:r>
          </w:p>
        </w:tc>
        <w:tc>
          <w:tcPr>
            <w:tcW w:w="163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正戊烷</w:t>
            </w:r>
          </w:p>
        </w:tc>
        <w:tc>
          <w:tcPr>
            <w:tcW w:w="131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rPr>
            </w:pPr>
            <w:r>
              <w:rPr>
                <w:rFonts w:hint="default"/>
                <w:i w:val="0"/>
                <w:iCs w:val="0"/>
                <w:sz w:val="21"/>
                <w:szCs w:val="21"/>
                <w:u w:val="single"/>
              </w:rPr>
              <w:t>%</w:t>
            </w:r>
          </w:p>
        </w:tc>
        <w:tc>
          <w:tcPr>
            <w:tcW w:w="138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66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8</w:t>
            </w:r>
          </w:p>
        </w:tc>
        <w:tc>
          <w:tcPr>
            <w:tcW w:w="163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新戊烷</w:t>
            </w:r>
          </w:p>
        </w:tc>
        <w:tc>
          <w:tcPr>
            <w:tcW w:w="131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rPr>
            </w:pPr>
            <w:r>
              <w:rPr>
                <w:rFonts w:hint="default"/>
                <w:i w:val="0"/>
                <w:iCs w:val="0"/>
                <w:sz w:val="21"/>
                <w:szCs w:val="21"/>
                <w:u w:val="single"/>
              </w:rPr>
              <w:t>%</w:t>
            </w:r>
          </w:p>
        </w:tc>
        <w:tc>
          <w:tcPr>
            <w:tcW w:w="138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66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9</w:t>
            </w:r>
          </w:p>
        </w:tc>
        <w:tc>
          <w:tcPr>
            <w:tcW w:w="163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己烷和更重组分</w:t>
            </w:r>
          </w:p>
        </w:tc>
        <w:tc>
          <w:tcPr>
            <w:tcW w:w="131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rPr>
            </w:pPr>
            <w:r>
              <w:rPr>
                <w:rFonts w:hint="default"/>
                <w:i w:val="0"/>
                <w:iCs w:val="0"/>
                <w:sz w:val="21"/>
                <w:szCs w:val="21"/>
                <w:u w:val="single"/>
              </w:rPr>
              <w:t>%</w:t>
            </w:r>
          </w:p>
        </w:tc>
        <w:tc>
          <w:tcPr>
            <w:tcW w:w="138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i w:val="0"/>
                <w:iCs w:val="0"/>
                <w:sz w:val="21"/>
                <w:szCs w:val="21"/>
                <w:u w:val="single"/>
                <w:lang w:val="en-US" w:eastAsia="zh-CN"/>
              </w:rPr>
            </w:pPr>
            <w:r>
              <w:rPr>
                <w:rFonts w:hint="eastAsia"/>
                <w:i w:val="0"/>
                <w:iCs w:val="0"/>
                <w:sz w:val="21"/>
                <w:szCs w:val="21"/>
                <w:u w:val="singl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66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10</w:t>
            </w:r>
          </w:p>
        </w:tc>
        <w:tc>
          <w:tcPr>
            <w:tcW w:w="163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氦</w:t>
            </w:r>
          </w:p>
        </w:tc>
        <w:tc>
          <w:tcPr>
            <w:tcW w:w="131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rPr>
            </w:pPr>
            <w:r>
              <w:rPr>
                <w:rFonts w:hint="default"/>
                <w:i w:val="0"/>
                <w:iCs w:val="0"/>
                <w:sz w:val="21"/>
                <w:szCs w:val="21"/>
                <w:u w:val="single"/>
              </w:rPr>
              <w:t>%</w:t>
            </w:r>
          </w:p>
        </w:tc>
        <w:tc>
          <w:tcPr>
            <w:tcW w:w="138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i w:val="0"/>
                <w:iCs w:val="0"/>
                <w:sz w:val="21"/>
                <w:szCs w:val="21"/>
                <w:u w:val="single"/>
                <w:lang w:val="en-US" w:eastAsia="zh-CN"/>
              </w:rPr>
            </w:pPr>
            <w:r>
              <w:rPr>
                <w:rFonts w:hint="eastAsia"/>
                <w:i w:val="0"/>
                <w:iCs w:val="0"/>
                <w:sz w:val="21"/>
                <w:szCs w:val="21"/>
                <w:u w:val="singl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66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11</w:t>
            </w:r>
          </w:p>
        </w:tc>
        <w:tc>
          <w:tcPr>
            <w:tcW w:w="163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氢</w:t>
            </w:r>
          </w:p>
        </w:tc>
        <w:tc>
          <w:tcPr>
            <w:tcW w:w="131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rPr>
            </w:pPr>
            <w:r>
              <w:rPr>
                <w:rFonts w:hint="default"/>
                <w:i w:val="0"/>
                <w:iCs w:val="0"/>
                <w:sz w:val="21"/>
                <w:szCs w:val="21"/>
                <w:u w:val="single"/>
              </w:rPr>
              <w:t>%</w:t>
            </w:r>
          </w:p>
        </w:tc>
        <w:tc>
          <w:tcPr>
            <w:tcW w:w="138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i w:val="0"/>
                <w:iCs w:val="0"/>
                <w:sz w:val="21"/>
                <w:szCs w:val="21"/>
                <w:u w:val="single"/>
                <w:lang w:val="en-US" w:eastAsia="zh-CN"/>
              </w:rPr>
            </w:pPr>
            <w:r>
              <w:rPr>
                <w:rFonts w:hint="eastAsia"/>
                <w:i w:val="0"/>
                <w:iCs w:val="0"/>
                <w:sz w:val="21"/>
                <w:szCs w:val="21"/>
                <w:u w:val="singl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12" w:hRule="atLeast"/>
          <w:tblHeader/>
          <w:jc w:val="center"/>
        </w:trPr>
        <w:tc>
          <w:tcPr>
            <w:tcW w:w="66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12</w:t>
            </w:r>
          </w:p>
        </w:tc>
        <w:tc>
          <w:tcPr>
            <w:tcW w:w="163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氧</w:t>
            </w:r>
          </w:p>
        </w:tc>
        <w:tc>
          <w:tcPr>
            <w:tcW w:w="131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rPr>
            </w:pPr>
            <w:r>
              <w:rPr>
                <w:rFonts w:hint="default"/>
                <w:i w:val="0"/>
                <w:iCs w:val="0"/>
                <w:sz w:val="21"/>
                <w:szCs w:val="21"/>
                <w:u w:val="single"/>
              </w:rPr>
              <w:t>%</w:t>
            </w:r>
          </w:p>
        </w:tc>
        <w:tc>
          <w:tcPr>
            <w:tcW w:w="138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0.38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66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13</w:t>
            </w:r>
          </w:p>
        </w:tc>
        <w:tc>
          <w:tcPr>
            <w:tcW w:w="163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氮</w:t>
            </w:r>
          </w:p>
        </w:tc>
        <w:tc>
          <w:tcPr>
            <w:tcW w:w="131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rPr>
            </w:pPr>
            <w:r>
              <w:rPr>
                <w:rFonts w:hint="default"/>
                <w:i w:val="0"/>
                <w:iCs w:val="0"/>
                <w:sz w:val="21"/>
                <w:szCs w:val="21"/>
                <w:u w:val="single"/>
              </w:rPr>
              <w:t>%</w:t>
            </w:r>
          </w:p>
        </w:tc>
        <w:tc>
          <w:tcPr>
            <w:tcW w:w="138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3.18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6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14</w:t>
            </w:r>
          </w:p>
        </w:tc>
        <w:tc>
          <w:tcPr>
            <w:tcW w:w="163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一氧化碳</w:t>
            </w:r>
          </w:p>
        </w:tc>
        <w:tc>
          <w:tcPr>
            <w:tcW w:w="131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rPr>
            </w:pPr>
            <w:r>
              <w:rPr>
                <w:rFonts w:hint="default"/>
                <w:i w:val="0"/>
                <w:iCs w:val="0"/>
                <w:sz w:val="21"/>
                <w:szCs w:val="21"/>
                <w:u w:val="single"/>
              </w:rPr>
              <w:t>%</w:t>
            </w:r>
          </w:p>
        </w:tc>
        <w:tc>
          <w:tcPr>
            <w:tcW w:w="138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i w:val="0"/>
                <w:iCs w:val="0"/>
                <w:sz w:val="21"/>
                <w:szCs w:val="21"/>
                <w:u w:val="single"/>
                <w:lang w:val="en-US" w:eastAsia="zh-CN"/>
              </w:rPr>
            </w:pPr>
            <w:r>
              <w:rPr>
                <w:rFonts w:hint="eastAsia"/>
                <w:i w:val="0"/>
                <w:iCs w:val="0"/>
                <w:sz w:val="21"/>
                <w:szCs w:val="21"/>
                <w:u w:val="singl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66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15</w:t>
            </w:r>
          </w:p>
        </w:tc>
        <w:tc>
          <w:tcPr>
            <w:tcW w:w="163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二氧化碳</w:t>
            </w:r>
          </w:p>
        </w:tc>
        <w:tc>
          <w:tcPr>
            <w:tcW w:w="131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rPr>
            </w:pPr>
            <w:r>
              <w:rPr>
                <w:rFonts w:hint="default"/>
                <w:i w:val="0"/>
                <w:iCs w:val="0"/>
                <w:sz w:val="21"/>
                <w:szCs w:val="21"/>
                <w:u w:val="single"/>
              </w:rPr>
              <w:t>%</w:t>
            </w:r>
          </w:p>
        </w:tc>
        <w:tc>
          <w:tcPr>
            <w:tcW w:w="138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66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16</w:t>
            </w:r>
          </w:p>
        </w:tc>
        <w:tc>
          <w:tcPr>
            <w:tcW w:w="163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硫化氢</w:t>
            </w:r>
          </w:p>
        </w:tc>
        <w:tc>
          <w:tcPr>
            <w:tcW w:w="131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i w:val="0"/>
                <w:iCs w:val="0"/>
                <w:sz w:val="21"/>
                <w:szCs w:val="21"/>
                <w:u w:val="single"/>
                <w:lang w:val="en-US" w:eastAsia="zh-CN"/>
              </w:rPr>
            </w:pPr>
            <w:r>
              <w:rPr>
                <w:rFonts w:hint="eastAsia"/>
                <w:i w:val="0"/>
                <w:iCs w:val="0"/>
                <w:sz w:val="21"/>
                <w:szCs w:val="21"/>
                <w:u w:val="single"/>
                <w:lang w:val="en-US" w:eastAsia="zh-CN"/>
              </w:rPr>
              <w:t>mg/m</w:t>
            </w:r>
            <w:r>
              <w:rPr>
                <w:rFonts w:hint="eastAsia"/>
                <w:i w:val="0"/>
                <w:iCs w:val="0"/>
                <w:sz w:val="21"/>
                <w:szCs w:val="21"/>
                <w:u w:val="single"/>
                <w:vertAlign w:val="superscript"/>
                <w:lang w:val="en-US" w:eastAsia="zh-CN"/>
              </w:rPr>
              <w:t>3</w:t>
            </w:r>
          </w:p>
        </w:tc>
        <w:tc>
          <w:tcPr>
            <w:tcW w:w="138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未检出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66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17</w:t>
            </w:r>
          </w:p>
        </w:tc>
        <w:tc>
          <w:tcPr>
            <w:tcW w:w="163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总硫</w:t>
            </w:r>
          </w:p>
        </w:tc>
        <w:tc>
          <w:tcPr>
            <w:tcW w:w="131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rPr>
            </w:pPr>
            <w:r>
              <w:rPr>
                <w:rFonts w:hint="eastAsia"/>
                <w:i w:val="0"/>
                <w:iCs w:val="0"/>
                <w:sz w:val="21"/>
                <w:szCs w:val="21"/>
                <w:u w:val="single"/>
                <w:lang w:val="en-US" w:eastAsia="zh-CN"/>
              </w:rPr>
              <w:t>mg/m</w:t>
            </w:r>
            <w:r>
              <w:rPr>
                <w:rFonts w:hint="eastAsia"/>
                <w:i w:val="0"/>
                <w:iCs w:val="0"/>
                <w:sz w:val="21"/>
                <w:szCs w:val="21"/>
                <w:u w:val="single"/>
                <w:vertAlign w:val="superscript"/>
                <w:lang w:val="en-US" w:eastAsia="zh-CN"/>
              </w:rPr>
              <w:t>3</w:t>
            </w:r>
          </w:p>
        </w:tc>
        <w:tc>
          <w:tcPr>
            <w:tcW w:w="138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i w:val="0"/>
                <w:iCs w:val="0"/>
                <w:sz w:val="21"/>
                <w:szCs w:val="21"/>
                <w:u w:val="single"/>
                <w:lang w:val="en-US" w:eastAsia="zh-CN"/>
              </w:rPr>
            </w:pPr>
            <w:r>
              <w:rPr>
                <w:rFonts w:hint="eastAsia"/>
                <w:i w:val="0"/>
                <w:iCs w:val="0"/>
                <w:sz w:val="21"/>
                <w:szCs w:val="21"/>
                <w:u w:val="single"/>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66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18</w:t>
            </w:r>
          </w:p>
        </w:tc>
        <w:tc>
          <w:tcPr>
            <w:tcW w:w="163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低位发热量</w:t>
            </w:r>
          </w:p>
        </w:tc>
        <w:tc>
          <w:tcPr>
            <w:tcW w:w="131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rPr>
            </w:pPr>
            <w:r>
              <w:rPr>
                <w:rFonts w:hint="eastAsia"/>
                <w:i w:val="0"/>
                <w:iCs w:val="0"/>
                <w:sz w:val="21"/>
                <w:szCs w:val="21"/>
                <w:u w:val="single"/>
                <w:lang w:val="en-US" w:eastAsia="zh-CN"/>
              </w:rPr>
              <w:t>KJ/mol</w:t>
            </w:r>
            <w:r>
              <w:rPr>
                <w:rFonts w:hint="eastAsia"/>
                <w:i w:val="0"/>
                <w:iCs w:val="0"/>
                <w:sz w:val="21"/>
                <w:szCs w:val="21"/>
                <w:u w:val="single"/>
                <w:vertAlign w:val="superscript"/>
                <w:lang w:val="en-US" w:eastAsia="zh-CN"/>
              </w:rPr>
              <w:t>-1</w:t>
            </w:r>
          </w:p>
        </w:tc>
        <w:tc>
          <w:tcPr>
            <w:tcW w:w="138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34.43</w:t>
            </w:r>
          </w:p>
        </w:tc>
      </w:tr>
    </w:tbl>
    <w:p>
      <w:pPr>
        <w:spacing w:line="360" w:lineRule="auto"/>
        <w:ind w:firstLine="480" w:firstLineChars="200"/>
        <w:rPr>
          <w:rFonts w:hint="default" w:ascii="Times New Roman" w:hAnsi="Times New Roman" w:eastAsia="宋体" w:cs="Times New Roman"/>
          <w:i w:val="0"/>
          <w:iCs w:val="0"/>
          <w:u w:val="single"/>
          <w:lang w:val="en-US" w:eastAsia="zh-CN"/>
        </w:rPr>
      </w:pPr>
      <w:r>
        <w:rPr>
          <w:rFonts w:hint="default" w:ascii="Times New Roman" w:hAnsi="Times New Roman" w:eastAsia="宋体" w:cs="Times New Roman"/>
          <w:i w:val="0"/>
          <w:iCs w:val="0"/>
          <w:u w:val="single"/>
          <w:lang w:val="en-US" w:eastAsia="zh-CN"/>
        </w:rPr>
        <w:t>储罐</w:t>
      </w:r>
      <w:r>
        <w:rPr>
          <w:rFonts w:hint="eastAsia" w:ascii="Times New Roman" w:hAnsi="Times New Roman" w:eastAsia="宋体" w:cs="Times New Roman"/>
          <w:i w:val="0"/>
          <w:iCs w:val="0"/>
          <w:u w:val="single"/>
          <w:lang w:val="en-US" w:eastAsia="zh-CN"/>
        </w:rPr>
        <w:t>贮存</w:t>
      </w:r>
      <w:r>
        <w:rPr>
          <w:rFonts w:hint="default" w:ascii="Times New Roman" w:hAnsi="Times New Roman" w:eastAsia="宋体" w:cs="Times New Roman"/>
          <w:i w:val="0"/>
          <w:iCs w:val="0"/>
          <w:u w:val="single"/>
          <w:lang w:val="en-US" w:eastAsia="zh-CN"/>
        </w:rPr>
        <w:t>情况</w:t>
      </w:r>
      <w:r>
        <w:rPr>
          <w:rFonts w:hint="eastAsia" w:ascii="Times New Roman" w:hAnsi="Times New Roman" w:eastAsia="宋体" w:cs="Times New Roman"/>
          <w:i w:val="0"/>
          <w:iCs w:val="0"/>
          <w:u w:val="single"/>
          <w:lang w:val="en-US" w:eastAsia="zh-CN"/>
        </w:rPr>
        <w:t>详见下表</w:t>
      </w:r>
    </w:p>
    <w:p>
      <w:pPr>
        <w:ind w:firstLine="482" w:firstLineChars="200"/>
        <w:jc w:val="center"/>
        <w:rPr>
          <w:rFonts w:hint="default" w:ascii="Times New Roman" w:hAnsi="Times New Roman" w:eastAsia="宋体" w:cs="Times New Roman"/>
          <w:b/>
          <w:i w:val="0"/>
          <w:iCs w:val="0"/>
          <w:u w:val="single"/>
          <w:lang w:val="en-US" w:eastAsia="zh-CN"/>
        </w:rPr>
      </w:pPr>
      <w:r>
        <w:rPr>
          <w:rFonts w:hint="eastAsia" w:cs="Times New Roman"/>
          <w:b/>
          <w:i w:val="0"/>
          <w:iCs w:val="0"/>
          <w:u w:val="single"/>
          <w:lang w:val="en-US" w:eastAsia="zh-CN"/>
        </w:rPr>
        <w:t xml:space="preserve">表3-9 </w:t>
      </w:r>
      <w:r>
        <w:rPr>
          <w:rFonts w:hint="eastAsia" w:ascii="Times New Roman" w:hAnsi="Times New Roman" w:eastAsia="宋体" w:cs="Times New Roman"/>
          <w:b/>
          <w:i w:val="0"/>
          <w:iCs w:val="0"/>
          <w:u w:val="single"/>
          <w:lang w:val="en-US" w:eastAsia="zh-CN"/>
        </w:rPr>
        <w:t>氨水储罐贮存</w:t>
      </w:r>
      <w:r>
        <w:rPr>
          <w:rFonts w:hint="default" w:ascii="Times New Roman" w:hAnsi="Times New Roman" w:eastAsia="宋体" w:cs="Times New Roman"/>
          <w:b/>
          <w:i w:val="0"/>
          <w:iCs w:val="0"/>
          <w:u w:val="single"/>
          <w:lang w:val="en-US" w:eastAsia="zh-CN"/>
        </w:rPr>
        <w:t>情况</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65"/>
        <w:gridCol w:w="3173"/>
        <w:gridCol w:w="31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32" w:type="pct"/>
            <w:gridSpan w:val="2"/>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r>
              <w:rPr>
                <w:rFonts w:hint="default" w:ascii="Times New Roman" w:hAnsi="Times New Roman" w:eastAsia="宋体" w:cs="Times New Roman"/>
                <w:i w:val="0"/>
                <w:iCs w:val="0"/>
                <w:sz w:val="21"/>
                <w:szCs w:val="21"/>
                <w:u w:val="single"/>
                <w:lang w:val="en-US" w:eastAsia="zh-CN"/>
              </w:rPr>
              <w:t>项目</w:t>
            </w:r>
          </w:p>
        </w:tc>
        <w:tc>
          <w:tcPr>
            <w:tcW w:w="1667" w:type="pct"/>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r>
              <w:rPr>
                <w:rFonts w:hint="default" w:ascii="Times New Roman" w:hAnsi="Times New Roman" w:eastAsia="宋体" w:cs="Times New Roman"/>
                <w:i w:val="0"/>
                <w:iCs w:val="0"/>
                <w:sz w:val="21"/>
                <w:szCs w:val="21"/>
                <w:u w:val="single"/>
                <w:lang w:val="en-US" w:eastAsia="zh-CN"/>
              </w:rPr>
              <w:t>氨水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32" w:type="pct"/>
            <w:gridSpan w:val="2"/>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r>
              <w:rPr>
                <w:rFonts w:hint="default" w:ascii="Times New Roman" w:hAnsi="Times New Roman" w:eastAsia="宋体" w:cs="Times New Roman"/>
                <w:i w:val="0"/>
                <w:iCs w:val="0"/>
                <w:sz w:val="21"/>
                <w:szCs w:val="21"/>
                <w:u w:val="single"/>
                <w:lang w:val="en-US" w:eastAsia="zh-CN"/>
              </w:rPr>
              <w:t>氨水</w:t>
            </w:r>
            <w:r>
              <w:rPr>
                <w:rFonts w:hint="eastAsia" w:ascii="Times New Roman" w:hAnsi="Times New Roman" w:eastAsia="宋体" w:cs="Times New Roman"/>
                <w:i w:val="0"/>
                <w:iCs w:val="0"/>
                <w:sz w:val="21"/>
                <w:szCs w:val="21"/>
                <w:u w:val="single"/>
                <w:lang w:val="en-US" w:eastAsia="zh-CN"/>
              </w:rPr>
              <w:t>的浓度</w:t>
            </w:r>
          </w:p>
        </w:tc>
        <w:tc>
          <w:tcPr>
            <w:tcW w:w="1667" w:type="pct"/>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4" w:type="pct"/>
            <w:vMerge w:val="restart"/>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r>
              <w:rPr>
                <w:rFonts w:hint="default" w:ascii="Times New Roman" w:hAnsi="Times New Roman" w:eastAsia="宋体" w:cs="Times New Roman"/>
                <w:i w:val="0"/>
                <w:iCs w:val="0"/>
                <w:sz w:val="21"/>
                <w:szCs w:val="21"/>
                <w:u w:val="single"/>
                <w:lang w:val="en-US" w:eastAsia="zh-CN"/>
              </w:rPr>
              <w:t>储罐参数</w:t>
            </w:r>
          </w:p>
        </w:tc>
        <w:tc>
          <w:tcPr>
            <w:tcW w:w="1667" w:type="pct"/>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r>
              <w:rPr>
                <w:rFonts w:hint="default" w:ascii="Times New Roman" w:hAnsi="Times New Roman" w:eastAsia="宋体" w:cs="Times New Roman"/>
                <w:i w:val="0"/>
                <w:iCs w:val="0"/>
                <w:sz w:val="21"/>
                <w:szCs w:val="21"/>
                <w:u w:val="single"/>
                <w:lang w:val="en-US" w:eastAsia="zh-CN"/>
              </w:rPr>
              <w:t>容积（m</w:t>
            </w:r>
            <w:r>
              <w:rPr>
                <w:rFonts w:hint="default" w:ascii="Times New Roman" w:hAnsi="Times New Roman" w:eastAsia="宋体" w:cs="Times New Roman"/>
                <w:i w:val="0"/>
                <w:iCs w:val="0"/>
                <w:sz w:val="21"/>
                <w:szCs w:val="21"/>
                <w:u w:val="single"/>
                <w:vertAlign w:val="superscript"/>
                <w:lang w:val="en-US" w:eastAsia="zh-CN"/>
              </w:rPr>
              <w:t>3</w:t>
            </w:r>
            <w:r>
              <w:rPr>
                <w:rFonts w:hint="default" w:ascii="Times New Roman" w:hAnsi="Times New Roman" w:eastAsia="宋体" w:cs="Times New Roman"/>
                <w:i w:val="0"/>
                <w:iCs w:val="0"/>
                <w:sz w:val="21"/>
                <w:szCs w:val="21"/>
                <w:u w:val="single"/>
                <w:lang w:val="en-US" w:eastAsia="zh-CN"/>
              </w:rPr>
              <w:t>）</w:t>
            </w:r>
          </w:p>
        </w:tc>
        <w:tc>
          <w:tcPr>
            <w:tcW w:w="1667" w:type="pct"/>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全容积10.1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4" w:type="pct"/>
            <w:vMerge w:val="continue"/>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p>
        </w:tc>
        <w:tc>
          <w:tcPr>
            <w:tcW w:w="1667" w:type="pct"/>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r>
              <w:rPr>
                <w:rFonts w:hint="default" w:ascii="Times New Roman" w:hAnsi="Times New Roman" w:eastAsia="宋体" w:cs="Times New Roman"/>
                <w:i w:val="0"/>
                <w:iCs w:val="0"/>
                <w:sz w:val="21"/>
                <w:szCs w:val="21"/>
                <w:u w:val="single"/>
                <w:lang w:val="en-US" w:eastAsia="zh-CN"/>
              </w:rPr>
              <w:t>直径（m）</w:t>
            </w:r>
          </w:p>
        </w:tc>
        <w:tc>
          <w:tcPr>
            <w:tcW w:w="1667" w:type="pct"/>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4" w:type="pct"/>
            <w:vMerge w:val="continue"/>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p>
        </w:tc>
        <w:tc>
          <w:tcPr>
            <w:tcW w:w="1667" w:type="pct"/>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r>
              <w:rPr>
                <w:rFonts w:hint="default" w:ascii="Times New Roman" w:hAnsi="Times New Roman" w:eastAsia="宋体" w:cs="Times New Roman"/>
                <w:i w:val="0"/>
                <w:iCs w:val="0"/>
                <w:sz w:val="21"/>
                <w:szCs w:val="21"/>
                <w:u w:val="single"/>
                <w:lang w:val="en-US" w:eastAsia="zh-CN"/>
              </w:rPr>
              <w:t>罐壁/顶颜色</w:t>
            </w:r>
          </w:p>
        </w:tc>
        <w:tc>
          <w:tcPr>
            <w:tcW w:w="1667" w:type="pct"/>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金属色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4" w:type="pct"/>
            <w:vMerge w:val="continue"/>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p>
        </w:tc>
        <w:tc>
          <w:tcPr>
            <w:tcW w:w="1667" w:type="pct"/>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r>
              <w:rPr>
                <w:rFonts w:hint="default" w:ascii="Times New Roman" w:hAnsi="Times New Roman" w:eastAsia="宋体" w:cs="Times New Roman"/>
                <w:i w:val="0"/>
                <w:iCs w:val="0"/>
                <w:sz w:val="21"/>
                <w:szCs w:val="21"/>
                <w:u w:val="single"/>
                <w:lang w:val="en-US" w:eastAsia="zh-CN"/>
              </w:rPr>
              <w:t>罐体高度</w:t>
            </w:r>
          </w:p>
        </w:tc>
        <w:tc>
          <w:tcPr>
            <w:tcW w:w="1667" w:type="pct"/>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卧式罐（罐长2.4）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4" w:type="pct"/>
            <w:vMerge w:val="continue"/>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p>
        </w:tc>
        <w:tc>
          <w:tcPr>
            <w:tcW w:w="1667" w:type="pct"/>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r>
              <w:rPr>
                <w:rFonts w:hint="default" w:ascii="Times New Roman" w:hAnsi="Times New Roman" w:eastAsia="宋体" w:cs="Times New Roman"/>
                <w:i w:val="0"/>
                <w:iCs w:val="0"/>
                <w:sz w:val="21"/>
                <w:szCs w:val="21"/>
                <w:u w:val="single"/>
                <w:lang w:val="en-US" w:eastAsia="zh-CN"/>
              </w:rPr>
              <w:t>罐内</w:t>
            </w:r>
            <w:r>
              <w:rPr>
                <w:rFonts w:hint="eastAsia" w:ascii="Times New Roman" w:hAnsi="Times New Roman" w:eastAsia="宋体" w:cs="Times New Roman"/>
                <w:i w:val="0"/>
                <w:iCs w:val="0"/>
                <w:sz w:val="21"/>
                <w:szCs w:val="21"/>
                <w:u w:val="single"/>
                <w:lang w:val="en-US" w:eastAsia="zh-CN"/>
              </w:rPr>
              <w:t>最大</w:t>
            </w:r>
            <w:r>
              <w:rPr>
                <w:rFonts w:hint="default" w:ascii="Times New Roman" w:hAnsi="Times New Roman" w:eastAsia="宋体" w:cs="Times New Roman"/>
                <w:i w:val="0"/>
                <w:iCs w:val="0"/>
                <w:sz w:val="21"/>
                <w:szCs w:val="21"/>
                <w:u w:val="single"/>
                <w:lang w:val="en-US" w:eastAsia="zh-CN"/>
              </w:rPr>
              <w:t>储存量（m</w:t>
            </w:r>
            <w:r>
              <w:rPr>
                <w:rFonts w:hint="default" w:ascii="Times New Roman" w:hAnsi="Times New Roman" w:eastAsia="宋体" w:cs="Times New Roman"/>
                <w:i w:val="0"/>
                <w:iCs w:val="0"/>
                <w:sz w:val="21"/>
                <w:szCs w:val="21"/>
                <w:u w:val="single"/>
                <w:vertAlign w:val="superscript"/>
                <w:lang w:val="en-US" w:eastAsia="zh-CN"/>
              </w:rPr>
              <w:t>3</w:t>
            </w:r>
            <w:r>
              <w:rPr>
                <w:rFonts w:hint="default" w:ascii="Times New Roman" w:hAnsi="Times New Roman" w:eastAsia="宋体" w:cs="Times New Roman"/>
                <w:i w:val="0"/>
                <w:iCs w:val="0"/>
                <w:sz w:val="21"/>
                <w:szCs w:val="21"/>
                <w:u w:val="single"/>
                <w:lang w:val="en-US" w:eastAsia="zh-CN"/>
              </w:rPr>
              <w:t>）</w:t>
            </w:r>
          </w:p>
        </w:tc>
        <w:tc>
          <w:tcPr>
            <w:tcW w:w="1667" w:type="pct"/>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8.6</w:t>
            </w:r>
          </w:p>
        </w:tc>
      </w:tr>
    </w:tbl>
    <w:p>
      <w:pPr>
        <w:ind w:firstLine="482" w:firstLineChars="200"/>
        <w:jc w:val="center"/>
        <w:rPr>
          <w:rFonts w:hint="eastAsia" w:ascii="Times New Roman" w:hAnsi="Times New Roman" w:eastAsia="宋体" w:cs="Times New Roman"/>
          <w:b/>
          <w:i w:val="0"/>
          <w:iCs w:val="0"/>
          <w:u w:val="single"/>
          <w:lang w:val="en-US" w:eastAsia="zh-CN"/>
        </w:rPr>
      </w:pPr>
      <w:r>
        <w:rPr>
          <w:rFonts w:hint="eastAsia" w:cs="Times New Roman"/>
          <w:b/>
          <w:i w:val="0"/>
          <w:iCs w:val="0"/>
          <w:u w:val="single"/>
          <w:lang w:val="en-US" w:eastAsia="zh-CN"/>
        </w:rPr>
        <w:t xml:space="preserve">表3-10 </w:t>
      </w:r>
      <w:r>
        <w:rPr>
          <w:rFonts w:hint="eastAsia" w:ascii="Times New Roman" w:hAnsi="Times New Roman" w:eastAsia="宋体" w:cs="Times New Roman"/>
          <w:b/>
          <w:i w:val="0"/>
          <w:iCs w:val="0"/>
          <w:u w:val="single"/>
          <w:lang w:val="en-US" w:eastAsia="zh-CN"/>
        </w:rPr>
        <w:t>乙醇储罐贮存</w:t>
      </w:r>
      <w:r>
        <w:rPr>
          <w:rFonts w:hint="default" w:ascii="Times New Roman" w:hAnsi="Times New Roman" w:eastAsia="宋体" w:cs="Times New Roman"/>
          <w:b/>
          <w:i w:val="0"/>
          <w:iCs w:val="0"/>
          <w:u w:val="single"/>
          <w:lang w:val="en-US" w:eastAsia="zh-CN"/>
        </w:rPr>
        <w:t>情况</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67"/>
        <w:gridCol w:w="3172"/>
        <w:gridCol w:w="31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2" w:type="pct"/>
            <w:gridSpan w:val="2"/>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r>
              <w:rPr>
                <w:rFonts w:hint="default" w:ascii="Times New Roman" w:hAnsi="Times New Roman" w:eastAsia="宋体" w:cs="Times New Roman"/>
                <w:i w:val="0"/>
                <w:iCs w:val="0"/>
                <w:sz w:val="21"/>
                <w:szCs w:val="21"/>
                <w:u w:val="single"/>
              </w:rPr>
              <w:t>项目</w:t>
            </w:r>
          </w:p>
        </w:tc>
        <w:tc>
          <w:tcPr>
            <w:tcW w:w="1667" w:type="pct"/>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乙醇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2" w:type="pct"/>
            <w:gridSpan w:val="2"/>
            <w:tcBorders>
              <w:tl2br w:val="nil"/>
              <w:tr2bl w:val="nil"/>
            </w:tcBorders>
            <w:noWrap w:val="0"/>
            <w:vAlign w:val="center"/>
          </w:tcPr>
          <w:p>
            <w:pPr>
              <w:jc w:val="center"/>
              <w:rPr>
                <w:rFonts w:hint="default" w:ascii="Times New Roman" w:hAnsi="Times New Roman" w:eastAsia="宋体" w:cs="Times New Roman"/>
                <w:i w:val="0"/>
                <w:iCs w:val="0"/>
                <w:sz w:val="21"/>
                <w:szCs w:val="21"/>
                <w:u w:val="single"/>
              </w:rPr>
            </w:pPr>
            <w:r>
              <w:rPr>
                <w:rFonts w:hint="eastAsia" w:ascii="Times New Roman" w:hAnsi="Times New Roman" w:eastAsia="宋体" w:cs="Times New Roman"/>
                <w:i w:val="0"/>
                <w:iCs w:val="0"/>
                <w:sz w:val="21"/>
                <w:szCs w:val="21"/>
                <w:u w:val="single"/>
                <w:lang w:val="en-US" w:eastAsia="zh-CN"/>
              </w:rPr>
              <w:t>乙醇的浓度</w:t>
            </w:r>
          </w:p>
        </w:tc>
        <w:tc>
          <w:tcPr>
            <w:tcW w:w="1667" w:type="pct"/>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5" w:type="pct"/>
            <w:vMerge w:val="restart"/>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r>
              <w:rPr>
                <w:rFonts w:hint="default" w:ascii="Times New Roman" w:hAnsi="Times New Roman" w:eastAsia="宋体" w:cs="Times New Roman"/>
                <w:i w:val="0"/>
                <w:iCs w:val="0"/>
                <w:sz w:val="21"/>
                <w:szCs w:val="21"/>
                <w:u w:val="single"/>
              </w:rPr>
              <w:t>储罐参数</w:t>
            </w:r>
          </w:p>
        </w:tc>
        <w:tc>
          <w:tcPr>
            <w:tcW w:w="1667" w:type="pct"/>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r>
              <w:rPr>
                <w:rFonts w:hint="default" w:ascii="Times New Roman" w:hAnsi="Times New Roman" w:eastAsia="宋体" w:cs="Times New Roman"/>
                <w:i w:val="0"/>
                <w:iCs w:val="0"/>
                <w:sz w:val="21"/>
                <w:szCs w:val="21"/>
                <w:u w:val="single"/>
              </w:rPr>
              <w:t>容积（m</w:t>
            </w:r>
            <w:r>
              <w:rPr>
                <w:rFonts w:hint="default" w:ascii="Times New Roman" w:hAnsi="Times New Roman" w:eastAsia="宋体" w:cs="Times New Roman"/>
                <w:i w:val="0"/>
                <w:iCs w:val="0"/>
                <w:sz w:val="21"/>
                <w:szCs w:val="21"/>
                <w:u w:val="single"/>
                <w:vertAlign w:val="superscript"/>
              </w:rPr>
              <w:t>3</w:t>
            </w:r>
            <w:r>
              <w:rPr>
                <w:rFonts w:hint="default" w:ascii="Times New Roman" w:hAnsi="Times New Roman" w:eastAsia="宋体" w:cs="Times New Roman"/>
                <w:i w:val="0"/>
                <w:iCs w:val="0"/>
                <w:sz w:val="21"/>
                <w:szCs w:val="21"/>
                <w:u w:val="single"/>
              </w:rPr>
              <w:t>）</w:t>
            </w:r>
          </w:p>
        </w:tc>
        <w:tc>
          <w:tcPr>
            <w:tcW w:w="1667" w:type="pct"/>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全容积10.1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5" w:type="pct"/>
            <w:vMerge w:val="continue"/>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p>
        </w:tc>
        <w:tc>
          <w:tcPr>
            <w:tcW w:w="1667" w:type="pct"/>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r>
              <w:rPr>
                <w:rFonts w:hint="default" w:ascii="Times New Roman" w:hAnsi="Times New Roman" w:eastAsia="宋体" w:cs="Times New Roman"/>
                <w:i w:val="0"/>
                <w:iCs w:val="0"/>
                <w:sz w:val="21"/>
                <w:szCs w:val="21"/>
                <w:u w:val="single"/>
              </w:rPr>
              <w:t>直径（m）</w:t>
            </w:r>
          </w:p>
        </w:tc>
        <w:tc>
          <w:tcPr>
            <w:tcW w:w="1667" w:type="pct"/>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Merge w:val="continue"/>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p>
        </w:tc>
        <w:tc>
          <w:tcPr>
            <w:tcW w:w="1667" w:type="pct"/>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r>
              <w:rPr>
                <w:rFonts w:hint="default" w:ascii="Times New Roman" w:hAnsi="Times New Roman" w:eastAsia="宋体" w:cs="Times New Roman"/>
                <w:i w:val="0"/>
                <w:iCs w:val="0"/>
                <w:sz w:val="21"/>
                <w:szCs w:val="21"/>
                <w:u w:val="single"/>
              </w:rPr>
              <w:t>罐壁/顶颜色</w:t>
            </w:r>
          </w:p>
        </w:tc>
        <w:tc>
          <w:tcPr>
            <w:tcW w:w="1667" w:type="pct"/>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金属色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Merge w:val="continue"/>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p>
        </w:tc>
        <w:tc>
          <w:tcPr>
            <w:tcW w:w="1667" w:type="pct"/>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r>
              <w:rPr>
                <w:rFonts w:hint="default" w:ascii="Times New Roman" w:hAnsi="Times New Roman" w:eastAsia="宋体" w:cs="Times New Roman"/>
                <w:i w:val="0"/>
                <w:iCs w:val="0"/>
                <w:sz w:val="21"/>
                <w:szCs w:val="21"/>
                <w:u w:val="single"/>
              </w:rPr>
              <w:t>罐体高度</w:t>
            </w:r>
          </w:p>
        </w:tc>
        <w:tc>
          <w:tcPr>
            <w:tcW w:w="1667" w:type="pct"/>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卧式罐（罐长2.4）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Merge w:val="continue"/>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p>
        </w:tc>
        <w:tc>
          <w:tcPr>
            <w:tcW w:w="1667" w:type="pct"/>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eastAsia="zh-CN"/>
              </w:rPr>
            </w:pPr>
            <w:r>
              <w:rPr>
                <w:rFonts w:hint="default" w:ascii="Times New Roman" w:hAnsi="Times New Roman" w:eastAsia="宋体" w:cs="Times New Roman"/>
                <w:i w:val="0"/>
                <w:iCs w:val="0"/>
                <w:sz w:val="21"/>
                <w:szCs w:val="21"/>
                <w:u w:val="single"/>
                <w:lang w:eastAsia="zh-CN"/>
              </w:rPr>
              <w:t>罐内</w:t>
            </w:r>
            <w:r>
              <w:rPr>
                <w:rFonts w:hint="eastAsia" w:ascii="Times New Roman" w:hAnsi="Times New Roman" w:eastAsia="宋体" w:cs="Times New Roman"/>
                <w:i w:val="0"/>
                <w:iCs w:val="0"/>
                <w:sz w:val="21"/>
                <w:szCs w:val="21"/>
                <w:u w:val="single"/>
                <w:lang w:eastAsia="zh-CN"/>
              </w:rPr>
              <w:t>最大</w:t>
            </w:r>
            <w:r>
              <w:rPr>
                <w:rFonts w:hint="default" w:ascii="Times New Roman" w:hAnsi="Times New Roman" w:eastAsia="宋体" w:cs="Times New Roman"/>
                <w:i w:val="0"/>
                <w:iCs w:val="0"/>
                <w:sz w:val="21"/>
                <w:szCs w:val="21"/>
                <w:u w:val="single"/>
                <w:lang w:eastAsia="zh-CN"/>
              </w:rPr>
              <w:t>储存量</w:t>
            </w:r>
            <w:r>
              <w:rPr>
                <w:rFonts w:hint="default" w:ascii="Times New Roman" w:hAnsi="Times New Roman" w:eastAsia="宋体" w:cs="Times New Roman"/>
                <w:i w:val="0"/>
                <w:iCs w:val="0"/>
                <w:sz w:val="21"/>
                <w:szCs w:val="21"/>
                <w:u w:val="single"/>
              </w:rPr>
              <w:t>（m</w:t>
            </w:r>
            <w:r>
              <w:rPr>
                <w:rFonts w:hint="default" w:ascii="Times New Roman" w:hAnsi="Times New Roman" w:eastAsia="宋体" w:cs="Times New Roman"/>
                <w:i w:val="0"/>
                <w:iCs w:val="0"/>
                <w:sz w:val="21"/>
                <w:szCs w:val="21"/>
                <w:u w:val="single"/>
                <w:vertAlign w:val="superscript"/>
              </w:rPr>
              <w:t>3</w:t>
            </w:r>
            <w:r>
              <w:rPr>
                <w:rFonts w:hint="default" w:ascii="Times New Roman" w:hAnsi="Times New Roman" w:eastAsia="宋体" w:cs="Times New Roman"/>
                <w:i w:val="0"/>
                <w:iCs w:val="0"/>
                <w:sz w:val="21"/>
                <w:szCs w:val="21"/>
                <w:u w:val="single"/>
              </w:rPr>
              <w:t>）</w:t>
            </w:r>
          </w:p>
        </w:tc>
        <w:tc>
          <w:tcPr>
            <w:tcW w:w="1667" w:type="pct"/>
            <w:tcBorders>
              <w:tl2br w:val="nil"/>
              <w:tr2bl w:val="nil"/>
            </w:tcBorders>
            <w:noWrap w:val="0"/>
            <w:vAlign w:val="center"/>
          </w:tcPr>
          <w:p>
            <w:pPr>
              <w:jc w:val="center"/>
              <w:rPr>
                <w:rFonts w:hint="default" w:ascii="Times New Roman" w:hAnsi="Times New Roman" w:eastAsia="宋体" w:cs="Times New Roman"/>
                <w:i w:val="0"/>
                <w:iCs w:val="0"/>
                <w:sz w:val="21"/>
                <w:szCs w:val="21"/>
                <w:u w:val="single"/>
                <w:lang w:val="en-US" w:eastAsia="zh-CN"/>
              </w:rPr>
            </w:pPr>
            <w:r>
              <w:rPr>
                <w:rFonts w:hint="eastAsia" w:ascii="Times New Roman" w:hAnsi="Times New Roman" w:eastAsia="宋体" w:cs="Times New Roman"/>
                <w:i w:val="0"/>
                <w:iCs w:val="0"/>
                <w:sz w:val="21"/>
                <w:szCs w:val="21"/>
                <w:u w:val="single"/>
                <w:lang w:val="en-US" w:eastAsia="zh-CN"/>
              </w:rPr>
              <w:t>8.6</w:t>
            </w:r>
          </w:p>
        </w:tc>
      </w:tr>
    </w:tbl>
    <w:p>
      <w:pPr>
        <w:pStyle w:val="4"/>
        <w:rPr>
          <w:rFonts w:hint="eastAsia" w:ascii="Times New Roman" w:hAnsi="Times New Roman" w:eastAsia="宋体"/>
          <w:b/>
          <w:i w:val="0"/>
          <w:iCs w:val="0"/>
          <w:sz w:val="28"/>
          <w:szCs w:val="28"/>
        </w:rPr>
      </w:pPr>
      <w:bookmarkStart w:id="84" w:name="_Toc28948"/>
      <w:r>
        <w:rPr>
          <w:rFonts w:hint="eastAsia" w:ascii="Times New Roman" w:hAnsi="Times New Roman" w:eastAsia="宋体"/>
          <w:b/>
          <w:i w:val="0"/>
          <w:iCs w:val="0"/>
          <w:sz w:val="28"/>
          <w:szCs w:val="28"/>
        </w:rPr>
        <w:t>3.2物料平衡</w:t>
      </w:r>
      <w:bookmarkEnd w:id="84"/>
    </w:p>
    <w:p>
      <w:pPr>
        <w:adjustRightInd w:val="0"/>
        <w:snapToGrid w:val="0"/>
        <w:spacing w:before="78" w:beforeLines="25" w:line="360" w:lineRule="auto"/>
        <w:ind w:firstLine="480" w:firstLineChars="200"/>
        <w:rPr>
          <w:rFonts w:hint="eastAsia"/>
          <w:i w:val="0"/>
          <w:iCs w:val="0"/>
          <w:color w:val="000000"/>
          <w:sz w:val="24"/>
          <w:u w:val="single"/>
        </w:rPr>
      </w:pPr>
      <w:r>
        <w:rPr>
          <w:rFonts w:hint="eastAsia"/>
          <w:i w:val="0"/>
          <w:iCs w:val="0"/>
          <w:u w:val="single"/>
        </w:rPr>
        <w:t>本项目156m</w:t>
      </w:r>
      <w:r>
        <w:rPr>
          <w:rFonts w:hint="eastAsia"/>
          <w:i w:val="0"/>
          <w:iCs w:val="0"/>
          <w:u w:val="single"/>
          <w:vertAlign w:val="superscript"/>
        </w:rPr>
        <w:t>3</w:t>
      </w:r>
      <w:r>
        <w:rPr>
          <w:rFonts w:hint="eastAsia"/>
          <w:i w:val="0"/>
          <w:iCs w:val="0"/>
          <w:u w:val="single"/>
        </w:rPr>
        <w:t>发酵罐可产生1</w:t>
      </w:r>
      <w:r>
        <w:rPr>
          <w:rFonts w:hint="eastAsia"/>
          <w:i w:val="0"/>
          <w:iCs w:val="0"/>
          <w:u w:val="single"/>
          <w:lang w:val="en-US" w:eastAsia="zh-CN"/>
        </w:rPr>
        <w:t>6</w:t>
      </w:r>
      <w:r>
        <w:rPr>
          <w:rFonts w:hint="eastAsia"/>
          <w:i w:val="0"/>
          <w:iCs w:val="0"/>
          <w:u w:val="single"/>
        </w:rPr>
        <w:t>t红发夫酵母虾青素，年生产</w:t>
      </w:r>
      <w:r>
        <w:rPr>
          <w:rFonts w:hint="eastAsia"/>
          <w:i w:val="0"/>
          <w:iCs w:val="0"/>
          <w:u w:val="single"/>
          <w:lang w:val="en-US" w:eastAsia="zh-CN"/>
        </w:rPr>
        <w:t>125</w:t>
      </w:r>
      <w:r>
        <w:rPr>
          <w:rFonts w:hint="eastAsia"/>
          <w:i w:val="0"/>
          <w:iCs w:val="0"/>
          <w:u w:val="single"/>
        </w:rPr>
        <w:t>罐，红发夫酵母虾青素产量为</w:t>
      </w:r>
      <w:r>
        <w:rPr>
          <w:rFonts w:hint="eastAsia"/>
          <w:i w:val="0"/>
          <w:iCs w:val="0"/>
          <w:u w:val="single"/>
          <w:lang w:val="en-US" w:eastAsia="zh-CN"/>
        </w:rPr>
        <w:t>2000</w:t>
      </w:r>
      <w:r>
        <w:rPr>
          <w:rFonts w:hint="eastAsia"/>
          <w:i w:val="0"/>
          <w:iCs w:val="0"/>
          <w:u w:val="single"/>
        </w:rPr>
        <w:t>t/a</w:t>
      </w:r>
      <w:r>
        <w:rPr>
          <w:rFonts w:hint="eastAsia"/>
          <w:i w:val="0"/>
          <w:iCs w:val="0"/>
          <w:color w:val="000000"/>
          <w:sz w:val="24"/>
          <w:u w:val="single"/>
        </w:rPr>
        <w:t>。单批次物料平衡见图3-1，总体工程物料平衡表</w:t>
      </w:r>
      <w:r>
        <w:rPr>
          <w:rFonts w:hint="eastAsia"/>
          <w:i w:val="0"/>
          <w:iCs w:val="0"/>
          <w:color w:val="000000"/>
          <w:sz w:val="24"/>
          <w:u w:val="single"/>
          <w:lang w:eastAsia="zh-CN"/>
        </w:rPr>
        <w:t>图</w:t>
      </w:r>
      <w:r>
        <w:rPr>
          <w:rFonts w:hint="eastAsia"/>
          <w:i w:val="0"/>
          <w:iCs w:val="0"/>
          <w:color w:val="000000"/>
          <w:sz w:val="24"/>
          <w:u w:val="single"/>
          <w:lang w:val="en-US" w:eastAsia="zh-CN"/>
        </w:rPr>
        <w:t>3-2</w:t>
      </w:r>
      <w:r>
        <w:rPr>
          <w:rFonts w:hint="eastAsia"/>
          <w:i w:val="0"/>
          <w:iCs w:val="0"/>
          <w:color w:val="000000"/>
          <w:sz w:val="24"/>
          <w:u w:val="single"/>
        </w:rPr>
        <w:t>。</w:t>
      </w:r>
    </w:p>
    <w:p>
      <w:pPr>
        <w:spacing w:line="360" w:lineRule="auto"/>
        <w:ind w:firstLine="480" w:firstLineChars="200"/>
        <w:rPr>
          <w:rFonts w:hint="eastAsia"/>
          <w:i w:val="0"/>
          <w:iCs w:val="0"/>
          <w:color w:val="000000"/>
          <w:u w:val="single"/>
        </w:rPr>
      </w:pPr>
      <w:r>
        <w:rPr>
          <w:rFonts w:hint="eastAsia"/>
          <w:i w:val="0"/>
          <w:iCs w:val="0"/>
          <w:color w:val="000000"/>
          <w:u w:val="single"/>
        </w:rPr>
        <w:t>本项目</w:t>
      </w:r>
      <w:r>
        <w:rPr>
          <w:rFonts w:hint="eastAsia"/>
          <w:i w:val="0"/>
          <w:iCs w:val="0"/>
          <w:color w:val="000000"/>
          <w:sz w:val="24"/>
          <w:u w:val="single"/>
        </w:rPr>
        <w:t>总体</w:t>
      </w:r>
      <w:r>
        <w:rPr>
          <w:rFonts w:hint="eastAsia"/>
          <w:i w:val="0"/>
          <w:iCs w:val="0"/>
          <w:color w:val="000000"/>
          <w:u w:val="single"/>
        </w:rPr>
        <w:t>物料平衡表见表3-</w:t>
      </w:r>
      <w:r>
        <w:rPr>
          <w:rFonts w:hint="eastAsia"/>
          <w:i w:val="0"/>
          <w:iCs w:val="0"/>
          <w:color w:val="000000"/>
          <w:u w:val="single"/>
          <w:lang w:val="en-US" w:eastAsia="zh-CN"/>
        </w:rPr>
        <w:t>11</w:t>
      </w:r>
      <w:r>
        <w:rPr>
          <w:rFonts w:hint="eastAsia"/>
          <w:i w:val="0"/>
          <w:iCs w:val="0"/>
          <w:color w:val="000000"/>
          <w:u w:val="single"/>
        </w:rPr>
        <w:t>。</w:t>
      </w:r>
    </w:p>
    <w:p>
      <w:pPr>
        <w:pStyle w:val="48"/>
        <w:jc w:val="right"/>
        <w:rPr>
          <w:rFonts w:hint="eastAsia"/>
          <w:i w:val="0"/>
          <w:iCs w:val="0"/>
          <w:u w:val="single"/>
        </w:rPr>
      </w:pPr>
      <w:r>
        <w:rPr>
          <w:i w:val="0"/>
          <w:iCs w:val="0"/>
          <w:u w:val="single"/>
        </w:rPr>
        <w:drawing>
          <wp:inline distT="0" distB="0" distL="114300" distR="114300">
            <wp:extent cx="5162550" cy="7772400"/>
            <wp:effectExtent l="0" t="0" r="0" b="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26"/>
                    <a:stretch>
                      <a:fillRect/>
                    </a:stretch>
                  </pic:blipFill>
                  <pic:spPr>
                    <a:xfrm>
                      <a:off x="0" y="0"/>
                      <a:ext cx="5162550" cy="7772400"/>
                    </a:xfrm>
                    <a:prstGeom prst="rect">
                      <a:avLst/>
                    </a:prstGeom>
                    <a:noFill/>
                    <a:ln>
                      <a:noFill/>
                    </a:ln>
                  </pic:spPr>
                </pic:pic>
              </a:graphicData>
            </a:graphic>
          </wp:inline>
        </w:drawing>
      </w:r>
    </w:p>
    <w:p>
      <w:pPr>
        <w:pStyle w:val="24"/>
        <w:snapToGrid w:val="0"/>
        <w:rPr>
          <w:rFonts w:hint="eastAsia" w:eastAsia="黑体"/>
          <w:bCs/>
          <w:i w:val="0"/>
          <w:iCs w:val="0"/>
          <w:color w:val="000000"/>
          <w:u w:val="single"/>
        </w:rPr>
      </w:pPr>
      <w:r>
        <w:rPr>
          <w:rFonts w:eastAsia="黑体"/>
          <w:bCs/>
          <w:i w:val="0"/>
          <w:iCs w:val="0"/>
          <w:color w:val="000000"/>
          <w:u w:val="single"/>
        </w:rPr>
        <w:t>图3-1  本项目</w:t>
      </w:r>
      <w:r>
        <w:rPr>
          <w:rFonts w:hint="eastAsia" w:eastAsia="黑体"/>
          <w:bCs/>
          <w:i w:val="0"/>
          <w:iCs w:val="0"/>
          <w:color w:val="000000"/>
          <w:u w:val="single"/>
          <w:lang w:eastAsia="zh-CN"/>
        </w:rPr>
        <w:t>单批次</w:t>
      </w:r>
      <w:r>
        <w:rPr>
          <w:rFonts w:eastAsia="黑体"/>
          <w:bCs/>
          <w:i w:val="0"/>
          <w:iCs w:val="0"/>
          <w:color w:val="000000"/>
          <w:u w:val="single"/>
        </w:rPr>
        <w:t>物料平衡图     单位：</w:t>
      </w:r>
      <w:r>
        <w:rPr>
          <w:rFonts w:hint="eastAsia" w:eastAsia="黑体"/>
          <w:bCs/>
          <w:i w:val="0"/>
          <w:iCs w:val="0"/>
          <w:color w:val="000000"/>
          <w:u w:val="single"/>
          <w:lang w:val="en-US" w:eastAsia="zh-CN"/>
        </w:rPr>
        <w:t>kg</w:t>
      </w:r>
      <w:r>
        <w:rPr>
          <w:rFonts w:eastAsia="黑体"/>
          <w:bCs/>
          <w:i w:val="0"/>
          <w:iCs w:val="0"/>
          <w:color w:val="000000"/>
          <w:u w:val="single"/>
        </w:rPr>
        <w:t>/</w:t>
      </w:r>
      <w:r>
        <w:rPr>
          <w:rFonts w:hint="eastAsia" w:eastAsia="黑体"/>
          <w:bCs/>
          <w:i w:val="0"/>
          <w:iCs w:val="0"/>
          <w:color w:val="000000"/>
          <w:u w:val="single"/>
          <w:lang w:eastAsia="zh-CN"/>
        </w:rPr>
        <w:t>批</w:t>
      </w:r>
      <w:r>
        <w:rPr>
          <w:rFonts w:hint="eastAsia" w:eastAsia="黑体"/>
          <w:bCs/>
          <w:i w:val="0"/>
          <w:iCs w:val="0"/>
          <w:color w:val="000000"/>
          <w:u w:val="single"/>
        </w:rPr>
        <w:t xml:space="preserve">  </w:t>
      </w:r>
    </w:p>
    <w:p>
      <w:pPr>
        <w:ind w:firstLine="482" w:firstLineChars="200"/>
        <w:jc w:val="center"/>
        <w:rPr>
          <w:rFonts w:hint="eastAsia"/>
          <w:b/>
          <w:i w:val="0"/>
          <w:iCs w:val="0"/>
          <w:u w:val="single"/>
        </w:rPr>
      </w:pPr>
    </w:p>
    <w:p>
      <w:pPr>
        <w:ind w:firstLine="482" w:firstLineChars="200"/>
        <w:jc w:val="center"/>
        <w:rPr>
          <w:rFonts w:hint="eastAsia"/>
          <w:b/>
          <w:i w:val="0"/>
          <w:iCs w:val="0"/>
          <w:u w:val="single"/>
        </w:rPr>
      </w:pPr>
    </w:p>
    <w:p>
      <w:pPr>
        <w:ind w:firstLine="480" w:firstLineChars="200"/>
        <w:jc w:val="center"/>
        <w:rPr>
          <w:rFonts w:hint="eastAsia"/>
          <w:b/>
          <w:i w:val="0"/>
          <w:iCs w:val="0"/>
          <w:u w:val="single"/>
        </w:rPr>
      </w:pPr>
      <w:r>
        <w:rPr>
          <w:i w:val="0"/>
          <w:iCs w:val="0"/>
          <w:u w:val="single"/>
        </w:rPr>
        <w:drawing>
          <wp:inline distT="0" distB="0" distL="114300" distR="114300">
            <wp:extent cx="5781675" cy="8162925"/>
            <wp:effectExtent l="0" t="0" r="9525" b="9525"/>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27"/>
                    <a:stretch>
                      <a:fillRect/>
                    </a:stretch>
                  </pic:blipFill>
                  <pic:spPr>
                    <a:xfrm>
                      <a:off x="0" y="0"/>
                      <a:ext cx="5781675" cy="8162925"/>
                    </a:xfrm>
                    <a:prstGeom prst="rect">
                      <a:avLst/>
                    </a:prstGeom>
                    <a:noFill/>
                    <a:ln>
                      <a:noFill/>
                    </a:ln>
                  </pic:spPr>
                </pic:pic>
              </a:graphicData>
            </a:graphic>
          </wp:inline>
        </w:drawing>
      </w:r>
    </w:p>
    <w:p>
      <w:pPr>
        <w:ind w:firstLine="482" w:firstLineChars="200"/>
        <w:jc w:val="center"/>
        <w:rPr>
          <w:rFonts w:hint="eastAsia"/>
          <w:b/>
          <w:i w:val="0"/>
          <w:iCs w:val="0"/>
          <w:u w:val="single"/>
        </w:rPr>
      </w:pPr>
    </w:p>
    <w:p>
      <w:pPr>
        <w:ind w:firstLine="482" w:firstLineChars="200"/>
        <w:jc w:val="center"/>
        <w:rPr>
          <w:rFonts w:hint="eastAsia"/>
          <w:b/>
          <w:i w:val="0"/>
          <w:iCs w:val="0"/>
          <w:u w:val="single"/>
        </w:rPr>
      </w:pPr>
    </w:p>
    <w:p>
      <w:pPr>
        <w:pStyle w:val="24"/>
        <w:snapToGrid w:val="0"/>
        <w:rPr>
          <w:rFonts w:hint="eastAsia" w:eastAsia="黑体"/>
          <w:bCs/>
          <w:i w:val="0"/>
          <w:iCs w:val="0"/>
          <w:color w:val="000000"/>
          <w:u w:val="single"/>
        </w:rPr>
      </w:pPr>
      <w:r>
        <w:rPr>
          <w:rFonts w:eastAsia="黑体"/>
          <w:bCs/>
          <w:i w:val="0"/>
          <w:iCs w:val="0"/>
          <w:color w:val="000000"/>
          <w:u w:val="single"/>
        </w:rPr>
        <w:t>图3-</w:t>
      </w:r>
      <w:r>
        <w:rPr>
          <w:rFonts w:hint="eastAsia" w:eastAsia="黑体"/>
          <w:bCs/>
          <w:i w:val="0"/>
          <w:iCs w:val="0"/>
          <w:color w:val="000000"/>
          <w:u w:val="single"/>
          <w:lang w:val="en-US" w:eastAsia="zh-CN"/>
        </w:rPr>
        <w:t>2</w:t>
      </w:r>
      <w:r>
        <w:rPr>
          <w:rFonts w:eastAsia="黑体"/>
          <w:bCs/>
          <w:i w:val="0"/>
          <w:iCs w:val="0"/>
          <w:color w:val="000000"/>
          <w:u w:val="single"/>
        </w:rPr>
        <w:t xml:space="preserve">  本项目</w:t>
      </w:r>
      <w:r>
        <w:rPr>
          <w:rFonts w:hint="eastAsia" w:eastAsia="黑体"/>
          <w:bCs/>
          <w:i w:val="0"/>
          <w:iCs w:val="0"/>
          <w:color w:val="000000"/>
          <w:u w:val="single"/>
        </w:rPr>
        <w:t>总体</w:t>
      </w:r>
      <w:r>
        <w:rPr>
          <w:rFonts w:eastAsia="黑体"/>
          <w:bCs/>
          <w:i w:val="0"/>
          <w:iCs w:val="0"/>
          <w:color w:val="000000"/>
          <w:u w:val="single"/>
        </w:rPr>
        <w:t>物料平衡图     单位：</w:t>
      </w:r>
      <w:r>
        <w:rPr>
          <w:rFonts w:hint="eastAsia" w:eastAsia="黑体"/>
          <w:bCs/>
          <w:i w:val="0"/>
          <w:iCs w:val="0"/>
          <w:color w:val="000000"/>
          <w:u w:val="single"/>
          <w:lang w:val="en-US" w:eastAsia="zh-CN"/>
        </w:rPr>
        <w:t>t</w:t>
      </w:r>
      <w:r>
        <w:rPr>
          <w:rFonts w:eastAsia="黑体"/>
          <w:bCs/>
          <w:i w:val="0"/>
          <w:iCs w:val="0"/>
          <w:color w:val="000000"/>
          <w:u w:val="single"/>
        </w:rPr>
        <w:t>/</w:t>
      </w:r>
      <w:r>
        <w:rPr>
          <w:rFonts w:hint="eastAsia" w:eastAsia="黑体"/>
          <w:bCs/>
          <w:i w:val="0"/>
          <w:iCs w:val="0"/>
          <w:color w:val="000000"/>
          <w:u w:val="single"/>
          <w:lang w:val="en-US" w:eastAsia="zh-CN"/>
        </w:rPr>
        <w:t>a</w:t>
      </w:r>
    </w:p>
    <w:p>
      <w:pPr>
        <w:ind w:firstLine="482" w:firstLineChars="200"/>
        <w:jc w:val="center"/>
        <w:rPr>
          <w:rFonts w:hint="eastAsia"/>
          <w:b/>
          <w:i w:val="0"/>
          <w:iCs w:val="0"/>
          <w:u w:val="single"/>
        </w:rPr>
      </w:pPr>
    </w:p>
    <w:p>
      <w:pPr>
        <w:ind w:firstLine="482" w:firstLineChars="200"/>
        <w:jc w:val="center"/>
        <w:rPr>
          <w:rFonts w:hint="default" w:eastAsia="宋体"/>
          <w:b/>
          <w:i w:val="0"/>
          <w:iCs w:val="0"/>
          <w:u w:val="single"/>
          <w:lang w:val="en-US" w:eastAsia="zh-CN"/>
        </w:rPr>
      </w:pPr>
      <w:r>
        <w:rPr>
          <w:rFonts w:hint="eastAsia"/>
          <w:b/>
          <w:i w:val="0"/>
          <w:iCs w:val="0"/>
          <w:u w:val="single"/>
        </w:rPr>
        <w:t>表3-</w:t>
      </w:r>
      <w:r>
        <w:rPr>
          <w:rFonts w:hint="eastAsia"/>
          <w:b/>
          <w:i w:val="0"/>
          <w:iCs w:val="0"/>
          <w:u w:val="single"/>
          <w:lang w:val="en-US" w:eastAsia="zh-CN"/>
        </w:rPr>
        <w:t>11</w:t>
      </w:r>
      <w:r>
        <w:rPr>
          <w:rFonts w:hint="eastAsia"/>
          <w:b/>
          <w:i w:val="0"/>
          <w:iCs w:val="0"/>
          <w:u w:val="single"/>
        </w:rPr>
        <w:t xml:space="preserve"> 本项目总体物料平衡表</w:t>
      </w:r>
      <w:r>
        <w:rPr>
          <w:rFonts w:hint="eastAsia"/>
          <w:b/>
          <w:i w:val="0"/>
          <w:iCs w:val="0"/>
          <w:u w:val="single"/>
          <w:lang w:val="en-US" w:eastAsia="zh-CN"/>
        </w:rPr>
        <w:t xml:space="preserve">  </w:t>
      </w:r>
      <w:r>
        <w:rPr>
          <w:rFonts w:eastAsia="黑体"/>
          <w:bCs/>
          <w:i w:val="0"/>
          <w:iCs w:val="0"/>
          <w:color w:val="000000"/>
          <w:u w:val="single"/>
        </w:rPr>
        <w:t>单位：</w:t>
      </w:r>
      <w:r>
        <w:rPr>
          <w:rFonts w:hint="eastAsia"/>
          <w:b/>
          <w:i w:val="0"/>
          <w:iCs w:val="0"/>
          <w:u w:val="single"/>
          <w:lang w:val="en-US" w:eastAsia="zh-CN"/>
        </w:rPr>
        <w:t>t/a</w:t>
      </w:r>
    </w:p>
    <w:tbl>
      <w:tblPr>
        <w:tblStyle w:val="58"/>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18"/>
        <w:gridCol w:w="2386"/>
        <w:gridCol w:w="1937"/>
        <w:gridCol w:w="32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64" w:type="pct"/>
            <w:gridSpan w:val="2"/>
            <w:noWrap w:val="0"/>
            <w:vAlign w:val="center"/>
          </w:tcPr>
          <w:p>
            <w:pPr>
              <w:adjustRightInd w:val="0"/>
              <w:snapToGrid w:val="0"/>
              <w:jc w:val="center"/>
              <w:rPr>
                <w:i w:val="0"/>
                <w:iCs w:val="0"/>
                <w:color w:val="000000"/>
                <w:sz w:val="21"/>
                <w:szCs w:val="21"/>
                <w:u w:val="single"/>
              </w:rPr>
            </w:pPr>
            <w:r>
              <w:rPr>
                <w:i w:val="0"/>
                <w:iCs w:val="0"/>
                <w:color w:val="000000"/>
                <w:sz w:val="21"/>
                <w:szCs w:val="21"/>
                <w:u w:val="single"/>
              </w:rPr>
              <w:t>投入</w:t>
            </w:r>
          </w:p>
        </w:tc>
        <w:tc>
          <w:tcPr>
            <w:tcW w:w="2735" w:type="pct"/>
            <w:gridSpan w:val="2"/>
            <w:noWrap w:val="0"/>
            <w:vAlign w:val="center"/>
          </w:tcPr>
          <w:p>
            <w:pPr>
              <w:adjustRightInd w:val="0"/>
              <w:snapToGrid w:val="0"/>
              <w:jc w:val="center"/>
              <w:rPr>
                <w:i w:val="0"/>
                <w:iCs w:val="0"/>
                <w:color w:val="000000"/>
                <w:sz w:val="21"/>
                <w:szCs w:val="21"/>
                <w:u w:val="single"/>
              </w:rPr>
            </w:pPr>
            <w:r>
              <w:rPr>
                <w:i w:val="0"/>
                <w:iCs w:val="0"/>
                <w:color w:val="000000"/>
                <w:sz w:val="21"/>
                <w:szCs w:val="21"/>
                <w:u w:val="single"/>
              </w:rPr>
              <w:t>产出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9" w:type="pct"/>
            <w:noWrap w:val="0"/>
            <w:vAlign w:val="center"/>
          </w:tcPr>
          <w:p>
            <w:pPr>
              <w:adjustRightInd w:val="0"/>
              <w:snapToGrid w:val="0"/>
              <w:jc w:val="center"/>
              <w:rPr>
                <w:i w:val="0"/>
                <w:iCs w:val="0"/>
                <w:color w:val="000000"/>
                <w:sz w:val="21"/>
                <w:szCs w:val="21"/>
                <w:u w:val="single"/>
              </w:rPr>
            </w:pPr>
            <w:r>
              <w:rPr>
                <w:i w:val="0"/>
                <w:iCs w:val="0"/>
                <w:color w:val="000000"/>
                <w:sz w:val="21"/>
                <w:szCs w:val="21"/>
                <w:u w:val="single"/>
              </w:rPr>
              <w:t>名称</w:t>
            </w:r>
          </w:p>
        </w:tc>
        <w:tc>
          <w:tcPr>
            <w:tcW w:w="1255" w:type="pct"/>
            <w:noWrap w:val="0"/>
            <w:vAlign w:val="center"/>
          </w:tcPr>
          <w:p>
            <w:pPr>
              <w:adjustRightInd w:val="0"/>
              <w:snapToGrid w:val="0"/>
              <w:jc w:val="center"/>
              <w:rPr>
                <w:i w:val="0"/>
                <w:iCs w:val="0"/>
                <w:color w:val="000000"/>
                <w:sz w:val="21"/>
                <w:szCs w:val="21"/>
                <w:u w:val="single"/>
              </w:rPr>
            </w:pPr>
            <w:r>
              <w:rPr>
                <w:i w:val="0"/>
                <w:iCs w:val="0"/>
                <w:color w:val="000000"/>
                <w:sz w:val="21"/>
                <w:szCs w:val="21"/>
                <w:u w:val="single"/>
              </w:rPr>
              <w:t>量（t/a）</w:t>
            </w:r>
          </w:p>
        </w:tc>
        <w:tc>
          <w:tcPr>
            <w:tcW w:w="1019" w:type="pct"/>
            <w:noWrap w:val="0"/>
            <w:vAlign w:val="center"/>
          </w:tcPr>
          <w:p>
            <w:pPr>
              <w:adjustRightInd w:val="0"/>
              <w:snapToGrid w:val="0"/>
              <w:jc w:val="center"/>
              <w:rPr>
                <w:i w:val="0"/>
                <w:iCs w:val="0"/>
                <w:color w:val="000000"/>
                <w:sz w:val="21"/>
                <w:szCs w:val="21"/>
                <w:u w:val="single"/>
              </w:rPr>
            </w:pPr>
            <w:r>
              <w:rPr>
                <w:i w:val="0"/>
                <w:iCs w:val="0"/>
                <w:color w:val="000000"/>
                <w:sz w:val="21"/>
                <w:szCs w:val="21"/>
                <w:u w:val="single"/>
              </w:rPr>
              <w:t>名称</w:t>
            </w:r>
          </w:p>
        </w:tc>
        <w:tc>
          <w:tcPr>
            <w:tcW w:w="1716" w:type="pct"/>
            <w:noWrap w:val="0"/>
            <w:vAlign w:val="center"/>
          </w:tcPr>
          <w:p>
            <w:pPr>
              <w:adjustRightInd w:val="0"/>
              <w:snapToGrid w:val="0"/>
              <w:jc w:val="center"/>
              <w:rPr>
                <w:i w:val="0"/>
                <w:iCs w:val="0"/>
                <w:color w:val="000000"/>
                <w:sz w:val="21"/>
                <w:szCs w:val="21"/>
                <w:u w:val="single"/>
              </w:rPr>
            </w:pPr>
            <w:r>
              <w:rPr>
                <w:i w:val="0"/>
                <w:iCs w:val="0"/>
                <w:color w:val="000000"/>
                <w:sz w:val="21"/>
                <w:szCs w:val="21"/>
                <w:u w:val="single"/>
              </w:rPr>
              <w:t>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009" w:type="pct"/>
            <w:noWrap w:val="0"/>
            <w:vAlign w:val="center"/>
          </w:tcPr>
          <w:p>
            <w:pPr>
              <w:jc w:val="center"/>
              <w:rPr>
                <w:i w:val="0"/>
                <w:iCs w:val="0"/>
                <w:color w:val="000000"/>
                <w:sz w:val="21"/>
                <w:szCs w:val="21"/>
                <w:u w:val="single"/>
              </w:rPr>
            </w:pPr>
            <w:r>
              <w:rPr>
                <w:rFonts w:hint="eastAsia"/>
                <w:i w:val="0"/>
                <w:iCs w:val="0"/>
                <w:sz w:val="21"/>
                <w:szCs w:val="21"/>
                <w:u w:val="single"/>
              </w:rPr>
              <w:t>葡萄糖</w:t>
            </w:r>
          </w:p>
        </w:tc>
        <w:tc>
          <w:tcPr>
            <w:tcW w:w="1255" w:type="pct"/>
            <w:noWrap w:val="0"/>
            <w:vAlign w:val="center"/>
          </w:tcPr>
          <w:p>
            <w:pPr>
              <w:jc w:val="center"/>
              <w:rPr>
                <w:rFonts w:hint="default"/>
                <w:i w:val="0"/>
                <w:iCs w:val="0"/>
                <w:color w:val="000000"/>
                <w:sz w:val="21"/>
                <w:szCs w:val="21"/>
                <w:u w:val="single"/>
                <w:lang w:val="en-US"/>
              </w:rPr>
            </w:pPr>
            <w:r>
              <w:rPr>
                <w:rFonts w:hint="eastAsia"/>
                <w:i w:val="0"/>
                <w:iCs w:val="0"/>
                <w:sz w:val="21"/>
                <w:szCs w:val="21"/>
                <w:u w:val="single"/>
                <w:lang w:val="en-US" w:eastAsia="zh-CN"/>
              </w:rPr>
              <w:t>2641.15625</w:t>
            </w:r>
          </w:p>
        </w:tc>
        <w:tc>
          <w:tcPr>
            <w:tcW w:w="1019" w:type="pct"/>
            <w:noWrap w:val="0"/>
            <w:vAlign w:val="center"/>
          </w:tcPr>
          <w:p>
            <w:pPr>
              <w:adjustRightInd w:val="0"/>
              <w:snapToGrid w:val="0"/>
              <w:jc w:val="center"/>
              <w:rPr>
                <w:i w:val="0"/>
                <w:iCs w:val="0"/>
                <w:color w:val="000000"/>
                <w:sz w:val="21"/>
                <w:szCs w:val="21"/>
                <w:u w:val="single"/>
              </w:rPr>
            </w:pPr>
            <w:r>
              <w:rPr>
                <w:rFonts w:hint="eastAsia"/>
                <w:i w:val="0"/>
                <w:iCs w:val="0"/>
                <w:color w:val="000000"/>
                <w:sz w:val="21"/>
                <w:szCs w:val="21"/>
                <w:u w:val="single"/>
              </w:rPr>
              <w:t>产品</w:t>
            </w:r>
          </w:p>
        </w:tc>
        <w:tc>
          <w:tcPr>
            <w:tcW w:w="1716"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9" w:type="pct"/>
            <w:noWrap w:val="0"/>
            <w:vAlign w:val="center"/>
          </w:tcPr>
          <w:p>
            <w:pPr>
              <w:jc w:val="center"/>
              <w:rPr>
                <w:i w:val="0"/>
                <w:iCs w:val="0"/>
                <w:color w:val="000000"/>
                <w:sz w:val="21"/>
                <w:szCs w:val="21"/>
                <w:u w:val="single"/>
              </w:rPr>
            </w:pPr>
            <w:r>
              <w:rPr>
                <w:rFonts w:hint="eastAsia"/>
                <w:i w:val="0"/>
                <w:iCs w:val="0"/>
                <w:sz w:val="21"/>
                <w:szCs w:val="21"/>
                <w:u w:val="single"/>
              </w:rPr>
              <w:t>酵母浸粉</w:t>
            </w:r>
          </w:p>
        </w:tc>
        <w:tc>
          <w:tcPr>
            <w:tcW w:w="1255" w:type="pct"/>
            <w:noWrap w:val="0"/>
            <w:vAlign w:val="top"/>
          </w:tcPr>
          <w:p>
            <w:pPr>
              <w:jc w:val="center"/>
              <w:rPr>
                <w:rFonts w:hint="default" w:ascii="Times New Roman" w:hAnsi="Times New Roman" w:eastAsia="宋体" w:cs="Times New Roman"/>
                <w:i w:val="0"/>
                <w:iCs w:val="0"/>
                <w:color w:val="000000"/>
                <w:sz w:val="21"/>
                <w:szCs w:val="21"/>
                <w:u w:val="single"/>
                <w:lang w:val="en-US" w:eastAsia="zh-CN"/>
              </w:rPr>
            </w:pPr>
            <w:r>
              <w:rPr>
                <w:rFonts w:hint="eastAsia" w:ascii="Times New Roman" w:hAnsi="Times New Roman" w:eastAsia="宋体" w:cs="Times New Roman"/>
                <w:i w:val="0"/>
                <w:iCs w:val="0"/>
                <w:color w:val="000000"/>
                <w:sz w:val="21"/>
                <w:szCs w:val="21"/>
                <w:u w:val="single"/>
                <w:lang w:val="en-US" w:eastAsia="zh-CN"/>
              </w:rPr>
              <w:t>79.55</w:t>
            </w:r>
          </w:p>
        </w:tc>
        <w:tc>
          <w:tcPr>
            <w:tcW w:w="1019" w:type="pct"/>
            <w:noWrap w:val="0"/>
            <w:vAlign w:val="center"/>
          </w:tcPr>
          <w:p>
            <w:pPr>
              <w:adjustRightInd w:val="0"/>
              <w:snapToGrid w:val="0"/>
              <w:jc w:val="center"/>
              <w:rPr>
                <w:i w:val="0"/>
                <w:iCs w:val="0"/>
                <w:color w:val="000000"/>
                <w:sz w:val="21"/>
                <w:szCs w:val="21"/>
                <w:u w:val="single"/>
              </w:rPr>
            </w:pPr>
            <w:r>
              <w:rPr>
                <w:rFonts w:hint="eastAsia"/>
                <w:i w:val="0"/>
                <w:iCs w:val="0"/>
                <w:color w:val="000000"/>
                <w:sz w:val="21"/>
                <w:szCs w:val="21"/>
                <w:u w:val="single"/>
              </w:rPr>
              <w:t>水蒸气</w:t>
            </w:r>
          </w:p>
        </w:tc>
        <w:tc>
          <w:tcPr>
            <w:tcW w:w="1716"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8344.44375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9" w:type="pct"/>
            <w:noWrap w:val="0"/>
            <w:vAlign w:val="center"/>
          </w:tcPr>
          <w:p>
            <w:pPr>
              <w:jc w:val="center"/>
              <w:rPr>
                <w:i w:val="0"/>
                <w:iCs w:val="0"/>
                <w:color w:val="000000"/>
                <w:sz w:val="21"/>
                <w:szCs w:val="21"/>
                <w:u w:val="single"/>
              </w:rPr>
            </w:pPr>
            <w:r>
              <w:rPr>
                <w:rFonts w:hint="eastAsia"/>
                <w:i w:val="0"/>
                <w:iCs w:val="0"/>
                <w:sz w:val="21"/>
                <w:szCs w:val="21"/>
                <w:u w:val="single"/>
              </w:rPr>
              <w:t>蛋白胨</w:t>
            </w:r>
          </w:p>
        </w:tc>
        <w:tc>
          <w:tcPr>
            <w:tcW w:w="1255" w:type="pct"/>
            <w:noWrap w:val="0"/>
            <w:vAlign w:val="top"/>
          </w:tcPr>
          <w:p>
            <w:pPr>
              <w:jc w:val="center"/>
              <w:rPr>
                <w:rFonts w:hint="default" w:ascii="Times New Roman" w:hAnsi="Times New Roman" w:eastAsia="宋体" w:cs="Times New Roman"/>
                <w:i w:val="0"/>
                <w:iCs w:val="0"/>
                <w:color w:val="000000"/>
                <w:sz w:val="21"/>
                <w:szCs w:val="21"/>
                <w:u w:val="single"/>
                <w:lang w:val="en-US" w:eastAsia="zh-CN"/>
              </w:rPr>
            </w:pPr>
            <w:r>
              <w:rPr>
                <w:rFonts w:hint="eastAsia" w:ascii="Times New Roman" w:hAnsi="Times New Roman" w:eastAsia="宋体" w:cs="Times New Roman"/>
                <w:i w:val="0"/>
                <w:iCs w:val="0"/>
                <w:color w:val="000000"/>
                <w:sz w:val="21"/>
                <w:szCs w:val="21"/>
                <w:u w:val="single"/>
                <w:lang w:val="en-US" w:eastAsia="zh-CN"/>
              </w:rPr>
              <w:t>79.55</w:t>
            </w:r>
          </w:p>
        </w:tc>
        <w:tc>
          <w:tcPr>
            <w:tcW w:w="1019" w:type="pct"/>
            <w:noWrap w:val="0"/>
            <w:vAlign w:val="center"/>
          </w:tcPr>
          <w:p>
            <w:pPr>
              <w:adjustRightInd w:val="0"/>
              <w:snapToGrid w:val="0"/>
              <w:jc w:val="center"/>
              <w:rPr>
                <w:i w:val="0"/>
                <w:iCs w:val="0"/>
                <w:color w:val="000000"/>
                <w:sz w:val="21"/>
                <w:szCs w:val="21"/>
                <w:u w:val="single"/>
              </w:rPr>
            </w:pPr>
            <w:r>
              <w:rPr>
                <w:i w:val="0"/>
                <w:iCs w:val="0"/>
                <w:color w:val="000000"/>
                <w:sz w:val="21"/>
                <w:szCs w:val="21"/>
                <w:u w:val="single"/>
              </w:rPr>
              <w:t>CO</w:t>
            </w:r>
            <w:r>
              <w:rPr>
                <w:i w:val="0"/>
                <w:iCs w:val="0"/>
                <w:color w:val="000000"/>
                <w:sz w:val="21"/>
                <w:szCs w:val="21"/>
                <w:u w:val="single"/>
                <w:vertAlign w:val="subscript"/>
              </w:rPr>
              <w:t>2</w:t>
            </w:r>
          </w:p>
        </w:tc>
        <w:tc>
          <w:tcPr>
            <w:tcW w:w="1716" w:type="pct"/>
            <w:noWrap w:val="0"/>
            <w:vAlign w:val="top"/>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1148.04875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9" w:type="pct"/>
            <w:noWrap w:val="0"/>
            <w:vAlign w:val="center"/>
          </w:tcPr>
          <w:p>
            <w:pPr>
              <w:jc w:val="center"/>
              <w:rPr>
                <w:i w:val="0"/>
                <w:iCs w:val="0"/>
                <w:color w:val="000000"/>
                <w:sz w:val="21"/>
                <w:szCs w:val="21"/>
                <w:u w:val="single"/>
              </w:rPr>
            </w:pPr>
            <w:r>
              <w:rPr>
                <w:rFonts w:hint="eastAsia"/>
                <w:i w:val="0"/>
                <w:iCs w:val="0"/>
                <w:sz w:val="21"/>
                <w:szCs w:val="21"/>
                <w:u w:val="single"/>
              </w:rPr>
              <w:t>柠檬酸</w:t>
            </w:r>
          </w:p>
        </w:tc>
        <w:tc>
          <w:tcPr>
            <w:tcW w:w="1255" w:type="pct"/>
            <w:noWrap w:val="0"/>
            <w:vAlign w:val="top"/>
          </w:tcPr>
          <w:p>
            <w:pPr>
              <w:jc w:val="center"/>
              <w:rPr>
                <w:rFonts w:hint="default" w:ascii="Times New Roman" w:hAnsi="Times New Roman" w:eastAsia="宋体" w:cs="Times New Roman"/>
                <w:i w:val="0"/>
                <w:iCs w:val="0"/>
                <w:color w:val="000000"/>
                <w:sz w:val="21"/>
                <w:szCs w:val="21"/>
                <w:u w:val="single"/>
                <w:lang w:val="en-US" w:eastAsia="zh-CN"/>
              </w:rPr>
            </w:pPr>
            <w:r>
              <w:rPr>
                <w:rFonts w:hint="eastAsia" w:ascii="Times New Roman" w:hAnsi="Times New Roman" w:eastAsia="宋体" w:cs="Times New Roman"/>
                <w:i w:val="0"/>
                <w:iCs w:val="0"/>
                <w:color w:val="000000"/>
                <w:sz w:val="21"/>
                <w:szCs w:val="21"/>
                <w:u w:val="single"/>
                <w:lang w:val="en-US" w:eastAsia="zh-CN"/>
              </w:rPr>
              <w:t>32.5</w:t>
            </w:r>
          </w:p>
        </w:tc>
        <w:tc>
          <w:tcPr>
            <w:tcW w:w="1019"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葡萄糖分解水（随湿空气排出）</w:t>
            </w:r>
          </w:p>
        </w:tc>
        <w:tc>
          <w:tcPr>
            <w:tcW w:w="1716" w:type="pct"/>
            <w:noWrap w:val="0"/>
            <w:vAlign w:val="center"/>
          </w:tcPr>
          <w:p>
            <w:pPr>
              <w:adjustRightInd w:val="0"/>
              <w:snapToGrid w:val="0"/>
              <w:jc w:val="center"/>
              <w:rPr>
                <w:i w:val="0"/>
                <w:iCs w:val="0"/>
                <w:color w:val="000000"/>
                <w:sz w:val="21"/>
                <w:szCs w:val="21"/>
                <w:u w:val="single"/>
              </w:rPr>
            </w:pPr>
            <w:r>
              <w:rPr>
                <w:rFonts w:hint="eastAsia"/>
                <w:i w:val="0"/>
                <w:iCs w:val="0"/>
                <w:color w:val="000000"/>
                <w:sz w:val="21"/>
                <w:szCs w:val="21"/>
                <w:u w:val="single"/>
                <w:lang w:val="en-US" w:eastAsia="zh-CN"/>
              </w:rPr>
              <w:t>574.05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9" w:type="pct"/>
            <w:noWrap w:val="0"/>
            <w:vAlign w:val="center"/>
          </w:tcPr>
          <w:p>
            <w:pPr>
              <w:jc w:val="center"/>
              <w:rPr>
                <w:i w:val="0"/>
                <w:iCs w:val="0"/>
                <w:color w:val="000000"/>
                <w:sz w:val="21"/>
                <w:szCs w:val="21"/>
                <w:u w:val="single"/>
              </w:rPr>
            </w:pPr>
            <w:r>
              <w:rPr>
                <w:rFonts w:hint="eastAsia"/>
                <w:i w:val="0"/>
                <w:iCs w:val="0"/>
                <w:sz w:val="21"/>
                <w:szCs w:val="21"/>
                <w:u w:val="single"/>
              </w:rPr>
              <w:t>乙醇</w:t>
            </w:r>
          </w:p>
        </w:tc>
        <w:tc>
          <w:tcPr>
            <w:tcW w:w="1255" w:type="pct"/>
            <w:noWrap w:val="0"/>
            <w:vAlign w:val="top"/>
          </w:tcPr>
          <w:p>
            <w:pPr>
              <w:jc w:val="center"/>
              <w:rPr>
                <w:rFonts w:hint="default" w:ascii="Times New Roman" w:hAnsi="Times New Roman" w:eastAsia="宋体" w:cs="Times New Roman"/>
                <w:i w:val="0"/>
                <w:iCs w:val="0"/>
                <w:color w:val="000000"/>
                <w:sz w:val="21"/>
                <w:szCs w:val="21"/>
                <w:u w:val="single"/>
                <w:lang w:val="en-US" w:eastAsia="zh-CN"/>
              </w:rPr>
            </w:pPr>
            <w:r>
              <w:rPr>
                <w:rFonts w:hint="eastAsia" w:ascii="Times New Roman" w:hAnsi="Times New Roman" w:eastAsia="宋体" w:cs="Times New Roman"/>
                <w:i w:val="0"/>
                <w:iCs w:val="0"/>
                <w:color w:val="000000"/>
                <w:sz w:val="21"/>
                <w:szCs w:val="21"/>
                <w:u w:val="single"/>
                <w:lang w:val="en-US" w:eastAsia="zh-CN"/>
              </w:rPr>
              <w:t>23.75</w:t>
            </w:r>
          </w:p>
        </w:tc>
        <w:tc>
          <w:tcPr>
            <w:tcW w:w="1019" w:type="pct"/>
            <w:noWrap w:val="0"/>
            <w:vAlign w:val="center"/>
          </w:tcPr>
          <w:p>
            <w:pPr>
              <w:adjustRightInd w:val="0"/>
              <w:snapToGrid w:val="0"/>
              <w:jc w:val="center"/>
              <w:rPr>
                <w:i w:val="0"/>
                <w:iCs w:val="0"/>
                <w:color w:val="000000"/>
                <w:sz w:val="21"/>
                <w:szCs w:val="21"/>
                <w:u w:val="single"/>
              </w:rPr>
            </w:pPr>
            <w:r>
              <w:rPr>
                <w:rFonts w:hint="eastAsia"/>
                <w:i w:val="0"/>
                <w:iCs w:val="0"/>
                <w:color w:val="000000"/>
                <w:sz w:val="21"/>
                <w:szCs w:val="21"/>
                <w:u w:val="single"/>
              </w:rPr>
              <w:t>离心液</w:t>
            </w:r>
          </w:p>
        </w:tc>
        <w:tc>
          <w:tcPr>
            <w:tcW w:w="1716"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7000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9" w:type="pct"/>
            <w:noWrap w:val="0"/>
            <w:vAlign w:val="center"/>
          </w:tcPr>
          <w:p>
            <w:pPr>
              <w:jc w:val="center"/>
              <w:rPr>
                <w:i w:val="0"/>
                <w:iCs w:val="0"/>
                <w:color w:val="000000"/>
                <w:sz w:val="21"/>
                <w:szCs w:val="21"/>
                <w:u w:val="single"/>
              </w:rPr>
            </w:pPr>
            <w:r>
              <w:rPr>
                <w:rFonts w:hint="eastAsia"/>
                <w:i w:val="0"/>
                <w:iCs w:val="0"/>
                <w:sz w:val="21"/>
                <w:szCs w:val="21"/>
                <w:u w:val="single"/>
              </w:rPr>
              <w:t>氨水</w:t>
            </w:r>
          </w:p>
        </w:tc>
        <w:tc>
          <w:tcPr>
            <w:tcW w:w="1255" w:type="pct"/>
            <w:noWrap w:val="0"/>
            <w:vAlign w:val="top"/>
          </w:tcPr>
          <w:p>
            <w:pPr>
              <w:jc w:val="center"/>
              <w:rPr>
                <w:rFonts w:hint="default" w:ascii="Times New Roman" w:hAnsi="Times New Roman" w:eastAsia="宋体" w:cs="Times New Roman"/>
                <w:i w:val="0"/>
                <w:iCs w:val="0"/>
                <w:color w:val="000000"/>
                <w:sz w:val="21"/>
                <w:szCs w:val="21"/>
                <w:u w:val="single"/>
                <w:lang w:val="en-US" w:eastAsia="zh-CN"/>
              </w:rPr>
            </w:pPr>
            <w:r>
              <w:rPr>
                <w:rFonts w:hint="eastAsia" w:ascii="Times New Roman" w:hAnsi="Times New Roman" w:eastAsia="宋体" w:cs="Times New Roman"/>
                <w:i w:val="0"/>
                <w:iCs w:val="0"/>
                <w:color w:val="000000"/>
                <w:sz w:val="21"/>
                <w:szCs w:val="21"/>
                <w:u w:val="single"/>
                <w:lang w:val="en-US" w:eastAsia="zh-CN"/>
              </w:rPr>
              <w:t>75</w:t>
            </w:r>
          </w:p>
        </w:tc>
        <w:tc>
          <w:tcPr>
            <w:tcW w:w="1019" w:type="pct"/>
            <w:noWrap w:val="0"/>
            <w:vAlign w:val="center"/>
          </w:tcPr>
          <w:p>
            <w:pPr>
              <w:adjustRightInd w:val="0"/>
              <w:snapToGrid w:val="0"/>
              <w:jc w:val="center"/>
              <w:rPr>
                <w:i w:val="0"/>
                <w:iCs w:val="0"/>
                <w:color w:val="000000"/>
                <w:sz w:val="21"/>
                <w:szCs w:val="21"/>
                <w:u w:val="single"/>
              </w:rPr>
            </w:pPr>
            <w:r>
              <w:rPr>
                <w:rFonts w:hint="eastAsia"/>
                <w:i w:val="0"/>
                <w:iCs w:val="0"/>
                <w:color w:val="000000"/>
                <w:sz w:val="21"/>
                <w:szCs w:val="21"/>
                <w:u w:val="single"/>
              </w:rPr>
              <w:t>氨气</w:t>
            </w:r>
          </w:p>
        </w:tc>
        <w:tc>
          <w:tcPr>
            <w:tcW w:w="1716"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1.875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9" w:type="pct"/>
            <w:noWrap w:val="0"/>
            <w:vAlign w:val="center"/>
          </w:tcPr>
          <w:p>
            <w:pPr>
              <w:jc w:val="center"/>
              <w:rPr>
                <w:i w:val="0"/>
                <w:iCs w:val="0"/>
                <w:color w:val="000000"/>
                <w:sz w:val="21"/>
                <w:szCs w:val="21"/>
                <w:u w:val="single"/>
              </w:rPr>
            </w:pPr>
            <w:r>
              <w:rPr>
                <w:rFonts w:hint="eastAsia"/>
                <w:i w:val="0"/>
                <w:iCs w:val="0"/>
                <w:sz w:val="21"/>
                <w:szCs w:val="21"/>
                <w:u w:val="single"/>
              </w:rPr>
              <w:t>消泡剂</w:t>
            </w:r>
          </w:p>
        </w:tc>
        <w:tc>
          <w:tcPr>
            <w:tcW w:w="1255" w:type="pct"/>
            <w:noWrap w:val="0"/>
            <w:vAlign w:val="top"/>
          </w:tcPr>
          <w:p>
            <w:pPr>
              <w:jc w:val="center"/>
              <w:rPr>
                <w:rFonts w:hint="default" w:ascii="Times New Roman" w:hAnsi="Times New Roman" w:eastAsia="宋体" w:cs="Times New Roman"/>
                <w:i w:val="0"/>
                <w:iCs w:val="0"/>
                <w:color w:val="000000"/>
                <w:sz w:val="21"/>
                <w:szCs w:val="21"/>
                <w:u w:val="single"/>
                <w:lang w:val="en-US" w:eastAsia="zh-CN"/>
              </w:rPr>
            </w:pPr>
            <w:r>
              <w:rPr>
                <w:rFonts w:hint="eastAsia" w:ascii="Times New Roman" w:hAnsi="Times New Roman" w:eastAsia="宋体" w:cs="Times New Roman"/>
                <w:i w:val="0"/>
                <w:iCs w:val="0"/>
                <w:color w:val="000000"/>
                <w:sz w:val="21"/>
                <w:szCs w:val="21"/>
                <w:u w:val="single"/>
                <w:lang w:val="en-US" w:eastAsia="zh-CN"/>
              </w:rPr>
              <w:t>25.47375</w:t>
            </w:r>
          </w:p>
        </w:tc>
        <w:tc>
          <w:tcPr>
            <w:tcW w:w="1019" w:type="pct"/>
            <w:noWrap w:val="0"/>
            <w:vAlign w:val="center"/>
          </w:tcPr>
          <w:p>
            <w:pPr>
              <w:adjustRightInd w:val="0"/>
              <w:snapToGrid w:val="0"/>
              <w:jc w:val="center"/>
              <w:rPr>
                <w:i w:val="0"/>
                <w:iCs w:val="0"/>
                <w:color w:val="000000"/>
                <w:sz w:val="21"/>
                <w:szCs w:val="21"/>
                <w:u w:val="single"/>
              </w:rPr>
            </w:pPr>
            <w:r>
              <w:rPr>
                <w:rFonts w:hint="eastAsia"/>
                <w:i w:val="0"/>
                <w:iCs w:val="0"/>
                <w:color w:val="000000"/>
                <w:sz w:val="21"/>
                <w:szCs w:val="21"/>
                <w:u w:val="single"/>
              </w:rPr>
              <w:t>非甲烷总烃</w:t>
            </w:r>
          </w:p>
        </w:tc>
        <w:tc>
          <w:tcPr>
            <w:tcW w:w="1716"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0.59375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9" w:type="pct"/>
            <w:noWrap w:val="0"/>
            <w:vAlign w:val="center"/>
          </w:tcPr>
          <w:p>
            <w:pPr>
              <w:jc w:val="center"/>
              <w:rPr>
                <w:rFonts w:hint="eastAsia" w:eastAsia="宋体"/>
                <w:i w:val="0"/>
                <w:iCs w:val="0"/>
                <w:sz w:val="21"/>
                <w:szCs w:val="21"/>
                <w:u w:val="single"/>
                <w:lang w:eastAsia="zh-CN"/>
              </w:rPr>
            </w:pPr>
            <w:r>
              <w:rPr>
                <w:rFonts w:hint="eastAsia"/>
                <w:i w:val="0"/>
                <w:iCs w:val="0"/>
                <w:sz w:val="21"/>
                <w:szCs w:val="21"/>
                <w:u w:val="single"/>
                <w:lang w:eastAsia="zh-CN"/>
              </w:rPr>
              <w:t>酿酒酵母粉</w:t>
            </w:r>
          </w:p>
        </w:tc>
        <w:tc>
          <w:tcPr>
            <w:tcW w:w="1255" w:type="pct"/>
            <w:noWrap w:val="0"/>
            <w:vAlign w:val="top"/>
          </w:tcPr>
          <w:p>
            <w:pPr>
              <w:jc w:val="center"/>
              <w:rPr>
                <w:rFonts w:hint="default" w:ascii="Times New Roman" w:hAnsi="Times New Roman" w:eastAsia="宋体" w:cs="Times New Roman"/>
                <w:i w:val="0"/>
                <w:iCs w:val="0"/>
                <w:color w:val="000000"/>
                <w:sz w:val="21"/>
                <w:szCs w:val="21"/>
                <w:u w:val="single"/>
                <w:lang w:val="en-US" w:eastAsia="zh-CN"/>
              </w:rPr>
            </w:pPr>
            <w:r>
              <w:rPr>
                <w:rFonts w:hint="eastAsia" w:cs="Times New Roman"/>
                <w:i w:val="0"/>
                <w:iCs w:val="0"/>
                <w:color w:val="000000"/>
                <w:sz w:val="21"/>
                <w:szCs w:val="21"/>
                <w:u w:val="single"/>
                <w:lang w:val="en-US" w:eastAsia="zh-CN"/>
              </w:rPr>
              <w:t>938.5</w:t>
            </w:r>
          </w:p>
        </w:tc>
        <w:tc>
          <w:tcPr>
            <w:tcW w:w="1019"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颗粒物</w:t>
            </w:r>
          </w:p>
        </w:tc>
        <w:tc>
          <w:tcPr>
            <w:tcW w:w="1716" w:type="pct"/>
            <w:noWrap w:val="0"/>
            <w:vAlign w:val="center"/>
          </w:tcPr>
          <w:p>
            <w:pPr>
              <w:jc w:val="center"/>
              <w:rPr>
                <w:rFonts w:hint="default" w:ascii="Times New Roman" w:hAnsi="Times New Roman" w:eastAsia="宋体" w:cs="Times New Roman"/>
                <w:i w:val="0"/>
                <w:iCs w:val="0"/>
                <w:color w:val="000000"/>
                <w:sz w:val="21"/>
                <w:szCs w:val="21"/>
                <w:u w:val="single"/>
                <w:lang w:val="en-US" w:eastAsia="zh-CN"/>
              </w:rPr>
            </w:pPr>
            <w:r>
              <w:rPr>
                <w:rFonts w:hint="eastAsia" w:ascii="Times New Roman" w:hAnsi="Times New Roman" w:eastAsia="宋体" w:cs="Times New Roman"/>
                <w:i w:val="0"/>
                <w:iCs w:val="0"/>
                <w:color w:val="000000"/>
                <w:sz w:val="21"/>
                <w:szCs w:val="21"/>
                <w:u w:val="single"/>
                <w:lang w:val="en-US" w:eastAsia="zh-CN"/>
              </w:rPr>
              <w:t>222.21875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9" w:type="pct"/>
            <w:noWrap w:val="0"/>
            <w:vAlign w:val="center"/>
          </w:tcPr>
          <w:p>
            <w:pPr>
              <w:jc w:val="center"/>
              <w:rPr>
                <w:rFonts w:hint="eastAsia" w:eastAsia="宋体"/>
                <w:i w:val="0"/>
                <w:iCs w:val="0"/>
                <w:sz w:val="21"/>
                <w:szCs w:val="21"/>
                <w:u w:val="single"/>
                <w:lang w:eastAsia="zh-CN"/>
              </w:rPr>
            </w:pPr>
            <w:r>
              <w:rPr>
                <w:rFonts w:hint="eastAsia"/>
                <w:i w:val="0"/>
                <w:iCs w:val="0"/>
                <w:sz w:val="21"/>
                <w:szCs w:val="21"/>
                <w:u w:val="single"/>
                <w:lang w:eastAsia="zh-CN"/>
              </w:rPr>
              <w:t>麦芽糊精</w:t>
            </w:r>
          </w:p>
        </w:tc>
        <w:tc>
          <w:tcPr>
            <w:tcW w:w="1255" w:type="pct"/>
            <w:noWrap w:val="0"/>
            <w:vAlign w:val="top"/>
          </w:tcPr>
          <w:p>
            <w:pPr>
              <w:jc w:val="center"/>
              <w:rPr>
                <w:rFonts w:hint="default" w:ascii="Times New Roman" w:hAnsi="Times New Roman" w:eastAsia="宋体" w:cs="Times New Roman"/>
                <w:i w:val="0"/>
                <w:iCs w:val="0"/>
                <w:color w:val="000000"/>
                <w:sz w:val="21"/>
                <w:szCs w:val="21"/>
                <w:u w:val="single"/>
                <w:lang w:val="en-US" w:eastAsia="zh-CN"/>
              </w:rPr>
            </w:pPr>
            <w:r>
              <w:rPr>
                <w:rFonts w:hint="eastAsia" w:cs="Times New Roman"/>
                <w:i w:val="0"/>
                <w:iCs w:val="0"/>
                <w:color w:val="000000"/>
                <w:sz w:val="21"/>
                <w:szCs w:val="21"/>
                <w:u w:val="single"/>
                <w:lang w:val="en-US" w:eastAsia="zh-CN"/>
              </w:rPr>
              <w:t>98.55</w:t>
            </w:r>
          </w:p>
        </w:tc>
        <w:tc>
          <w:tcPr>
            <w:tcW w:w="1019" w:type="pct"/>
            <w:noWrap w:val="0"/>
            <w:vAlign w:val="center"/>
          </w:tcPr>
          <w:p>
            <w:pPr>
              <w:adjustRightInd w:val="0"/>
              <w:snapToGrid w:val="0"/>
              <w:jc w:val="center"/>
              <w:rPr>
                <w:rFonts w:hint="eastAsia"/>
                <w:i w:val="0"/>
                <w:iCs w:val="0"/>
                <w:color w:val="000000"/>
                <w:sz w:val="21"/>
                <w:szCs w:val="21"/>
                <w:u w:val="single"/>
              </w:rPr>
            </w:pPr>
          </w:p>
        </w:tc>
        <w:tc>
          <w:tcPr>
            <w:tcW w:w="1716" w:type="pct"/>
            <w:noWrap w:val="0"/>
            <w:vAlign w:val="center"/>
          </w:tcPr>
          <w:p>
            <w:pPr>
              <w:jc w:val="center"/>
              <w:rPr>
                <w:rFonts w:hint="eastAsia" w:ascii="Times New Roman" w:hAnsi="Times New Roman" w:eastAsia="宋体" w:cs="Times New Roman"/>
                <w:i w:val="0"/>
                <w:iCs w:val="0"/>
                <w:color w:val="000000"/>
                <w:sz w:val="21"/>
                <w:szCs w:val="21"/>
                <w:u w:val="singl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9" w:type="pct"/>
            <w:noWrap w:val="0"/>
            <w:vAlign w:val="center"/>
          </w:tcPr>
          <w:p>
            <w:pPr>
              <w:jc w:val="center"/>
              <w:rPr>
                <w:rFonts w:hint="eastAsia"/>
                <w:i w:val="0"/>
                <w:iCs w:val="0"/>
                <w:sz w:val="21"/>
                <w:szCs w:val="21"/>
                <w:u w:val="single"/>
                <w:lang w:eastAsia="zh-CN"/>
              </w:rPr>
            </w:pPr>
            <w:r>
              <w:rPr>
                <w:rFonts w:hint="eastAsia"/>
                <w:i w:val="0"/>
                <w:iCs w:val="0"/>
                <w:sz w:val="21"/>
                <w:szCs w:val="21"/>
                <w:u w:val="single"/>
                <w:lang w:eastAsia="zh-CN"/>
              </w:rPr>
              <w:t>菌种</w:t>
            </w:r>
          </w:p>
        </w:tc>
        <w:tc>
          <w:tcPr>
            <w:tcW w:w="1255" w:type="pct"/>
            <w:noWrap w:val="0"/>
            <w:vAlign w:val="top"/>
          </w:tcPr>
          <w:p>
            <w:pPr>
              <w:jc w:val="center"/>
              <w:rPr>
                <w:rFonts w:hint="default" w:ascii="Times New Roman" w:hAnsi="Times New Roman" w:eastAsia="宋体" w:cs="Times New Roman"/>
                <w:i w:val="0"/>
                <w:iCs w:val="0"/>
                <w:color w:val="000000"/>
                <w:sz w:val="21"/>
                <w:szCs w:val="21"/>
                <w:u w:val="single"/>
                <w:lang w:val="en-US" w:eastAsia="zh-CN"/>
              </w:rPr>
            </w:pPr>
            <w:r>
              <w:rPr>
                <w:rFonts w:hint="eastAsia" w:ascii="Times New Roman" w:hAnsi="Times New Roman" w:eastAsia="宋体" w:cs="Times New Roman"/>
                <w:i w:val="0"/>
                <w:iCs w:val="0"/>
                <w:color w:val="000000"/>
                <w:sz w:val="21"/>
                <w:szCs w:val="21"/>
                <w:u w:val="single"/>
                <w:lang w:val="en-US" w:eastAsia="zh-CN"/>
              </w:rPr>
              <w:t>0.15625</w:t>
            </w:r>
          </w:p>
        </w:tc>
        <w:tc>
          <w:tcPr>
            <w:tcW w:w="1019" w:type="pct"/>
            <w:noWrap w:val="0"/>
            <w:vAlign w:val="center"/>
          </w:tcPr>
          <w:p>
            <w:pPr>
              <w:adjustRightInd w:val="0"/>
              <w:snapToGrid w:val="0"/>
              <w:jc w:val="center"/>
              <w:rPr>
                <w:rFonts w:hint="eastAsia"/>
                <w:i w:val="0"/>
                <w:iCs w:val="0"/>
                <w:color w:val="000000"/>
                <w:sz w:val="21"/>
                <w:szCs w:val="21"/>
                <w:u w:val="single"/>
              </w:rPr>
            </w:pPr>
          </w:p>
        </w:tc>
        <w:tc>
          <w:tcPr>
            <w:tcW w:w="1716" w:type="pct"/>
            <w:noWrap w:val="0"/>
            <w:vAlign w:val="center"/>
          </w:tcPr>
          <w:p>
            <w:pPr>
              <w:jc w:val="center"/>
              <w:rPr>
                <w:rFonts w:hint="eastAsia" w:ascii="Times New Roman" w:hAnsi="Times New Roman" w:eastAsia="宋体" w:cs="Times New Roman"/>
                <w:i w:val="0"/>
                <w:iCs w:val="0"/>
                <w:color w:val="000000"/>
                <w:sz w:val="21"/>
                <w:szCs w:val="21"/>
                <w:u w:val="singl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9" w:type="pct"/>
            <w:noWrap w:val="0"/>
            <w:vAlign w:val="center"/>
          </w:tcPr>
          <w:p>
            <w:pPr>
              <w:jc w:val="center"/>
              <w:rPr>
                <w:rFonts w:hint="eastAsia" w:eastAsia="宋体"/>
                <w:i w:val="0"/>
                <w:iCs w:val="0"/>
                <w:color w:val="000000"/>
                <w:sz w:val="21"/>
                <w:szCs w:val="21"/>
                <w:u w:val="single"/>
                <w:lang w:eastAsia="zh-CN"/>
              </w:rPr>
            </w:pPr>
            <w:r>
              <w:rPr>
                <w:rFonts w:hint="eastAsia"/>
                <w:i w:val="0"/>
                <w:iCs w:val="0"/>
                <w:color w:val="000000"/>
                <w:sz w:val="21"/>
                <w:szCs w:val="21"/>
                <w:u w:val="single"/>
                <w:lang w:eastAsia="zh-CN"/>
              </w:rPr>
              <w:t>水</w:t>
            </w:r>
          </w:p>
        </w:tc>
        <w:tc>
          <w:tcPr>
            <w:tcW w:w="1255" w:type="pct"/>
            <w:noWrap w:val="0"/>
            <w:vAlign w:val="center"/>
          </w:tcPr>
          <w:p>
            <w:pPr>
              <w:jc w:val="center"/>
              <w:rPr>
                <w:rFonts w:hint="default" w:ascii="Times New Roman" w:hAnsi="Times New Roman" w:eastAsia="宋体" w:cs="Times New Roman"/>
                <w:i w:val="0"/>
                <w:iCs w:val="0"/>
                <w:color w:val="000000"/>
                <w:sz w:val="21"/>
                <w:szCs w:val="21"/>
                <w:u w:val="single"/>
                <w:lang w:val="en-US" w:eastAsia="zh-CN"/>
              </w:rPr>
            </w:pPr>
            <w:r>
              <w:rPr>
                <w:rFonts w:hint="eastAsia" w:ascii="Times New Roman" w:hAnsi="Times New Roman" w:eastAsia="宋体" w:cs="Times New Roman"/>
                <w:i w:val="0"/>
                <w:iCs w:val="0"/>
                <w:color w:val="000000"/>
                <w:sz w:val="21"/>
                <w:szCs w:val="21"/>
                <w:u w:val="single"/>
                <w:lang w:val="en-US" w:eastAsia="zh-CN"/>
              </w:rPr>
              <w:t>15297.04375</w:t>
            </w:r>
          </w:p>
        </w:tc>
        <w:tc>
          <w:tcPr>
            <w:tcW w:w="1019" w:type="pct"/>
            <w:noWrap w:val="0"/>
            <w:vAlign w:val="center"/>
          </w:tcPr>
          <w:p>
            <w:pPr>
              <w:adjustRightInd w:val="0"/>
              <w:snapToGrid w:val="0"/>
              <w:jc w:val="center"/>
              <w:rPr>
                <w:rFonts w:hint="eastAsia"/>
                <w:i w:val="0"/>
                <w:iCs w:val="0"/>
                <w:color w:val="000000"/>
                <w:sz w:val="21"/>
                <w:szCs w:val="21"/>
                <w:u w:val="single"/>
              </w:rPr>
            </w:pPr>
          </w:p>
        </w:tc>
        <w:tc>
          <w:tcPr>
            <w:tcW w:w="1716" w:type="pct"/>
            <w:noWrap w:val="0"/>
            <w:vAlign w:val="center"/>
          </w:tcPr>
          <w:p>
            <w:pPr>
              <w:jc w:val="center"/>
              <w:rPr>
                <w:rFonts w:hint="default" w:ascii="Times New Roman" w:hAnsi="Times New Roman" w:eastAsia="宋体" w:cs="Times New Roman"/>
                <w:i w:val="0"/>
                <w:iCs w:val="0"/>
                <w:color w:val="000000"/>
                <w:sz w:val="21"/>
                <w:szCs w:val="21"/>
                <w:u w:val="singl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9" w:type="pct"/>
            <w:noWrap w:val="0"/>
            <w:vAlign w:val="center"/>
          </w:tcPr>
          <w:p>
            <w:pPr>
              <w:adjustRightInd w:val="0"/>
              <w:snapToGrid w:val="0"/>
              <w:jc w:val="center"/>
              <w:rPr>
                <w:i w:val="0"/>
                <w:iCs w:val="0"/>
                <w:color w:val="000000"/>
                <w:sz w:val="21"/>
                <w:szCs w:val="21"/>
                <w:u w:val="single"/>
              </w:rPr>
            </w:pPr>
            <w:r>
              <w:rPr>
                <w:i w:val="0"/>
                <w:iCs w:val="0"/>
                <w:color w:val="000000"/>
                <w:sz w:val="21"/>
                <w:szCs w:val="21"/>
                <w:u w:val="single"/>
              </w:rPr>
              <w:t>合计</w:t>
            </w:r>
          </w:p>
        </w:tc>
        <w:tc>
          <w:tcPr>
            <w:tcW w:w="1255" w:type="pct"/>
            <w:noWrap w:val="0"/>
            <w:vAlign w:val="center"/>
          </w:tcPr>
          <w:p>
            <w:pPr>
              <w:jc w:val="center"/>
              <w:rPr>
                <w:rFonts w:hint="default" w:ascii="Times New Roman" w:hAnsi="Times New Roman" w:eastAsia="宋体" w:cs="Times New Roman"/>
                <w:i w:val="0"/>
                <w:iCs w:val="0"/>
                <w:color w:val="000000"/>
                <w:sz w:val="21"/>
                <w:szCs w:val="21"/>
                <w:u w:val="single"/>
                <w:lang w:val="en-US" w:eastAsia="zh-CN"/>
              </w:rPr>
            </w:pPr>
            <w:r>
              <w:rPr>
                <w:rFonts w:hint="eastAsia" w:ascii="Times New Roman" w:hAnsi="Times New Roman" w:eastAsia="宋体" w:cs="Times New Roman"/>
                <w:i w:val="0"/>
                <w:iCs w:val="0"/>
                <w:color w:val="000000"/>
                <w:sz w:val="21"/>
                <w:szCs w:val="21"/>
                <w:u w:val="single"/>
                <w:lang w:val="en-US" w:eastAsia="zh-CN"/>
              </w:rPr>
              <w:t>19291.23</w:t>
            </w:r>
          </w:p>
        </w:tc>
        <w:tc>
          <w:tcPr>
            <w:tcW w:w="1019" w:type="pct"/>
            <w:noWrap w:val="0"/>
            <w:vAlign w:val="center"/>
          </w:tcPr>
          <w:p>
            <w:pPr>
              <w:adjustRightInd w:val="0"/>
              <w:snapToGrid w:val="0"/>
              <w:jc w:val="center"/>
              <w:rPr>
                <w:i w:val="0"/>
                <w:iCs w:val="0"/>
                <w:color w:val="000000"/>
                <w:sz w:val="21"/>
                <w:szCs w:val="21"/>
                <w:u w:val="single"/>
              </w:rPr>
            </w:pPr>
            <w:r>
              <w:rPr>
                <w:i w:val="0"/>
                <w:iCs w:val="0"/>
                <w:color w:val="000000"/>
                <w:sz w:val="21"/>
                <w:szCs w:val="21"/>
                <w:u w:val="single"/>
              </w:rPr>
              <w:t>合计</w:t>
            </w:r>
          </w:p>
        </w:tc>
        <w:tc>
          <w:tcPr>
            <w:tcW w:w="1716" w:type="pct"/>
            <w:noWrap w:val="0"/>
            <w:vAlign w:val="center"/>
          </w:tcPr>
          <w:p>
            <w:pPr>
              <w:jc w:val="center"/>
              <w:rPr>
                <w:rFonts w:hint="eastAsia" w:ascii="Times New Roman" w:hAnsi="Times New Roman" w:eastAsia="宋体" w:cs="Times New Roman"/>
                <w:i w:val="0"/>
                <w:iCs w:val="0"/>
                <w:color w:val="000000"/>
                <w:sz w:val="21"/>
                <w:szCs w:val="21"/>
                <w:u w:val="single"/>
                <w:lang w:val="en-US" w:eastAsia="zh-CN"/>
              </w:rPr>
            </w:pPr>
            <w:r>
              <w:rPr>
                <w:rFonts w:hint="eastAsia" w:ascii="Times New Roman" w:hAnsi="Times New Roman" w:eastAsia="宋体" w:cs="Times New Roman"/>
                <w:i w:val="0"/>
                <w:iCs w:val="0"/>
                <w:color w:val="000000"/>
                <w:sz w:val="21"/>
                <w:szCs w:val="21"/>
                <w:u w:val="single"/>
                <w:lang w:val="en-US" w:eastAsia="zh-CN"/>
              </w:rPr>
              <w:t>19291.23</w:t>
            </w:r>
          </w:p>
        </w:tc>
      </w:tr>
    </w:tbl>
    <w:p>
      <w:pPr>
        <w:pStyle w:val="4"/>
        <w:rPr>
          <w:rFonts w:hint="eastAsia" w:ascii="Times New Roman" w:hAnsi="Times New Roman" w:eastAsia="宋体"/>
          <w:b/>
          <w:i w:val="0"/>
          <w:iCs w:val="0"/>
          <w:sz w:val="28"/>
          <w:szCs w:val="28"/>
        </w:rPr>
      </w:pPr>
      <w:bookmarkStart w:id="85" w:name="_Toc31497"/>
      <w:r>
        <w:rPr>
          <w:rFonts w:hint="eastAsia" w:ascii="Times New Roman" w:hAnsi="Times New Roman" w:eastAsia="宋体"/>
          <w:b/>
          <w:i w:val="0"/>
          <w:iCs w:val="0"/>
          <w:sz w:val="28"/>
          <w:szCs w:val="28"/>
        </w:rPr>
        <w:t>3.3公用工程</w:t>
      </w:r>
      <w:bookmarkEnd w:id="83"/>
      <w:bookmarkEnd w:id="85"/>
    </w:p>
    <w:p>
      <w:pPr>
        <w:spacing w:line="360" w:lineRule="auto"/>
        <w:ind w:firstLine="480" w:firstLineChars="200"/>
        <w:rPr>
          <w:rFonts w:hint="eastAsia"/>
          <w:i w:val="0"/>
          <w:iCs w:val="0"/>
          <w:u w:val="single"/>
        </w:rPr>
      </w:pPr>
      <w:r>
        <w:rPr>
          <w:rFonts w:hint="eastAsia"/>
          <w:i w:val="0"/>
          <w:iCs w:val="0"/>
          <w:u w:val="single"/>
        </w:rPr>
        <w:t>（1）给水</w:t>
      </w:r>
    </w:p>
    <w:p>
      <w:pPr>
        <w:spacing w:line="360" w:lineRule="auto"/>
        <w:ind w:firstLine="480" w:firstLineChars="200"/>
        <w:rPr>
          <w:i w:val="0"/>
          <w:iCs w:val="0"/>
          <w:u w:val="single"/>
        </w:rPr>
      </w:pPr>
      <w:r>
        <w:rPr>
          <w:rFonts w:hint="eastAsia"/>
          <w:i w:val="0"/>
          <w:iCs w:val="0"/>
          <w:u w:val="single"/>
        </w:rPr>
        <w:t>项目用水由项目所在区域市政自来水管网统一供给，供水压力0.4MPa，管径为DN500，可满足</w:t>
      </w:r>
      <w:r>
        <w:rPr>
          <w:i w:val="0"/>
          <w:iCs w:val="0"/>
          <w:u w:val="single"/>
        </w:rPr>
        <w:t>本项目用水要求。项目用水包括</w:t>
      </w:r>
      <w:r>
        <w:rPr>
          <w:rFonts w:hint="eastAsia"/>
          <w:i w:val="0"/>
          <w:iCs w:val="0"/>
          <w:u w:val="single"/>
        </w:rPr>
        <w:t>生产车间</w:t>
      </w:r>
      <w:r>
        <w:rPr>
          <w:i w:val="0"/>
          <w:iCs w:val="0"/>
          <w:u w:val="single"/>
        </w:rPr>
        <w:t>用水</w:t>
      </w:r>
      <w:r>
        <w:rPr>
          <w:rFonts w:hint="eastAsia"/>
          <w:i w:val="0"/>
          <w:iCs w:val="0"/>
          <w:u w:val="single"/>
          <w:lang w:eastAsia="zh-CN"/>
        </w:rPr>
        <w:t>、实验用水</w:t>
      </w:r>
      <w:r>
        <w:rPr>
          <w:i w:val="0"/>
          <w:iCs w:val="0"/>
          <w:u w:val="single"/>
        </w:rPr>
        <w:t>、</w:t>
      </w:r>
      <w:r>
        <w:rPr>
          <w:rFonts w:hint="eastAsia"/>
          <w:i w:val="0"/>
          <w:iCs w:val="0"/>
          <w:u w:val="single"/>
        </w:rPr>
        <w:t>循环冷却水系统用水</w:t>
      </w:r>
      <w:r>
        <w:rPr>
          <w:i w:val="0"/>
          <w:iCs w:val="0"/>
          <w:u w:val="single"/>
        </w:rPr>
        <w:t>、生活用水等。</w:t>
      </w:r>
    </w:p>
    <w:p>
      <w:pPr>
        <w:spacing w:line="360" w:lineRule="auto"/>
        <w:ind w:firstLine="480" w:firstLineChars="200"/>
        <w:rPr>
          <w:i w:val="0"/>
          <w:iCs w:val="0"/>
          <w:u w:val="single"/>
        </w:rPr>
      </w:pPr>
      <w:r>
        <w:rPr>
          <w:i w:val="0"/>
          <w:iCs w:val="0"/>
          <w:u w:val="single"/>
        </w:rPr>
        <w:t>根据</w:t>
      </w:r>
      <w:r>
        <w:rPr>
          <w:rFonts w:hint="eastAsia"/>
          <w:i w:val="0"/>
          <w:iCs w:val="0"/>
          <w:u w:val="single"/>
        </w:rPr>
        <w:t>设计情况，</w:t>
      </w:r>
      <w:r>
        <w:rPr>
          <w:i w:val="0"/>
          <w:iCs w:val="0"/>
          <w:u w:val="single"/>
        </w:rPr>
        <w:t>厂区用水情况如下：</w:t>
      </w:r>
    </w:p>
    <w:p>
      <w:pPr>
        <w:spacing w:line="360" w:lineRule="auto"/>
        <w:ind w:firstLine="480" w:firstLineChars="200"/>
        <w:rPr>
          <w:rFonts w:hint="eastAsia"/>
          <w:i w:val="0"/>
          <w:iCs w:val="0"/>
          <w:u w:val="single"/>
        </w:rPr>
      </w:pPr>
      <w:r>
        <w:rPr>
          <w:rFonts w:hint="eastAsia"/>
          <w:i w:val="0"/>
          <w:iCs w:val="0"/>
          <w:u w:val="single"/>
        </w:rPr>
        <w:t>①生产工艺</w:t>
      </w:r>
      <w:r>
        <w:rPr>
          <w:i w:val="0"/>
          <w:iCs w:val="0"/>
          <w:u w:val="single"/>
        </w:rPr>
        <w:t>用水</w:t>
      </w:r>
    </w:p>
    <w:p>
      <w:pPr>
        <w:spacing w:line="360" w:lineRule="auto"/>
        <w:ind w:firstLine="480" w:firstLineChars="200"/>
        <w:rPr>
          <w:rFonts w:hint="eastAsia"/>
          <w:i w:val="0"/>
          <w:iCs w:val="0"/>
          <w:color w:val="000000"/>
          <w:u w:val="single"/>
        </w:rPr>
      </w:pPr>
      <w:r>
        <w:rPr>
          <w:i w:val="0"/>
          <w:iCs w:val="0"/>
          <w:u w:val="single"/>
        </w:rPr>
        <w:t>项目</w:t>
      </w:r>
      <w:r>
        <w:rPr>
          <w:rFonts w:hint="eastAsia"/>
          <w:i w:val="0"/>
          <w:iCs w:val="0"/>
          <w:u w:val="single"/>
        </w:rPr>
        <w:t>种子扩培、发酵</w:t>
      </w:r>
      <w:r>
        <w:rPr>
          <w:rFonts w:hint="eastAsia"/>
          <w:i w:val="0"/>
          <w:iCs w:val="0"/>
          <w:color w:val="000000"/>
          <w:u w:val="single"/>
        </w:rPr>
        <w:t>工序使用新鲜水</w:t>
      </w:r>
      <w:r>
        <w:rPr>
          <w:rFonts w:hint="eastAsia"/>
          <w:i w:val="0"/>
          <w:iCs w:val="0"/>
          <w:color w:val="000000"/>
          <w:u w:val="single"/>
          <w:lang w:eastAsia="zh-CN"/>
        </w:rPr>
        <w:t>及冷凝水</w:t>
      </w:r>
      <w:r>
        <w:rPr>
          <w:rFonts w:hint="eastAsia"/>
          <w:i w:val="0"/>
          <w:iCs w:val="0"/>
          <w:color w:val="000000"/>
          <w:u w:val="single"/>
        </w:rPr>
        <w:t>，根据总物料平衡及每天生产批次量，计算生产工艺用水量一期工程：</w:t>
      </w:r>
      <w:r>
        <w:rPr>
          <w:rFonts w:hint="eastAsia"/>
          <w:i w:val="0"/>
          <w:iCs w:val="0"/>
          <w:color w:val="000000"/>
          <w:u w:val="single"/>
          <w:lang w:val="en-US" w:eastAsia="zh-CN"/>
        </w:rPr>
        <w:t>92527.87425</w:t>
      </w:r>
      <w:r>
        <w:rPr>
          <w:i w:val="0"/>
          <w:iCs w:val="0"/>
          <w:color w:val="000000"/>
          <w:u w:val="single"/>
        </w:rPr>
        <w:t>m</w:t>
      </w:r>
      <w:r>
        <w:rPr>
          <w:i w:val="0"/>
          <w:iCs w:val="0"/>
          <w:color w:val="000000"/>
          <w:u w:val="single"/>
          <w:vertAlign w:val="superscript"/>
        </w:rPr>
        <w:t>3</w:t>
      </w:r>
      <w:r>
        <w:rPr>
          <w:i w:val="0"/>
          <w:iCs w:val="0"/>
          <w:color w:val="000000"/>
          <w:u w:val="single"/>
        </w:rPr>
        <w:t>/</w:t>
      </w:r>
      <w:r>
        <w:rPr>
          <w:rFonts w:hint="eastAsia"/>
          <w:i w:val="0"/>
          <w:iCs w:val="0"/>
          <w:color w:val="000000"/>
          <w:u w:val="single"/>
          <w:lang w:val="en-US" w:eastAsia="zh-CN"/>
        </w:rPr>
        <w:t>a</w:t>
      </w:r>
      <w:r>
        <w:rPr>
          <w:i w:val="0"/>
          <w:iCs w:val="0"/>
          <w:color w:val="000000"/>
          <w:u w:val="single"/>
        </w:rPr>
        <w:t>。</w:t>
      </w:r>
    </w:p>
    <w:p>
      <w:pPr>
        <w:ind w:firstLine="482" w:firstLineChars="200"/>
        <w:jc w:val="center"/>
        <w:rPr>
          <w:rFonts w:hint="eastAsia"/>
          <w:b/>
          <w:i w:val="0"/>
          <w:iCs w:val="0"/>
          <w:u w:val="single"/>
        </w:rPr>
      </w:pPr>
      <w:r>
        <w:rPr>
          <w:rFonts w:hint="eastAsia"/>
          <w:b/>
          <w:i w:val="0"/>
          <w:iCs w:val="0"/>
          <w:u w:val="single"/>
        </w:rPr>
        <w:t>表3-</w:t>
      </w:r>
      <w:r>
        <w:rPr>
          <w:rFonts w:hint="eastAsia"/>
          <w:b/>
          <w:i w:val="0"/>
          <w:iCs w:val="0"/>
          <w:u w:val="single"/>
          <w:lang w:val="en-US" w:eastAsia="zh-CN"/>
        </w:rPr>
        <w:t>12</w:t>
      </w:r>
      <w:r>
        <w:rPr>
          <w:rFonts w:hint="eastAsia"/>
          <w:b/>
          <w:i w:val="0"/>
          <w:iCs w:val="0"/>
          <w:u w:val="single"/>
        </w:rPr>
        <w:t>工艺废水产生情况一览表</w:t>
      </w:r>
    </w:p>
    <w:tbl>
      <w:tblPr>
        <w:tblStyle w:val="58"/>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786"/>
        <w:gridCol w:w="2043"/>
        <w:gridCol w:w="267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tblHeader/>
          <w:jc w:val="center"/>
        </w:trPr>
        <w:tc>
          <w:tcPr>
            <w:tcW w:w="2517"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废水来源</w:t>
            </w:r>
          </w:p>
        </w:tc>
        <w:tc>
          <w:tcPr>
            <w:tcW w:w="1074"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L/批次</w:t>
            </w:r>
          </w:p>
        </w:tc>
        <w:tc>
          <w:tcPr>
            <w:tcW w:w="1408"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一期工程m</w:t>
            </w:r>
            <w:r>
              <w:rPr>
                <w:rFonts w:hint="eastAsia"/>
                <w:i w:val="0"/>
                <w:iCs w:val="0"/>
                <w:color w:val="000000"/>
                <w:sz w:val="21"/>
                <w:szCs w:val="21"/>
                <w:u w:val="single"/>
                <w:vertAlign w:val="superscript"/>
              </w:rPr>
              <w:t>3</w:t>
            </w:r>
            <w:r>
              <w:rPr>
                <w:rFonts w:hint="eastAsia"/>
                <w:i w:val="0"/>
                <w:iCs w:val="0"/>
                <w:color w:val="000000"/>
                <w:sz w:val="21"/>
                <w:szCs w:val="21"/>
                <w:u w:val="single"/>
              </w:rPr>
              <w: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9" w:hRule="atLeast"/>
          <w:tblHeader/>
          <w:jc w:val="center"/>
        </w:trPr>
        <w:tc>
          <w:tcPr>
            <w:tcW w:w="2517" w:type="pct"/>
            <w:noWrap w:val="0"/>
            <w:vAlign w:val="center"/>
          </w:tcPr>
          <w:p>
            <w:pPr>
              <w:adjustRightInd w:val="0"/>
              <w:snapToGrid w:val="0"/>
              <w:jc w:val="center"/>
              <w:rPr>
                <w:rFonts w:hint="eastAsia" w:eastAsia="宋体"/>
                <w:i w:val="0"/>
                <w:iCs w:val="0"/>
                <w:color w:val="000000"/>
                <w:sz w:val="21"/>
                <w:szCs w:val="21"/>
                <w:u w:val="single"/>
                <w:lang w:eastAsia="zh-CN"/>
              </w:rPr>
            </w:pPr>
            <w:r>
              <w:rPr>
                <w:rFonts w:hint="eastAsia"/>
                <w:i w:val="0"/>
                <w:iCs w:val="0"/>
                <w:color w:val="000000"/>
                <w:sz w:val="21"/>
                <w:szCs w:val="21"/>
                <w:u w:val="single"/>
              </w:rPr>
              <w:t>一级种子罐生产</w:t>
            </w:r>
            <w:r>
              <w:rPr>
                <w:rFonts w:hint="eastAsia"/>
                <w:i w:val="0"/>
                <w:iCs w:val="0"/>
                <w:color w:val="000000"/>
                <w:sz w:val="21"/>
                <w:szCs w:val="21"/>
                <w:u w:val="single"/>
                <w:lang w:eastAsia="zh-CN"/>
              </w:rPr>
              <w:t>用水</w:t>
            </w:r>
          </w:p>
        </w:tc>
        <w:tc>
          <w:tcPr>
            <w:tcW w:w="1074" w:type="pct"/>
            <w:noWrap w:val="0"/>
            <w:vAlign w:val="top"/>
          </w:tcPr>
          <w:p>
            <w:pPr>
              <w:adjustRightInd w:val="0"/>
              <w:snapToGrid w:val="0"/>
              <w:jc w:val="center"/>
              <w:rPr>
                <w:rFonts w:hint="default" w:ascii="Times New Roman" w:hAnsi="Times New Roman" w:eastAsia="宋体" w:cs="Times New Roman"/>
                <w:i w:val="0"/>
                <w:iCs w:val="0"/>
                <w:color w:val="000000"/>
                <w:sz w:val="21"/>
                <w:szCs w:val="21"/>
                <w:u w:val="single"/>
                <w:lang w:val="en-US" w:eastAsia="zh-CN"/>
              </w:rPr>
            </w:pPr>
            <w:r>
              <w:rPr>
                <w:rFonts w:hint="eastAsia" w:ascii="Times New Roman" w:hAnsi="Times New Roman" w:eastAsia="宋体" w:cs="Times New Roman"/>
                <w:i w:val="0"/>
                <w:iCs w:val="0"/>
                <w:color w:val="000000"/>
                <w:sz w:val="21"/>
                <w:szCs w:val="21"/>
                <w:u w:val="single"/>
                <w:lang w:val="en-US" w:eastAsia="zh-CN"/>
              </w:rPr>
              <w:t>25.88</w:t>
            </w:r>
          </w:p>
        </w:tc>
        <w:tc>
          <w:tcPr>
            <w:tcW w:w="1408" w:type="pct"/>
            <w:noWrap w:val="0"/>
            <w:vAlign w:val="top"/>
          </w:tcPr>
          <w:p>
            <w:pPr>
              <w:adjustRightInd w:val="0"/>
              <w:snapToGrid w:val="0"/>
              <w:jc w:val="center"/>
              <w:rPr>
                <w:rFonts w:hint="default" w:ascii="Times New Roman" w:hAnsi="Times New Roman" w:eastAsia="宋体" w:cs="Times New Roman"/>
                <w:i w:val="0"/>
                <w:iCs w:val="0"/>
                <w:color w:val="000000"/>
                <w:sz w:val="21"/>
                <w:szCs w:val="21"/>
                <w:u w:val="single"/>
                <w:lang w:val="en-US" w:eastAsia="zh-CN"/>
              </w:rPr>
            </w:pPr>
            <w:r>
              <w:rPr>
                <w:rFonts w:hint="eastAsia" w:ascii="Times New Roman" w:hAnsi="Times New Roman" w:eastAsia="宋体" w:cs="Times New Roman"/>
                <w:i w:val="0"/>
                <w:iCs w:val="0"/>
                <w:color w:val="000000"/>
                <w:sz w:val="21"/>
                <w:szCs w:val="21"/>
                <w:u w:val="single"/>
                <w:lang w:val="en-US" w:eastAsia="zh-CN"/>
              </w:rPr>
              <w:t>3.235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7" w:hRule="atLeast"/>
          <w:tblHeader/>
          <w:jc w:val="center"/>
        </w:trPr>
        <w:tc>
          <w:tcPr>
            <w:tcW w:w="2517"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二级种子罐生产</w:t>
            </w:r>
            <w:r>
              <w:rPr>
                <w:rFonts w:hint="eastAsia"/>
                <w:i w:val="0"/>
                <w:iCs w:val="0"/>
                <w:color w:val="000000"/>
                <w:sz w:val="21"/>
                <w:szCs w:val="21"/>
                <w:u w:val="single"/>
                <w:lang w:eastAsia="zh-CN"/>
              </w:rPr>
              <w:t>用水</w:t>
            </w:r>
          </w:p>
        </w:tc>
        <w:tc>
          <w:tcPr>
            <w:tcW w:w="1074" w:type="pct"/>
            <w:noWrap w:val="0"/>
            <w:vAlign w:val="top"/>
          </w:tcPr>
          <w:p>
            <w:pPr>
              <w:adjustRightInd w:val="0"/>
              <w:snapToGrid w:val="0"/>
              <w:jc w:val="center"/>
              <w:rPr>
                <w:rFonts w:hint="default" w:ascii="Times New Roman" w:hAnsi="Times New Roman" w:eastAsia="宋体" w:cs="Times New Roman"/>
                <w:i w:val="0"/>
                <w:iCs w:val="0"/>
                <w:color w:val="000000"/>
                <w:sz w:val="21"/>
                <w:szCs w:val="21"/>
                <w:u w:val="single"/>
                <w:lang w:val="en-US" w:eastAsia="zh-CN"/>
              </w:rPr>
            </w:pPr>
            <w:r>
              <w:rPr>
                <w:rFonts w:hint="eastAsia" w:ascii="Times New Roman" w:hAnsi="Times New Roman" w:eastAsia="宋体" w:cs="Times New Roman"/>
                <w:i w:val="0"/>
                <w:iCs w:val="0"/>
                <w:color w:val="000000"/>
                <w:sz w:val="21"/>
                <w:szCs w:val="21"/>
                <w:u w:val="single"/>
                <w:lang w:val="en-US" w:eastAsia="zh-CN"/>
              </w:rPr>
              <w:t>464.62</w:t>
            </w:r>
          </w:p>
        </w:tc>
        <w:tc>
          <w:tcPr>
            <w:tcW w:w="1408" w:type="pct"/>
            <w:noWrap w:val="0"/>
            <w:vAlign w:val="top"/>
          </w:tcPr>
          <w:p>
            <w:pPr>
              <w:adjustRightInd w:val="0"/>
              <w:snapToGrid w:val="0"/>
              <w:jc w:val="center"/>
              <w:rPr>
                <w:rFonts w:hint="default" w:ascii="Times New Roman" w:hAnsi="Times New Roman" w:eastAsia="宋体" w:cs="Times New Roman"/>
                <w:i w:val="0"/>
                <w:iCs w:val="0"/>
                <w:color w:val="000000"/>
                <w:sz w:val="21"/>
                <w:szCs w:val="21"/>
                <w:u w:val="single"/>
                <w:lang w:val="en-US" w:eastAsia="zh-CN"/>
              </w:rPr>
            </w:pPr>
            <w:r>
              <w:rPr>
                <w:rFonts w:hint="eastAsia" w:ascii="Times New Roman" w:hAnsi="Times New Roman" w:eastAsia="宋体" w:cs="Times New Roman"/>
                <w:i w:val="0"/>
                <w:iCs w:val="0"/>
                <w:color w:val="000000"/>
                <w:sz w:val="21"/>
                <w:szCs w:val="21"/>
                <w:u w:val="single"/>
                <w:lang w:val="en-US" w:eastAsia="zh-CN"/>
              </w:rPr>
              <w:t>58.0775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9" w:hRule="atLeast"/>
          <w:tblHeader/>
          <w:jc w:val="center"/>
        </w:trPr>
        <w:tc>
          <w:tcPr>
            <w:tcW w:w="2517"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三级种子罐生产</w:t>
            </w:r>
            <w:r>
              <w:rPr>
                <w:rFonts w:hint="eastAsia"/>
                <w:i w:val="0"/>
                <w:iCs w:val="0"/>
                <w:color w:val="000000"/>
                <w:sz w:val="21"/>
                <w:szCs w:val="21"/>
                <w:u w:val="single"/>
                <w:lang w:eastAsia="zh-CN"/>
              </w:rPr>
              <w:t>用水</w:t>
            </w:r>
          </w:p>
        </w:tc>
        <w:tc>
          <w:tcPr>
            <w:tcW w:w="1074" w:type="pct"/>
            <w:noWrap w:val="0"/>
            <w:vAlign w:val="top"/>
          </w:tcPr>
          <w:p>
            <w:pPr>
              <w:adjustRightInd w:val="0"/>
              <w:snapToGrid w:val="0"/>
              <w:jc w:val="center"/>
              <w:rPr>
                <w:rFonts w:hint="default" w:ascii="Times New Roman" w:hAnsi="Times New Roman" w:eastAsia="宋体" w:cs="Times New Roman"/>
                <w:i w:val="0"/>
                <w:iCs w:val="0"/>
                <w:color w:val="000000"/>
                <w:sz w:val="21"/>
                <w:szCs w:val="21"/>
                <w:u w:val="single"/>
                <w:lang w:val="en-US" w:eastAsia="zh-CN"/>
              </w:rPr>
            </w:pPr>
            <w:r>
              <w:rPr>
                <w:rFonts w:hint="eastAsia" w:ascii="Times New Roman" w:hAnsi="Times New Roman" w:eastAsia="宋体" w:cs="Times New Roman"/>
                <w:i w:val="0"/>
                <w:iCs w:val="0"/>
                <w:color w:val="000000"/>
                <w:sz w:val="21"/>
                <w:szCs w:val="21"/>
                <w:u w:val="single"/>
                <w:lang w:val="en-US" w:eastAsia="zh-CN"/>
              </w:rPr>
              <w:t>9328.1</w:t>
            </w:r>
          </w:p>
        </w:tc>
        <w:tc>
          <w:tcPr>
            <w:tcW w:w="1408" w:type="pct"/>
            <w:noWrap w:val="0"/>
            <w:vAlign w:val="top"/>
          </w:tcPr>
          <w:p>
            <w:pPr>
              <w:adjustRightInd w:val="0"/>
              <w:snapToGrid w:val="0"/>
              <w:jc w:val="center"/>
              <w:rPr>
                <w:rFonts w:hint="default" w:ascii="Times New Roman" w:hAnsi="Times New Roman" w:eastAsia="宋体" w:cs="Times New Roman"/>
                <w:i w:val="0"/>
                <w:iCs w:val="0"/>
                <w:color w:val="000000"/>
                <w:sz w:val="21"/>
                <w:szCs w:val="21"/>
                <w:u w:val="single"/>
                <w:lang w:val="en-US" w:eastAsia="zh-CN"/>
              </w:rPr>
            </w:pPr>
            <w:r>
              <w:rPr>
                <w:rFonts w:hint="eastAsia" w:ascii="Times New Roman" w:hAnsi="Times New Roman" w:eastAsia="宋体" w:cs="Times New Roman"/>
                <w:i w:val="0"/>
                <w:iCs w:val="0"/>
                <w:color w:val="000000"/>
                <w:sz w:val="21"/>
                <w:szCs w:val="21"/>
                <w:u w:val="single"/>
                <w:lang w:val="en-US" w:eastAsia="zh-CN"/>
              </w:rPr>
              <w:t>1166.0125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9" w:hRule="atLeast"/>
          <w:tblHeader/>
          <w:jc w:val="center"/>
        </w:trPr>
        <w:tc>
          <w:tcPr>
            <w:tcW w:w="2517"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发酵罐生产</w:t>
            </w:r>
            <w:r>
              <w:rPr>
                <w:rFonts w:hint="eastAsia"/>
                <w:i w:val="0"/>
                <w:iCs w:val="0"/>
                <w:color w:val="000000"/>
                <w:sz w:val="21"/>
                <w:szCs w:val="21"/>
                <w:u w:val="single"/>
                <w:lang w:eastAsia="zh-CN"/>
              </w:rPr>
              <w:t>用水</w:t>
            </w:r>
          </w:p>
        </w:tc>
        <w:tc>
          <w:tcPr>
            <w:tcW w:w="1074" w:type="pct"/>
            <w:noWrap w:val="0"/>
            <w:vAlign w:val="top"/>
          </w:tcPr>
          <w:p>
            <w:pPr>
              <w:adjustRightInd w:val="0"/>
              <w:snapToGrid w:val="0"/>
              <w:jc w:val="center"/>
              <w:rPr>
                <w:rFonts w:hint="default" w:ascii="Times New Roman" w:hAnsi="Times New Roman" w:eastAsia="宋体" w:cs="Times New Roman"/>
                <w:i w:val="0"/>
                <w:iCs w:val="0"/>
                <w:color w:val="000000"/>
                <w:sz w:val="21"/>
                <w:szCs w:val="21"/>
                <w:u w:val="single"/>
                <w:lang w:val="en-US" w:eastAsia="zh-CN"/>
              </w:rPr>
            </w:pPr>
            <w:r>
              <w:rPr>
                <w:rFonts w:hint="eastAsia" w:ascii="Times New Roman" w:hAnsi="Times New Roman" w:eastAsia="宋体" w:cs="Times New Roman"/>
                <w:i w:val="0"/>
                <w:iCs w:val="0"/>
                <w:color w:val="000000"/>
                <w:sz w:val="21"/>
                <w:szCs w:val="21"/>
                <w:u w:val="single"/>
                <w:lang w:val="en-US" w:eastAsia="zh-CN"/>
              </w:rPr>
              <w:t>112557.75</w:t>
            </w:r>
          </w:p>
        </w:tc>
        <w:tc>
          <w:tcPr>
            <w:tcW w:w="1408" w:type="pct"/>
            <w:noWrap w:val="0"/>
            <w:vAlign w:val="top"/>
          </w:tcPr>
          <w:p>
            <w:pPr>
              <w:adjustRightInd w:val="0"/>
              <w:snapToGrid w:val="0"/>
              <w:jc w:val="center"/>
              <w:rPr>
                <w:rFonts w:hint="default" w:ascii="Times New Roman" w:hAnsi="Times New Roman" w:eastAsia="宋体" w:cs="Times New Roman"/>
                <w:i w:val="0"/>
                <w:iCs w:val="0"/>
                <w:color w:val="000000"/>
                <w:sz w:val="21"/>
                <w:szCs w:val="21"/>
                <w:u w:val="single"/>
                <w:lang w:val="en-US" w:eastAsia="zh-CN"/>
              </w:rPr>
            </w:pPr>
            <w:r>
              <w:rPr>
                <w:rFonts w:hint="eastAsia" w:ascii="Times New Roman" w:hAnsi="Times New Roman" w:eastAsia="宋体" w:cs="Times New Roman"/>
                <w:i w:val="0"/>
                <w:iCs w:val="0"/>
                <w:color w:val="000000"/>
                <w:sz w:val="21"/>
                <w:szCs w:val="21"/>
                <w:u w:val="single"/>
                <w:lang w:val="en-US" w:eastAsia="zh-CN"/>
              </w:rPr>
              <w:t>14069.719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9" w:hRule="atLeast"/>
          <w:tblHeader/>
          <w:jc w:val="center"/>
        </w:trPr>
        <w:tc>
          <w:tcPr>
            <w:tcW w:w="2517"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总计</w:t>
            </w:r>
          </w:p>
        </w:tc>
        <w:tc>
          <w:tcPr>
            <w:tcW w:w="1074" w:type="pct"/>
            <w:noWrap w:val="0"/>
            <w:vAlign w:val="center"/>
          </w:tcPr>
          <w:p>
            <w:pPr>
              <w:adjustRightInd w:val="0"/>
              <w:snapToGrid w:val="0"/>
              <w:jc w:val="center"/>
              <w:rPr>
                <w:rFonts w:hint="eastAsia" w:ascii="Times New Roman" w:hAnsi="Times New Roman" w:eastAsia="宋体" w:cs="Times New Roman"/>
                <w:i w:val="0"/>
                <w:iCs w:val="0"/>
                <w:color w:val="000000"/>
                <w:sz w:val="21"/>
                <w:szCs w:val="21"/>
                <w:u w:val="single"/>
                <w:lang w:val="en-US" w:eastAsia="zh-CN"/>
              </w:rPr>
            </w:pPr>
            <w:r>
              <w:rPr>
                <w:rFonts w:hint="eastAsia" w:ascii="Times New Roman" w:hAnsi="Times New Roman" w:eastAsia="宋体" w:cs="Times New Roman"/>
                <w:i w:val="0"/>
                <w:iCs w:val="0"/>
                <w:color w:val="000000"/>
                <w:sz w:val="21"/>
                <w:szCs w:val="21"/>
                <w:u w:val="single"/>
                <w:lang w:val="en-US" w:eastAsia="zh-CN"/>
              </w:rPr>
              <w:t>122376.35</w:t>
            </w:r>
          </w:p>
        </w:tc>
        <w:tc>
          <w:tcPr>
            <w:tcW w:w="1408" w:type="pct"/>
            <w:noWrap w:val="0"/>
            <w:vAlign w:val="center"/>
          </w:tcPr>
          <w:p>
            <w:pPr>
              <w:adjustRightInd w:val="0"/>
              <w:snapToGrid w:val="0"/>
              <w:jc w:val="center"/>
              <w:rPr>
                <w:rFonts w:hint="eastAsia" w:ascii="Times New Roman" w:hAnsi="Times New Roman" w:eastAsia="宋体" w:cs="Times New Roman"/>
                <w:i w:val="0"/>
                <w:iCs w:val="0"/>
                <w:color w:val="000000"/>
                <w:sz w:val="21"/>
                <w:szCs w:val="21"/>
                <w:u w:val="single"/>
                <w:lang w:val="en-US" w:eastAsia="zh-CN"/>
              </w:rPr>
            </w:pPr>
            <w:r>
              <w:rPr>
                <w:rFonts w:hint="eastAsia" w:ascii="Times New Roman" w:hAnsi="Times New Roman" w:eastAsia="宋体" w:cs="Times New Roman"/>
                <w:i w:val="0"/>
                <w:iCs w:val="0"/>
                <w:color w:val="000000"/>
                <w:sz w:val="21"/>
                <w:szCs w:val="21"/>
                <w:u w:val="single"/>
                <w:lang w:val="en-US" w:eastAsia="zh-CN"/>
              </w:rPr>
              <w:t>15297.044</w:t>
            </w:r>
          </w:p>
        </w:tc>
      </w:tr>
    </w:tbl>
    <w:p>
      <w:pPr>
        <w:spacing w:line="360" w:lineRule="auto"/>
        <w:ind w:firstLine="480" w:firstLineChars="200"/>
        <w:rPr>
          <w:rFonts w:hint="eastAsia"/>
          <w:i w:val="0"/>
          <w:iCs w:val="0"/>
          <w:color w:val="000000"/>
          <w:u w:val="single"/>
        </w:rPr>
      </w:pPr>
      <w:r>
        <w:rPr>
          <w:rFonts w:hint="eastAsia"/>
          <w:i w:val="0"/>
          <w:iCs w:val="0"/>
          <w:color w:val="000000"/>
          <w:u w:val="single"/>
        </w:rPr>
        <w:t>②循环</w:t>
      </w:r>
      <w:r>
        <w:rPr>
          <w:i w:val="0"/>
          <w:iCs w:val="0"/>
          <w:color w:val="000000"/>
          <w:u w:val="single"/>
        </w:rPr>
        <w:t>冷却</w:t>
      </w:r>
      <w:r>
        <w:rPr>
          <w:rFonts w:hint="eastAsia"/>
          <w:i w:val="0"/>
          <w:iCs w:val="0"/>
          <w:color w:val="000000"/>
          <w:u w:val="single"/>
        </w:rPr>
        <w:t>水系统</w:t>
      </w:r>
      <w:r>
        <w:rPr>
          <w:i w:val="0"/>
          <w:iCs w:val="0"/>
          <w:color w:val="000000"/>
          <w:u w:val="single"/>
        </w:rPr>
        <w:t>用水</w:t>
      </w:r>
    </w:p>
    <w:p>
      <w:pPr>
        <w:pStyle w:val="24"/>
        <w:snapToGrid w:val="0"/>
        <w:spacing w:line="360" w:lineRule="auto"/>
        <w:ind w:firstLine="480" w:firstLineChars="200"/>
        <w:jc w:val="both"/>
        <w:rPr>
          <w:rFonts w:hint="eastAsia"/>
          <w:i w:val="0"/>
          <w:iCs w:val="0"/>
          <w:color w:val="000000"/>
          <w:u w:val="single"/>
        </w:rPr>
      </w:pPr>
      <w:r>
        <w:rPr>
          <w:rFonts w:hint="eastAsia"/>
          <w:i w:val="0"/>
          <w:iCs w:val="0"/>
          <w:color w:val="000000"/>
          <w:u w:val="single"/>
        </w:rPr>
        <w:t>循环冷却系统安装玻璃钢冷却塔，塔下设循环水池，加压泵房内设循环水泵。</w:t>
      </w:r>
    </w:p>
    <w:p>
      <w:pPr>
        <w:pStyle w:val="24"/>
        <w:snapToGrid w:val="0"/>
        <w:spacing w:line="360" w:lineRule="auto"/>
        <w:ind w:firstLine="480" w:firstLineChars="200"/>
        <w:jc w:val="both"/>
        <w:rPr>
          <w:rFonts w:hint="eastAsia"/>
          <w:i w:val="0"/>
          <w:iCs w:val="0"/>
          <w:color w:val="000000"/>
          <w:u w:val="single"/>
        </w:rPr>
      </w:pPr>
      <w:r>
        <w:rPr>
          <w:rFonts w:hint="eastAsia"/>
          <w:i w:val="0"/>
          <w:iCs w:val="0"/>
          <w:color w:val="000000"/>
          <w:u w:val="single"/>
        </w:rPr>
        <w:t>为滤除循环水中的悬浮物质，循环水冷却水系统设有旁滤系统，旁滤选用自调密度纤维球过滤器。</w:t>
      </w:r>
    </w:p>
    <w:p>
      <w:pPr>
        <w:spacing w:line="360" w:lineRule="auto"/>
        <w:ind w:firstLine="480" w:firstLineChars="200"/>
        <w:rPr>
          <w:rFonts w:hint="eastAsia"/>
          <w:i w:val="0"/>
          <w:iCs w:val="0"/>
          <w:color w:val="000000"/>
          <w:u w:val="single"/>
        </w:rPr>
      </w:pPr>
      <w:r>
        <w:rPr>
          <w:rFonts w:hint="eastAsia"/>
          <w:i w:val="0"/>
          <w:iCs w:val="0"/>
          <w:color w:val="000000"/>
          <w:u w:val="single"/>
        </w:rPr>
        <w:t>循环冷却水系统流程图如下示：</w:t>
      </w:r>
    </w:p>
    <w:p>
      <w:pPr>
        <w:spacing w:line="360" w:lineRule="auto"/>
        <w:ind w:firstLine="480" w:firstLineChars="200"/>
        <w:rPr>
          <w:rFonts w:hint="eastAsia"/>
          <w:i w:val="0"/>
          <w:iCs w:val="0"/>
          <w:color w:val="000000"/>
          <w:u w:val="single"/>
        </w:rPr>
      </w:pPr>
      <w:r>
        <w:rPr>
          <w:i w:val="0"/>
          <w:iCs w:val="0"/>
          <w:u w:val="single"/>
        </w:rPr>
        <w:drawing>
          <wp:inline distT="0" distB="0" distL="114300" distR="114300">
            <wp:extent cx="5898515" cy="1621155"/>
            <wp:effectExtent l="0" t="0" r="6985" b="17145"/>
            <wp:docPr id="16"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0"/>
                    <pic:cNvPicPr>
                      <a:picLocks noChangeAspect="1"/>
                    </pic:cNvPicPr>
                  </pic:nvPicPr>
                  <pic:blipFill>
                    <a:blip r:embed="rId28"/>
                    <a:stretch>
                      <a:fillRect/>
                    </a:stretch>
                  </pic:blipFill>
                  <pic:spPr>
                    <a:xfrm>
                      <a:off x="0" y="0"/>
                      <a:ext cx="5898515" cy="1621155"/>
                    </a:xfrm>
                    <a:prstGeom prst="rect">
                      <a:avLst/>
                    </a:prstGeom>
                    <a:noFill/>
                    <a:ln>
                      <a:noFill/>
                    </a:ln>
                  </pic:spPr>
                </pic:pic>
              </a:graphicData>
            </a:graphic>
          </wp:inline>
        </w:drawing>
      </w:r>
    </w:p>
    <w:p>
      <w:pPr>
        <w:pStyle w:val="24"/>
        <w:snapToGrid w:val="0"/>
        <w:rPr>
          <w:rFonts w:eastAsia="黑体"/>
          <w:bCs/>
          <w:i w:val="0"/>
          <w:iCs w:val="0"/>
          <w:color w:val="000000"/>
          <w:u w:val="single"/>
        </w:rPr>
      </w:pPr>
      <w:r>
        <w:rPr>
          <w:rFonts w:hint="eastAsia" w:eastAsia="黑体"/>
          <w:bCs/>
          <w:i w:val="0"/>
          <w:iCs w:val="0"/>
          <w:color w:val="000000"/>
          <w:u w:val="single"/>
        </w:rPr>
        <w:t xml:space="preserve">  图3-</w:t>
      </w:r>
      <w:r>
        <w:rPr>
          <w:rFonts w:hint="eastAsia" w:eastAsia="黑体"/>
          <w:bCs/>
          <w:i w:val="0"/>
          <w:iCs w:val="0"/>
          <w:color w:val="000000"/>
          <w:u w:val="single"/>
          <w:lang w:val="en-US" w:eastAsia="zh-CN"/>
        </w:rPr>
        <w:t>3</w:t>
      </w:r>
      <w:r>
        <w:rPr>
          <w:rFonts w:hint="eastAsia" w:eastAsia="黑体"/>
          <w:bCs/>
          <w:i w:val="0"/>
          <w:iCs w:val="0"/>
          <w:color w:val="000000"/>
          <w:u w:val="single"/>
        </w:rPr>
        <w:t xml:space="preserve">   循环冷却水系统流程图</w:t>
      </w:r>
    </w:p>
    <w:p>
      <w:pPr>
        <w:spacing w:line="360" w:lineRule="auto"/>
        <w:ind w:firstLine="480" w:firstLineChars="200"/>
        <w:rPr>
          <w:rFonts w:hint="eastAsia"/>
          <w:i w:val="0"/>
          <w:iCs w:val="0"/>
          <w:color w:val="000000"/>
          <w:u w:val="single"/>
        </w:rPr>
      </w:pPr>
      <w:r>
        <w:rPr>
          <w:rFonts w:hint="eastAsia"/>
          <w:i w:val="0"/>
          <w:iCs w:val="0"/>
          <w:color w:val="000000"/>
          <w:u w:val="single"/>
        </w:rPr>
        <w:t>本系统供给发酵车间、提取车间、空压机冷却用水，循环水量一期工程</w:t>
      </w:r>
      <w:r>
        <w:rPr>
          <w:rFonts w:hint="eastAsia"/>
          <w:i w:val="0"/>
          <w:iCs w:val="0"/>
          <w:color w:val="000000"/>
          <w:u w:val="single"/>
          <w:lang w:val="en-US" w:eastAsia="zh-CN"/>
        </w:rPr>
        <w:t>730</w:t>
      </w:r>
      <w:r>
        <w:rPr>
          <w:rFonts w:hint="eastAsia"/>
          <w:i w:val="0"/>
          <w:iCs w:val="0"/>
          <w:color w:val="000000"/>
          <w:u w:val="single"/>
        </w:rPr>
        <w:t>m</w:t>
      </w:r>
      <w:r>
        <w:rPr>
          <w:rFonts w:hint="eastAsia"/>
          <w:i w:val="0"/>
          <w:iCs w:val="0"/>
          <w:color w:val="000000"/>
          <w:u w:val="single"/>
          <w:vertAlign w:val="superscript"/>
        </w:rPr>
        <w:t>3</w:t>
      </w:r>
      <w:r>
        <w:rPr>
          <w:rFonts w:hint="eastAsia"/>
          <w:i w:val="0"/>
          <w:iCs w:val="0"/>
          <w:color w:val="000000"/>
          <w:u w:val="single"/>
        </w:rPr>
        <w:t>/h。</w:t>
      </w:r>
    </w:p>
    <w:p>
      <w:pPr>
        <w:spacing w:line="360" w:lineRule="auto"/>
        <w:ind w:firstLine="480" w:firstLineChars="200"/>
        <w:rPr>
          <w:i w:val="0"/>
          <w:iCs w:val="0"/>
          <w:color w:val="000000"/>
          <w:u w:val="single"/>
        </w:rPr>
      </w:pPr>
      <w:r>
        <w:rPr>
          <w:i w:val="0"/>
          <w:iCs w:val="0"/>
          <w:color w:val="000000"/>
          <w:u w:val="single"/>
        </w:rPr>
        <w:t>本项目冷却水在设备内部循环利用，定期补充损耗量。</w:t>
      </w:r>
      <w:r>
        <w:rPr>
          <w:rFonts w:hint="eastAsia"/>
          <w:i w:val="0"/>
          <w:iCs w:val="0"/>
          <w:color w:val="000000"/>
          <w:u w:val="single"/>
        </w:rPr>
        <w:t>根据设计资料</w:t>
      </w:r>
      <w:r>
        <w:rPr>
          <w:i w:val="0"/>
          <w:iCs w:val="0"/>
          <w:color w:val="000000"/>
          <w:u w:val="single"/>
        </w:rPr>
        <w:t>，</w:t>
      </w:r>
      <w:r>
        <w:rPr>
          <w:rFonts w:hint="eastAsia"/>
          <w:i w:val="0"/>
          <w:iCs w:val="0"/>
          <w:color w:val="000000"/>
          <w:u w:val="single"/>
        </w:rPr>
        <w:t>循环冷却水系统</w:t>
      </w:r>
      <w:r>
        <w:rPr>
          <w:i w:val="0"/>
          <w:iCs w:val="0"/>
          <w:color w:val="000000"/>
          <w:u w:val="single"/>
        </w:rPr>
        <w:t>补水量为</w:t>
      </w:r>
      <w:r>
        <w:rPr>
          <w:rFonts w:hint="eastAsia"/>
          <w:i w:val="0"/>
          <w:iCs w:val="0"/>
          <w:color w:val="000000"/>
          <w:u w:val="single"/>
        </w:rPr>
        <w:t>一期</w:t>
      </w:r>
      <w:r>
        <w:rPr>
          <w:rFonts w:hint="eastAsia"/>
          <w:i w:val="0"/>
          <w:iCs w:val="0"/>
          <w:color w:val="000000"/>
          <w:u w:val="single"/>
          <w:lang w:val="en-US" w:eastAsia="zh-CN"/>
        </w:rPr>
        <w:t>210</w:t>
      </w:r>
      <w:r>
        <w:rPr>
          <w:i w:val="0"/>
          <w:iCs w:val="0"/>
          <w:color w:val="000000"/>
          <w:u w:val="single"/>
        </w:rPr>
        <w:t>m</w:t>
      </w:r>
      <w:r>
        <w:rPr>
          <w:i w:val="0"/>
          <w:iCs w:val="0"/>
          <w:color w:val="000000"/>
          <w:u w:val="single"/>
          <w:vertAlign w:val="superscript"/>
        </w:rPr>
        <w:t>3</w:t>
      </w:r>
      <w:r>
        <w:rPr>
          <w:i w:val="0"/>
          <w:iCs w:val="0"/>
          <w:color w:val="000000"/>
          <w:u w:val="single"/>
        </w:rPr>
        <w:t>/d</w:t>
      </w:r>
      <w:r>
        <w:rPr>
          <w:rFonts w:hint="eastAsia"/>
          <w:i w:val="0"/>
          <w:iCs w:val="0"/>
          <w:color w:val="000000"/>
          <w:u w:val="single"/>
          <w:lang w:eastAsia="zh-CN"/>
        </w:rPr>
        <w:t>（</w:t>
      </w:r>
      <w:r>
        <w:rPr>
          <w:rFonts w:hint="eastAsia"/>
          <w:i w:val="0"/>
          <w:iCs w:val="0"/>
          <w:color w:val="000000"/>
          <w:u w:val="single"/>
          <w:lang w:val="en-US" w:eastAsia="zh-CN"/>
        </w:rPr>
        <w:t>68250</w:t>
      </w:r>
      <w:r>
        <w:rPr>
          <w:i w:val="0"/>
          <w:iCs w:val="0"/>
          <w:color w:val="000000"/>
          <w:u w:val="single"/>
        </w:rPr>
        <w:t>m</w:t>
      </w:r>
      <w:r>
        <w:rPr>
          <w:i w:val="0"/>
          <w:iCs w:val="0"/>
          <w:color w:val="000000"/>
          <w:u w:val="single"/>
          <w:vertAlign w:val="superscript"/>
        </w:rPr>
        <w:t>3</w:t>
      </w:r>
      <w:r>
        <w:rPr>
          <w:i w:val="0"/>
          <w:iCs w:val="0"/>
          <w:color w:val="000000"/>
          <w:u w:val="single"/>
        </w:rPr>
        <w:t>/</w:t>
      </w:r>
      <w:r>
        <w:rPr>
          <w:rFonts w:hint="eastAsia"/>
          <w:i w:val="0"/>
          <w:iCs w:val="0"/>
          <w:color w:val="000000"/>
          <w:u w:val="single"/>
          <w:lang w:val="en-US" w:eastAsia="zh-CN"/>
        </w:rPr>
        <w:t>a</w:t>
      </w:r>
      <w:r>
        <w:rPr>
          <w:rFonts w:hint="eastAsia"/>
          <w:i w:val="0"/>
          <w:iCs w:val="0"/>
          <w:color w:val="000000"/>
          <w:u w:val="single"/>
          <w:lang w:eastAsia="zh-CN"/>
        </w:rPr>
        <w:t>）</w:t>
      </w:r>
      <w:r>
        <w:rPr>
          <w:i w:val="0"/>
          <w:iCs w:val="0"/>
          <w:color w:val="000000"/>
          <w:u w:val="single"/>
        </w:rPr>
        <w:t>。</w:t>
      </w:r>
    </w:p>
    <w:p>
      <w:pPr>
        <w:spacing w:line="360" w:lineRule="auto"/>
        <w:ind w:firstLine="480" w:firstLineChars="200"/>
        <w:rPr>
          <w:rFonts w:hint="eastAsia"/>
          <w:i w:val="0"/>
          <w:iCs w:val="0"/>
          <w:color w:val="000000"/>
          <w:u w:val="single"/>
        </w:rPr>
      </w:pPr>
      <w:r>
        <w:rPr>
          <w:rFonts w:hint="eastAsia" w:ascii="宋体" w:hAnsi="宋体" w:cs="宋体"/>
          <w:i w:val="0"/>
          <w:iCs w:val="0"/>
          <w:color w:val="000000"/>
          <w:u w:val="single"/>
        </w:rPr>
        <w:t>③</w:t>
      </w:r>
      <w:r>
        <w:rPr>
          <w:rFonts w:hint="eastAsia"/>
          <w:i w:val="0"/>
          <w:iCs w:val="0"/>
          <w:color w:val="000000"/>
          <w:u w:val="single"/>
        </w:rPr>
        <w:t>车间冲洗</w:t>
      </w:r>
      <w:r>
        <w:rPr>
          <w:i w:val="0"/>
          <w:iCs w:val="0"/>
          <w:color w:val="000000"/>
          <w:u w:val="single"/>
        </w:rPr>
        <w:t>用水</w:t>
      </w:r>
    </w:p>
    <w:p>
      <w:pPr>
        <w:spacing w:line="360" w:lineRule="auto"/>
        <w:ind w:firstLine="480" w:firstLineChars="200"/>
        <w:rPr>
          <w:i w:val="0"/>
          <w:iCs w:val="0"/>
          <w:color w:val="000000"/>
          <w:u w:val="single"/>
        </w:rPr>
      </w:pPr>
      <w:r>
        <w:rPr>
          <w:i w:val="0"/>
          <w:iCs w:val="0"/>
          <w:color w:val="000000"/>
          <w:u w:val="single"/>
        </w:rPr>
        <w:t>项目对车间内设备、设施、车间地面进行定期清洁以保持车间卫生。根据项目的生产情况，生产车间每5天清</w:t>
      </w:r>
      <w:r>
        <w:rPr>
          <w:rFonts w:hint="eastAsia"/>
          <w:i w:val="0"/>
          <w:iCs w:val="0"/>
          <w:color w:val="000000"/>
          <w:u w:val="single"/>
        </w:rPr>
        <w:t>洗</w:t>
      </w:r>
      <w:r>
        <w:rPr>
          <w:i w:val="0"/>
          <w:iCs w:val="0"/>
          <w:color w:val="000000"/>
          <w:u w:val="single"/>
        </w:rPr>
        <w:t>一次，每次用水量2L/m</w:t>
      </w:r>
      <w:r>
        <w:rPr>
          <w:i w:val="0"/>
          <w:iCs w:val="0"/>
          <w:color w:val="000000"/>
          <w:u w:val="single"/>
          <w:vertAlign w:val="superscript"/>
        </w:rPr>
        <w:t>2</w:t>
      </w:r>
      <w:r>
        <w:rPr>
          <w:i w:val="0"/>
          <w:iCs w:val="0"/>
          <w:color w:val="000000"/>
          <w:u w:val="single"/>
        </w:rPr>
        <w:t>，减去地面蒸发和吸收等损耗，按排污系数0.8计算</w:t>
      </w:r>
      <w:r>
        <w:rPr>
          <w:rFonts w:hint="eastAsia"/>
          <w:i w:val="0"/>
          <w:iCs w:val="0"/>
          <w:color w:val="000000"/>
          <w:u w:val="single"/>
        </w:rPr>
        <w:t>，</w:t>
      </w:r>
      <w:r>
        <w:rPr>
          <w:i w:val="0"/>
          <w:iCs w:val="0"/>
          <w:color w:val="000000"/>
          <w:u w:val="single"/>
        </w:rPr>
        <w:t>车间冲洗水排水量见表3</w:t>
      </w:r>
      <w:r>
        <w:rPr>
          <w:rFonts w:hint="eastAsia"/>
          <w:i w:val="0"/>
          <w:iCs w:val="0"/>
          <w:color w:val="000000"/>
          <w:u w:val="single"/>
        </w:rPr>
        <w:t>-</w:t>
      </w:r>
      <w:r>
        <w:rPr>
          <w:rFonts w:hint="eastAsia"/>
          <w:i w:val="0"/>
          <w:iCs w:val="0"/>
          <w:color w:val="000000"/>
          <w:u w:val="single"/>
          <w:lang w:val="en-US" w:eastAsia="zh-CN"/>
        </w:rPr>
        <w:t>13</w:t>
      </w:r>
      <w:r>
        <w:rPr>
          <w:i w:val="0"/>
          <w:iCs w:val="0"/>
          <w:color w:val="000000"/>
          <w:u w:val="single"/>
        </w:rPr>
        <w:t>，冲洗废水主要污染因子为SS。</w:t>
      </w:r>
    </w:p>
    <w:p>
      <w:pPr>
        <w:ind w:firstLine="482" w:firstLineChars="200"/>
        <w:jc w:val="center"/>
        <w:rPr>
          <w:rFonts w:hint="eastAsia"/>
          <w:b/>
          <w:i w:val="0"/>
          <w:iCs w:val="0"/>
          <w:u w:val="single"/>
        </w:rPr>
      </w:pPr>
      <w:r>
        <w:rPr>
          <w:rFonts w:hint="eastAsia"/>
          <w:b/>
          <w:i w:val="0"/>
          <w:iCs w:val="0"/>
          <w:u w:val="single"/>
        </w:rPr>
        <w:t>表3-</w:t>
      </w:r>
      <w:r>
        <w:rPr>
          <w:rFonts w:hint="eastAsia"/>
          <w:b/>
          <w:i w:val="0"/>
          <w:iCs w:val="0"/>
          <w:u w:val="single"/>
          <w:lang w:val="en-US" w:eastAsia="zh-CN"/>
        </w:rPr>
        <w:t>13</w:t>
      </w:r>
      <w:r>
        <w:rPr>
          <w:rFonts w:hint="eastAsia"/>
          <w:b/>
          <w:i w:val="0"/>
          <w:iCs w:val="0"/>
          <w:u w:val="single"/>
        </w:rPr>
        <w:t xml:space="preserve">车间冲洗水平均情况一览表 </w:t>
      </w:r>
    </w:p>
    <w:tbl>
      <w:tblPr>
        <w:tblStyle w:val="5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11"/>
        <w:gridCol w:w="1270"/>
        <w:gridCol w:w="1270"/>
        <w:gridCol w:w="1270"/>
        <w:gridCol w:w="1155"/>
        <w:gridCol w:w="923"/>
        <w:gridCol w:w="1155"/>
        <w:gridCol w:w="11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9"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用水项目</w:t>
            </w:r>
          </w:p>
        </w:tc>
        <w:tc>
          <w:tcPr>
            <w:tcW w:w="667"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车间面积（m</w:t>
            </w:r>
            <w:r>
              <w:rPr>
                <w:rFonts w:hint="eastAsia"/>
                <w:i w:val="0"/>
                <w:iCs w:val="0"/>
                <w:color w:val="000000"/>
                <w:sz w:val="21"/>
                <w:szCs w:val="21"/>
                <w:u w:val="single"/>
                <w:vertAlign w:val="superscript"/>
              </w:rPr>
              <w:t>2</w:t>
            </w:r>
            <w:r>
              <w:rPr>
                <w:rFonts w:hint="eastAsia"/>
                <w:i w:val="0"/>
                <w:iCs w:val="0"/>
                <w:color w:val="000000"/>
                <w:sz w:val="21"/>
                <w:szCs w:val="21"/>
                <w:u w:val="single"/>
              </w:rPr>
              <w:t>）</w:t>
            </w:r>
          </w:p>
        </w:tc>
        <w:tc>
          <w:tcPr>
            <w:tcW w:w="667"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用水指标</w:t>
            </w:r>
          </w:p>
        </w:tc>
        <w:tc>
          <w:tcPr>
            <w:tcW w:w="667"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用水量（m</w:t>
            </w:r>
            <w:r>
              <w:rPr>
                <w:rFonts w:hint="eastAsia"/>
                <w:i w:val="0"/>
                <w:iCs w:val="0"/>
                <w:color w:val="000000"/>
                <w:sz w:val="21"/>
                <w:szCs w:val="21"/>
                <w:u w:val="single"/>
                <w:vertAlign w:val="superscript"/>
              </w:rPr>
              <w:t>3</w:t>
            </w:r>
            <w:r>
              <w:rPr>
                <w:rFonts w:hint="eastAsia"/>
                <w:i w:val="0"/>
                <w:iCs w:val="0"/>
                <w:color w:val="000000"/>
                <w:sz w:val="21"/>
                <w:szCs w:val="21"/>
                <w:u w:val="single"/>
              </w:rPr>
              <w:t>/a）</w:t>
            </w:r>
          </w:p>
        </w:tc>
        <w:tc>
          <w:tcPr>
            <w:tcW w:w="607"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用水量（m</w:t>
            </w:r>
            <w:r>
              <w:rPr>
                <w:rFonts w:hint="eastAsia"/>
                <w:i w:val="0"/>
                <w:iCs w:val="0"/>
                <w:color w:val="000000"/>
                <w:sz w:val="21"/>
                <w:szCs w:val="21"/>
                <w:u w:val="single"/>
                <w:vertAlign w:val="superscript"/>
              </w:rPr>
              <w:t>3</w:t>
            </w:r>
            <w:r>
              <w:rPr>
                <w:rFonts w:hint="eastAsia"/>
                <w:i w:val="0"/>
                <w:iCs w:val="0"/>
                <w:color w:val="000000"/>
                <w:sz w:val="21"/>
                <w:szCs w:val="21"/>
                <w:u w:val="single"/>
              </w:rPr>
              <w:t>/d）</w:t>
            </w:r>
          </w:p>
        </w:tc>
        <w:tc>
          <w:tcPr>
            <w:tcW w:w="485"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排污系数</w:t>
            </w:r>
          </w:p>
        </w:tc>
        <w:tc>
          <w:tcPr>
            <w:tcW w:w="607"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排水量（m</w:t>
            </w:r>
            <w:r>
              <w:rPr>
                <w:rFonts w:hint="eastAsia"/>
                <w:i w:val="0"/>
                <w:iCs w:val="0"/>
                <w:color w:val="000000"/>
                <w:sz w:val="21"/>
                <w:szCs w:val="21"/>
                <w:u w:val="single"/>
                <w:vertAlign w:val="superscript"/>
              </w:rPr>
              <w:t>3</w:t>
            </w:r>
            <w:r>
              <w:rPr>
                <w:rFonts w:hint="eastAsia"/>
                <w:i w:val="0"/>
                <w:iCs w:val="0"/>
                <w:color w:val="000000"/>
                <w:sz w:val="21"/>
                <w:szCs w:val="21"/>
                <w:u w:val="single"/>
              </w:rPr>
              <w:t>/a）</w:t>
            </w:r>
          </w:p>
        </w:tc>
        <w:tc>
          <w:tcPr>
            <w:tcW w:w="607"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排水量（m</w:t>
            </w:r>
            <w:r>
              <w:rPr>
                <w:rFonts w:hint="eastAsia"/>
                <w:i w:val="0"/>
                <w:iCs w:val="0"/>
                <w:color w:val="000000"/>
                <w:sz w:val="21"/>
                <w:szCs w:val="21"/>
                <w:u w:val="single"/>
                <w:vertAlign w:val="superscript"/>
              </w:rPr>
              <w:t>3</w:t>
            </w:r>
            <w:r>
              <w:rPr>
                <w:rFonts w:hint="eastAsia"/>
                <w:i w:val="0"/>
                <w:iCs w:val="0"/>
                <w:color w:val="000000"/>
                <w:sz w:val="21"/>
                <w:szCs w:val="21"/>
                <w:u w:val="single"/>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9"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一期工程</w:t>
            </w:r>
          </w:p>
        </w:tc>
        <w:tc>
          <w:tcPr>
            <w:tcW w:w="667" w:type="pct"/>
            <w:noWrap w:val="0"/>
            <w:vAlign w:val="center"/>
          </w:tcPr>
          <w:p>
            <w:pPr>
              <w:adjustRightInd w:val="0"/>
              <w:snapToGrid w:val="0"/>
              <w:jc w:val="center"/>
              <w:rPr>
                <w:i w:val="0"/>
                <w:iCs w:val="0"/>
                <w:color w:val="000000"/>
                <w:sz w:val="21"/>
                <w:szCs w:val="21"/>
                <w:u w:val="single"/>
              </w:rPr>
            </w:pPr>
            <w:r>
              <w:rPr>
                <w:rFonts w:hint="eastAsia"/>
                <w:i w:val="0"/>
                <w:iCs w:val="0"/>
                <w:color w:val="000000"/>
                <w:sz w:val="21"/>
                <w:szCs w:val="21"/>
                <w:u w:val="single"/>
              </w:rPr>
              <w:t>9330.41</w:t>
            </w:r>
          </w:p>
        </w:tc>
        <w:tc>
          <w:tcPr>
            <w:tcW w:w="667"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2l/m</w:t>
            </w:r>
            <w:r>
              <w:rPr>
                <w:rFonts w:hint="eastAsia"/>
                <w:i w:val="0"/>
                <w:iCs w:val="0"/>
                <w:color w:val="000000"/>
                <w:sz w:val="21"/>
                <w:szCs w:val="21"/>
                <w:u w:val="single"/>
                <w:vertAlign w:val="superscript"/>
              </w:rPr>
              <w:t>2</w:t>
            </w:r>
            <w:r>
              <w:rPr>
                <w:rFonts w:hint="eastAsia"/>
                <w:i w:val="0"/>
                <w:iCs w:val="0"/>
                <w:color w:val="000000"/>
                <w:sz w:val="21"/>
                <w:szCs w:val="21"/>
                <w:u w:val="single"/>
              </w:rPr>
              <w:t>·次</w:t>
            </w:r>
          </w:p>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5天清洗一次</w:t>
            </w:r>
          </w:p>
        </w:tc>
        <w:tc>
          <w:tcPr>
            <w:tcW w:w="667" w:type="pct"/>
            <w:noWrap w:val="0"/>
            <w:vAlign w:val="center"/>
          </w:tcPr>
          <w:p>
            <w:pPr>
              <w:adjustRightInd w:val="0"/>
              <w:snapToGrid w:val="0"/>
              <w:jc w:val="center"/>
              <w:rPr>
                <w:i w:val="0"/>
                <w:iCs w:val="0"/>
                <w:color w:val="000000"/>
                <w:sz w:val="21"/>
                <w:szCs w:val="21"/>
                <w:u w:val="single"/>
              </w:rPr>
            </w:pPr>
            <w:r>
              <w:rPr>
                <w:rFonts w:hint="eastAsia"/>
                <w:i w:val="0"/>
                <w:iCs w:val="0"/>
                <w:color w:val="000000"/>
                <w:sz w:val="21"/>
                <w:szCs w:val="21"/>
                <w:u w:val="single"/>
              </w:rPr>
              <w:t>1119.65</w:t>
            </w:r>
          </w:p>
        </w:tc>
        <w:tc>
          <w:tcPr>
            <w:tcW w:w="607" w:type="pct"/>
            <w:noWrap w:val="0"/>
            <w:vAlign w:val="center"/>
          </w:tcPr>
          <w:p>
            <w:pPr>
              <w:adjustRightInd w:val="0"/>
              <w:snapToGrid w:val="0"/>
              <w:jc w:val="center"/>
              <w:rPr>
                <w:i w:val="0"/>
                <w:iCs w:val="0"/>
                <w:color w:val="000000"/>
                <w:sz w:val="21"/>
                <w:szCs w:val="21"/>
                <w:u w:val="single"/>
              </w:rPr>
            </w:pPr>
            <w:r>
              <w:rPr>
                <w:rFonts w:hint="eastAsia"/>
                <w:i w:val="0"/>
                <w:iCs w:val="0"/>
                <w:color w:val="000000"/>
                <w:sz w:val="21"/>
                <w:szCs w:val="21"/>
                <w:u w:val="single"/>
              </w:rPr>
              <w:t>3.73</w:t>
            </w:r>
          </w:p>
        </w:tc>
        <w:tc>
          <w:tcPr>
            <w:tcW w:w="485"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0.8</w:t>
            </w:r>
          </w:p>
        </w:tc>
        <w:tc>
          <w:tcPr>
            <w:tcW w:w="607" w:type="pct"/>
            <w:noWrap w:val="0"/>
            <w:vAlign w:val="center"/>
          </w:tcPr>
          <w:p>
            <w:pPr>
              <w:adjustRightInd w:val="0"/>
              <w:snapToGrid w:val="0"/>
              <w:jc w:val="center"/>
              <w:rPr>
                <w:i w:val="0"/>
                <w:iCs w:val="0"/>
                <w:color w:val="000000"/>
                <w:sz w:val="21"/>
                <w:szCs w:val="21"/>
                <w:u w:val="single"/>
              </w:rPr>
            </w:pPr>
            <w:r>
              <w:rPr>
                <w:rFonts w:hint="eastAsia"/>
                <w:i w:val="0"/>
                <w:iCs w:val="0"/>
                <w:color w:val="000000"/>
                <w:sz w:val="21"/>
                <w:szCs w:val="21"/>
                <w:u w:val="single"/>
              </w:rPr>
              <w:t>895.72</w:t>
            </w:r>
          </w:p>
        </w:tc>
        <w:tc>
          <w:tcPr>
            <w:tcW w:w="607" w:type="pct"/>
            <w:noWrap w:val="0"/>
            <w:vAlign w:val="center"/>
          </w:tcPr>
          <w:p>
            <w:pPr>
              <w:adjustRightInd w:val="0"/>
              <w:snapToGrid w:val="0"/>
              <w:jc w:val="center"/>
              <w:rPr>
                <w:i w:val="0"/>
                <w:iCs w:val="0"/>
                <w:color w:val="000000"/>
                <w:sz w:val="21"/>
                <w:szCs w:val="21"/>
                <w:u w:val="single"/>
              </w:rPr>
            </w:pPr>
            <w:r>
              <w:rPr>
                <w:rFonts w:hint="eastAsia"/>
                <w:i w:val="0"/>
                <w:iCs w:val="0"/>
                <w:color w:val="000000"/>
                <w:sz w:val="21"/>
                <w:szCs w:val="21"/>
                <w:u w:val="single"/>
              </w:rPr>
              <w:t>2.98</w:t>
            </w:r>
          </w:p>
        </w:tc>
      </w:tr>
    </w:tbl>
    <w:p>
      <w:pPr>
        <w:spacing w:line="360" w:lineRule="auto"/>
        <w:ind w:firstLine="480" w:firstLineChars="200"/>
        <w:rPr>
          <w:rFonts w:hint="eastAsia"/>
          <w:i w:val="0"/>
          <w:iCs w:val="0"/>
          <w:color w:val="000000"/>
          <w:u w:val="single"/>
        </w:rPr>
      </w:pPr>
      <w:r>
        <w:rPr>
          <w:rFonts w:hint="eastAsia" w:ascii="宋体" w:hAnsi="宋体" w:cs="宋体"/>
          <w:i w:val="0"/>
          <w:iCs w:val="0"/>
          <w:color w:val="000000"/>
          <w:u w:val="single"/>
        </w:rPr>
        <w:t>④</w:t>
      </w:r>
      <w:r>
        <w:rPr>
          <w:i w:val="0"/>
          <w:iCs w:val="0"/>
          <w:color w:val="000000"/>
          <w:u w:val="single"/>
        </w:rPr>
        <w:t>生活用水</w:t>
      </w:r>
    </w:p>
    <w:p>
      <w:pPr>
        <w:spacing w:line="360" w:lineRule="auto"/>
        <w:ind w:firstLine="480" w:firstLineChars="200"/>
        <w:rPr>
          <w:rFonts w:hint="eastAsia"/>
          <w:i w:val="0"/>
          <w:iCs w:val="0"/>
          <w:color w:val="000000"/>
          <w:u w:val="single"/>
        </w:rPr>
      </w:pPr>
      <w:r>
        <w:rPr>
          <w:i w:val="0"/>
          <w:iCs w:val="0"/>
          <w:color w:val="000000"/>
          <w:u w:val="single"/>
        </w:rPr>
        <w:t>项目设</w:t>
      </w:r>
      <w:r>
        <w:rPr>
          <w:rFonts w:hint="eastAsia"/>
          <w:i w:val="0"/>
          <w:iCs w:val="0"/>
          <w:color w:val="000000"/>
          <w:u w:val="single"/>
        </w:rPr>
        <w:t>有</w:t>
      </w:r>
      <w:r>
        <w:rPr>
          <w:i w:val="0"/>
          <w:iCs w:val="0"/>
          <w:color w:val="000000"/>
          <w:u w:val="single"/>
        </w:rPr>
        <w:t>食堂</w:t>
      </w:r>
      <w:r>
        <w:rPr>
          <w:rFonts w:hint="eastAsia"/>
          <w:i w:val="0"/>
          <w:iCs w:val="0"/>
          <w:color w:val="000000"/>
          <w:u w:val="single"/>
        </w:rPr>
        <w:t>，</w:t>
      </w:r>
      <w:r>
        <w:rPr>
          <w:i w:val="0"/>
          <w:iCs w:val="0"/>
          <w:color w:val="000000"/>
          <w:u w:val="single"/>
        </w:rPr>
        <w:t>宿舍</w:t>
      </w:r>
      <w:r>
        <w:rPr>
          <w:rFonts w:hint="eastAsia"/>
          <w:i w:val="0"/>
          <w:iCs w:val="0"/>
          <w:color w:val="000000"/>
          <w:u w:val="single"/>
        </w:rPr>
        <w:t>，</w:t>
      </w:r>
      <w:r>
        <w:rPr>
          <w:i w:val="0"/>
          <w:iCs w:val="0"/>
          <w:color w:val="000000"/>
          <w:u w:val="single"/>
        </w:rPr>
        <w:t>生活用水量</w:t>
      </w:r>
      <w:r>
        <w:rPr>
          <w:rFonts w:hint="eastAsia"/>
          <w:i w:val="0"/>
          <w:iCs w:val="0"/>
          <w:color w:val="000000"/>
          <w:u w:val="single"/>
        </w:rPr>
        <w:t>按100l/人·d计，生活用水使用情况见表3-</w:t>
      </w:r>
      <w:r>
        <w:rPr>
          <w:rFonts w:hint="eastAsia"/>
          <w:i w:val="0"/>
          <w:iCs w:val="0"/>
          <w:color w:val="000000"/>
          <w:u w:val="single"/>
          <w:lang w:val="en-US" w:eastAsia="zh-CN"/>
        </w:rPr>
        <w:t>14</w:t>
      </w:r>
      <w:r>
        <w:rPr>
          <w:rFonts w:hint="eastAsia"/>
          <w:i w:val="0"/>
          <w:iCs w:val="0"/>
          <w:color w:val="000000"/>
          <w:u w:val="single"/>
        </w:rPr>
        <w:t>。</w:t>
      </w:r>
    </w:p>
    <w:p>
      <w:pPr>
        <w:ind w:firstLine="482" w:firstLineChars="200"/>
        <w:jc w:val="center"/>
        <w:rPr>
          <w:rFonts w:hint="eastAsia"/>
          <w:b/>
          <w:i w:val="0"/>
          <w:iCs w:val="0"/>
          <w:u w:val="single"/>
        </w:rPr>
      </w:pPr>
      <w:r>
        <w:rPr>
          <w:rFonts w:hint="eastAsia"/>
          <w:b/>
          <w:i w:val="0"/>
          <w:iCs w:val="0"/>
          <w:u w:val="single"/>
        </w:rPr>
        <w:t>表3-</w:t>
      </w:r>
      <w:r>
        <w:rPr>
          <w:rFonts w:hint="eastAsia"/>
          <w:b/>
          <w:i w:val="0"/>
          <w:iCs w:val="0"/>
          <w:u w:val="single"/>
          <w:lang w:val="en-US" w:eastAsia="zh-CN"/>
        </w:rPr>
        <w:t>14</w:t>
      </w:r>
      <w:r>
        <w:rPr>
          <w:rFonts w:hint="eastAsia"/>
          <w:b/>
          <w:i w:val="0"/>
          <w:iCs w:val="0"/>
          <w:u w:val="single"/>
        </w:rPr>
        <w:t xml:space="preserve">  拟建项目生活用水情况一览表 </w:t>
      </w:r>
    </w:p>
    <w:tbl>
      <w:tblPr>
        <w:tblStyle w:val="5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51"/>
        <w:gridCol w:w="1820"/>
        <w:gridCol w:w="1767"/>
        <w:gridCol w:w="1883"/>
        <w:gridCol w:w="18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1"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用水项目</w:t>
            </w:r>
          </w:p>
        </w:tc>
        <w:tc>
          <w:tcPr>
            <w:tcW w:w="957"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劳动定员</w:t>
            </w:r>
          </w:p>
        </w:tc>
        <w:tc>
          <w:tcPr>
            <w:tcW w:w="929"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用水指标</w:t>
            </w:r>
          </w:p>
        </w:tc>
        <w:tc>
          <w:tcPr>
            <w:tcW w:w="990"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用水量（m</w:t>
            </w:r>
            <w:r>
              <w:rPr>
                <w:rFonts w:hint="eastAsia"/>
                <w:i w:val="0"/>
                <w:iCs w:val="0"/>
                <w:color w:val="000000"/>
                <w:sz w:val="21"/>
                <w:szCs w:val="21"/>
                <w:u w:val="single"/>
                <w:vertAlign w:val="superscript"/>
              </w:rPr>
              <w:t>3</w:t>
            </w:r>
            <w:r>
              <w:rPr>
                <w:rFonts w:hint="eastAsia"/>
                <w:i w:val="0"/>
                <w:iCs w:val="0"/>
                <w:color w:val="000000"/>
                <w:sz w:val="21"/>
                <w:szCs w:val="21"/>
                <w:u w:val="single"/>
              </w:rPr>
              <w:t>/d）</w:t>
            </w:r>
          </w:p>
        </w:tc>
        <w:tc>
          <w:tcPr>
            <w:tcW w:w="1884" w:type="dxa"/>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用水量（m</w:t>
            </w:r>
            <w:r>
              <w:rPr>
                <w:rFonts w:hint="eastAsia"/>
                <w:i w:val="0"/>
                <w:iCs w:val="0"/>
                <w:color w:val="000000"/>
                <w:sz w:val="21"/>
                <w:szCs w:val="21"/>
                <w:u w:val="single"/>
                <w:vertAlign w:val="superscript"/>
              </w:rPr>
              <w:t>3</w:t>
            </w:r>
            <w:r>
              <w:rPr>
                <w:rFonts w:hint="eastAsia"/>
                <w:i w:val="0"/>
                <w:iCs w:val="0"/>
                <w:color w:val="000000"/>
                <w:sz w:val="21"/>
                <w:szCs w:val="21"/>
                <w:u w:val="single"/>
              </w:rPr>
              <w:t>/</w:t>
            </w:r>
            <w:r>
              <w:rPr>
                <w:rFonts w:hint="eastAsia"/>
                <w:i w:val="0"/>
                <w:iCs w:val="0"/>
                <w:color w:val="000000"/>
                <w:sz w:val="21"/>
                <w:szCs w:val="21"/>
                <w:u w:val="single"/>
                <w:lang w:val="en-US" w:eastAsia="zh-CN"/>
              </w:rPr>
              <w:t>a</w:t>
            </w:r>
            <w:r>
              <w:rPr>
                <w:rFonts w:hint="eastAsia"/>
                <w:i w:val="0"/>
                <w:iCs w:val="0"/>
                <w:color w:val="000000"/>
                <w:sz w:val="21"/>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1"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一期工程</w:t>
            </w:r>
          </w:p>
        </w:tc>
        <w:tc>
          <w:tcPr>
            <w:tcW w:w="957" w:type="pct"/>
            <w:noWrap w:val="0"/>
            <w:vAlign w:val="center"/>
          </w:tcPr>
          <w:p>
            <w:pPr>
              <w:adjustRightInd w:val="0"/>
              <w:snapToGrid w:val="0"/>
              <w:jc w:val="center"/>
              <w:rPr>
                <w:i w:val="0"/>
                <w:iCs w:val="0"/>
                <w:color w:val="000000"/>
                <w:sz w:val="21"/>
                <w:szCs w:val="21"/>
                <w:u w:val="single"/>
              </w:rPr>
            </w:pPr>
            <w:r>
              <w:rPr>
                <w:rFonts w:hint="eastAsia"/>
                <w:i w:val="0"/>
                <w:iCs w:val="0"/>
                <w:color w:val="000000"/>
                <w:sz w:val="21"/>
                <w:szCs w:val="21"/>
                <w:u w:val="single"/>
              </w:rPr>
              <w:t>80</w:t>
            </w:r>
          </w:p>
        </w:tc>
        <w:tc>
          <w:tcPr>
            <w:tcW w:w="929"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1</w:t>
            </w:r>
            <w:r>
              <w:rPr>
                <w:rFonts w:hint="eastAsia"/>
                <w:i w:val="0"/>
                <w:iCs w:val="0"/>
                <w:color w:val="000000"/>
                <w:sz w:val="21"/>
                <w:szCs w:val="21"/>
                <w:u w:val="single"/>
                <w:lang w:val="en-US" w:eastAsia="zh-CN"/>
              </w:rPr>
              <w:t>40</w:t>
            </w:r>
            <w:r>
              <w:rPr>
                <w:rFonts w:hint="eastAsia"/>
                <w:i w:val="0"/>
                <w:iCs w:val="0"/>
                <w:color w:val="000000"/>
                <w:sz w:val="21"/>
                <w:szCs w:val="21"/>
                <w:u w:val="single"/>
              </w:rPr>
              <w:t>l/人·d</w:t>
            </w:r>
          </w:p>
        </w:tc>
        <w:tc>
          <w:tcPr>
            <w:tcW w:w="990"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11.2</w:t>
            </w:r>
          </w:p>
        </w:tc>
        <w:tc>
          <w:tcPr>
            <w:tcW w:w="1884" w:type="dxa"/>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3640</w:t>
            </w:r>
          </w:p>
        </w:tc>
      </w:tr>
    </w:tbl>
    <w:p>
      <w:pPr>
        <w:spacing w:line="360" w:lineRule="auto"/>
        <w:ind w:firstLine="480" w:firstLineChars="200"/>
        <w:rPr>
          <w:rFonts w:hint="eastAsia" w:ascii="宋体" w:hAnsi="宋体" w:eastAsia="宋体" w:cs="宋体"/>
          <w:i w:val="0"/>
          <w:iCs w:val="0"/>
          <w:color w:val="000000"/>
          <w:u w:val="single"/>
          <w:lang w:val="en-US" w:eastAsia="zh-CN"/>
        </w:rPr>
      </w:pPr>
      <w:r>
        <w:rPr>
          <w:rFonts w:hint="eastAsia" w:ascii="宋体" w:hAnsi="宋体" w:eastAsia="宋体" w:cs="宋体"/>
          <w:i w:val="0"/>
          <w:iCs w:val="0"/>
          <w:color w:val="000000"/>
          <w:u w:val="single"/>
        </w:rPr>
        <w:t>⑤</w:t>
      </w:r>
      <w:r>
        <w:rPr>
          <w:rFonts w:hint="eastAsia" w:ascii="宋体" w:hAnsi="宋体" w:eastAsia="宋体" w:cs="宋体"/>
          <w:i w:val="0"/>
          <w:iCs w:val="0"/>
          <w:color w:val="000000"/>
          <w:u w:val="single"/>
          <w:lang w:val="en-US" w:eastAsia="zh-CN"/>
        </w:rPr>
        <w:t>设备清洗用水</w:t>
      </w:r>
    </w:p>
    <w:p>
      <w:pPr>
        <w:spacing w:line="360" w:lineRule="auto"/>
        <w:ind w:firstLine="480" w:firstLineChars="200"/>
        <w:rPr>
          <w:rFonts w:hint="eastAsia" w:ascii="Times New Roman" w:hAnsi="Times New Roman" w:eastAsia="宋体" w:cs="Times New Roman"/>
          <w:i w:val="0"/>
          <w:iCs w:val="0"/>
          <w:color w:val="000000"/>
          <w:u w:val="single"/>
          <w:lang w:val="en-US" w:eastAsia="zh-CN"/>
        </w:rPr>
      </w:pPr>
      <w:r>
        <w:rPr>
          <w:rFonts w:hint="eastAsia" w:ascii="Times New Roman" w:hAnsi="Times New Roman" w:eastAsia="宋体" w:cs="Times New Roman"/>
          <w:i w:val="0"/>
          <w:iCs w:val="0"/>
          <w:color w:val="000000"/>
          <w:u w:val="single"/>
          <w:lang w:val="en-US" w:eastAsia="zh-CN"/>
        </w:rPr>
        <w:t>本项目种子罐及发酵罐清洗用水情况详见下表</w:t>
      </w:r>
    </w:p>
    <w:p>
      <w:pPr>
        <w:ind w:firstLine="482" w:firstLineChars="200"/>
        <w:jc w:val="center"/>
        <w:rPr>
          <w:rFonts w:hint="eastAsia"/>
          <w:b/>
          <w:i w:val="0"/>
          <w:iCs w:val="0"/>
          <w:u w:val="single"/>
        </w:rPr>
      </w:pPr>
      <w:r>
        <w:rPr>
          <w:rFonts w:hint="eastAsia"/>
          <w:b/>
          <w:i w:val="0"/>
          <w:iCs w:val="0"/>
          <w:u w:val="single"/>
        </w:rPr>
        <w:t>表3-</w:t>
      </w:r>
      <w:r>
        <w:rPr>
          <w:rFonts w:hint="eastAsia"/>
          <w:b/>
          <w:i w:val="0"/>
          <w:iCs w:val="0"/>
          <w:u w:val="single"/>
          <w:lang w:val="en-US" w:eastAsia="zh-CN"/>
        </w:rPr>
        <w:t>15</w:t>
      </w:r>
      <w:r>
        <w:rPr>
          <w:rFonts w:hint="eastAsia"/>
          <w:b/>
          <w:i w:val="0"/>
          <w:iCs w:val="0"/>
          <w:u w:val="single"/>
        </w:rPr>
        <w:t xml:space="preserve">  </w:t>
      </w:r>
      <w:r>
        <w:rPr>
          <w:rFonts w:hint="eastAsia"/>
          <w:b/>
          <w:i w:val="0"/>
          <w:iCs w:val="0"/>
          <w:u w:val="single"/>
          <w:lang w:val="en-US" w:eastAsia="zh-CN"/>
        </w:rPr>
        <w:t>设备清洗用水</w:t>
      </w:r>
      <w:r>
        <w:rPr>
          <w:rFonts w:hint="eastAsia"/>
          <w:b/>
          <w:i w:val="0"/>
          <w:iCs w:val="0"/>
          <w:u w:val="single"/>
        </w:rPr>
        <w:t>情况一览表</w:t>
      </w:r>
    </w:p>
    <w:tbl>
      <w:tblPr>
        <w:tblStyle w:val="58"/>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786"/>
        <w:gridCol w:w="2045"/>
        <w:gridCol w:w="267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tblHeader/>
          <w:jc w:val="center"/>
        </w:trPr>
        <w:tc>
          <w:tcPr>
            <w:tcW w:w="2516"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废水来源</w:t>
            </w:r>
          </w:p>
        </w:tc>
        <w:tc>
          <w:tcPr>
            <w:tcW w:w="1075"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L/批次</w:t>
            </w:r>
          </w:p>
        </w:tc>
        <w:tc>
          <w:tcPr>
            <w:tcW w:w="1408"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一期工程m</w:t>
            </w:r>
            <w:r>
              <w:rPr>
                <w:rFonts w:hint="eastAsia"/>
                <w:i w:val="0"/>
                <w:iCs w:val="0"/>
                <w:color w:val="000000"/>
                <w:sz w:val="21"/>
                <w:szCs w:val="21"/>
                <w:u w:val="single"/>
                <w:vertAlign w:val="superscript"/>
              </w:rPr>
              <w:t>3</w:t>
            </w:r>
            <w:r>
              <w:rPr>
                <w:rFonts w:hint="eastAsia"/>
                <w:i w:val="0"/>
                <w:iCs w:val="0"/>
                <w:color w:val="000000"/>
                <w:sz w:val="21"/>
                <w:szCs w:val="21"/>
                <w:u w:val="single"/>
              </w:rPr>
              <w: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9" w:hRule="atLeast"/>
          <w:tblHeader/>
          <w:jc w:val="center"/>
        </w:trPr>
        <w:tc>
          <w:tcPr>
            <w:tcW w:w="2516"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一级种子罐清洗水</w:t>
            </w:r>
          </w:p>
        </w:tc>
        <w:tc>
          <w:tcPr>
            <w:tcW w:w="1075" w:type="pct"/>
            <w:noWrap w:val="0"/>
            <w:vAlign w:val="top"/>
          </w:tcPr>
          <w:p>
            <w:pPr>
              <w:adjustRightInd w:val="0"/>
              <w:snapToGrid w:val="0"/>
              <w:jc w:val="center"/>
              <w:rPr>
                <w:i w:val="0"/>
                <w:iCs w:val="0"/>
                <w:color w:val="000000"/>
                <w:sz w:val="21"/>
                <w:szCs w:val="21"/>
                <w:u w:val="single"/>
              </w:rPr>
            </w:pPr>
            <w:r>
              <w:rPr>
                <w:rFonts w:hint="eastAsia"/>
                <w:i w:val="0"/>
                <w:iCs w:val="0"/>
                <w:color w:val="000000"/>
                <w:sz w:val="21"/>
                <w:szCs w:val="21"/>
                <w:u w:val="single"/>
              </w:rPr>
              <w:t>11.21</w:t>
            </w:r>
          </w:p>
        </w:tc>
        <w:tc>
          <w:tcPr>
            <w:tcW w:w="1408" w:type="pct"/>
            <w:noWrap w:val="0"/>
            <w:vAlign w:val="top"/>
          </w:tcPr>
          <w:p>
            <w:pPr>
              <w:adjustRightInd w:val="0"/>
              <w:snapToGrid w:val="0"/>
              <w:jc w:val="center"/>
              <w:rPr>
                <w:i w:val="0"/>
                <w:iCs w:val="0"/>
                <w:color w:val="000000"/>
                <w:sz w:val="21"/>
                <w:szCs w:val="21"/>
                <w:u w:val="single"/>
              </w:rPr>
            </w:pPr>
            <w:r>
              <w:rPr>
                <w:rFonts w:hint="eastAsia"/>
                <w:i w:val="0"/>
                <w:iCs w:val="0"/>
                <w:color w:val="000000"/>
                <w:sz w:val="21"/>
                <w:szCs w:val="21"/>
                <w:u w:val="single"/>
              </w:rPr>
              <w:t>1.4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7" w:hRule="atLeast"/>
          <w:tblHeader/>
          <w:jc w:val="center"/>
        </w:trPr>
        <w:tc>
          <w:tcPr>
            <w:tcW w:w="2516"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二级种子罐清洗水</w:t>
            </w:r>
          </w:p>
        </w:tc>
        <w:tc>
          <w:tcPr>
            <w:tcW w:w="1075" w:type="pct"/>
            <w:noWrap w:val="0"/>
            <w:vAlign w:val="top"/>
          </w:tcPr>
          <w:p>
            <w:pPr>
              <w:adjustRightInd w:val="0"/>
              <w:snapToGrid w:val="0"/>
              <w:jc w:val="center"/>
              <w:rPr>
                <w:i w:val="0"/>
                <w:iCs w:val="0"/>
                <w:color w:val="000000"/>
                <w:sz w:val="21"/>
                <w:szCs w:val="21"/>
                <w:u w:val="single"/>
              </w:rPr>
            </w:pPr>
            <w:r>
              <w:rPr>
                <w:rFonts w:hint="eastAsia"/>
                <w:i w:val="0"/>
                <w:iCs w:val="0"/>
                <w:color w:val="000000"/>
                <w:sz w:val="21"/>
                <w:szCs w:val="21"/>
                <w:u w:val="single"/>
              </w:rPr>
              <w:t>90.91</w:t>
            </w:r>
          </w:p>
        </w:tc>
        <w:tc>
          <w:tcPr>
            <w:tcW w:w="1408" w:type="pct"/>
            <w:noWrap w:val="0"/>
            <w:vAlign w:val="top"/>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11.36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9" w:hRule="atLeast"/>
          <w:tblHeader/>
          <w:jc w:val="center"/>
        </w:trPr>
        <w:tc>
          <w:tcPr>
            <w:tcW w:w="2516"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三级种子罐清洗水</w:t>
            </w:r>
          </w:p>
        </w:tc>
        <w:tc>
          <w:tcPr>
            <w:tcW w:w="1075" w:type="pct"/>
            <w:noWrap w:val="0"/>
            <w:vAlign w:val="top"/>
          </w:tcPr>
          <w:p>
            <w:pPr>
              <w:adjustRightInd w:val="0"/>
              <w:snapToGrid w:val="0"/>
              <w:jc w:val="center"/>
              <w:rPr>
                <w:rFonts w:ascii="Times New Roman" w:hAnsi="Times New Roman" w:eastAsia="宋体" w:cs="Times New Roman"/>
                <w:i w:val="0"/>
                <w:iCs w:val="0"/>
                <w:color w:val="000000"/>
                <w:sz w:val="21"/>
                <w:szCs w:val="21"/>
                <w:u w:val="single"/>
              </w:rPr>
            </w:pPr>
            <w:r>
              <w:rPr>
                <w:rFonts w:hint="eastAsia" w:ascii="Times New Roman" w:hAnsi="Times New Roman" w:eastAsia="宋体" w:cs="Times New Roman"/>
                <w:i w:val="0"/>
                <w:iCs w:val="0"/>
                <w:color w:val="000000"/>
                <w:sz w:val="21"/>
                <w:szCs w:val="21"/>
                <w:u w:val="single"/>
              </w:rPr>
              <w:t>859.09</w:t>
            </w:r>
          </w:p>
        </w:tc>
        <w:tc>
          <w:tcPr>
            <w:tcW w:w="1408" w:type="pct"/>
            <w:noWrap w:val="0"/>
            <w:vAlign w:val="top"/>
          </w:tcPr>
          <w:p>
            <w:pPr>
              <w:adjustRightInd w:val="0"/>
              <w:snapToGrid w:val="0"/>
              <w:jc w:val="center"/>
              <w:rPr>
                <w:rFonts w:hint="default" w:ascii="Times New Roman" w:hAnsi="Times New Roman" w:eastAsia="宋体" w:cs="Times New Roman"/>
                <w:i w:val="0"/>
                <w:iCs w:val="0"/>
                <w:color w:val="000000"/>
                <w:sz w:val="21"/>
                <w:szCs w:val="21"/>
                <w:u w:val="single"/>
                <w:lang w:val="en-US" w:eastAsia="zh-CN"/>
              </w:rPr>
            </w:pPr>
            <w:r>
              <w:rPr>
                <w:rFonts w:hint="eastAsia" w:ascii="Times New Roman" w:hAnsi="Times New Roman" w:eastAsia="宋体" w:cs="Times New Roman"/>
                <w:i w:val="0"/>
                <w:iCs w:val="0"/>
                <w:color w:val="000000"/>
                <w:sz w:val="21"/>
                <w:szCs w:val="21"/>
                <w:u w:val="single"/>
                <w:lang w:val="en-US" w:eastAsia="zh-CN"/>
              </w:rPr>
              <w:t>107.39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9" w:hRule="atLeast"/>
          <w:tblHeader/>
          <w:jc w:val="center"/>
        </w:trPr>
        <w:tc>
          <w:tcPr>
            <w:tcW w:w="2516"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发酵罐清洗水</w:t>
            </w:r>
          </w:p>
        </w:tc>
        <w:tc>
          <w:tcPr>
            <w:tcW w:w="1075" w:type="pct"/>
            <w:noWrap w:val="0"/>
            <w:vAlign w:val="top"/>
          </w:tcPr>
          <w:p>
            <w:pPr>
              <w:adjustRightInd w:val="0"/>
              <w:snapToGrid w:val="0"/>
              <w:jc w:val="center"/>
              <w:rPr>
                <w:rFonts w:ascii="Times New Roman" w:hAnsi="Times New Roman" w:eastAsia="宋体" w:cs="Times New Roman"/>
                <w:i w:val="0"/>
                <w:iCs w:val="0"/>
                <w:color w:val="000000"/>
                <w:sz w:val="21"/>
                <w:szCs w:val="21"/>
                <w:u w:val="single"/>
              </w:rPr>
            </w:pPr>
            <w:r>
              <w:rPr>
                <w:rFonts w:hint="eastAsia" w:ascii="Times New Roman" w:hAnsi="Times New Roman" w:eastAsia="宋体" w:cs="Times New Roman"/>
                <w:i w:val="0"/>
                <w:iCs w:val="0"/>
                <w:color w:val="000000"/>
                <w:sz w:val="21"/>
                <w:szCs w:val="21"/>
                <w:u w:val="single"/>
              </w:rPr>
              <w:t>2172.73</w:t>
            </w:r>
          </w:p>
        </w:tc>
        <w:tc>
          <w:tcPr>
            <w:tcW w:w="1408" w:type="pct"/>
            <w:noWrap w:val="0"/>
            <w:vAlign w:val="top"/>
          </w:tcPr>
          <w:p>
            <w:pPr>
              <w:adjustRightInd w:val="0"/>
              <w:snapToGrid w:val="0"/>
              <w:jc w:val="center"/>
              <w:rPr>
                <w:rFonts w:hint="default" w:ascii="Times New Roman" w:hAnsi="Times New Roman" w:eastAsia="宋体" w:cs="Times New Roman"/>
                <w:i w:val="0"/>
                <w:iCs w:val="0"/>
                <w:color w:val="000000"/>
                <w:sz w:val="21"/>
                <w:szCs w:val="21"/>
                <w:u w:val="single"/>
                <w:lang w:val="en-US" w:eastAsia="zh-CN"/>
              </w:rPr>
            </w:pPr>
            <w:r>
              <w:rPr>
                <w:rFonts w:hint="eastAsia" w:ascii="Times New Roman" w:hAnsi="Times New Roman" w:eastAsia="宋体" w:cs="Times New Roman"/>
                <w:i w:val="0"/>
                <w:iCs w:val="0"/>
                <w:color w:val="000000"/>
                <w:sz w:val="21"/>
                <w:szCs w:val="21"/>
                <w:u w:val="single"/>
                <w:lang w:val="en-US" w:eastAsia="zh-CN"/>
              </w:rPr>
              <w:t>271.59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9" w:hRule="atLeast"/>
          <w:tblHeader/>
          <w:jc w:val="center"/>
        </w:trPr>
        <w:tc>
          <w:tcPr>
            <w:tcW w:w="2516"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总计</w:t>
            </w:r>
          </w:p>
        </w:tc>
        <w:tc>
          <w:tcPr>
            <w:tcW w:w="2045" w:type="dxa"/>
            <w:noWrap w:val="0"/>
            <w:vAlign w:val="center"/>
          </w:tcPr>
          <w:p>
            <w:pPr>
              <w:adjustRightInd w:val="0"/>
              <w:snapToGrid w:val="0"/>
              <w:jc w:val="center"/>
              <w:rPr>
                <w:rFonts w:ascii="Times New Roman" w:hAnsi="Times New Roman" w:eastAsia="宋体" w:cs="Times New Roman"/>
                <w:i w:val="0"/>
                <w:iCs w:val="0"/>
                <w:color w:val="000000"/>
                <w:sz w:val="21"/>
                <w:szCs w:val="21"/>
                <w:u w:val="single"/>
              </w:rPr>
            </w:pPr>
            <w:r>
              <w:rPr>
                <w:rFonts w:hint="eastAsia" w:ascii="Times New Roman" w:hAnsi="Times New Roman" w:eastAsia="宋体" w:cs="Times New Roman"/>
                <w:i w:val="0"/>
                <w:iCs w:val="0"/>
                <w:color w:val="000000"/>
                <w:sz w:val="21"/>
                <w:szCs w:val="21"/>
                <w:u w:val="single"/>
                <w:lang w:val="en-US" w:eastAsia="zh-CN"/>
              </w:rPr>
              <w:t>3133.94</w:t>
            </w:r>
          </w:p>
        </w:tc>
        <w:tc>
          <w:tcPr>
            <w:tcW w:w="2678" w:type="dxa"/>
            <w:noWrap w:val="0"/>
            <w:vAlign w:val="center"/>
          </w:tcPr>
          <w:p>
            <w:pPr>
              <w:adjustRightInd w:val="0"/>
              <w:snapToGrid w:val="0"/>
              <w:jc w:val="center"/>
              <w:rPr>
                <w:rFonts w:ascii="Times New Roman" w:hAnsi="Times New Roman" w:eastAsia="宋体" w:cs="Times New Roman"/>
                <w:i w:val="0"/>
                <w:iCs w:val="0"/>
                <w:color w:val="000000"/>
                <w:sz w:val="21"/>
                <w:szCs w:val="21"/>
                <w:u w:val="single"/>
              </w:rPr>
            </w:pPr>
            <w:r>
              <w:rPr>
                <w:rFonts w:hint="eastAsia" w:ascii="Times New Roman" w:hAnsi="Times New Roman" w:eastAsia="宋体" w:cs="Times New Roman"/>
                <w:i w:val="0"/>
                <w:iCs w:val="0"/>
                <w:color w:val="000000"/>
                <w:sz w:val="21"/>
                <w:szCs w:val="21"/>
                <w:u w:val="single"/>
                <w:lang w:val="en-US" w:eastAsia="zh-CN"/>
              </w:rPr>
              <w:t>391.74</w:t>
            </w:r>
          </w:p>
        </w:tc>
      </w:tr>
    </w:tbl>
    <w:p>
      <w:pPr>
        <w:tabs>
          <w:tab w:val="left" w:pos="1144"/>
        </w:tabs>
        <w:spacing w:line="360" w:lineRule="auto"/>
        <w:ind w:firstLine="480" w:firstLineChars="200"/>
        <w:rPr>
          <w:rFonts w:hint="eastAsia" w:ascii="宋体" w:hAnsi="宋体" w:eastAsia="宋体" w:cs="宋体"/>
          <w:i w:val="0"/>
          <w:iCs w:val="0"/>
          <w:color w:val="000000"/>
          <w:u w:val="single"/>
          <w:lang w:eastAsia="zh-CN"/>
        </w:rPr>
      </w:pPr>
    </w:p>
    <w:p>
      <w:pPr>
        <w:spacing w:line="360" w:lineRule="auto"/>
        <w:ind w:firstLine="480" w:firstLineChars="200"/>
        <w:rPr>
          <w:rFonts w:hint="eastAsia"/>
          <w:i w:val="0"/>
          <w:iCs w:val="0"/>
          <w:color w:val="000000"/>
          <w:u w:val="single"/>
        </w:rPr>
      </w:pPr>
      <w:r>
        <w:rPr>
          <w:rFonts w:hint="eastAsia"/>
          <w:i w:val="0"/>
          <w:iCs w:val="0"/>
          <w:color w:val="000000"/>
          <w:u w:val="single"/>
        </w:rPr>
        <w:fldChar w:fldCharType="begin"/>
      </w:r>
      <w:r>
        <w:rPr>
          <w:rFonts w:hint="eastAsia"/>
          <w:i w:val="0"/>
          <w:iCs w:val="0"/>
          <w:color w:val="000000"/>
          <w:u w:val="single"/>
        </w:rPr>
        <w:instrText xml:space="preserve"> = 6 \* GB3 \* MERGEFORMAT </w:instrText>
      </w:r>
      <w:r>
        <w:rPr>
          <w:rFonts w:hint="eastAsia"/>
          <w:i w:val="0"/>
          <w:iCs w:val="0"/>
          <w:color w:val="000000"/>
          <w:u w:val="single"/>
        </w:rPr>
        <w:fldChar w:fldCharType="separate"/>
      </w:r>
      <w:r>
        <w:rPr>
          <w:i w:val="0"/>
          <w:iCs w:val="0"/>
          <w:u w:val="single"/>
        </w:rPr>
        <w:t>⑥</w:t>
      </w:r>
      <w:r>
        <w:rPr>
          <w:rFonts w:hint="eastAsia"/>
          <w:i w:val="0"/>
          <w:iCs w:val="0"/>
          <w:color w:val="000000"/>
          <w:u w:val="single"/>
        </w:rPr>
        <w:fldChar w:fldCharType="end"/>
      </w:r>
      <w:r>
        <w:rPr>
          <w:rFonts w:hint="eastAsia"/>
          <w:i w:val="0"/>
          <w:iCs w:val="0"/>
          <w:color w:val="000000"/>
          <w:u w:val="single"/>
        </w:rPr>
        <w:t>绿化</w:t>
      </w:r>
      <w:r>
        <w:rPr>
          <w:i w:val="0"/>
          <w:iCs w:val="0"/>
          <w:color w:val="000000"/>
          <w:u w:val="single"/>
        </w:rPr>
        <w:t>用水</w:t>
      </w:r>
    </w:p>
    <w:p>
      <w:pPr>
        <w:spacing w:line="360" w:lineRule="auto"/>
        <w:ind w:firstLine="480" w:firstLineChars="200"/>
        <w:rPr>
          <w:rFonts w:hint="eastAsia"/>
          <w:i w:val="0"/>
          <w:iCs w:val="0"/>
          <w:color w:val="000000"/>
          <w:u w:val="single"/>
        </w:rPr>
      </w:pPr>
      <w:r>
        <w:rPr>
          <w:rFonts w:hint="eastAsia"/>
          <w:i w:val="0"/>
          <w:iCs w:val="0"/>
          <w:color w:val="000000"/>
          <w:u w:val="single"/>
        </w:rPr>
        <w:t>绿化工程全部在一期工程建设，项目</w:t>
      </w:r>
      <w:r>
        <w:rPr>
          <w:rFonts w:hint="eastAsia" w:hAnsi="宋体"/>
          <w:i w:val="0"/>
          <w:iCs w:val="0"/>
          <w:color w:val="000000"/>
          <w:u w:val="single"/>
        </w:rPr>
        <w:t>出让用地面积45936</w:t>
      </w:r>
      <w:r>
        <w:rPr>
          <w:i w:val="0"/>
          <w:iCs w:val="0"/>
          <w:color w:val="000000"/>
          <w:u w:val="single"/>
        </w:rPr>
        <w:t>m</w:t>
      </w:r>
      <w:r>
        <w:rPr>
          <w:i w:val="0"/>
          <w:iCs w:val="0"/>
          <w:color w:val="000000"/>
          <w:u w:val="single"/>
          <w:vertAlign w:val="superscript"/>
        </w:rPr>
        <w:t>2</w:t>
      </w:r>
      <w:r>
        <w:rPr>
          <w:rFonts w:hAnsi="宋体"/>
          <w:i w:val="0"/>
          <w:iCs w:val="0"/>
          <w:color w:val="000000"/>
          <w:u w:val="single"/>
        </w:rPr>
        <w:t>，</w:t>
      </w:r>
      <w:r>
        <w:rPr>
          <w:rFonts w:hint="eastAsia"/>
          <w:i w:val="0"/>
          <w:iCs w:val="0"/>
          <w:color w:val="000000"/>
          <w:u w:val="single"/>
        </w:rPr>
        <w:t>绿化率25%，绿化面积为11484</w:t>
      </w:r>
      <w:r>
        <w:rPr>
          <w:i w:val="0"/>
          <w:iCs w:val="0"/>
          <w:color w:val="000000"/>
          <w:u w:val="single"/>
        </w:rPr>
        <w:t>m</w:t>
      </w:r>
      <w:r>
        <w:rPr>
          <w:i w:val="0"/>
          <w:iCs w:val="0"/>
          <w:color w:val="000000"/>
          <w:u w:val="single"/>
          <w:vertAlign w:val="superscript"/>
        </w:rPr>
        <w:t>2</w:t>
      </w:r>
      <w:r>
        <w:rPr>
          <w:rFonts w:hint="eastAsia"/>
          <w:i w:val="0"/>
          <w:iCs w:val="0"/>
          <w:color w:val="000000"/>
          <w:u w:val="single"/>
        </w:rPr>
        <w:t>，绿化</w:t>
      </w:r>
      <w:r>
        <w:rPr>
          <w:i w:val="0"/>
          <w:iCs w:val="0"/>
          <w:color w:val="000000"/>
          <w:u w:val="single"/>
        </w:rPr>
        <w:t>用水量</w:t>
      </w:r>
      <w:r>
        <w:rPr>
          <w:rFonts w:hint="eastAsia"/>
          <w:i w:val="0"/>
          <w:iCs w:val="0"/>
          <w:color w:val="000000"/>
          <w:u w:val="single"/>
        </w:rPr>
        <w:t>按2L/m</w:t>
      </w:r>
      <w:r>
        <w:rPr>
          <w:rFonts w:hint="eastAsia"/>
          <w:i w:val="0"/>
          <w:iCs w:val="0"/>
          <w:color w:val="000000"/>
          <w:u w:val="single"/>
          <w:vertAlign w:val="superscript"/>
        </w:rPr>
        <w:t>2</w:t>
      </w:r>
      <w:r>
        <w:rPr>
          <w:rFonts w:hint="eastAsia"/>
          <w:i w:val="0"/>
          <w:iCs w:val="0"/>
          <w:color w:val="000000"/>
          <w:u w:val="single"/>
        </w:rPr>
        <w:t>·d计算，绿化用水为22.97m</w:t>
      </w:r>
      <w:r>
        <w:rPr>
          <w:rFonts w:hint="eastAsia"/>
          <w:i w:val="0"/>
          <w:iCs w:val="0"/>
          <w:color w:val="000000"/>
          <w:u w:val="single"/>
          <w:vertAlign w:val="superscript"/>
        </w:rPr>
        <w:t>3</w:t>
      </w:r>
      <w:r>
        <w:rPr>
          <w:rFonts w:hint="eastAsia"/>
          <w:i w:val="0"/>
          <w:iCs w:val="0"/>
          <w:color w:val="000000"/>
          <w:u w:val="single"/>
        </w:rPr>
        <w:t>/d</w:t>
      </w:r>
      <w:r>
        <w:rPr>
          <w:rFonts w:hint="eastAsia"/>
          <w:i w:val="0"/>
          <w:iCs w:val="0"/>
          <w:color w:val="000000"/>
          <w:u w:val="single"/>
          <w:lang w:eastAsia="zh-CN"/>
        </w:rPr>
        <w:t>，</w:t>
      </w:r>
      <w:r>
        <w:rPr>
          <w:rFonts w:hint="eastAsia"/>
          <w:i w:val="0"/>
          <w:iCs w:val="0"/>
          <w:color w:val="000000"/>
          <w:u w:val="single"/>
          <w:lang w:val="en-US" w:eastAsia="zh-CN"/>
        </w:rPr>
        <w:t>年绿化时间约120d</w:t>
      </w:r>
      <w:r>
        <w:rPr>
          <w:rFonts w:hint="eastAsia"/>
          <w:i w:val="0"/>
          <w:iCs w:val="0"/>
          <w:color w:val="000000"/>
          <w:u w:val="single"/>
        </w:rPr>
        <w:t>。</w:t>
      </w:r>
    </w:p>
    <w:p>
      <w:pPr>
        <w:autoSpaceDE w:val="0"/>
        <w:autoSpaceDN w:val="0"/>
        <w:adjustRightInd w:val="0"/>
        <w:snapToGrid w:val="0"/>
        <w:spacing w:line="360" w:lineRule="auto"/>
        <w:ind w:firstLine="480" w:firstLineChars="200"/>
        <w:jc w:val="left"/>
        <w:rPr>
          <w:rFonts w:hint="eastAsia" w:eastAsia="宋体"/>
          <w:i w:val="0"/>
          <w:iCs w:val="0"/>
          <w:color w:val="000000"/>
          <w:u w:val="single"/>
          <w:lang w:eastAsia="zh-CN"/>
        </w:rPr>
      </w:pPr>
      <w:r>
        <w:rPr>
          <w:rFonts w:hint="eastAsia"/>
          <w:i w:val="0"/>
          <w:iCs w:val="0"/>
          <w:color w:val="000000"/>
          <w:u w:val="single"/>
        </w:rPr>
        <w:fldChar w:fldCharType="begin"/>
      </w:r>
      <w:r>
        <w:rPr>
          <w:rFonts w:hint="eastAsia"/>
          <w:i w:val="0"/>
          <w:iCs w:val="0"/>
          <w:color w:val="000000"/>
          <w:u w:val="single"/>
        </w:rPr>
        <w:instrText xml:space="preserve"> = 7 \* GB3 \* MERGEFORMAT </w:instrText>
      </w:r>
      <w:r>
        <w:rPr>
          <w:rFonts w:hint="eastAsia"/>
          <w:i w:val="0"/>
          <w:iCs w:val="0"/>
          <w:color w:val="000000"/>
          <w:u w:val="single"/>
        </w:rPr>
        <w:fldChar w:fldCharType="separate"/>
      </w:r>
      <w:r>
        <w:rPr>
          <w:i w:val="0"/>
          <w:iCs w:val="0"/>
          <w:u w:val="single"/>
        </w:rPr>
        <w:t>⑦</w:t>
      </w:r>
      <w:r>
        <w:rPr>
          <w:rFonts w:hint="eastAsia"/>
          <w:i w:val="0"/>
          <w:iCs w:val="0"/>
          <w:color w:val="000000"/>
          <w:u w:val="single"/>
        </w:rPr>
        <w:fldChar w:fldCharType="end"/>
      </w:r>
      <w:r>
        <w:rPr>
          <w:rFonts w:hint="eastAsia"/>
          <w:i w:val="0"/>
          <w:iCs w:val="0"/>
          <w:color w:val="000000"/>
          <w:u w:val="single"/>
          <w:lang w:eastAsia="zh-CN"/>
        </w:rPr>
        <w:t>实验用水</w:t>
      </w:r>
    </w:p>
    <w:p>
      <w:pPr>
        <w:autoSpaceDE w:val="0"/>
        <w:autoSpaceDN w:val="0"/>
        <w:adjustRightInd w:val="0"/>
        <w:snapToGrid w:val="0"/>
        <w:spacing w:line="360" w:lineRule="auto"/>
        <w:ind w:firstLine="480" w:firstLineChars="200"/>
        <w:jc w:val="left"/>
        <w:rPr>
          <w:rFonts w:hint="eastAsia" w:eastAsia="宋体"/>
          <w:i w:val="0"/>
          <w:iCs w:val="0"/>
          <w:color w:val="000000"/>
          <w:u w:val="single"/>
          <w:lang w:val="en-US" w:eastAsia="zh-CN"/>
        </w:rPr>
      </w:pPr>
      <w:r>
        <w:rPr>
          <w:rFonts w:hint="eastAsia"/>
          <w:i w:val="0"/>
          <w:iCs w:val="0"/>
          <w:color w:val="000000"/>
          <w:u w:val="single"/>
          <w:lang w:eastAsia="zh-CN"/>
        </w:rPr>
        <w:t>本项目实验过程用水量为</w:t>
      </w:r>
      <w:r>
        <w:rPr>
          <w:rFonts w:hint="eastAsia"/>
          <w:i w:val="0"/>
          <w:iCs w:val="0"/>
          <w:color w:val="000000"/>
          <w:u w:val="single"/>
          <w:lang w:val="en-US" w:eastAsia="zh-CN"/>
        </w:rPr>
        <w:t>1</w:t>
      </w:r>
      <w:r>
        <w:rPr>
          <w:i w:val="0"/>
          <w:iCs w:val="0"/>
          <w:color w:val="000000"/>
          <w:u w:val="single"/>
        </w:rPr>
        <w:t>m</w:t>
      </w:r>
      <w:r>
        <w:rPr>
          <w:rFonts w:hint="eastAsia"/>
          <w:i w:val="0"/>
          <w:iCs w:val="0"/>
          <w:color w:val="000000"/>
          <w:u w:val="single"/>
          <w:vertAlign w:val="superscript"/>
          <w:lang w:val="en-US" w:eastAsia="zh-CN"/>
        </w:rPr>
        <w:t>3</w:t>
      </w:r>
      <w:r>
        <w:rPr>
          <w:rFonts w:hint="eastAsia"/>
          <w:i w:val="0"/>
          <w:iCs w:val="0"/>
          <w:color w:val="000000"/>
          <w:u w:val="single"/>
        </w:rPr>
        <w:t>/d</w:t>
      </w:r>
      <w:r>
        <w:rPr>
          <w:rFonts w:hint="eastAsia"/>
          <w:i w:val="0"/>
          <w:iCs w:val="0"/>
          <w:color w:val="000000"/>
          <w:u w:val="single"/>
          <w:lang w:eastAsia="zh-CN"/>
        </w:rPr>
        <w:t>（</w:t>
      </w:r>
      <w:r>
        <w:rPr>
          <w:rFonts w:hint="eastAsia"/>
          <w:i w:val="0"/>
          <w:iCs w:val="0"/>
          <w:color w:val="000000"/>
          <w:u w:val="single"/>
          <w:lang w:val="en-US" w:eastAsia="zh-CN"/>
        </w:rPr>
        <w:t>325</w:t>
      </w:r>
      <w:r>
        <w:rPr>
          <w:i w:val="0"/>
          <w:iCs w:val="0"/>
          <w:color w:val="000000"/>
          <w:u w:val="single"/>
        </w:rPr>
        <w:t>m</w:t>
      </w:r>
      <w:r>
        <w:rPr>
          <w:rFonts w:hint="eastAsia"/>
          <w:i w:val="0"/>
          <w:iCs w:val="0"/>
          <w:color w:val="000000"/>
          <w:u w:val="single"/>
          <w:vertAlign w:val="superscript"/>
          <w:lang w:val="en-US" w:eastAsia="zh-CN"/>
        </w:rPr>
        <w:t>3</w:t>
      </w:r>
      <w:r>
        <w:rPr>
          <w:rFonts w:hint="eastAsia"/>
          <w:i w:val="0"/>
          <w:iCs w:val="0"/>
          <w:color w:val="000000"/>
          <w:u w:val="single"/>
        </w:rPr>
        <w:t>/</w:t>
      </w:r>
      <w:r>
        <w:rPr>
          <w:rFonts w:hint="eastAsia"/>
          <w:i w:val="0"/>
          <w:iCs w:val="0"/>
          <w:color w:val="000000"/>
          <w:u w:val="single"/>
          <w:lang w:val="en-US" w:eastAsia="zh-CN"/>
        </w:rPr>
        <w:t>a</w:t>
      </w:r>
      <w:r>
        <w:rPr>
          <w:rFonts w:hint="eastAsia"/>
          <w:i w:val="0"/>
          <w:iCs w:val="0"/>
          <w:color w:val="000000"/>
          <w:u w:val="single"/>
          <w:lang w:eastAsia="zh-CN"/>
        </w:rPr>
        <w:t>），</w:t>
      </w:r>
      <w:r>
        <w:rPr>
          <w:rFonts w:hint="eastAsia"/>
          <w:i w:val="0"/>
          <w:iCs w:val="0"/>
          <w:color w:val="000000"/>
          <w:u w:val="single"/>
          <w:lang w:val="en-US" w:eastAsia="zh-CN"/>
        </w:rPr>
        <w:t>化验废水产生量为0.91</w:t>
      </w:r>
      <w:r>
        <w:rPr>
          <w:i w:val="0"/>
          <w:iCs w:val="0"/>
          <w:color w:val="000000"/>
          <w:u w:val="single"/>
        </w:rPr>
        <w:t>m</w:t>
      </w:r>
      <w:r>
        <w:rPr>
          <w:rFonts w:hint="eastAsia"/>
          <w:i w:val="0"/>
          <w:iCs w:val="0"/>
          <w:color w:val="000000"/>
          <w:u w:val="single"/>
          <w:vertAlign w:val="superscript"/>
          <w:lang w:val="en-US" w:eastAsia="zh-CN"/>
        </w:rPr>
        <w:t>3</w:t>
      </w:r>
      <w:r>
        <w:rPr>
          <w:rFonts w:hint="eastAsia"/>
          <w:i w:val="0"/>
          <w:iCs w:val="0"/>
          <w:color w:val="000000"/>
          <w:u w:val="single"/>
        </w:rPr>
        <w:t>/d</w:t>
      </w:r>
      <w:r>
        <w:rPr>
          <w:rFonts w:hint="eastAsia"/>
          <w:i w:val="0"/>
          <w:iCs w:val="0"/>
          <w:color w:val="000000"/>
          <w:u w:val="single"/>
          <w:lang w:eastAsia="zh-CN"/>
        </w:rPr>
        <w:t>（</w:t>
      </w:r>
      <w:r>
        <w:rPr>
          <w:rFonts w:hint="eastAsia"/>
          <w:i w:val="0"/>
          <w:iCs w:val="0"/>
          <w:color w:val="000000"/>
          <w:u w:val="single"/>
          <w:lang w:val="en-US" w:eastAsia="zh-CN"/>
        </w:rPr>
        <w:t>292.5</w:t>
      </w:r>
      <w:r>
        <w:rPr>
          <w:i w:val="0"/>
          <w:iCs w:val="0"/>
          <w:color w:val="000000"/>
          <w:u w:val="single"/>
        </w:rPr>
        <w:t>m</w:t>
      </w:r>
      <w:r>
        <w:rPr>
          <w:rFonts w:hint="eastAsia"/>
          <w:i w:val="0"/>
          <w:iCs w:val="0"/>
          <w:color w:val="000000"/>
          <w:u w:val="single"/>
          <w:vertAlign w:val="superscript"/>
          <w:lang w:val="en-US" w:eastAsia="zh-CN"/>
        </w:rPr>
        <w:t>3</w:t>
      </w:r>
      <w:r>
        <w:rPr>
          <w:rFonts w:hint="eastAsia"/>
          <w:i w:val="0"/>
          <w:iCs w:val="0"/>
          <w:color w:val="000000"/>
          <w:u w:val="single"/>
        </w:rPr>
        <w:t>/</w:t>
      </w:r>
      <w:r>
        <w:rPr>
          <w:rFonts w:hint="eastAsia"/>
          <w:i w:val="0"/>
          <w:iCs w:val="0"/>
          <w:color w:val="000000"/>
          <w:u w:val="single"/>
          <w:lang w:val="en-US" w:eastAsia="zh-CN"/>
        </w:rPr>
        <w:t>a</w:t>
      </w:r>
      <w:r>
        <w:rPr>
          <w:rFonts w:hint="eastAsia"/>
          <w:i w:val="0"/>
          <w:iCs w:val="0"/>
          <w:color w:val="000000"/>
          <w:u w:val="single"/>
          <w:lang w:eastAsia="zh-CN"/>
        </w:rPr>
        <w:t>）</w:t>
      </w:r>
      <w:r>
        <w:rPr>
          <w:rFonts w:hint="eastAsia"/>
          <w:i w:val="0"/>
          <w:iCs w:val="0"/>
          <w:color w:val="000000"/>
          <w:u w:val="single"/>
        </w:rPr>
        <w:t>。</w:t>
      </w:r>
    </w:p>
    <w:p>
      <w:pPr>
        <w:autoSpaceDE w:val="0"/>
        <w:autoSpaceDN w:val="0"/>
        <w:adjustRightInd w:val="0"/>
        <w:snapToGrid w:val="0"/>
        <w:spacing w:line="360" w:lineRule="auto"/>
        <w:ind w:firstLine="480" w:firstLineChars="200"/>
        <w:jc w:val="left"/>
        <w:rPr>
          <w:rFonts w:hint="eastAsia"/>
          <w:i w:val="0"/>
          <w:iCs w:val="0"/>
          <w:color w:val="000000"/>
          <w:u w:val="single"/>
          <w:lang w:eastAsia="zh-CN"/>
        </w:rPr>
      </w:pPr>
      <w:r>
        <w:rPr>
          <w:rFonts w:hint="eastAsia"/>
          <w:i w:val="0"/>
          <w:iCs w:val="0"/>
          <w:color w:val="000000"/>
          <w:u w:val="single"/>
        </w:rPr>
        <w:fldChar w:fldCharType="begin"/>
      </w:r>
      <w:r>
        <w:rPr>
          <w:rFonts w:hint="eastAsia"/>
          <w:i w:val="0"/>
          <w:iCs w:val="0"/>
          <w:color w:val="000000"/>
          <w:u w:val="single"/>
        </w:rPr>
        <w:instrText xml:space="preserve"> = 8 \* GB3 \* MERGEFORMAT </w:instrText>
      </w:r>
      <w:r>
        <w:rPr>
          <w:rFonts w:hint="eastAsia"/>
          <w:i w:val="0"/>
          <w:iCs w:val="0"/>
          <w:color w:val="000000"/>
          <w:u w:val="single"/>
        </w:rPr>
        <w:fldChar w:fldCharType="separate"/>
      </w:r>
      <w:r>
        <w:rPr>
          <w:i w:val="0"/>
          <w:iCs w:val="0"/>
          <w:u w:val="single"/>
        </w:rPr>
        <w:t>⑧</w:t>
      </w:r>
      <w:r>
        <w:rPr>
          <w:rFonts w:hint="eastAsia"/>
          <w:i w:val="0"/>
          <w:iCs w:val="0"/>
          <w:color w:val="000000"/>
          <w:u w:val="single"/>
        </w:rPr>
        <w:fldChar w:fldCharType="end"/>
      </w:r>
      <w:r>
        <w:rPr>
          <w:rFonts w:hint="eastAsia"/>
          <w:i w:val="0"/>
          <w:iCs w:val="0"/>
          <w:color w:val="000000"/>
          <w:u w:val="single"/>
          <w:lang w:eastAsia="zh-CN"/>
        </w:rPr>
        <w:t>喷淋</w:t>
      </w:r>
      <w:r>
        <w:rPr>
          <w:rFonts w:hint="eastAsia"/>
          <w:i w:val="0"/>
          <w:iCs w:val="0"/>
          <w:color w:val="000000"/>
          <w:u w:val="single"/>
          <w:lang w:val="en-US" w:eastAsia="zh-CN"/>
        </w:rPr>
        <w:t>塔</w:t>
      </w:r>
      <w:r>
        <w:rPr>
          <w:rFonts w:hint="eastAsia"/>
          <w:i w:val="0"/>
          <w:iCs w:val="0"/>
          <w:color w:val="000000"/>
          <w:u w:val="single"/>
          <w:lang w:eastAsia="zh-CN"/>
        </w:rPr>
        <w:t>用水</w:t>
      </w:r>
    </w:p>
    <w:p>
      <w:pPr>
        <w:spacing w:line="360" w:lineRule="auto"/>
        <w:ind w:firstLine="480" w:firstLineChars="200"/>
        <w:rPr>
          <w:rFonts w:hint="default" w:ascii="Times New Roman" w:hAnsi="Times New Roman" w:eastAsia="宋体" w:cs="Times New Roman"/>
          <w:i w:val="0"/>
          <w:iCs w:val="0"/>
          <w:color w:val="000000"/>
          <w:u w:val="single"/>
          <w:lang w:val="en-US" w:eastAsia="zh-CN"/>
        </w:rPr>
      </w:pPr>
      <w:r>
        <w:rPr>
          <w:rFonts w:hint="eastAsia" w:ascii="Times New Roman" w:hAnsi="Times New Roman" w:eastAsia="宋体" w:cs="Times New Roman"/>
          <w:i w:val="0"/>
          <w:iCs w:val="0"/>
          <w:color w:val="000000"/>
          <w:u w:val="single"/>
          <w:lang w:eastAsia="zh-CN"/>
        </w:rPr>
        <w:t>本</w:t>
      </w:r>
      <w:r>
        <w:rPr>
          <w:rFonts w:hint="eastAsia" w:ascii="Times New Roman" w:hAnsi="Times New Roman" w:eastAsia="宋体" w:cs="Times New Roman"/>
          <w:i w:val="0"/>
          <w:iCs w:val="0"/>
          <w:color w:val="000000"/>
          <w:u w:val="single"/>
          <w:lang w:val="en-US" w:eastAsia="zh-CN"/>
        </w:rPr>
        <w:t>项目采用的喷淋塔液气比为0.7~0.9L/m，本评价取0.9L/m</w:t>
      </w:r>
      <w:r>
        <w:rPr>
          <w:rFonts w:hint="eastAsia" w:ascii="Times New Roman" w:hAnsi="Times New Roman" w:eastAsia="宋体" w:cs="Times New Roman"/>
          <w:i w:val="0"/>
          <w:iCs w:val="0"/>
          <w:color w:val="000000"/>
          <w:u w:val="single"/>
          <w:vertAlign w:val="superscript"/>
          <w:lang w:val="en-US" w:eastAsia="zh-CN"/>
        </w:rPr>
        <w:t>3</w:t>
      </w:r>
      <w:r>
        <w:rPr>
          <w:rFonts w:hint="eastAsia" w:ascii="Times New Roman" w:hAnsi="Times New Roman" w:eastAsia="宋体" w:cs="Times New Roman"/>
          <w:i w:val="0"/>
          <w:iCs w:val="0"/>
          <w:color w:val="000000"/>
          <w:u w:val="single"/>
          <w:lang w:val="en-US" w:eastAsia="zh-CN"/>
        </w:rPr>
        <w:t>，喷淋塔的处理风量均为20000m</w:t>
      </w:r>
      <w:r>
        <w:rPr>
          <w:rFonts w:hint="eastAsia" w:cs="Times New Roman"/>
          <w:i w:val="0"/>
          <w:iCs w:val="0"/>
          <w:color w:val="000000"/>
          <w:u w:val="single"/>
          <w:vertAlign w:val="superscript"/>
          <w:lang w:val="en-US" w:eastAsia="zh-CN"/>
        </w:rPr>
        <w:t>3</w:t>
      </w:r>
      <w:r>
        <w:rPr>
          <w:rFonts w:hint="eastAsia" w:ascii="Times New Roman" w:hAnsi="Times New Roman" w:eastAsia="宋体" w:cs="Times New Roman"/>
          <w:i w:val="0"/>
          <w:iCs w:val="0"/>
          <w:color w:val="000000"/>
          <w:u w:val="single"/>
          <w:lang w:val="en-US" w:eastAsia="zh-CN"/>
        </w:rPr>
        <w:t>/h，则喷淋流量约18m</w:t>
      </w:r>
      <w:r>
        <w:rPr>
          <w:rFonts w:hint="eastAsia" w:cs="Times New Roman"/>
          <w:i w:val="0"/>
          <w:iCs w:val="0"/>
          <w:color w:val="000000"/>
          <w:u w:val="single"/>
          <w:vertAlign w:val="superscript"/>
          <w:lang w:val="en-US" w:eastAsia="zh-CN"/>
        </w:rPr>
        <w:t>3</w:t>
      </w:r>
      <w:r>
        <w:rPr>
          <w:rFonts w:hint="eastAsia" w:ascii="Times New Roman" w:hAnsi="Times New Roman" w:eastAsia="宋体" w:cs="Times New Roman"/>
          <w:i w:val="0"/>
          <w:iCs w:val="0"/>
          <w:color w:val="000000"/>
          <w:u w:val="single"/>
          <w:lang w:val="en-US" w:eastAsia="zh-CN"/>
        </w:rPr>
        <w:t>/h，喷淋塔运行时间为</w:t>
      </w:r>
      <w:r>
        <w:rPr>
          <w:rFonts w:hint="eastAsia" w:cs="Times New Roman"/>
          <w:i w:val="0"/>
          <w:iCs w:val="0"/>
          <w:color w:val="000000"/>
          <w:u w:val="single"/>
          <w:lang w:val="en-US" w:eastAsia="zh-CN"/>
        </w:rPr>
        <w:t>7800</w:t>
      </w:r>
      <w:r>
        <w:rPr>
          <w:rFonts w:hint="eastAsia" w:ascii="Times New Roman" w:hAnsi="Times New Roman" w:eastAsia="宋体" w:cs="Times New Roman"/>
          <w:i w:val="0"/>
          <w:iCs w:val="0"/>
          <w:color w:val="000000"/>
          <w:u w:val="single"/>
          <w:lang w:val="en-US" w:eastAsia="zh-CN"/>
        </w:rPr>
        <w:t>h/a，则喷淋塔的总喷淋量为</w:t>
      </w:r>
      <w:r>
        <w:rPr>
          <w:rFonts w:hint="eastAsia" w:cs="Times New Roman"/>
          <w:i w:val="0"/>
          <w:iCs w:val="0"/>
          <w:color w:val="000000"/>
          <w:u w:val="single"/>
          <w:lang w:val="en-US" w:eastAsia="zh-CN"/>
        </w:rPr>
        <w:t>140400</w:t>
      </w:r>
      <w:r>
        <w:rPr>
          <w:rFonts w:hint="eastAsia" w:ascii="Times New Roman" w:hAnsi="Times New Roman" w:eastAsia="宋体" w:cs="Times New Roman"/>
          <w:i w:val="0"/>
          <w:iCs w:val="0"/>
          <w:color w:val="000000"/>
          <w:u w:val="single"/>
          <w:lang w:val="en-US" w:eastAsia="zh-CN"/>
        </w:rPr>
        <w:t>m</w:t>
      </w:r>
      <w:r>
        <w:rPr>
          <w:rFonts w:hint="eastAsia" w:cs="Times New Roman"/>
          <w:i w:val="0"/>
          <w:iCs w:val="0"/>
          <w:color w:val="000000"/>
          <w:u w:val="single"/>
          <w:vertAlign w:val="superscript"/>
          <w:lang w:val="en-US" w:eastAsia="zh-CN"/>
        </w:rPr>
        <w:t>3</w:t>
      </w:r>
      <w:r>
        <w:rPr>
          <w:rFonts w:hint="eastAsia" w:ascii="Times New Roman" w:hAnsi="Times New Roman" w:eastAsia="宋体" w:cs="Times New Roman"/>
          <w:i w:val="0"/>
          <w:iCs w:val="0"/>
          <w:color w:val="000000"/>
          <w:u w:val="single"/>
          <w:lang w:val="en-US" w:eastAsia="zh-CN"/>
        </w:rPr>
        <w:t>/a。喷淋液蒸发损耗量按总喷淋量0.2%计算，故本项目补充喷淋液</w:t>
      </w:r>
      <w:r>
        <w:rPr>
          <w:rFonts w:hint="eastAsia" w:cs="Times New Roman"/>
          <w:i w:val="0"/>
          <w:iCs w:val="0"/>
          <w:color w:val="000000"/>
          <w:u w:val="single"/>
          <w:lang w:val="en-US" w:eastAsia="zh-CN"/>
        </w:rPr>
        <w:t>280.8</w:t>
      </w:r>
      <w:r>
        <w:rPr>
          <w:rFonts w:hint="eastAsia" w:ascii="Times New Roman" w:hAnsi="Times New Roman" w:eastAsia="宋体" w:cs="Times New Roman"/>
          <w:i w:val="0"/>
          <w:iCs w:val="0"/>
          <w:color w:val="000000"/>
          <w:u w:val="single"/>
          <w:lang w:val="en-US" w:eastAsia="zh-CN"/>
        </w:rPr>
        <w:t>m</w:t>
      </w:r>
      <w:r>
        <w:rPr>
          <w:rFonts w:hint="eastAsia" w:cs="Times New Roman"/>
          <w:i w:val="0"/>
          <w:iCs w:val="0"/>
          <w:color w:val="000000"/>
          <w:u w:val="single"/>
          <w:vertAlign w:val="superscript"/>
          <w:lang w:val="en-US" w:eastAsia="zh-CN"/>
        </w:rPr>
        <w:t>3</w:t>
      </w:r>
      <w:r>
        <w:rPr>
          <w:rFonts w:hint="eastAsia" w:ascii="Times New Roman" w:hAnsi="Times New Roman" w:eastAsia="宋体" w:cs="Times New Roman"/>
          <w:i w:val="0"/>
          <w:iCs w:val="0"/>
          <w:color w:val="000000"/>
          <w:u w:val="single"/>
          <w:lang w:val="en-US" w:eastAsia="zh-CN"/>
        </w:rPr>
        <w:t>/a。本项目喷淋塔共设有1个循环水箱，水箱容积为</w:t>
      </w:r>
      <w:r>
        <w:rPr>
          <w:rFonts w:hint="eastAsia" w:cs="Times New Roman"/>
          <w:i w:val="0"/>
          <w:iCs w:val="0"/>
          <w:color w:val="000000"/>
          <w:u w:val="single"/>
          <w:lang w:val="en-US" w:eastAsia="zh-CN"/>
        </w:rPr>
        <w:t>400</w:t>
      </w:r>
      <w:r>
        <w:rPr>
          <w:rFonts w:hint="eastAsia" w:ascii="Times New Roman" w:hAnsi="Times New Roman" w:eastAsia="宋体" w:cs="Times New Roman"/>
          <w:i w:val="0"/>
          <w:iCs w:val="0"/>
          <w:color w:val="000000"/>
          <w:u w:val="single"/>
          <w:lang w:val="en-US" w:eastAsia="zh-CN"/>
        </w:rPr>
        <w:t>m</w:t>
      </w:r>
      <w:r>
        <w:rPr>
          <w:rFonts w:hint="eastAsia" w:cs="Times New Roman"/>
          <w:i w:val="0"/>
          <w:iCs w:val="0"/>
          <w:color w:val="000000"/>
          <w:u w:val="single"/>
          <w:vertAlign w:val="superscript"/>
          <w:lang w:val="en-US" w:eastAsia="zh-CN"/>
        </w:rPr>
        <w:t>3</w:t>
      </w:r>
      <w:r>
        <w:rPr>
          <w:rFonts w:hint="eastAsia" w:ascii="Times New Roman" w:hAnsi="Times New Roman" w:eastAsia="宋体" w:cs="Times New Roman"/>
          <w:i w:val="0"/>
          <w:iCs w:val="0"/>
          <w:color w:val="000000"/>
          <w:u w:val="single"/>
          <w:lang w:val="en-US" w:eastAsia="zh-CN"/>
        </w:rPr>
        <w:t>，水箱内的喷淋水约</w:t>
      </w:r>
      <w:r>
        <w:rPr>
          <w:rFonts w:hint="eastAsia" w:cs="Times New Roman"/>
          <w:i w:val="0"/>
          <w:iCs w:val="0"/>
          <w:color w:val="000000"/>
          <w:u w:val="single"/>
          <w:lang w:val="en-US" w:eastAsia="zh-CN"/>
        </w:rPr>
        <w:t>每年</w:t>
      </w:r>
      <w:r>
        <w:rPr>
          <w:rFonts w:hint="eastAsia" w:ascii="Times New Roman" w:hAnsi="Times New Roman" w:eastAsia="宋体" w:cs="Times New Roman"/>
          <w:i w:val="0"/>
          <w:iCs w:val="0"/>
          <w:color w:val="000000"/>
          <w:u w:val="single"/>
          <w:lang w:val="en-US" w:eastAsia="zh-CN"/>
        </w:rPr>
        <w:t>更换一次，故水箱更换新鲜水</w:t>
      </w:r>
      <w:r>
        <w:rPr>
          <w:rFonts w:hint="eastAsia" w:cs="Times New Roman"/>
          <w:i w:val="0"/>
          <w:iCs w:val="0"/>
          <w:color w:val="000000"/>
          <w:u w:val="single"/>
          <w:lang w:val="en-US" w:eastAsia="zh-CN"/>
        </w:rPr>
        <w:t>400</w:t>
      </w:r>
      <w:r>
        <w:rPr>
          <w:rFonts w:hint="eastAsia" w:ascii="Times New Roman" w:hAnsi="Times New Roman" w:eastAsia="宋体" w:cs="Times New Roman"/>
          <w:i w:val="0"/>
          <w:iCs w:val="0"/>
          <w:color w:val="000000"/>
          <w:u w:val="single"/>
          <w:lang w:val="en-US" w:eastAsia="zh-CN"/>
        </w:rPr>
        <w:t>m</w:t>
      </w:r>
      <w:r>
        <w:rPr>
          <w:rFonts w:hint="eastAsia" w:ascii="Times New Roman" w:hAnsi="Times New Roman" w:eastAsia="宋体" w:cs="Times New Roman"/>
          <w:i w:val="0"/>
          <w:iCs w:val="0"/>
          <w:color w:val="000000"/>
          <w:u w:val="single"/>
          <w:vertAlign w:val="superscript"/>
          <w:lang w:val="en-US" w:eastAsia="zh-CN"/>
        </w:rPr>
        <w:t>3</w:t>
      </w:r>
      <w:r>
        <w:rPr>
          <w:rFonts w:hint="eastAsia" w:ascii="Times New Roman" w:hAnsi="Times New Roman" w:eastAsia="宋体" w:cs="Times New Roman"/>
          <w:i w:val="0"/>
          <w:iCs w:val="0"/>
          <w:color w:val="000000"/>
          <w:u w:val="single"/>
          <w:lang w:val="en-US" w:eastAsia="zh-CN"/>
        </w:rPr>
        <w:t>/a，喷淋废水</w:t>
      </w:r>
      <w:r>
        <w:rPr>
          <w:rFonts w:hint="eastAsia" w:cs="Times New Roman"/>
          <w:i w:val="0"/>
          <w:iCs w:val="0"/>
          <w:color w:val="000000"/>
          <w:u w:val="single"/>
          <w:lang w:val="en-US" w:eastAsia="zh-CN"/>
        </w:rPr>
        <w:t>排入厂区内污水站进行</w:t>
      </w:r>
      <w:r>
        <w:rPr>
          <w:rFonts w:hint="eastAsia" w:ascii="Times New Roman" w:hAnsi="Times New Roman" w:eastAsia="宋体" w:cs="Times New Roman"/>
          <w:i w:val="0"/>
          <w:iCs w:val="0"/>
          <w:color w:val="000000"/>
          <w:u w:val="single"/>
          <w:lang w:val="en-US" w:eastAsia="zh-CN"/>
        </w:rPr>
        <w:t>处理，综上所述，水喷淋用水量为</w:t>
      </w:r>
      <w:r>
        <w:rPr>
          <w:rFonts w:hint="eastAsia" w:cs="Times New Roman"/>
          <w:i w:val="0"/>
          <w:iCs w:val="0"/>
          <w:color w:val="000000"/>
          <w:u w:val="single"/>
          <w:lang w:val="en-US" w:eastAsia="zh-CN"/>
        </w:rPr>
        <w:t>280.8</w:t>
      </w:r>
      <w:r>
        <w:rPr>
          <w:rFonts w:hint="eastAsia" w:ascii="Times New Roman" w:hAnsi="Times New Roman" w:eastAsia="宋体" w:cs="Times New Roman"/>
          <w:i w:val="0"/>
          <w:iCs w:val="0"/>
          <w:color w:val="000000"/>
          <w:u w:val="single"/>
          <w:lang w:val="en-US" w:eastAsia="zh-CN"/>
        </w:rPr>
        <w:t>+</w:t>
      </w:r>
      <w:r>
        <w:rPr>
          <w:rFonts w:hint="eastAsia" w:cs="Times New Roman"/>
          <w:i w:val="0"/>
          <w:iCs w:val="0"/>
          <w:color w:val="000000"/>
          <w:u w:val="single"/>
          <w:lang w:val="en-US" w:eastAsia="zh-CN"/>
        </w:rPr>
        <w:t>400</w:t>
      </w:r>
      <w:r>
        <w:rPr>
          <w:rFonts w:hint="eastAsia" w:ascii="Times New Roman" w:hAnsi="Times New Roman" w:eastAsia="宋体" w:cs="Times New Roman"/>
          <w:i w:val="0"/>
          <w:iCs w:val="0"/>
          <w:color w:val="000000"/>
          <w:u w:val="single"/>
          <w:lang w:val="en-US" w:eastAsia="zh-CN"/>
        </w:rPr>
        <w:t>=</w:t>
      </w:r>
      <w:r>
        <w:rPr>
          <w:rFonts w:hint="eastAsia" w:cs="Times New Roman"/>
          <w:i w:val="0"/>
          <w:iCs w:val="0"/>
          <w:color w:val="000000"/>
          <w:u w:val="single"/>
          <w:lang w:val="en-US" w:eastAsia="zh-CN"/>
        </w:rPr>
        <w:t>680.8</w:t>
      </w:r>
      <w:r>
        <w:rPr>
          <w:rFonts w:hint="eastAsia" w:ascii="Times New Roman" w:hAnsi="Times New Roman" w:eastAsia="宋体" w:cs="Times New Roman"/>
          <w:i w:val="0"/>
          <w:iCs w:val="0"/>
          <w:color w:val="000000"/>
          <w:u w:val="single"/>
          <w:lang w:val="en-US" w:eastAsia="zh-CN"/>
        </w:rPr>
        <w:t>t/a。</w:t>
      </w:r>
    </w:p>
    <w:p>
      <w:pPr>
        <w:autoSpaceDE w:val="0"/>
        <w:autoSpaceDN w:val="0"/>
        <w:adjustRightInd w:val="0"/>
        <w:snapToGrid w:val="0"/>
        <w:spacing w:line="360" w:lineRule="auto"/>
        <w:ind w:firstLine="480" w:firstLineChars="200"/>
        <w:jc w:val="left"/>
        <w:rPr>
          <w:rFonts w:hint="eastAsia"/>
          <w:i w:val="0"/>
          <w:iCs w:val="0"/>
          <w:color w:val="000000"/>
          <w:u w:val="single"/>
        </w:rPr>
      </w:pPr>
      <w:r>
        <w:rPr>
          <w:rFonts w:hint="eastAsia"/>
          <w:i w:val="0"/>
          <w:iCs w:val="0"/>
          <w:color w:val="000000"/>
          <w:u w:val="single"/>
        </w:rPr>
        <w:t>（2）</w:t>
      </w:r>
      <w:r>
        <w:rPr>
          <w:i w:val="0"/>
          <w:iCs w:val="0"/>
          <w:color w:val="000000"/>
          <w:u w:val="single"/>
        </w:rPr>
        <w:t>排水</w:t>
      </w:r>
    </w:p>
    <w:p>
      <w:pPr>
        <w:autoSpaceDE w:val="0"/>
        <w:autoSpaceDN w:val="0"/>
        <w:adjustRightInd w:val="0"/>
        <w:snapToGrid w:val="0"/>
        <w:spacing w:line="360" w:lineRule="auto"/>
        <w:ind w:firstLine="480" w:firstLineChars="200"/>
        <w:jc w:val="left"/>
        <w:rPr>
          <w:i w:val="0"/>
          <w:iCs w:val="0"/>
          <w:color w:val="000000"/>
          <w:u w:val="single"/>
        </w:rPr>
      </w:pPr>
      <w:r>
        <w:rPr>
          <w:i w:val="0"/>
          <w:iCs w:val="0"/>
          <w:color w:val="000000"/>
          <w:u w:val="single"/>
        </w:rPr>
        <w:t>本项目拟设置如下两个排水系统：雨水系统，接纳厂区非污染雨水；</w:t>
      </w:r>
      <w:r>
        <w:rPr>
          <w:rFonts w:hint="eastAsia"/>
          <w:i w:val="0"/>
          <w:iCs w:val="0"/>
          <w:color w:val="000000"/>
          <w:u w:val="single"/>
        </w:rPr>
        <w:t>废</w:t>
      </w:r>
      <w:r>
        <w:rPr>
          <w:i w:val="0"/>
          <w:iCs w:val="0"/>
          <w:color w:val="000000"/>
          <w:u w:val="single"/>
        </w:rPr>
        <w:t>水系统，接纳厂区各建筑物内</w:t>
      </w:r>
      <w:r>
        <w:rPr>
          <w:rFonts w:hint="eastAsia"/>
          <w:i w:val="0"/>
          <w:iCs w:val="0"/>
          <w:color w:val="000000"/>
          <w:u w:val="single"/>
        </w:rPr>
        <w:t>生活</w:t>
      </w:r>
      <w:r>
        <w:rPr>
          <w:i w:val="0"/>
          <w:iCs w:val="0"/>
          <w:color w:val="000000"/>
          <w:u w:val="single"/>
        </w:rPr>
        <w:t>污水</w:t>
      </w:r>
      <w:r>
        <w:rPr>
          <w:rFonts w:hint="eastAsia"/>
          <w:i w:val="0"/>
          <w:iCs w:val="0"/>
          <w:color w:val="000000"/>
          <w:u w:val="single"/>
        </w:rPr>
        <w:t>及生产废水</w:t>
      </w:r>
      <w:r>
        <w:rPr>
          <w:i w:val="0"/>
          <w:iCs w:val="0"/>
          <w:color w:val="000000"/>
          <w:u w:val="single"/>
        </w:rPr>
        <w:t>。</w:t>
      </w:r>
    </w:p>
    <w:p>
      <w:pPr>
        <w:spacing w:line="360" w:lineRule="auto"/>
        <w:ind w:firstLine="480" w:firstLineChars="200"/>
        <w:rPr>
          <w:rFonts w:hint="eastAsia"/>
          <w:i w:val="0"/>
          <w:iCs w:val="0"/>
          <w:color w:val="000000"/>
          <w:u w:val="single"/>
        </w:rPr>
      </w:pPr>
      <w:r>
        <w:rPr>
          <w:i w:val="0"/>
          <w:iCs w:val="0"/>
          <w:color w:val="000000"/>
          <w:u w:val="single"/>
        </w:rPr>
        <w:t>项目所产生的</w:t>
      </w:r>
      <w:r>
        <w:rPr>
          <w:rFonts w:hint="eastAsia"/>
          <w:i w:val="0"/>
          <w:iCs w:val="0"/>
          <w:color w:val="000000"/>
          <w:u w:val="single"/>
        </w:rPr>
        <w:t>生产废水、</w:t>
      </w:r>
      <w:r>
        <w:rPr>
          <w:i w:val="0"/>
          <w:iCs w:val="0"/>
          <w:color w:val="000000"/>
          <w:u w:val="single"/>
        </w:rPr>
        <w:t>生活污水</w:t>
      </w:r>
      <w:r>
        <w:rPr>
          <w:rFonts w:hint="eastAsia"/>
          <w:i w:val="0"/>
          <w:iCs w:val="0"/>
          <w:color w:val="000000"/>
          <w:u w:val="single"/>
        </w:rPr>
        <w:t>由厂区自建废水处理站处理达到《污水综合排放标准》GB8978-1996表2三级标准排放限值及园区污水处理厂进水指标后排入污水管网内，进入园区污水处理厂处理后排放。</w:t>
      </w:r>
    </w:p>
    <w:p>
      <w:pPr>
        <w:spacing w:line="360" w:lineRule="auto"/>
        <w:ind w:firstLine="480" w:firstLineChars="200"/>
        <w:rPr>
          <w:i w:val="0"/>
          <w:iCs w:val="0"/>
          <w:color w:val="000000"/>
          <w:u w:val="single"/>
        </w:rPr>
      </w:pPr>
      <w:r>
        <w:rPr>
          <w:rFonts w:hint="eastAsia"/>
          <w:i w:val="0"/>
          <w:iCs w:val="0"/>
          <w:color w:val="000000"/>
          <w:u w:val="single"/>
        </w:rPr>
        <w:t>（3）</w:t>
      </w:r>
      <w:r>
        <w:rPr>
          <w:i w:val="0"/>
          <w:iCs w:val="0"/>
          <w:color w:val="000000"/>
          <w:u w:val="single"/>
        </w:rPr>
        <w:t>水平衡</w:t>
      </w:r>
    </w:p>
    <w:p>
      <w:pPr>
        <w:spacing w:line="360" w:lineRule="auto"/>
        <w:ind w:firstLine="480" w:firstLineChars="200"/>
        <w:rPr>
          <w:rFonts w:hint="eastAsia" w:eastAsia="宋体"/>
          <w:i w:val="0"/>
          <w:iCs w:val="0"/>
          <w:color w:val="000000"/>
          <w:u w:val="single"/>
          <w:lang w:eastAsia="zh-CN"/>
        </w:rPr>
      </w:pPr>
      <w:r>
        <w:rPr>
          <w:rFonts w:hint="eastAsia"/>
          <w:i w:val="0"/>
          <w:iCs w:val="0"/>
          <w:color w:val="000000"/>
          <w:u w:val="single"/>
        </w:rPr>
        <w:t>本</w:t>
      </w:r>
      <w:r>
        <w:rPr>
          <w:i w:val="0"/>
          <w:iCs w:val="0"/>
          <w:color w:val="000000"/>
          <w:u w:val="single"/>
        </w:rPr>
        <w:t>项目</w:t>
      </w:r>
      <w:r>
        <w:rPr>
          <w:rFonts w:hint="eastAsia"/>
          <w:i w:val="0"/>
          <w:iCs w:val="0"/>
          <w:color w:val="000000"/>
          <w:u w:val="single"/>
        </w:rPr>
        <w:t>工程</w:t>
      </w:r>
      <w:r>
        <w:rPr>
          <w:i w:val="0"/>
          <w:iCs w:val="0"/>
          <w:color w:val="000000"/>
          <w:u w:val="single"/>
        </w:rPr>
        <w:t>水平衡见表</w:t>
      </w:r>
      <w:r>
        <w:rPr>
          <w:rFonts w:hint="eastAsia"/>
          <w:i w:val="0"/>
          <w:iCs w:val="0"/>
          <w:color w:val="000000"/>
          <w:u w:val="single"/>
        </w:rPr>
        <w:t>3-1</w:t>
      </w:r>
      <w:r>
        <w:rPr>
          <w:rFonts w:hint="eastAsia"/>
          <w:i w:val="0"/>
          <w:iCs w:val="0"/>
          <w:color w:val="000000"/>
          <w:u w:val="single"/>
          <w:lang w:val="en-US" w:eastAsia="zh-CN"/>
        </w:rPr>
        <w:t>6</w:t>
      </w:r>
    </w:p>
    <w:p>
      <w:pPr>
        <w:pStyle w:val="36"/>
        <w:ind w:left="0" w:leftChars="0"/>
        <w:jc w:val="center"/>
        <w:rPr>
          <w:rFonts w:hint="eastAsia" w:eastAsia="黑体"/>
          <w:i w:val="0"/>
          <w:iCs w:val="0"/>
          <w:color w:val="000000"/>
          <w:u w:val="single"/>
        </w:rPr>
      </w:pPr>
      <w:r>
        <w:rPr>
          <w:rFonts w:hint="eastAsia" w:ascii="Times New Roman" w:hAnsi="Times New Roman"/>
          <w:b/>
          <w:i w:val="0"/>
          <w:iCs w:val="0"/>
          <w:u w:val="single"/>
        </w:rPr>
        <w:t>表3-1</w:t>
      </w:r>
      <w:r>
        <w:rPr>
          <w:rFonts w:hint="eastAsia" w:ascii="Times New Roman" w:hAnsi="Times New Roman"/>
          <w:b/>
          <w:i w:val="0"/>
          <w:iCs w:val="0"/>
          <w:u w:val="single"/>
          <w:lang w:val="en-US" w:eastAsia="zh-CN"/>
        </w:rPr>
        <w:t>6</w:t>
      </w:r>
      <w:r>
        <w:rPr>
          <w:rFonts w:hint="eastAsia" w:ascii="Times New Roman" w:hAnsi="Times New Roman"/>
          <w:b/>
          <w:i w:val="0"/>
          <w:iCs w:val="0"/>
          <w:u w:val="single"/>
        </w:rPr>
        <w:t xml:space="preserve"> 一期工程给排水情况一览表（m</w:t>
      </w:r>
      <w:r>
        <w:rPr>
          <w:rFonts w:hint="eastAsia" w:ascii="Times New Roman" w:hAnsi="Times New Roman"/>
          <w:b/>
          <w:i w:val="0"/>
          <w:iCs w:val="0"/>
          <w:u w:val="single"/>
          <w:vertAlign w:val="superscript"/>
        </w:rPr>
        <w:t>3</w:t>
      </w:r>
      <w:r>
        <w:rPr>
          <w:rFonts w:hint="eastAsia" w:ascii="Times New Roman" w:hAnsi="Times New Roman"/>
          <w:b/>
          <w:i w:val="0"/>
          <w:iCs w:val="0"/>
          <w:u w:val="single"/>
        </w:rPr>
        <w:t>/</w:t>
      </w:r>
      <w:r>
        <w:rPr>
          <w:rFonts w:hint="eastAsia" w:ascii="Times New Roman" w:hAnsi="Times New Roman"/>
          <w:b/>
          <w:i w:val="0"/>
          <w:iCs w:val="0"/>
          <w:u w:val="single"/>
          <w:lang w:val="en-US" w:eastAsia="zh-CN"/>
        </w:rPr>
        <w:t>a</w:t>
      </w:r>
      <w:r>
        <w:rPr>
          <w:rFonts w:hint="eastAsia" w:ascii="Times New Roman" w:hAnsi="Times New Roman"/>
          <w:b/>
          <w:i w:val="0"/>
          <w:iCs w:val="0"/>
          <w:u w:val="single"/>
        </w:rPr>
        <w:t xml:space="preserve">） </w:t>
      </w:r>
    </w:p>
    <w:tbl>
      <w:tblPr>
        <w:tblStyle w:val="58"/>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1"/>
        <w:gridCol w:w="1565"/>
        <w:gridCol w:w="1319"/>
        <w:gridCol w:w="1206"/>
        <w:gridCol w:w="1319"/>
        <w:gridCol w:w="1427"/>
        <w:gridCol w:w="11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00"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类别</w:t>
            </w:r>
          </w:p>
        </w:tc>
        <w:tc>
          <w:tcPr>
            <w:tcW w:w="823"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用水项目</w:t>
            </w:r>
          </w:p>
        </w:tc>
        <w:tc>
          <w:tcPr>
            <w:tcW w:w="693"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用水量</w:t>
            </w:r>
          </w:p>
        </w:tc>
        <w:tc>
          <w:tcPr>
            <w:tcW w:w="634"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冷凝水</w:t>
            </w:r>
          </w:p>
        </w:tc>
        <w:tc>
          <w:tcPr>
            <w:tcW w:w="693"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进入下道</w:t>
            </w:r>
          </w:p>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工序</w:t>
            </w:r>
          </w:p>
        </w:tc>
        <w:tc>
          <w:tcPr>
            <w:tcW w:w="750"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损失量</w:t>
            </w:r>
          </w:p>
        </w:tc>
        <w:tc>
          <w:tcPr>
            <w:tcW w:w="603"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废水量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0" w:type="pct"/>
            <w:vMerge w:val="restar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生产用水</w:t>
            </w:r>
          </w:p>
        </w:tc>
        <w:tc>
          <w:tcPr>
            <w:tcW w:w="823"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种子一级扩培</w:t>
            </w:r>
          </w:p>
        </w:tc>
        <w:tc>
          <w:tcPr>
            <w:tcW w:w="693"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2.7875</w:t>
            </w:r>
          </w:p>
        </w:tc>
        <w:tc>
          <w:tcPr>
            <w:tcW w:w="634"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0.48125</w:t>
            </w:r>
          </w:p>
        </w:tc>
        <w:tc>
          <w:tcPr>
            <w:tcW w:w="693"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2.9225</w:t>
            </w:r>
          </w:p>
        </w:tc>
        <w:tc>
          <w:tcPr>
            <w:tcW w:w="750"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0.3125</w:t>
            </w:r>
          </w:p>
        </w:tc>
        <w:tc>
          <w:tcPr>
            <w:tcW w:w="603" w:type="pct"/>
            <w:noWrap w:val="0"/>
            <w:vAlign w:val="center"/>
          </w:tcPr>
          <w:p>
            <w:pPr>
              <w:adjustRightInd w:val="0"/>
              <w:snapToGrid w:val="0"/>
              <w:jc w:val="center"/>
              <w:rPr>
                <w:rFonts w:hint="eastAsia" w:eastAsia="宋体"/>
                <w:i w:val="0"/>
                <w:iCs w:val="0"/>
                <w:color w:val="000000"/>
                <w:sz w:val="21"/>
                <w:szCs w:val="21"/>
                <w:u w:val="single"/>
                <w:lang w:val="en-US" w:eastAsia="zh-CN"/>
              </w:rPr>
            </w:pPr>
            <w:r>
              <w:rPr>
                <w:rFonts w:hint="eastAsia"/>
                <w:i w:val="0"/>
                <w:iCs w:val="0"/>
                <w:color w:val="000000"/>
                <w:sz w:val="21"/>
                <w:szCs w:val="21"/>
                <w:u w:val="singl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0" w:type="pct"/>
            <w:vMerge w:val="continue"/>
            <w:noWrap w:val="0"/>
            <w:vAlign w:val="center"/>
          </w:tcPr>
          <w:p>
            <w:pPr>
              <w:adjustRightInd w:val="0"/>
              <w:snapToGrid w:val="0"/>
              <w:jc w:val="center"/>
              <w:rPr>
                <w:rFonts w:hint="eastAsia"/>
                <w:i w:val="0"/>
                <w:iCs w:val="0"/>
                <w:color w:val="000000"/>
                <w:sz w:val="21"/>
                <w:szCs w:val="21"/>
                <w:u w:val="single"/>
              </w:rPr>
            </w:pPr>
          </w:p>
        </w:tc>
        <w:tc>
          <w:tcPr>
            <w:tcW w:w="823"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种子二级扩培</w:t>
            </w:r>
          </w:p>
        </w:tc>
        <w:tc>
          <w:tcPr>
            <w:tcW w:w="693"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53.265</w:t>
            </w:r>
          </w:p>
        </w:tc>
        <w:tc>
          <w:tcPr>
            <w:tcW w:w="634"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4.8125</w:t>
            </w:r>
          </w:p>
        </w:tc>
        <w:tc>
          <w:tcPr>
            <w:tcW w:w="693"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55.2</w:t>
            </w:r>
          </w:p>
        </w:tc>
        <w:tc>
          <w:tcPr>
            <w:tcW w:w="750"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5.8</w:t>
            </w:r>
          </w:p>
        </w:tc>
        <w:tc>
          <w:tcPr>
            <w:tcW w:w="603" w:type="pct"/>
            <w:noWrap w:val="0"/>
            <w:vAlign w:val="center"/>
          </w:tcPr>
          <w:p>
            <w:pPr>
              <w:adjustRightInd w:val="0"/>
              <w:snapToGrid w:val="0"/>
              <w:jc w:val="center"/>
              <w:rPr>
                <w:rFonts w:hint="eastAsia" w:eastAsia="宋体"/>
                <w:i w:val="0"/>
                <w:iCs w:val="0"/>
                <w:color w:val="000000"/>
                <w:sz w:val="21"/>
                <w:szCs w:val="21"/>
                <w:u w:val="single"/>
                <w:lang w:val="en-US" w:eastAsia="zh-CN"/>
              </w:rPr>
            </w:pPr>
            <w:r>
              <w:rPr>
                <w:rFonts w:hint="eastAsia"/>
                <w:i w:val="0"/>
                <w:iCs w:val="0"/>
                <w:color w:val="000000"/>
                <w:sz w:val="21"/>
                <w:szCs w:val="21"/>
                <w:u w:val="singl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0" w:type="pct"/>
            <w:vMerge w:val="continue"/>
            <w:noWrap w:val="0"/>
            <w:vAlign w:val="center"/>
          </w:tcPr>
          <w:p>
            <w:pPr>
              <w:adjustRightInd w:val="0"/>
              <w:snapToGrid w:val="0"/>
              <w:jc w:val="center"/>
              <w:rPr>
                <w:rFonts w:hint="eastAsia"/>
                <w:i w:val="0"/>
                <w:iCs w:val="0"/>
                <w:color w:val="000000"/>
                <w:sz w:val="21"/>
                <w:szCs w:val="21"/>
                <w:u w:val="single"/>
              </w:rPr>
            </w:pPr>
          </w:p>
        </w:tc>
        <w:tc>
          <w:tcPr>
            <w:tcW w:w="823"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种子三级扩培</w:t>
            </w:r>
          </w:p>
        </w:tc>
        <w:tc>
          <w:tcPr>
            <w:tcW w:w="693"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1069.763</w:t>
            </w:r>
          </w:p>
        </w:tc>
        <w:tc>
          <w:tcPr>
            <w:tcW w:w="634"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96.25</w:t>
            </w:r>
          </w:p>
        </w:tc>
        <w:tc>
          <w:tcPr>
            <w:tcW w:w="693"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1104.713</w:t>
            </w:r>
          </w:p>
        </w:tc>
        <w:tc>
          <w:tcPr>
            <w:tcW w:w="750"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932</w:t>
            </w:r>
          </w:p>
        </w:tc>
        <w:tc>
          <w:tcPr>
            <w:tcW w:w="603" w:type="pct"/>
            <w:noWrap w:val="0"/>
            <w:vAlign w:val="center"/>
          </w:tcPr>
          <w:p>
            <w:pPr>
              <w:adjustRightInd w:val="0"/>
              <w:snapToGrid w:val="0"/>
              <w:jc w:val="center"/>
              <w:rPr>
                <w:rFonts w:hint="eastAsia" w:eastAsia="宋体"/>
                <w:i w:val="0"/>
                <w:iCs w:val="0"/>
                <w:color w:val="000000"/>
                <w:sz w:val="21"/>
                <w:szCs w:val="21"/>
                <w:u w:val="single"/>
                <w:lang w:val="en-US" w:eastAsia="zh-CN"/>
              </w:rPr>
            </w:pPr>
            <w:r>
              <w:rPr>
                <w:rFonts w:hint="eastAsia"/>
                <w:i w:val="0"/>
                <w:iCs w:val="0"/>
                <w:color w:val="000000"/>
                <w:sz w:val="21"/>
                <w:szCs w:val="21"/>
                <w:u w:val="singl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0" w:type="pct"/>
            <w:vMerge w:val="continue"/>
            <w:noWrap w:val="0"/>
            <w:vAlign w:val="center"/>
          </w:tcPr>
          <w:p>
            <w:pPr>
              <w:adjustRightInd w:val="0"/>
              <w:snapToGrid w:val="0"/>
              <w:jc w:val="center"/>
              <w:rPr>
                <w:rFonts w:hint="eastAsia"/>
                <w:i w:val="0"/>
                <w:iCs w:val="0"/>
                <w:color w:val="000000"/>
                <w:sz w:val="21"/>
                <w:szCs w:val="21"/>
                <w:u w:val="single"/>
              </w:rPr>
            </w:pPr>
          </w:p>
        </w:tc>
        <w:tc>
          <w:tcPr>
            <w:tcW w:w="823"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发酵</w:t>
            </w:r>
          </w:p>
        </w:tc>
        <w:tc>
          <w:tcPr>
            <w:tcW w:w="693"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13588.46875</w:t>
            </w:r>
          </w:p>
        </w:tc>
        <w:tc>
          <w:tcPr>
            <w:tcW w:w="634"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481.25</w:t>
            </w:r>
          </w:p>
        </w:tc>
        <w:tc>
          <w:tcPr>
            <w:tcW w:w="693"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13767.43125</w:t>
            </w:r>
          </w:p>
        </w:tc>
        <w:tc>
          <w:tcPr>
            <w:tcW w:w="750"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1407</w:t>
            </w:r>
          </w:p>
        </w:tc>
        <w:tc>
          <w:tcPr>
            <w:tcW w:w="603" w:type="pct"/>
            <w:noWrap w:val="0"/>
            <w:vAlign w:val="center"/>
          </w:tcPr>
          <w:p>
            <w:pPr>
              <w:adjustRightInd w:val="0"/>
              <w:snapToGrid w:val="0"/>
              <w:jc w:val="center"/>
              <w:rPr>
                <w:rFonts w:hint="eastAsia" w:eastAsia="宋体"/>
                <w:i w:val="0"/>
                <w:iCs w:val="0"/>
                <w:color w:val="000000"/>
                <w:sz w:val="21"/>
                <w:szCs w:val="21"/>
                <w:u w:val="single"/>
                <w:lang w:val="en-US" w:eastAsia="zh-CN"/>
              </w:rPr>
            </w:pPr>
            <w:r>
              <w:rPr>
                <w:rFonts w:hint="eastAsia"/>
                <w:i w:val="0"/>
                <w:iCs w:val="0"/>
                <w:color w:val="000000"/>
                <w:sz w:val="21"/>
                <w:szCs w:val="21"/>
                <w:u w:val="singl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0" w:type="pct"/>
            <w:vMerge w:val="continue"/>
            <w:noWrap w:val="0"/>
            <w:vAlign w:val="center"/>
          </w:tcPr>
          <w:p>
            <w:pPr>
              <w:adjustRightInd w:val="0"/>
              <w:snapToGrid w:val="0"/>
              <w:jc w:val="center"/>
              <w:rPr>
                <w:rFonts w:hint="eastAsia"/>
                <w:i w:val="0"/>
                <w:iCs w:val="0"/>
                <w:color w:val="000000"/>
                <w:sz w:val="21"/>
                <w:szCs w:val="21"/>
                <w:u w:val="single"/>
              </w:rPr>
            </w:pPr>
          </w:p>
        </w:tc>
        <w:tc>
          <w:tcPr>
            <w:tcW w:w="823" w:type="pct"/>
            <w:noWrap w:val="0"/>
            <w:vAlign w:val="center"/>
          </w:tcPr>
          <w:p>
            <w:pPr>
              <w:adjustRightInd w:val="0"/>
              <w:snapToGrid w:val="0"/>
              <w:jc w:val="center"/>
              <w:rPr>
                <w:rFonts w:hint="eastAsia" w:eastAsia="宋体"/>
                <w:i w:val="0"/>
                <w:iCs w:val="0"/>
                <w:color w:val="000000"/>
                <w:sz w:val="21"/>
                <w:szCs w:val="21"/>
                <w:u w:val="single"/>
                <w:lang w:val="en-US" w:eastAsia="zh-CN"/>
              </w:rPr>
            </w:pPr>
            <w:r>
              <w:rPr>
                <w:rFonts w:hint="eastAsia"/>
                <w:i w:val="0"/>
                <w:iCs w:val="0"/>
                <w:color w:val="000000"/>
                <w:sz w:val="21"/>
                <w:szCs w:val="21"/>
                <w:u w:val="single"/>
              </w:rPr>
              <w:t>菌泥</w:t>
            </w:r>
            <w:r>
              <w:rPr>
                <w:rFonts w:hint="eastAsia"/>
                <w:i w:val="0"/>
                <w:iCs w:val="0"/>
                <w:color w:val="000000"/>
                <w:sz w:val="21"/>
                <w:szCs w:val="21"/>
                <w:u w:val="single"/>
                <w:lang w:val="en-US" w:eastAsia="zh-CN"/>
              </w:rPr>
              <w:t>离心分离</w:t>
            </w:r>
          </w:p>
        </w:tc>
        <w:tc>
          <w:tcPr>
            <w:tcW w:w="693"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0</w:t>
            </w:r>
          </w:p>
        </w:tc>
        <w:tc>
          <w:tcPr>
            <w:tcW w:w="634"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w:t>
            </w:r>
          </w:p>
        </w:tc>
        <w:tc>
          <w:tcPr>
            <w:tcW w:w="693"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6814.83125</w:t>
            </w:r>
          </w:p>
        </w:tc>
        <w:tc>
          <w:tcPr>
            <w:tcW w:w="750" w:type="pct"/>
            <w:noWrap w:val="0"/>
            <w:vAlign w:val="center"/>
          </w:tcPr>
          <w:p>
            <w:pPr>
              <w:adjustRightInd w:val="0"/>
              <w:snapToGrid w:val="0"/>
              <w:jc w:val="center"/>
              <w:rPr>
                <w:i w:val="0"/>
                <w:iCs w:val="0"/>
                <w:color w:val="000000"/>
                <w:sz w:val="21"/>
                <w:szCs w:val="21"/>
                <w:u w:val="single"/>
              </w:rPr>
            </w:pPr>
            <w:r>
              <w:rPr>
                <w:rFonts w:hint="eastAsia"/>
                <w:i w:val="0"/>
                <w:iCs w:val="0"/>
                <w:color w:val="000000"/>
                <w:sz w:val="21"/>
                <w:szCs w:val="21"/>
                <w:u w:val="single"/>
              </w:rPr>
              <w:t>0</w:t>
            </w:r>
          </w:p>
        </w:tc>
        <w:tc>
          <w:tcPr>
            <w:tcW w:w="603"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7000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0" w:type="pct"/>
            <w:vMerge w:val="continue"/>
            <w:noWrap w:val="0"/>
            <w:vAlign w:val="center"/>
          </w:tcPr>
          <w:p>
            <w:pPr>
              <w:adjustRightInd w:val="0"/>
              <w:snapToGrid w:val="0"/>
              <w:jc w:val="center"/>
              <w:rPr>
                <w:rFonts w:hint="eastAsia"/>
                <w:i w:val="0"/>
                <w:iCs w:val="0"/>
                <w:color w:val="000000"/>
                <w:sz w:val="21"/>
                <w:szCs w:val="21"/>
                <w:u w:val="single"/>
              </w:rPr>
            </w:pPr>
          </w:p>
        </w:tc>
        <w:tc>
          <w:tcPr>
            <w:tcW w:w="823"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喷雾干燥</w:t>
            </w:r>
          </w:p>
        </w:tc>
        <w:tc>
          <w:tcPr>
            <w:tcW w:w="693"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w:t>
            </w:r>
          </w:p>
        </w:tc>
        <w:tc>
          <w:tcPr>
            <w:tcW w:w="634"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w:t>
            </w:r>
          </w:p>
        </w:tc>
        <w:tc>
          <w:tcPr>
            <w:tcW w:w="693"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w:t>
            </w:r>
          </w:p>
        </w:tc>
        <w:tc>
          <w:tcPr>
            <w:tcW w:w="750" w:type="pct"/>
            <w:noWrap w:val="0"/>
            <w:vAlign w:val="center"/>
          </w:tcPr>
          <w:p>
            <w:pPr>
              <w:adjustRightInd w:val="0"/>
              <w:snapToGrid w:val="0"/>
              <w:jc w:val="center"/>
              <w:rPr>
                <w:i w:val="0"/>
                <w:iCs w:val="0"/>
                <w:color w:val="000000"/>
                <w:sz w:val="21"/>
                <w:szCs w:val="21"/>
                <w:u w:val="single"/>
              </w:rPr>
            </w:pPr>
            <w:r>
              <w:rPr>
                <w:rFonts w:hint="eastAsia"/>
                <w:i w:val="0"/>
                <w:iCs w:val="0"/>
                <w:color w:val="000000"/>
                <w:sz w:val="21"/>
                <w:szCs w:val="21"/>
                <w:u w:val="single"/>
                <w:lang w:val="en-US" w:eastAsia="zh-CN"/>
              </w:rPr>
              <w:t>6814.83125</w:t>
            </w:r>
          </w:p>
        </w:tc>
        <w:tc>
          <w:tcPr>
            <w:tcW w:w="603"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0"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车间冲洗水</w:t>
            </w:r>
          </w:p>
        </w:tc>
        <w:tc>
          <w:tcPr>
            <w:tcW w:w="823"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车间及设备冲洗</w:t>
            </w:r>
          </w:p>
        </w:tc>
        <w:tc>
          <w:tcPr>
            <w:tcW w:w="693"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rPr>
              <w:t>1119.65</w:t>
            </w:r>
          </w:p>
        </w:tc>
        <w:tc>
          <w:tcPr>
            <w:tcW w:w="634"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w:t>
            </w:r>
          </w:p>
        </w:tc>
        <w:tc>
          <w:tcPr>
            <w:tcW w:w="693"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w:t>
            </w:r>
          </w:p>
        </w:tc>
        <w:tc>
          <w:tcPr>
            <w:tcW w:w="750"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223.93</w:t>
            </w:r>
          </w:p>
        </w:tc>
        <w:tc>
          <w:tcPr>
            <w:tcW w:w="603" w:type="pct"/>
            <w:noWrap w:val="0"/>
            <w:vAlign w:val="center"/>
          </w:tcPr>
          <w:p>
            <w:pPr>
              <w:adjustRightInd w:val="0"/>
              <w:snapToGrid w:val="0"/>
              <w:jc w:val="center"/>
              <w:rPr>
                <w:rFonts w:hint="eastAsia" w:ascii="Times New Roman" w:hAnsi="Times New Roman" w:eastAsia="宋体" w:cs="Times New Roman"/>
                <w:i w:val="0"/>
                <w:iCs w:val="0"/>
                <w:color w:val="000000"/>
                <w:sz w:val="21"/>
                <w:szCs w:val="21"/>
                <w:u w:val="single"/>
              </w:rPr>
            </w:pPr>
            <w:r>
              <w:rPr>
                <w:rFonts w:hint="eastAsia" w:ascii="Times New Roman" w:hAnsi="Times New Roman" w:eastAsia="宋体" w:cs="Times New Roman"/>
                <w:i w:val="0"/>
                <w:iCs w:val="0"/>
                <w:color w:val="000000"/>
                <w:sz w:val="21"/>
                <w:szCs w:val="21"/>
                <w:u w:val="single"/>
              </w:rPr>
              <w:t>895.72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0" w:type="pct"/>
            <w:noWrap w:val="0"/>
            <w:vAlign w:val="center"/>
          </w:tcPr>
          <w:p>
            <w:pPr>
              <w:adjustRightInd w:val="0"/>
              <w:snapToGrid w:val="0"/>
              <w:jc w:val="center"/>
              <w:rPr>
                <w:rFonts w:hint="eastAsia" w:eastAsia="宋体"/>
                <w:i w:val="0"/>
                <w:iCs w:val="0"/>
                <w:color w:val="000000"/>
                <w:sz w:val="21"/>
                <w:szCs w:val="21"/>
                <w:u w:val="single"/>
                <w:lang w:eastAsia="zh-CN"/>
              </w:rPr>
            </w:pPr>
            <w:r>
              <w:rPr>
                <w:rFonts w:hint="eastAsia"/>
                <w:i w:val="0"/>
                <w:iCs w:val="0"/>
                <w:color w:val="000000"/>
                <w:sz w:val="21"/>
                <w:szCs w:val="21"/>
                <w:u w:val="single"/>
                <w:lang w:val="en-US" w:eastAsia="zh-CN"/>
              </w:rPr>
              <w:t>罐体</w:t>
            </w:r>
            <w:r>
              <w:rPr>
                <w:rFonts w:hint="eastAsia"/>
                <w:i w:val="0"/>
                <w:iCs w:val="0"/>
                <w:color w:val="000000"/>
                <w:sz w:val="21"/>
                <w:szCs w:val="21"/>
                <w:u w:val="single"/>
                <w:lang w:eastAsia="zh-CN"/>
              </w:rPr>
              <w:t>清洗废水</w:t>
            </w:r>
          </w:p>
        </w:tc>
        <w:tc>
          <w:tcPr>
            <w:tcW w:w="823" w:type="pct"/>
            <w:noWrap w:val="0"/>
            <w:vAlign w:val="center"/>
          </w:tcPr>
          <w:p>
            <w:pPr>
              <w:adjustRightInd w:val="0"/>
              <w:snapToGrid w:val="0"/>
              <w:jc w:val="center"/>
              <w:rPr>
                <w:rFonts w:hint="eastAsia" w:eastAsia="宋体"/>
                <w:i w:val="0"/>
                <w:iCs w:val="0"/>
                <w:color w:val="000000"/>
                <w:sz w:val="21"/>
                <w:szCs w:val="21"/>
                <w:u w:val="single"/>
                <w:lang w:eastAsia="zh-CN"/>
              </w:rPr>
            </w:pPr>
            <w:r>
              <w:rPr>
                <w:rFonts w:hint="eastAsia"/>
                <w:i w:val="0"/>
                <w:iCs w:val="0"/>
                <w:color w:val="000000"/>
                <w:sz w:val="21"/>
                <w:szCs w:val="21"/>
                <w:u w:val="single"/>
                <w:lang w:val="en-US" w:eastAsia="zh-CN"/>
              </w:rPr>
              <w:t>种子罐及发酵罐</w:t>
            </w:r>
            <w:r>
              <w:rPr>
                <w:rFonts w:hint="eastAsia"/>
                <w:i w:val="0"/>
                <w:iCs w:val="0"/>
                <w:color w:val="000000"/>
                <w:sz w:val="21"/>
                <w:szCs w:val="21"/>
                <w:u w:val="single"/>
                <w:lang w:eastAsia="zh-CN"/>
              </w:rPr>
              <w:t>清洗废水</w:t>
            </w:r>
          </w:p>
        </w:tc>
        <w:tc>
          <w:tcPr>
            <w:tcW w:w="693"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391.74</w:t>
            </w:r>
          </w:p>
        </w:tc>
        <w:tc>
          <w:tcPr>
            <w:tcW w:w="634"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w:t>
            </w:r>
          </w:p>
        </w:tc>
        <w:tc>
          <w:tcPr>
            <w:tcW w:w="693"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w:t>
            </w:r>
          </w:p>
        </w:tc>
        <w:tc>
          <w:tcPr>
            <w:tcW w:w="750"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39.17</w:t>
            </w:r>
          </w:p>
        </w:tc>
        <w:tc>
          <w:tcPr>
            <w:tcW w:w="603" w:type="pct"/>
            <w:noWrap w:val="0"/>
            <w:vAlign w:val="center"/>
          </w:tcPr>
          <w:p>
            <w:pPr>
              <w:adjustRightInd w:val="0"/>
              <w:snapToGrid w:val="0"/>
              <w:jc w:val="center"/>
              <w:rPr>
                <w:rFonts w:hint="default" w:ascii="Times New Roman" w:hAnsi="Times New Roman" w:eastAsia="宋体" w:cs="Times New Roman"/>
                <w:i w:val="0"/>
                <w:iCs w:val="0"/>
                <w:color w:val="000000"/>
                <w:sz w:val="21"/>
                <w:szCs w:val="21"/>
                <w:u w:val="single"/>
                <w:lang w:val="en-US" w:eastAsia="zh-CN"/>
              </w:rPr>
            </w:pPr>
            <w:r>
              <w:rPr>
                <w:rFonts w:hint="eastAsia" w:ascii="Times New Roman" w:hAnsi="Times New Roman" w:eastAsia="宋体" w:cs="Times New Roman"/>
                <w:i w:val="0"/>
                <w:iCs w:val="0"/>
                <w:color w:val="000000"/>
                <w:sz w:val="21"/>
                <w:szCs w:val="21"/>
                <w:u w:val="single"/>
                <w:lang w:val="en-US" w:eastAsia="zh-CN"/>
              </w:rPr>
              <w:t>352.57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0"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循环水系统</w:t>
            </w:r>
          </w:p>
        </w:tc>
        <w:tc>
          <w:tcPr>
            <w:tcW w:w="823"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系统补水</w:t>
            </w:r>
          </w:p>
        </w:tc>
        <w:tc>
          <w:tcPr>
            <w:tcW w:w="693"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68250</w:t>
            </w:r>
          </w:p>
        </w:tc>
        <w:tc>
          <w:tcPr>
            <w:tcW w:w="634"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w:t>
            </w:r>
          </w:p>
        </w:tc>
        <w:tc>
          <w:tcPr>
            <w:tcW w:w="693"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w:t>
            </w:r>
          </w:p>
        </w:tc>
        <w:tc>
          <w:tcPr>
            <w:tcW w:w="750"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45500</w:t>
            </w:r>
          </w:p>
        </w:tc>
        <w:tc>
          <w:tcPr>
            <w:tcW w:w="603"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22750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0"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生活用水</w:t>
            </w:r>
          </w:p>
        </w:tc>
        <w:tc>
          <w:tcPr>
            <w:tcW w:w="823"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生活办公</w:t>
            </w:r>
          </w:p>
        </w:tc>
        <w:tc>
          <w:tcPr>
            <w:tcW w:w="693"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3640</w:t>
            </w:r>
          </w:p>
        </w:tc>
        <w:tc>
          <w:tcPr>
            <w:tcW w:w="634"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w:t>
            </w:r>
          </w:p>
        </w:tc>
        <w:tc>
          <w:tcPr>
            <w:tcW w:w="693"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w:t>
            </w:r>
          </w:p>
        </w:tc>
        <w:tc>
          <w:tcPr>
            <w:tcW w:w="750"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728</w:t>
            </w:r>
          </w:p>
        </w:tc>
        <w:tc>
          <w:tcPr>
            <w:tcW w:w="603" w:type="pct"/>
            <w:noWrap w:val="0"/>
            <w:vAlign w:val="center"/>
          </w:tcPr>
          <w:p>
            <w:pPr>
              <w:adjustRightInd w:val="0"/>
              <w:snapToGrid w:val="0"/>
              <w:jc w:val="center"/>
              <w:rPr>
                <w:rFonts w:hint="default"/>
                <w:i w:val="0"/>
                <w:iCs w:val="0"/>
                <w:color w:val="000000"/>
                <w:sz w:val="21"/>
                <w:szCs w:val="21"/>
                <w:u w:val="single"/>
                <w:lang w:val="en-US"/>
              </w:rPr>
            </w:pPr>
            <w:r>
              <w:rPr>
                <w:rFonts w:hint="eastAsia"/>
                <w:i w:val="0"/>
                <w:iCs w:val="0"/>
                <w:color w:val="000000"/>
                <w:sz w:val="21"/>
                <w:szCs w:val="21"/>
                <w:u w:val="single"/>
                <w:lang w:val="en-US" w:eastAsia="zh-CN"/>
              </w:rPr>
              <w:t>2912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0"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绿化用水</w:t>
            </w:r>
          </w:p>
        </w:tc>
        <w:tc>
          <w:tcPr>
            <w:tcW w:w="823"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绿化</w:t>
            </w:r>
          </w:p>
        </w:tc>
        <w:tc>
          <w:tcPr>
            <w:tcW w:w="693"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2756.4</w:t>
            </w:r>
          </w:p>
        </w:tc>
        <w:tc>
          <w:tcPr>
            <w:tcW w:w="634"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w:t>
            </w:r>
          </w:p>
        </w:tc>
        <w:tc>
          <w:tcPr>
            <w:tcW w:w="693"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w:t>
            </w:r>
          </w:p>
        </w:tc>
        <w:tc>
          <w:tcPr>
            <w:tcW w:w="750" w:type="pct"/>
            <w:noWrap w:val="0"/>
            <w:vAlign w:val="center"/>
          </w:tcPr>
          <w:p>
            <w:pPr>
              <w:adjustRightInd w:val="0"/>
              <w:snapToGrid w:val="0"/>
              <w:jc w:val="center"/>
              <w:rPr>
                <w:i w:val="0"/>
                <w:iCs w:val="0"/>
                <w:color w:val="000000"/>
                <w:sz w:val="21"/>
                <w:szCs w:val="21"/>
                <w:u w:val="single"/>
              </w:rPr>
            </w:pPr>
            <w:r>
              <w:rPr>
                <w:rFonts w:hint="eastAsia"/>
                <w:i w:val="0"/>
                <w:iCs w:val="0"/>
                <w:color w:val="000000"/>
                <w:sz w:val="21"/>
                <w:szCs w:val="21"/>
                <w:u w:val="single"/>
                <w:lang w:val="en-US" w:eastAsia="zh-CN"/>
              </w:rPr>
              <w:t>2756.4</w:t>
            </w:r>
          </w:p>
        </w:tc>
        <w:tc>
          <w:tcPr>
            <w:tcW w:w="603"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0" w:type="pct"/>
            <w:noWrap w:val="0"/>
            <w:vAlign w:val="center"/>
          </w:tcPr>
          <w:p>
            <w:pPr>
              <w:adjustRightInd w:val="0"/>
              <w:snapToGrid w:val="0"/>
              <w:jc w:val="center"/>
              <w:rPr>
                <w:rFonts w:hint="eastAsia" w:eastAsia="宋体"/>
                <w:i w:val="0"/>
                <w:iCs w:val="0"/>
                <w:color w:val="000000"/>
                <w:sz w:val="21"/>
                <w:szCs w:val="21"/>
                <w:u w:val="single"/>
                <w:lang w:eastAsia="zh-CN"/>
              </w:rPr>
            </w:pPr>
            <w:r>
              <w:rPr>
                <w:rFonts w:hint="eastAsia"/>
                <w:i w:val="0"/>
                <w:iCs w:val="0"/>
                <w:color w:val="000000"/>
                <w:sz w:val="21"/>
                <w:szCs w:val="21"/>
                <w:u w:val="single"/>
                <w:lang w:eastAsia="zh-CN"/>
              </w:rPr>
              <w:t>化验用水量</w:t>
            </w:r>
          </w:p>
        </w:tc>
        <w:tc>
          <w:tcPr>
            <w:tcW w:w="823" w:type="pct"/>
            <w:noWrap w:val="0"/>
            <w:vAlign w:val="center"/>
          </w:tcPr>
          <w:p>
            <w:pPr>
              <w:adjustRightInd w:val="0"/>
              <w:snapToGrid w:val="0"/>
              <w:jc w:val="center"/>
              <w:rPr>
                <w:rFonts w:hint="eastAsia" w:eastAsia="宋体"/>
                <w:i w:val="0"/>
                <w:iCs w:val="0"/>
                <w:color w:val="000000"/>
                <w:sz w:val="21"/>
                <w:szCs w:val="21"/>
                <w:u w:val="single"/>
                <w:lang w:eastAsia="zh-CN"/>
              </w:rPr>
            </w:pPr>
            <w:r>
              <w:rPr>
                <w:rFonts w:hint="eastAsia"/>
                <w:i w:val="0"/>
                <w:iCs w:val="0"/>
                <w:color w:val="000000"/>
                <w:sz w:val="21"/>
                <w:szCs w:val="21"/>
                <w:u w:val="single"/>
                <w:lang w:eastAsia="zh-CN"/>
              </w:rPr>
              <w:t>化验</w:t>
            </w:r>
          </w:p>
        </w:tc>
        <w:tc>
          <w:tcPr>
            <w:tcW w:w="693"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975</w:t>
            </w:r>
          </w:p>
        </w:tc>
        <w:tc>
          <w:tcPr>
            <w:tcW w:w="634"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w:t>
            </w:r>
          </w:p>
        </w:tc>
        <w:tc>
          <w:tcPr>
            <w:tcW w:w="693"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w:t>
            </w:r>
          </w:p>
        </w:tc>
        <w:tc>
          <w:tcPr>
            <w:tcW w:w="750"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97.5</w:t>
            </w:r>
          </w:p>
        </w:tc>
        <w:tc>
          <w:tcPr>
            <w:tcW w:w="603" w:type="pct"/>
            <w:noWrap w:val="0"/>
            <w:vAlign w:val="center"/>
          </w:tcPr>
          <w:p>
            <w:pPr>
              <w:adjustRightInd w:val="0"/>
              <w:snapToGrid w:val="0"/>
              <w:jc w:val="center"/>
              <w:rPr>
                <w:rFonts w:hint="default"/>
                <w:i w:val="0"/>
                <w:iCs w:val="0"/>
                <w:color w:val="000000"/>
                <w:sz w:val="21"/>
                <w:szCs w:val="21"/>
                <w:u w:val="single"/>
                <w:lang w:val="en-US"/>
              </w:rPr>
            </w:pPr>
            <w:r>
              <w:rPr>
                <w:rFonts w:hint="eastAsia"/>
                <w:i w:val="0"/>
                <w:iCs w:val="0"/>
                <w:color w:val="000000"/>
                <w:sz w:val="21"/>
                <w:szCs w:val="21"/>
                <w:u w:val="single"/>
                <w:lang w:val="en-US" w:eastAsia="zh-CN"/>
              </w:rPr>
              <w:t>877.5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0" w:type="pct"/>
            <w:noWrap w:val="0"/>
            <w:vAlign w:val="center"/>
          </w:tcPr>
          <w:p>
            <w:pPr>
              <w:adjustRightInd w:val="0"/>
              <w:snapToGrid w:val="0"/>
              <w:jc w:val="center"/>
              <w:rPr>
                <w:rFonts w:hint="eastAsia"/>
                <w:i w:val="0"/>
                <w:iCs w:val="0"/>
                <w:color w:val="000000"/>
                <w:sz w:val="21"/>
                <w:szCs w:val="21"/>
                <w:u w:val="single"/>
                <w:lang w:eastAsia="zh-CN"/>
              </w:rPr>
            </w:pPr>
            <w:r>
              <w:rPr>
                <w:rFonts w:hint="eastAsia"/>
                <w:i w:val="0"/>
                <w:iCs w:val="0"/>
                <w:color w:val="000000"/>
                <w:sz w:val="21"/>
                <w:szCs w:val="21"/>
                <w:u w:val="single"/>
                <w:lang w:eastAsia="zh-CN"/>
              </w:rPr>
              <w:t>喷淋用水量</w:t>
            </w:r>
          </w:p>
        </w:tc>
        <w:tc>
          <w:tcPr>
            <w:tcW w:w="823" w:type="pct"/>
            <w:noWrap w:val="0"/>
            <w:vAlign w:val="center"/>
          </w:tcPr>
          <w:p>
            <w:pPr>
              <w:adjustRightInd w:val="0"/>
              <w:snapToGrid w:val="0"/>
              <w:jc w:val="center"/>
              <w:rPr>
                <w:rFonts w:hint="eastAsia"/>
                <w:i w:val="0"/>
                <w:iCs w:val="0"/>
                <w:color w:val="000000"/>
                <w:sz w:val="21"/>
                <w:szCs w:val="21"/>
                <w:u w:val="single"/>
                <w:lang w:eastAsia="zh-CN"/>
              </w:rPr>
            </w:pPr>
            <w:r>
              <w:rPr>
                <w:rFonts w:hint="eastAsia"/>
                <w:i w:val="0"/>
                <w:iCs w:val="0"/>
                <w:color w:val="000000"/>
                <w:sz w:val="21"/>
                <w:szCs w:val="21"/>
                <w:u w:val="single"/>
                <w:lang w:eastAsia="zh-CN"/>
              </w:rPr>
              <w:t>水喷淋</w:t>
            </w:r>
          </w:p>
        </w:tc>
        <w:tc>
          <w:tcPr>
            <w:tcW w:w="693"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680.8</w:t>
            </w:r>
          </w:p>
        </w:tc>
        <w:tc>
          <w:tcPr>
            <w:tcW w:w="634"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w:t>
            </w:r>
          </w:p>
        </w:tc>
        <w:tc>
          <w:tcPr>
            <w:tcW w:w="693"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w:t>
            </w:r>
          </w:p>
        </w:tc>
        <w:tc>
          <w:tcPr>
            <w:tcW w:w="750"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280.8</w:t>
            </w:r>
          </w:p>
        </w:tc>
        <w:tc>
          <w:tcPr>
            <w:tcW w:w="603"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00" w:type="pct"/>
            <w:vMerge w:val="restart"/>
            <w:noWrap w:val="0"/>
            <w:vAlign w:val="center"/>
          </w:tcPr>
          <w:p>
            <w:pPr>
              <w:adjustRightInd w:val="0"/>
              <w:snapToGrid w:val="0"/>
              <w:jc w:val="center"/>
              <w:rPr>
                <w:rFonts w:hint="eastAsia"/>
                <w:i w:val="0"/>
                <w:iCs w:val="0"/>
                <w:color w:val="000000"/>
                <w:sz w:val="21"/>
                <w:szCs w:val="21"/>
                <w:u w:val="single"/>
              </w:rPr>
            </w:pPr>
            <w:r>
              <w:rPr>
                <w:rFonts w:hint="eastAsia"/>
                <w:i w:val="0"/>
                <w:iCs w:val="0"/>
                <w:sz w:val="21"/>
                <w:szCs w:val="21"/>
                <w:u w:val="single"/>
                <w:lang w:val="en-US" w:eastAsia="zh-CN"/>
              </w:rPr>
              <w:t>发酵</w:t>
            </w:r>
            <w:r>
              <w:rPr>
                <w:rFonts w:hint="eastAsia"/>
                <w:i w:val="0"/>
                <w:iCs w:val="0"/>
                <w:sz w:val="21"/>
                <w:szCs w:val="21"/>
                <w:u w:val="single"/>
              </w:rPr>
              <w:t>车间蒸汽量</w:t>
            </w:r>
          </w:p>
        </w:tc>
        <w:tc>
          <w:tcPr>
            <w:tcW w:w="823" w:type="pct"/>
            <w:noWrap w:val="0"/>
            <w:vAlign w:val="center"/>
          </w:tcPr>
          <w:p>
            <w:pPr>
              <w:keepNext w:val="0"/>
              <w:keepLines w:val="0"/>
              <w:widowControl/>
              <w:suppressLineNumbers w:val="0"/>
              <w:jc w:val="center"/>
              <w:textAlignment w:val="center"/>
              <w:rPr>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液糖消后罐</w:t>
            </w:r>
          </w:p>
        </w:tc>
        <w:tc>
          <w:tcPr>
            <w:tcW w:w="693" w:type="pct"/>
            <w:noWrap w:val="0"/>
            <w:vAlign w:val="center"/>
          </w:tcPr>
          <w:p>
            <w:pPr>
              <w:pStyle w:val="24"/>
              <w:snapToGrid w:val="0"/>
              <w:rPr>
                <w:i w:val="0"/>
                <w:iCs w:val="0"/>
                <w:color w:val="000000"/>
                <w:sz w:val="21"/>
                <w:szCs w:val="21"/>
                <w:u w:val="single"/>
              </w:rPr>
            </w:pPr>
            <w:r>
              <w:rPr>
                <w:rFonts w:hint="eastAsia"/>
                <w:bCs/>
                <w:i w:val="0"/>
                <w:iCs w:val="0"/>
                <w:color w:val="000000"/>
                <w:sz w:val="21"/>
                <w:szCs w:val="21"/>
                <w:u w:val="single"/>
                <w:lang w:val="en-US" w:eastAsia="zh-CN"/>
              </w:rPr>
              <w:t>277.2（外购蒸汽）</w:t>
            </w:r>
          </w:p>
        </w:tc>
        <w:tc>
          <w:tcPr>
            <w:tcW w:w="634"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rPr>
              <w:t>——</w:t>
            </w:r>
          </w:p>
        </w:tc>
        <w:tc>
          <w:tcPr>
            <w:tcW w:w="693" w:type="pct"/>
            <w:noWrap w:val="0"/>
            <w:vAlign w:val="center"/>
          </w:tcPr>
          <w:p>
            <w:pPr>
              <w:adjustRightInd w:val="0"/>
              <w:snapToGrid w:val="0"/>
              <w:jc w:val="center"/>
              <w:rPr>
                <w:i w:val="0"/>
                <w:iCs w:val="0"/>
                <w:color w:val="000000"/>
                <w:sz w:val="21"/>
                <w:szCs w:val="21"/>
                <w:u w:val="single"/>
              </w:rPr>
            </w:pPr>
            <w:r>
              <w:rPr>
                <w:rFonts w:hint="eastAsia"/>
                <w:i w:val="0"/>
                <w:iCs w:val="0"/>
                <w:color w:val="000000"/>
                <w:sz w:val="21"/>
                <w:szCs w:val="21"/>
                <w:u w:val="single"/>
              </w:rPr>
              <w:t>——</w:t>
            </w:r>
          </w:p>
        </w:tc>
        <w:tc>
          <w:tcPr>
            <w:tcW w:w="750"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63.76</w:t>
            </w:r>
          </w:p>
        </w:tc>
        <w:tc>
          <w:tcPr>
            <w:tcW w:w="603" w:type="pct"/>
            <w:noWrap w:val="0"/>
            <w:vAlign w:val="center"/>
          </w:tcPr>
          <w:p>
            <w:pPr>
              <w:pStyle w:val="24"/>
              <w:snapToGrid w:val="0"/>
              <w:rPr>
                <w:rFonts w:hint="eastAsia"/>
                <w:i w:val="0"/>
                <w:iCs w:val="0"/>
                <w:color w:val="000000"/>
                <w:sz w:val="21"/>
                <w:szCs w:val="21"/>
                <w:u w:val="single"/>
              </w:rPr>
            </w:pPr>
            <w:r>
              <w:rPr>
                <w:rFonts w:hint="eastAsia" w:ascii="Times New Roman" w:hAnsi="Times New Roman" w:eastAsia="宋体" w:cs="Times New Roman"/>
                <w:bCs/>
                <w:i w:val="0"/>
                <w:iCs w:val="0"/>
                <w:color w:val="000000"/>
                <w:sz w:val="21"/>
                <w:szCs w:val="21"/>
                <w:u w:val="single"/>
                <w:lang w:val="en-US" w:eastAsia="zh-CN"/>
              </w:rPr>
              <w:t xml:space="preserve">213.44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00" w:type="pct"/>
            <w:vMerge w:val="continue"/>
            <w:noWrap w:val="0"/>
            <w:vAlign w:val="center"/>
          </w:tcPr>
          <w:p>
            <w:pPr>
              <w:adjustRightInd w:val="0"/>
              <w:snapToGrid w:val="0"/>
              <w:jc w:val="center"/>
              <w:rPr>
                <w:rFonts w:hint="eastAsia"/>
                <w:i w:val="0"/>
                <w:iCs w:val="0"/>
                <w:sz w:val="21"/>
                <w:szCs w:val="21"/>
                <w:u w:val="single"/>
                <w:lang w:val="en-US" w:eastAsia="zh-CN"/>
              </w:rPr>
            </w:pPr>
          </w:p>
        </w:tc>
        <w:tc>
          <w:tcPr>
            <w:tcW w:w="823" w:type="pct"/>
            <w:noWrap w:val="0"/>
            <w:vAlign w:val="center"/>
          </w:tcPr>
          <w:p>
            <w:pPr>
              <w:keepNext w:val="0"/>
              <w:keepLines w:val="0"/>
              <w:widowControl/>
              <w:suppressLineNumbers w:val="0"/>
              <w:jc w:val="center"/>
              <w:textAlignment w:val="center"/>
              <w:rPr>
                <w:rFonts w:hint="eastAsia"/>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柠檬酸消后罐</w:t>
            </w:r>
          </w:p>
        </w:tc>
        <w:tc>
          <w:tcPr>
            <w:tcW w:w="693" w:type="pct"/>
            <w:noWrap w:val="0"/>
            <w:vAlign w:val="center"/>
          </w:tcPr>
          <w:p>
            <w:pPr>
              <w:pStyle w:val="24"/>
              <w:snapToGrid w:val="0"/>
              <w:rPr>
                <w:rFonts w:hint="eastAsia"/>
                <w:i w:val="0"/>
                <w:iCs w:val="0"/>
                <w:color w:val="000000"/>
                <w:sz w:val="21"/>
                <w:szCs w:val="21"/>
                <w:u w:val="single"/>
                <w:lang w:val="en-US" w:eastAsia="zh-CN"/>
              </w:rPr>
            </w:pPr>
            <w:r>
              <w:rPr>
                <w:rFonts w:hint="eastAsia"/>
                <w:bCs/>
                <w:i w:val="0"/>
                <w:iCs w:val="0"/>
                <w:color w:val="000000"/>
                <w:sz w:val="21"/>
                <w:szCs w:val="21"/>
                <w:u w:val="single"/>
                <w:lang w:val="en-US" w:eastAsia="zh-CN"/>
              </w:rPr>
              <w:t>40.04（外购蒸汽）</w:t>
            </w:r>
          </w:p>
        </w:tc>
        <w:tc>
          <w:tcPr>
            <w:tcW w:w="634" w:type="pct"/>
            <w:noWrap w:val="0"/>
            <w:vAlign w:val="center"/>
          </w:tcPr>
          <w:p>
            <w:pPr>
              <w:adjustRightInd w:val="0"/>
              <w:snapToGrid w:val="0"/>
              <w:jc w:val="center"/>
              <w:rPr>
                <w:rFonts w:hint="eastAsia"/>
                <w:i w:val="0"/>
                <w:iCs w:val="0"/>
                <w:color w:val="000000"/>
                <w:sz w:val="21"/>
                <w:szCs w:val="21"/>
                <w:u w:val="single"/>
                <w:lang w:val="en-US" w:eastAsia="zh-CN"/>
              </w:rPr>
            </w:pPr>
            <w:r>
              <w:rPr>
                <w:rFonts w:hint="eastAsia"/>
                <w:i w:val="0"/>
                <w:iCs w:val="0"/>
                <w:color w:val="000000"/>
                <w:sz w:val="21"/>
                <w:szCs w:val="21"/>
                <w:u w:val="single"/>
              </w:rPr>
              <w:t>——</w:t>
            </w:r>
          </w:p>
        </w:tc>
        <w:tc>
          <w:tcPr>
            <w:tcW w:w="693"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w:t>
            </w:r>
          </w:p>
        </w:tc>
        <w:tc>
          <w:tcPr>
            <w:tcW w:w="750" w:type="pct"/>
            <w:noWrap w:val="0"/>
            <w:vAlign w:val="center"/>
          </w:tcPr>
          <w:p>
            <w:pPr>
              <w:adjustRightInd w:val="0"/>
              <w:snapToGrid w:val="0"/>
              <w:jc w:val="center"/>
              <w:rPr>
                <w:rFonts w:hint="default" w:eastAsia="宋体"/>
                <w:i w:val="0"/>
                <w:iCs w:val="0"/>
                <w:color w:val="000000"/>
                <w:sz w:val="21"/>
                <w:szCs w:val="21"/>
                <w:u w:val="single"/>
                <w:lang w:val="en-US" w:eastAsia="zh-CN"/>
              </w:rPr>
            </w:pPr>
            <w:r>
              <w:rPr>
                <w:rFonts w:hint="eastAsia"/>
                <w:i w:val="0"/>
                <w:iCs w:val="0"/>
                <w:color w:val="000000"/>
                <w:sz w:val="21"/>
                <w:szCs w:val="21"/>
                <w:u w:val="single"/>
                <w:lang w:val="en-US" w:eastAsia="zh-CN"/>
              </w:rPr>
              <w:t>9.21</w:t>
            </w:r>
          </w:p>
        </w:tc>
        <w:tc>
          <w:tcPr>
            <w:tcW w:w="603" w:type="pct"/>
            <w:noWrap w:val="0"/>
            <w:vAlign w:val="center"/>
          </w:tcPr>
          <w:p>
            <w:pPr>
              <w:pStyle w:val="24"/>
              <w:snapToGrid w:val="0"/>
              <w:rPr>
                <w:rFonts w:hint="eastAsia"/>
                <w:i w:val="0"/>
                <w:iCs w:val="0"/>
                <w:color w:val="000000"/>
                <w:sz w:val="21"/>
                <w:szCs w:val="21"/>
                <w:u w:val="single"/>
              </w:rPr>
            </w:pPr>
            <w:r>
              <w:rPr>
                <w:rFonts w:hint="eastAsia" w:ascii="Times New Roman" w:hAnsi="Times New Roman" w:eastAsia="宋体" w:cs="Times New Roman"/>
                <w:bCs/>
                <w:i w:val="0"/>
                <w:iCs w:val="0"/>
                <w:color w:val="000000"/>
                <w:sz w:val="21"/>
                <w:szCs w:val="21"/>
                <w:u w:val="single"/>
                <w:lang w:val="en-US" w:eastAsia="zh-CN"/>
              </w:rPr>
              <w:t xml:space="preserve">30.83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00" w:type="pct"/>
            <w:vMerge w:val="restart"/>
            <w:noWrap w:val="0"/>
            <w:vAlign w:val="center"/>
          </w:tcPr>
          <w:p>
            <w:pPr>
              <w:adjustRightInd w:val="0"/>
              <w:snapToGrid w:val="0"/>
              <w:jc w:val="center"/>
              <w:rPr>
                <w:i w:val="0"/>
                <w:iCs w:val="0"/>
                <w:color w:val="000000"/>
                <w:sz w:val="21"/>
                <w:szCs w:val="21"/>
                <w:u w:val="single"/>
              </w:rPr>
            </w:pPr>
            <w:r>
              <w:rPr>
                <w:rFonts w:hint="eastAsia"/>
                <w:bCs/>
                <w:i w:val="0"/>
                <w:iCs w:val="0"/>
                <w:color w:val="000000"/>
                <w:sz w:val="21"/>
                <w:szCs w:val="21"/>
                <w:u w:val="single"/>
              </w:rPr>
              <w:t>提取车间</w:t>
            </w:r>
            <w:r>
              <w:rPr>
                <w:rFonts w:hint="eastAsia"/>
                <w:i w:val="0"/>
                <w:iCs w:val="0"/>
                <w:color w:val="000000"/>
                <w:sz w:val="21"/>
                <w:szCs w:val="21"/>
                <w:u w:val="single"/>
              </w:rPr>
              <w:t>蒸汽量</w:t>
            </w:r>
          </w:p>
        </w:tc>
        <w:tc>
          <w:tcPr>
            <w:tcW w:w="823" w:type="pct"/>
            <w:noWrap w:val="0"/>
            <w:vAlign w:val="center"/>
          </w:tcPr>
          <w:p>
            <w:pPr>
              <w:keepNext w:val="0"/>
              <w:keepLines w:val="0"/>
              <w:widowControl/>
              <w:suppressLineNumbers w:val="0"/>
              <w:jc w:val="center"/>
              <w:textAlignment w:val="center"/>
              <w:rPr>
                <w:rFonts w:hint="eastAsia"/>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发酵液暂存罐</w:t>
            </w:r>
          </w:p>
        </w:tc>
        <w:tc>
          <w:tcPr>
            <w:tcW w:w="693" w:type="pct"/>
            <w:noWrap w:val="0"/>
            <w:vAlign w:val="center"/>
          </w:tcPr>
          <w:p>
            <w:pPr>
              <w:pStyle w:val="24"/>
              <w:snapToGrid w:val="0"/>
              <w:rPr>
                <w:i w:val="0"/>
                <w:iCs w:val="0"/>
                <w:color w:val="000000"/>
                <w:sz w:val="21"/>
                <w:szCs w:val="21"/>
                <w:u w:val="single"/>
              </w:rPr>
            </w:pPr>
            <w:r>
              <w:rPr>
                <w:rFonts w:hint="eastAsia"/>
                <w:bCs/>
                <w:i w:val="0"/>
                <w:iCs w:val="0"/>
                <w:color w:val="000000"/>
                <w:sz w:val="21"/>
                <w:szCs w:val="21"/>
                <w:u w:val="single"/>
                <w:lang w:val="en-US" w:eastAsia="zh-CN"/>
              </w:rPr>
              <w:t>107.8（外购蒸汽）</w:t>
            </w:r>
          </w:p>
        </w:tc>
        <w:tc>
          <w:tcPr>
            <w:tcW w:w="634" w:type="pct"/>
            <w:noWrap w:val="0"/>
            <w:vAlign w:val="center"/>
          </w:tcPr>
          <w:p>
            <w:pPr>
              <w:adjustRightInd w:val="0"/>
              <w:snapToGrid w:val="0"/>
              <w:jc w:val="center"/>
              <w:rPr>
                <w:i w:val="0"/>
                <w:iCs w:val="0"/>
                <w:color w:val="000000"/>
                <w:sz w:val="21"/>
                <w:szCs w:val="21"/>
                <w:u w:val="single"/>
              </w:rPr>
            </w:pPr>
            <w:r>
              <w:rPr>
                <w:rFonts w:hint="eastAsia"/>
                <w:i w:val="0"/>
                <w:iCs w:val="0"/>
                <w:color w:val="000000"/>
                <w:sz w:val="21"/>
                <w:szCs w:val="21"/>
                <w:u w:val="single"/>
              </w:rPr>
              <w:t>——</w:t>
            </w:r>
          </w:p>
        </w:tc>
        <w:tc>
          <w:tcPr>
            <w:tcW w:w="693" w:type="pct"/>
            <w:noWrap w:val="0"/>
            <w:vAlign w:val="center"/>
          </w:tcPr>
          <w:p>
            <w:pPr>
              <w:adjustRightInd w:val="0"/>
              <w:snapToGrid w:val="0"/>
              <w:jc w:val="center"/>
              <w:rPr>
                <w:i w:val="0"/>
                <w:iCs w:val="0"/>
                <w:color w:val="000000"/>
                <w:sz w:val="21"/>
                <w:szCs w:val="21"/>
                <w:u w:val="single"/>
              </w:rPr>
            </w:pPr>
            <w:r>
              <w:rPr>
                <w:rFonts w:hint="eastAsia"/>
                <w:i w:val="0"/>
                <w:iCs w:val="0"/>
                <w:color w:val="000000"/>
                <w:sz w:val="21"/>
                <w:szCs w:val="21"/>
                <w:u w:val="single"/>
              </w:rPr>
              <w:t>——</w:t>
            </w:r>
          </w:p>
        </w:tc>
        <w:tc>
          <w:tcPr>
            <w:tcW w:w="750" w:type="pct"/>
            <w:noWrap w:val="0"/>
            <w:vAlign w:val="center"/>
          </w:tcPr>
          <w:p>
            <w:pPr>
              <w:adjustRightInd w:val="0"/>
              <w:snapToGrid w:val="0"/>
              <w:jc w:val="center"/>
              <w:rPr>
                <w:rFonts w:hint="default" w:ascii="Times New Roman" w:hAnsi="Times New Roman" w:eastAsia="宋体" w:cs="Times New Roman"/>
                <w:bCs/>
                <w:i w:val="0"/>
                <w:iCs w:val="0"/>
                <w:color w:val="000000"/>
                <w:kern w:val="2"/>
                <w:sz w:val="21"/>
                <w:szCs w:val="21"/>
                <w:u w:val="single"/>
                <w:lang w:val="en-US" w:eastAsia="zh-CN" w:bidi="ar-SA"/>
              </w:rPr>
            </w:pPr>
            <w:r>
              <w:rPr>
                <w:rFonts w:hint="eastAsia" w:ascii="Times New Roman" w:hAnsi="Times New Roman" w:eastAsia="宋体" w:cs="Times New Roman"/>
                <w:bCs/>
                <w:i w:val="0"/>
                <w:iCs w:val="0"/>
                <w:color w:val="000000"/>
                <w:kern w:val="2"/>
                <w:sz w:val="21"/>
                <w:szCs w:val="21"/>
                <w:u w:val="single"/>
                <w:lang w:val="en-US" w:eastAsia="zh-CN" w:bidi="ar-SA"/>
              </w:rPr>
              <w:t>24.79</w:t>
            </w:r>
          </w:p>
        </w:tc>
        <w:tc>
          <w:tcPr>
            <w:tcW w:w="603" w:type="pct"/>
            <w:noWrap w:val="0"/>
            <w:vAlign w:val="center"/>
          </w:tcPr>
          <w:p>
            <w:pPr>
              <w:adjustRightInd w:val="0"/>
              <w:snapToGrid w:val="0"/>
              <w:jc w:val="center"/>
              <w:rPr>
                <w:rFonts w:hint="eastAsia" w:ascii="Times New Roman" w:hAnsi="Times New Roman" w:eastAsia="宋体" w:cs="Times New Roman"/>
                <w:bCs/>
                <w:i w:val="0"/>
                <w:iCs w:val="0"/>
                <w:color w:val="000000"/>
                <w:kern w:val="2"/>
                <w:sz w:val="21"/>
                <w:szCs w:val="21"/>
                <w:u w:val="single"/>
                <w:lang w:val="en-US" w:eastAsia="zh-CN" w:bidi="ar-SA"/>
              </w:rPr>
            </w:pPr>
            <w:r>
              <w:rPr>
                <w:rFonts w:hint="eastAsia" w:ascii="Times New Roman" w:hAnsi="Times New Roman" w:eastAsia="宋体" w:cs="Times New Roman"/>
                <w:bCs/>
                <w:i w:val="0"/>
                <w:iCs w:val="0"/>
                <w:color w:val="000000"/>
                <w:kern w:val="2"/>
                <w:sz w:val="21"/>
                <w:szCs w:val="21"/>
                <w:u w:val="single"/>
                <w:lang w:val="en-US" w:eastAsia="zh-CN" w:bidi="ar-SA"/>
              </w:rPr>
              <w:t xml:space="preserve">83.01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00" w:type="pct"/>
            <w:vMerge w:val="continue"/>
            <w:noWrap w:val="0"/>
            <w:vAlign w:val="center"/>
          </w:tcPr>
          <w:p>
            <w:pPr>
              <w:adjustRightInd w:val="0"/>
              <w:snapToGrid w:val="0"/>
              <w:jc w:val="center"/>
              <w:rPr>
                <w:rFonts w:hint="eastAsia"/>
                <w:bCs/>
                <w:i w:val="0"/>
                <w:iCs w:val="0"/>
                <w:color w:val="000000"/>
                <w:sz w:val="21"/>
                <w:szCs w:val="21"/>
                <w:u w:val="single"/>
              </w:rPr>
            </w:pPr>
          </w:p>
        </w:tc>
        <w:tc>
          <w:tcPr>
            <w:tcW w:w="823" w:type="pct"/>
            <w:noWrap w:val="0"/>
            <w:vAlign w:val="center"/>
          </w:tcPr>
          <w:p>
            <w:pPr>
              <w:keepNext w:val="0"/>
              <w:keepLines w:val="0"/>
              <w:widowControl/>
              <w:suppressLineNumbers w:val="0"/>
              <w:jc w:val="center"/>
              <w:textAlignment w:val="center"/>
              <w:rPr>
                <w:rFonts w:hint="eastAsia"/>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半成品储罐</w:t>
            </w:r>
          </w:p>
        </w:tc>
        <w:tc>
          <w:tcPr>
            <w:tcW w:w="693" w:type="pct"/>
            <w:noWrap w:val="0"/>
            <w:vAlign w:val="center"/>
          </w:tcPr>
          <w:p>
            <w:pPr>
              <w:pStyle w:val="24"/>
              <w:snapToGrid w:val="0"/>
              <w:rPr>
                <w:rFonts w:hint="eastAsia"/>
                <w:i w:val="0"/>
                <w:iCs w:val="0"/>
                <w:color w:val="000000"/>
                <w:sz w:val="21"/>
                <w:szCs w:val="21"/>
                <w:u w:val="single"/>
              </w:rPr>
            </w:pPr>
            <w:r>
              <w:rPr>
                <w:rFonts w:hint="eastAsia"/>
                <w:bCs/>
                <w:i w:val="0"/>
                <w:iCs w:val="0"/>
                <w:color w:val="000000"/>
                <w:sz w:val="21"/>
                <w:szCs w:val="21"/>
                <w:u w:val="single"/>
                <w:lang w:val="en-US" w:eastAsia="zh-CN"/>
              </w:rPr>
              <w:t>15.4（外购蒸汽）</w:t>
            </w:r>
          </w:p>
        </w:tc>
        <w:tc>
          <w:tcPr>
            <w:tcW w:w="634" w:type="pct"/>
            <w:noWrap w:val="0"/>
            <w:vAlign w:val="center"/>
          </w:tcPr>
          <w:p>
            <w:pPr>
              <w:adjustRightInd w:val="0"/>
              <w:snapToGrid w:val="0"/>
              <w:jc w:val="center"/>
              <w:rPr>
                <w:rFonts w:hint="eastAsia" w:ascii="Times New Roman" w:hAnsi="Times New Roman" w:eastAsia="宋体" w:cs="Times New Roman"/>
                <w:bCs/>
                <w:i w:val="0"/>
                <w:iCs w:val="0"/>
                <w:color w:val="000000"/>
                <w:kern w:val="2"/>
                <w:sz w:val="21"/>
                <w:szCs w:val="21"/>
                <w:u w:val="single"/>
                <w:lang w:val="en-US" w:eastAsia="zh-CN" w:bidi="ar-SA"/>
              </w:rPr>
            </w:pPr>
            <w:r>
              <w:rPr>
                <w:rFonts w:hint="eastAsia" w:ascii="Times New Roman" w:hAnsi="Times New Roman" w:eastAsia="宋体" w:cs="Times New Roman"/>
                <w:bCs/>
                <w:i w:val="0"/>
                <w:iCs w:val="0"/>
                <w:color w:val="000000"/>
                <w:kern w:val="2"/>
                <w:sz w:val="21"/>
                <w:szCs w:val="21"/>
                <w:u w:val="single"/>
                <w:lang w:val="en-US" w:eastAsia="zh-CN" w:bidi="ar-SA"/>
              </w:rPr>
              <w:t>——</w:t>
            </w:r>
          </w:p>
        </w:tc>
        <w:tc>
          <w:tcPr>
            <w:tcW w:w="693" w:type="pct"/>
            <w:noWrap w:val="0"/>
            <w:vAlign w:val="center"/>
          </w:tcPr>
          <w:p>
            <w:pPr>
              <w:adjustRightInd w:val="0"/>
              <w:snapToGrid w:val="0"/>
              <w:jc w:val="center"/>
              <w:rPr>
                <w:rFonts w:hint="eastAsia" w:ascii="Times New Roman" w:hAnsi="Times New Roman" w:eastAsia="宋体" w:cs="Times New Roman"/>
                <w:bCs/>
                <w:i w:val="0"/>
                <w:iCs w:val="0"/>
                <w:color w:val="000000"/>
                <w:kern w:val="2"/>
                <w:sz w:val="21"/>
                <w:szCs w:val="21"/>
                <w:u w:val="single"/>
                <w:lang w:val="en-US" w:eastAsia="zh-CN" w:bidi="ar-SA"/>
              </w:rPr>
            </w:pPr>
            <w:r>
              <w:rPr>
                <w:rFonts w:hint="eastAsia" w:ascii="Times New Roman" w:hAnsi="Times New Roman" w:eastAsia="宋体" w:cs="Times New Roman"/>
                <w:bCs/>
                <w:i w:val="0"/>
                <w:iCs w:val="0"/>
                <w:color w:val="000000"/>
                <w:kern w:val="2"/>
                <w:sz w:val="21"/>
                <w:szCs w:val="21"/>
                <w:u w:val="single"/>
                <w:lang w:val="en-US" w:eastAsia="zh-CN" w:bidi="ar-SA"/>
              </w:rPr>
              <w:t>——</w:t>
            </w:r>
          </w:p>
        </w:tc>
        <w:tc>
          <w:tcPr>
            <w:tcW w:w="750" w:type="pct"/>
            <w:noWrap w:val="0"/>
            <w:vAlign w:val="center"/>
          </w:tcPr>
          <w:p>
            <w:pPr>
              <w:adjustRightInd w:val="0"/>
              <w:snapToGrid w:val="0"/>
              <w:jc w:val="center"/>
              <w:rPr>
                <w:rFonts w:hint="default" w:ascii="Times New Roman" w:hAnsi="Times New Roman" w:eastAsia="宋体" w:cs="Times New Roman"/>
                <w:bCs/>
                <w:i w:val="0"/>
                <w:iCs w:val="0"/>
                <w:color w:val="000000"/>
                <w:kern w:val="2"/>
                <w:sz w:val="21"/>
                <w:szCs w:val="21"/>
                <w:u w:val="single"/>
                <w:lang w:val="en-US" w:eastAsia="zh-CN" w:bidi="ar-SA"/>
              </w:rPr>
            </w:pPr>
            <w:r>
              <w:rPr>
                <w:rFonts w:hint="eastAsia" w:ascii="Times New Roman" w:hAnsi="Times New Roman" w:eastAsia="宋体" w:cs="Times New Roman"/>
                <w:bCs/>
                <w:i w:val="0"/>
                <w:iCs w:val="0"/>
                <w:color w:val="000000"/>
                <w:kern w:val="2"/>
                <w:sz w:val="21"/>
                <w:szCs w:val="21"/>
                <w:u w:val="single"/>
                <w:lang w:val="en-US" w:eastAsia="zh-CN" w:bidi="ar-SA"/>
              </w:rPr>
              <w:t>3.54</w:t>
            </w:r>
          </w:p>
        </w:tc>
        <w:tc>
          <w:tcPr>
            <w:tcW w:w="603" w:type="pct"/>
            <w:noWrap w:val="0"/>
            <w:vAlign w:val="center"/>
          </w:tcPr>
          <w:p>
            <w:pPr>
              <w:adjustRightInd w:val="0"/>
              <w:snapToGrid w:val="0"/>
              <w:jc w:val="center"/>
              <w:rPr>
                <w:rFonts w:hint="eastAsia" w:ascii="Times New Roman" w:hAnsi="Times New Roman" w:eastAsia="宋体" w:cs="Times New Roman"/>
                <w:bCs/>
                <w:i w:val="0"/>
                <w:iCs w:val="0"/>
                <w:color w:val="000000"/>
                <w:kern w:val="2"/>
                <w:sz w:val="21"/>
                <w:szCs w:val="21"/>
                <w:u w:val="single"/>
                <w:lang w:val="en-US" w:eastAsia="zh-CN" w:bidi="ar-SA"/>
              </w:rPr>
            </w:pPr>
            <w:r>
              <w:rPr>
                <w:rFonts w:hint="eastAsia" w:ascii="Times New Roman" w:hAnsi="Times New Roman" w:eastAsia="宋体" w:cs="Times New Roman"/>
                <w:bCs/>
                <w:i w:val="0"/>
                <w:iCs w:val="0"/>
                <w:color w:val="000000"/>
                <w:kern w:val="2"/>
                <w:sz w:val="21"/>
                <w:szCs w:val="21"/>
                <w:u w:val="single"/>
                <w:lang w:val="en-US" w:eastAsia="zh-CN" w:bidi="ar-SA"/>
              </w:rPr>
              <w:t xml:space="preserve">11.86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00" w:type="pct"/>
            <w:vMerge w:val="continue"/>
            <w:noWrap w:val="0"/>
            <w:vAlign w:val="center"/>
          </w:tcPr>
          <w:p>
            <w:pPr>
              <w:adjustRightInd w:val="0"/>
              <w:snapToGrid w:val="0"/>
              <w:jc w:val="center"/>
              <w:rPr>
                <w:rFonts w:hint="eastAsia"/>
                <w:bCs/>
                <w:i w:val="0"/>
                <w:iCs w:val="0"/>
                <w:color w:val="000000"/>
                <w:sz w:val="21"/>
                <w:szCs w:val="21"/>
                <w:u w:val="single"/>
              </w:rPr>
            </w:pPr>
          </w:p>
        </w:tc>
        <w:tc>
          <w:tcPr>
            <w:tcW w:w="823" w:type="pct"/>
            <w:noWrap w:val="0"/>
            <w:vAlign w:val="center"/>
          </w:tcPr>
          <w:p>
            <w:pPr>
              <w:keepNext w:val="0"/>
              <w:keepLines w:val="0"/>
              <w:widowControl/>
              <w:suppressLineNumbers w:val="0"/>
              <w:jc w:val="center"/>
              <w:textAlignment w:val="center"/>
              <w:rPr>
                <w:rFonts w:hint="eastAsia"/>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上清液储存罐</w:t>
            </w:r>
          </w:p>
        </w:tc>
        <w:tc>
          <w:tcPr>
            <w:tcW w:w="693" w:type="pct"/>
            <w:noWrap w:val="0"/>
            <w:vAlign w:val="center"/>
          </w:tcPr>
          <w:p>
            <w:pPr>
              <w:pStyle w:val="24"/>
              <w:snapToGrid w:val="0"/>
              <w:rPr>
                <w:rFonts w:hint="eastAsia"/>
                <w:i w:val="0"/>
                <w:iCs w:val="0"/>
                <w:color w:val="000000"/>
                <w:sz w:val="21"/>
                <w:szCs w:val="21"/>
                <w:u w:val="single"/>
              </w:rPr>
            </w:pPr>
            <w:r>
              <w:rPr>
                <w:rFonts w:hint="eastAsia"/>
                <w:bCs/>
                <w:i w:val="0"/>
                <w:iCs w:val="0"/>
                <w:color w:val="000000"/>
                <w:sz w:val="21"/>
                <w:szCs w:val="21"/>
                <w:u w:val="single"/>
                <w:lang w:val="en-US" w:eastAsia="zh-CN"/>
              </w:rPr>
              <w:t>53.36（外购蒸汽）</w:t>
            </w:r>
          </w:p>
        </w:tc>
        <w:tc>
          <w:tcPr>
            <w:tcW w:w="634" w:type="pct"/>
            <w:noWrap w:val="0"/>
            <w:vAlign w:val="center"/>
          </w:tcPr>
          <w:p>
            <w:pPr>
              <w:adjustRightInd w:val="0"/>
              <w:snapToGrid w:val="0"/>
              <w:jc w:val="center"/>
              <w:rPr>
                <w:rFonts w:hint="eastAsia" w:ascii="Times New Roman" w:hAnsi="Times New Roman" w:eastAsia="宋体" w:cs="Times New Roman"/>
                <w:bCs/>
                <w:i w:val="0"/>
                <w:iCs w:val="0"/>
                <w:color w:val="000000"/>
                <w:kern w:val="2"/>
                <w:sz w:val="21"/>
                <w:szCs w:val="21"/>
                <w:u w:val="single"/>
                <w:lang w:val="en-US" w:eastAsia="zh-CN" w:bidi="ar-SA"/>
              </w:rPr>
            </w:pPr>
            <w:r>
              <w:rPr>
                <w:rFonts w:hint="eastAsia" w:ascii="Times New Roman" w:hAnsi="Times New Roman" w:eastAsia="宋体" w:cs="Times New Roman"/>
                <w:bCs/>
                <w:i w:val="0"/>
                <w:iCs w:val="0"/>
                <w:color w:val="000000"/>
                <w:kern w:val="2"/>
                <w:sz w:val="21"/>
                <w:szCs w:val="21"/>
                <w:u w:val="single"/>
                <w:lang w:val="en-US" w:eastAsia="zh-CN" w:bidi="ar-SA"/>
              </w:rPr>
              <w:t>——</w:t>
            </w:r>
          </w:p>
        </w:tc>
        <w:tc>
          <w:tcPr>
            <w:tcW w:w="693" w:type="pct"/>
            <w:noWrap w:val="0"/>
            <w:vAlign w:val="center"/>
          </w:tcPr>
          <w:p>
            <w:pPr>
              <w:adjustRightInd w:val="0"/>
              <w:snapToGrid w:val="0"/>
              <w:jc w:val="center"/>
              <w:rPr>
                <w:rFonts w:hint="eastAsia" w:ascii="Times New Roman" w:hAnsi="Times New Roman" w:eastAsia="宋体" w:cs="Times New Roman"/>
                <w:bCs/>
                <w:i w:val="0"/>
                <w:iCs w:val="0"/>
                <w:color w:val="000000"/>
                <w:kern w:val="2"/>
                <w:sz w:val="21"/>
                <w:szCs w:val="21"/>
                <w:u w:val="single"/>
                <w:lang w:val="en-US" w:eastAsia="zh-CN" w:bidi="ar-SA"/>
              </w:rPr>
            </w:pPr>
            <w:r>
              <w:rPr>
                <w:rFonts w:hint="eastAsia" w:ascii="Times New Roman" w:hAnsi="Times New Roman" w:eastAsia="宋体" w:cs="Times New Roman"/>
                <w:bCs/>
                <w:i w:val="0"/>
                <w:iCs w:val="0"/>
                <w:color w:val="000000"/>
                <w:kern w:val="2"/>
                <w:sz w:val="21"/>
                <w:szCs w:val="21"/>
                <w:u w:val="single"/>
                <w:lang w:val="en-US" w:eastAsia="zh-CN" w:bidi="ar-SA"/>
              </w:rPr>
              <w:t>——</w:t>
            </w:r>
          </w:p>
        </w:tc>
        <w:tc>
          <w:tcPr>
            <w:tcW w:w="750" w:type="pct"/>
            <w:noWrap w:val="0"/>
            <w:vAlign w:val="center"/>
          </w:tcPr>
          <w:p>
            <w:pPr>
              <w:adjustRightInd w:val="0"/>
              <w:snapToGrid w:val="0"/>
              <w:jc w:val="center"/>
              <w:rPr>
                <w:rFonts w:hint="default" w:ascii="Times New Roman" w:hAnsi="Times New Roman" w:eastAsia="宋体" w:cs="Times New Roman"/>
                <w:bCs/>
                <w:i w:val="0"/>
                <w:iCs w:val="0"/>
                <w:color w:val="000000"/>
                <w:kern w:val="2"/>
                <w:sz w:val="21"/>
                <w:szCs w:val="21"/>
                <w:u w:val="single"/>
                <w:lang w:val="en-US" w:eastAsia="zh-CN" w:bidi="ar-SA"/>
              </w:rPr>
            </w:pPr>
            <w:r>
              <w:rPr>
                <w:rFonts w:hint="eastAsia" w:ascii="Times New Roman" w:hAnsi="Times New Roman" w:eastAsia="宋体" w:cs="Times New Roman"/>
                <w:bCs/>
                <w:i w:val="0"/>
                <w:iCs w:val="0"/>
                <w:color w:val="000000"/>
                <w:kern w:val="2"/>
                <w:sz w:val="21"/>
                <w:szCs w:val="21"/>
                <w:u w:val="single"/>
                <w:lang w:val="en-US" w:eastAsia="zh-CN" w:bidi="ar-SA"/>
              </w:rPr>
              <w:t>12.27</w:t>
            </w:r>
          </w:p>
        </w:tc>
        <w:tc>
          <w:tcPr>
            <w:tcW w:w="603" w:type="pct"/>
            <w:noWrap w:val="0"/>
            <w:vAlign w:val="center"/>
          </w:tcPr>
          <w:p>
            <w:pPr>
              <w:adjustRightInd w:val="0"/>
              <w:snapToGrid w:val="0"/>
              <w:jc w:val="center"/>
              <w:rPr>
                <w:rFonts w:hint="eastAsia" w:ascii="Times New Roman" w:hAnsi="Times New Roman" w:eastAsia="宋体" w:cs="Times New Roman"/>
                <w:bCs/>
                <w:i w:val="0"/>
                <w:iCs w:val="0"/>
                <w:color w:val="000000"/>
                <w:kern w:val="2"/>
                <w:sz w:val="21"/>
                <w:szCs w:val="21"/>
                <w:u w:val="single"/>
                <w:lang w:val="en-US" w:eastAsia="zh-CN" w:bidi="ar-SA"/>
              </w:rPr>
            </w:pPr>
            <w:r>
              <w:rPr>
                <w:rFonts w:hint="eastAsia" w:ascii="Times New Roman" w:hAnsi="Times New Roman" w:eastAsia="宋体" w:cs="Times New Roman"/>
                <w:bCs/>
                <w:i w:val="0"/>
                <w:iCs w:val="0"/>
                <w:color w:val="000000"/>
                <w:kern w:val="2"/>
                <w:sz w:val="21"/>
                <w:szCs w:val="21"/>
                <w:u w:val="single"/>
                <w:lang w:val="en-US" w:eastAsia="zh-CN" w:bidi="ar-SA"/>
              </w:rPr>
              <w:t xml:space="preserve">41.09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0"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合计</w:t>
            </w:r>
          </w:p>
        </w:tc>
        <w:tc>
          <w:tcPr>
            <w:tcW w:w="823" w:type="pct"/>
            <w:noWrap w:val="0"/>
            <w:vAlign w:val="center"/>
          </w:tcPr>
          <w:p>
            <w:pPr>
              <w:adjustRightInd w:val="0"/>
              <w:snapToGrid w:val="0"/>
              <w:jc w:val="center"/>
              <w:rPr>
                <w:rFonts w:hint="eastAsia"/>
                <w:i w:val="0"/>
                <w:iCs w:val="0"/>
                <w:color w:val="000000"/>
                <w:sz w:val="21"/>
                <w:szCs w:val="21"/>
                <w:u w:val="single"/>
              </w:rPr>
            </w:pPr>
            <w:r>
              <w:rPr>
                <w:rFonts w:hint="eastAsia"/>
                <w:i w:val="0"/>
                <w:iCs w:val="0"/>
                <w:color w:val="000000"/>
                <w:sz w:val="21"/>
                <w:szCs w:val="21"/>
                <w:u w:val="single"/>
              </w:rPr>
              <w:t>—</w:t>
            </w:r>
          </w:p>
        </w:tc>
        <w:tc>
          <w:tcPr>
            <w:tcW w:w="693" w:type="pct"/>
            <w:noWrap w:val="0"/>
            <w:vAlign w:val="center"/>
          </w:tcPr>
          <w:p>
            <w:pPr>
              <w:adjustRightInd w:val="0"/>
              <w:snapToGrid w:val="0"/>
              <w:jc w:val="center"/>
              <w:rPr>
                <w:i w:val="0"/>
                <w:iCs w:val="0"/>
                <w:color w:val="000000"/>
                <w:sz w:val="21"/>
                <w:szCs w:val="21"/>
                <w:u w:val="single"/>
              </w:rPr>
            </w:pPr>
          </w:p>
        </w:tc>
        <w:tc>
          <w:tcPr>
            <w:tcW w:w="634" w:type="pct"/>
            <w:noWrap w:val="0"/>
            <w:vAlign w:val="center"/>
          </w:tcPr>
          <w:p>
            <w:pPr>
              <w:keepNext w:val="0"/>
              <w:keepLines w:val="0"/>
              <w:widowControl/>
              <w:suppressLineNumbers w:val="0"/>
              <w:jc w:val="right"/>
              <w:textAlignment w:val="center"/>
              <w:rPr>
                <w:rFonts w:hint="eastAsia" w:ascii="Times New Roman" w:hAnsi="Times New Roman" w:eastAsia="宋体" w:cs="Times New Roman"/>
                <w:bCs/>
                <w:i w:val="0"/>
                <w:iCs w:val="0"/>
                <w:color w:val="000000"/>
                <w:kern w:val="2"/>
                <w:sz w:val="21"/>
                <w:szCs w:val="21"/>
                <w:u w:val="single"/>
                <w:lang w:val="en-US" w:eastAsia="zh-CN" w:bidi="ar-SA"/>
              </w:rPr>
            </w:pPr>
            <w:r>
              <w:rPr>
                <w:rFonts w:hint="eastAsia" w:ascii="Times New Roman" w:hAnsi="Times New Roman" w:eastAsia="宋体" w:cs="Times New Roman"/>
                <w:bCs/>
                <w:i w:val="0"/>
                <w:iCs w:val="0"/>
                <w:color w:val="000000"/>
                <w:kern w:val="2"/>
                <w:sz w:val="21"/>
                <w:szCs w:val="21"/>
                <w:u w:val="single"/>
                <w:lang w:val="en-US" w:eastAsia="zh-CN" w:bidi="ar-SA"/>
              </w:rPr>
              <w:t>582.79375</w:t>
            </w:r>
          </w:p>
        </w:tc>
        <w:tc>
          <w:tcPr>
            <w:tcW w:w="693" w:type="pct"/>
            <w:noWrap w:val="0"/>
            <w:vAlign w:val="center"/>
          </w:tcPr>
          <w:p>
            <w:pPr>
              <w:adjustRightInd w:val="0"/>
              <w:snapToGrid w:val="0"/>
              <w:jc w:val="center"/>
              <w:rPr>
                <w:rFonts w:hint="eastAsia" w:ascii="Times New Roman" w:hAnsi="Times New Roman" w:eastAsia="宋体" w:cs="Times New Roman"/>
                <w:bCs/>
                <w:i w:val="0"/>
                <w:iCs w:val="0"/>
                <w:color w:val="000000"/>
                <w:kern w:val="2"/>
                <w:sz w:val="21"/>
                <w:szCs w:val="21"/>
                <w:u w:val="single"/>
                <w:lang w:val="en-US" w:eastAsia="zh-CN" w:bidi="ar-SA"/>
              </w:rPr>
            </w:pPr>
            <w:r>
              <w:rPr>
                <w:rFonts w:hint="eastAsia" w:ascii="Times New Roman" w:hAnsi="Times New Roman" w:eastAsia="宋体" w:cs="Times New Roman"/>
                <w:bCs/>
                <w:i w:val="0"/>
                <w:iCs w:val="0"/>
                <w:color w:val="000000"/>
                <w:kern w:val="2"/>
                <w:sz w:val="21"/>
                <w:szCs w:val="21"/>
                <w:u w:val="single"/>
                <w:lang w:val="en-US" w:eastAsia="zh-CN" w:bidi="ar-SA"/>
              </w:rPr>
              <w:t>——</w:t>
            </w:r>
          </w:p>
        </w:tc>
        <w:tc>
          <w:tcPr>
            <w:tcW w:w="750" w:type="pct"/>
            <w:noWrap w:val="0"/>
            <w:vAlign w:val="center"/>
          </w:tcPr>
          <w:p>
            <w:pPr>
              <w:adjustRightInd w:val="0"/>
              <w:snapToGrid w:val="0"/>
              <w:jc w:val="center"/>
              <w:rPr>
                <w:rFonts w:hint="eastAsia" w:ascii="Times New Roman" w:hAnsi="Times New Roman" w:eastAsia="宋体" w:cs="Times New Roman"/>
                <w:bCs/>
                <w:i w:val="0"/>
                <w:iCs w:val="0"/>
                <w:color w:val="000000"/>
                <w:kern w:val="2"/>
                <w:sz w:val="21"/>
                <w:szCs w:val="21"/>
                <w:u w:val="single"/>
                <w:lang w:val="en-US" w:eastAsia="zh-CN" w:bidi="ar-SA"/>
              </w:rPr>
            </w:pPr>
            <w:r>
              <w:rPr>
                <w:rFonts w:hint="eastAsia" w:ascii="Times New Roman" w:hAnsi="Times New Roman" w:eastAsia="宋体" w:cs="Times New Roman"/>
                <w:bCs/>
                <w:i w:val="0"/>
                <w:iCs w:val="0"/>
                <w:color w:val="000000"/>
                <w:kern w:val="2"/>
                <w:sz w:val="21"/>
                <w:szCs w:val="21"/>
                <w:u w:val="single"/>
                <w:lang w:val="en-US" w:eastAsia="zh-CN" w:bidi="ar-SA"/>
              </w:rPr>
              <w:t>58899.31375</w:t>
            </w:r>
          </w:p>
        </w:tc>
        <w:tc>
          <w:tcPr>
            <w:tcW w:w="603" w:type="pct"/>
            <w:noWrap w:val="0"/>
            <w:vAlign w:val="center"/>
          </w:tcPr>
          <w:p>
            <w:pPr>
              <w:adjustRightInd w:val="0"/>
              <w:snapToGrid w:val="0"/>
              <w:jc w:val="center"/>
              <w:rPr>
                <w:rFonts w:hint="default" w:ascii="Times New Roman" w:hAnsi="Times New Roman" w:eastAsia="宋体" w:cs="Times New Roman"/>
                <w:bCs/>
                <w:i w:val="0"/>
                <w:iCs w:val="0"/>
                <w:color w:val="000000"/>
                <w:kern w:val="2"/>
                <w:sz w:val="21"/>
                <w:szCs w:val="21"/>
                <w:u w:val="single"/>
                <w:lang w:val="en-US" w:eastAsia="zh-CN" w:bidi="ar-SA"/>
              </w:rPr>
            </w:pPr>
            <w:r>
              <w:rPr>
                <w:rFonts w:hint="eastAsia" w:ascii="Times New Roman" w:hAnsi="Times New Roman" w:eastAsia="宋体" w:cs="Times New Roman"/>
                <w:bCs/>
                <w:i w:val="0"/>
                <w:iCs w:val="0"/>
                <w:color w:val="000000"/>
                <w:kern w:val="2"/>
                <w:sz w:val="21"/>
                <w:szCs w:val="21"/>
                <w:u w:val="single"/>
                <w:lang w:val="en-US" w:eastAsia="zh-CN" w:bidi="ar-SA"/>
              </w:rPr>
              <w:t>35568.02</w:t>
            </w:r>
          </w:p>
        </w:tc>
      </w:tr>
    </w:tbl>
    <w:p>
      <w:pPr>
        <w:spacing w:line="360" w:lineRule="auto"/>
        <w:rPr>
          <w:rFonts w:hint="eastAsia" w:eastAsia="黑体"/>
          <w:i w:val="0"/>
          <w:iCs w:val="0"/>
          <w:color w:val="000000"/>
          <w:u w:val="single"/>
        </w:rPr>
      </w:pPr>
    </w:p>
    <w:p>
      <w:pPr>
        <w:spacing w:line="360" w:lineRule="auto"/>
        <w:jc w:val="center"/>
        <w:rPr>
          <w:rFonts w:hint="eastAsia"/>
          <w:i w:val="0"/>
          <w:iCs w:val="0"/>
          <w:color w:val="000000"/>
          <w:u w:val="single"/>
        </w:rPr>
      </w:pPr>
    </w:p>
    <w:p>
      <w:pPr>
        <w:spacing w:line="360" w:lineRule="auto"/>
        <w:jc w:val="center"/>
        <w:rPr>
          <w:i w:val="0"/>
          <w:iCs w:val="0"/>
          <w:u w:val="single"/>
        </w:rPr>
      </w:pPr>
      <w:r>
        <w:rPr>
          <w:i w:val="0"/>
          <w:iCs w:val="0"/>
          <w:u w:val="single"/>
        </w:rPr>
        <w:drawing>
          <wp:inline distT="0" distB="0" distL="114300" distR="114300">
            <wp:extent cx="5903595" cy="7084060"/>
            <wp:effectExtent l="0" t="0" r="1905" b="2540"/>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29"/>
                    <a:stretch>
                      <a:fillRect/>
                    </a:stretch>
                  </pic:blipFill>
                  <pic:spPr>
                    <a:xfrm>
                      <a:off x="0" y="0"/>
                      <a:ext cx="5903595" cy="7084060"/>
                    </a:xfrm>
                    <a:prstGeom prst="rect">
                      <a:avLst/>
                    </a:prstGeom>
                    <a:noFill/>
                    <a:ln>
                      <a:noFill/>
                    </a:ln>
                  </pic:spPr>
                </pic:pic>
              </a:graphicData>
            </a:graphic>
          </wp:inline>
        </w:drawing>
      </w:r>
    </w:p>
    <w:p>
      <w:pPr>
        <w:spacing w:line="360" w:lineRule="auto"/>
        <w:jc w:val="center"/>
        <w:rPr>
          <w:rFonts w:hint="eastAsia" w:eastAsia="黑体"/>
          <w:i w:val="0"/>
          <w:iCs w:val="0"/>
          <w:color w:val="000000"/>
          <w:u w:val="single"/>
        </w:rPr>
      </w:pPr>
      <w:r>
        <w:rPr>
          <w:rFonts w:eastAsia="黑体"/>
          <w:i w:val="0"/>
          <w:iCs w:val="0"/>
          <w:color w:val="000000"/>
          <w:u w:val="single"/>
        </w:rPr>
        <w:t>图</w:t>
      </w:r>
      <w:r>
        <w:rPr>
          <w:rFonts w:hint="eastAsia" w:eastAsia="黑体"/>
          <w:i w:val="0"/>
          <w:iCs w:val="0"/>
          <w:color w:val="000000"/>
          <w:u w:val="single"/>
        </w:rPr>
        <w:t>3-</w:t>
      </w:r>
      <w:r>
        <w:rPr>
          <w:rFonts w:hint="eastAsia" w:eastAsia="黑体"/>
          <w:i w:val="0"/>
          <w:iCs w:val="0"/>
          <w:color w:val="000000"/>
          <w:u w:val="single"/>
          <w:lang w:val="en-US" w:eastAsia="zh-CN"/>
        </w:rPr>
        <w:t>4</w:t>
      </w:r>
      <w:r>
        <w:rPr>
          <w:rFonts w:hint="eastAsia" w:eastAsia="黑体"/>
          <w:i w:val="0"/>
          <w:iCs w:val="0"/>
          <w:color w:val="000000"/>
          <w:u w:val="single"/>
        </w:rPr>
        <w:t xml:space="preserve"> </w:t>
      </w:r>
      <w:r>
        <w:rPr>
          <w:rFonts w:eastAsia="黑体"/>
          <w:i w:val="0"/>
          <w:iCs w:val="0"/>
          <w:color w:val="000000"/>
          <w:u w:val="single"/>
        </w:rPr>
        <w:t xml:space="preserve"> 水平衡图（</w:t>
      </w:r>
      <w:r>
        <w:rPr>
          <w:rFonts w:hint="eastAsia" w:eastAsia="黑体"/>
          <w:i w:val="0"/>
          <w:iCs w:val="0"/>
          <w:color w:val="000000"/>
          <w:u w:val="single"/>
        </w:rPr>
        <w:t>m</w:t>
      </w:r>
      <w:r>
        <w:rPr>
          <w:rFonts w:hint="eastAsia" w:eastAsia="黑体"/>
          <w:i w:val="0"/>
          <w:iCs w:val="0"/>
          <w:color w:val="000000"/>
          <w:u w:val="single"/>
          <w:vertAlign w:val="superscript"/>
        </w:rPr>
        <w:t>3</w:t>
      </w:r>
      <w:r>
        <w:rPr>
          <w:rFonts w:eastAsia="黑体"/>
          <w:i w:val="0"/>
          <w:iCs w:val="0"/>
          <w:color w:val="000000"/>
          <w:u w:val="single"/>
        </w:rPr>
        <w:t>/</w:t>
      </w:r>
      <w:r>
        <w:rPr>
          <w:rFonts w:hint="eastAsia" w:eastAsia="黑体"/>
          <w:i w:val="0"/>
          <w:iCs w:val="0"/>
          <w:color w:val="000000"/>
          <w:u w:val="single"/>
          <w:lang w:val="en-US" w:eastAsia="zh-CN"/>
        </w:rPr>
        <w:t>a</w:t>
      </w:r>
      <w:r>
        <w:rPr>
          <w:rFonts w:eastAsia="黑体"/>
          <w:i w:val="0"/>
          <w:iCs w:val="0"/>
          <w:color w:val="000000"/>
          <w:u w:val="single"/>
        </w:rPr>
        <w:t>）</w:t>
      </w:r>
    </w:p>
    <w:p>
      <w:pPr>
        <w:spacing w:line="360" w:lineRule="auto"/>
        <w:ind w:firstLine="480" w:firstLineChars="200"/>
        <w:rPr>
          <w:rFonts w:hint="eastAsia"/>
          <w:i w:val="0"/>
          <w:iCs w:val="0"/>
          <w:u w:val="single"/>
        </w:rPr>
      </w:pPr>
      <w:r>
        <w:rPr>
          <w:rFonts w:hint="eastAsia"/>
          <w:i w:val="0"/>
          <w:iCs w:val="0"/>
          <w:u w:val="single"/>
        </w:rPr>
        <w:t>3、供蒸汽</w:t>
      </w:r>
    </w:p>
    <w:p>
      <w:pPr>
        <w:spacing w:line="360" w:lineRule="auto"/>
        <w:ind w:firstLine="480" w:firstLineChars="200"/>
        <w:rPr>
          <w:rFonts w:hint="eastAsia"/>
          <w:i w:val="0"/>
          <w:iCs w:val="0"/>
          <w:color w:val="000000"/>
          <w:u w:val="single"/>
        </w:rPr>
      </w:pPr>
      <w:r>
        <w:rPr>
          <w:rFonts w:hint="eastAsia"/>
          <w:i w:val="0"/>
          <w:iCs w:val="0"/>
          <w:color w:val="000000"/>
          <w:u w:val="single"/>
        </w:rPr>
        <w:t>项目蒸汽由大台子蒸汽站供应</w:t>
      </w:r>
      <w:r>
        <w:rPr>
          <w:rFonts w:hint="eastAsia"/>
          <w:i w:val="0"/>
          <w:iCs w:val="0"/>
          <w:color w:val="000000"/>
          <w:u w:val="single"/>
          <w:lang w:eastAsia="zh-CN"/>
        </w:rPr>
        <w:t>，</w:t>
      </w:r>
      <w:r>
        <w:rPr>
          <w:rFonts w:hint="eastAsia"/>
          <w:i w:val="0"/>
          <w:iCs w:val="0"/>
          <w:color w:val="000000"/>
          <w:u w:val="single"/>
        </w:rPr>
        <w:t>大台子蒸汽站</w:t>
      </w:r>
      <w:r>
        <w:rPr>
          <w:rFonts w:hint="eastAsia"/>
          <w:i w:val="0"/>
          <w:iCs w:val="0"/>
          <w:color w:val="000000"/>
          <w:u w:val="single"/>
          <w:lang w:eastAsia="zh-CN"/>
        </w:rPr>
        <w:t>预计于2025年6月底前建设完成（一期）投产运行，</w:t>
      </w:r>
      <w:r>
        <w:rPr>
          <w:rFonts w:hint="eastAsia"/>
          <w:i w:val="0"/>
          <w:iCs w:val="0"/>
          <w:color w:val="000000"/>
          <w:u w:val="single"/>
        </w:rPr>
        <w:t>项目所用蒸汽为0.8MPa饱和蒸汽，各期蒸汽用量及凝结水量见表3-1</w:t>
      </w:r>
      <w:r>
        <w:rPr>
          <w:rFonts w:hint="eastAsia"/>
          <w:i w:val="0"/>
          <w:iCs w:val="0"/>
          <w:color w:val="000000"/>
          <w:u w:val="single"/>
          <w:lang w:val="en-US" w:eastAsia="zh-CN"/>
        </w:rPr>
        <w:t>7</w:t>
      </w:r>
      <w:r>
        <w:rPr>
          <w:rFonts w:hint="eastAsia"/>
          <w:i w:val="0"/>
          <w:iCs w:val="0"/>
          <w:color w:val="000000"/>
          <w:u w:val="single"/>
        </w:rPr>
        <w:t>。</w:t>
      </w:r>
    </w:p>
    <w:p>
      <w:pPr>
        <w:pStyle w:val="36"/>
        <w:ind w:left="0" w:leftChars="0"/>
        <w:jc w:val="center"/>
        <w:rPr>
          <w:rFonts w:hint="eastAsia" w:ascii="Times New Roman" w:hAnsi="Times New Roman"/>
          <w:b/>
          <w:i w:val="0"/>
          <w:iCs w:val="0"/>
          <w:u w:val="single"/>
        </w:rPr>
      </w:pPr>
      <w:r>
        <w:rPr>
          <w:rFonts w:hint="eastAsia" w:ascii="Times New Roman" w:hAnsi="Times New Roman"/>
          <w:b/>
          <w:i w:val="0"/>
          <w:iCs w:val="0"/>
          <w:u w:val="single"/>
        </w:rPr>
        <w:t>表3-1</w:t>
      </w:r>
      <w:r>
        <w:rPr>
          <w:rFonts w:hint="eastAsia" w:ascii="Times New Roman" w:hAnsi="Times New Roman"/>
          <w:b/>
          <w:i w:val="0"/>
          <w:iCs w:val="0"/>
          <w:u w:val="single"/>
          <w:lang w:val="en-US" w:eastAsia="zh-CN"/>
        </w:rPr>
        <w:t>7</w:t>
      </w:r>
      <w:r>
        <w:rPr>
          <w:rFonts w:hint="eastAsia" w:ascii="Times New Roman" w:hAnsi="Times New Roman"/>
          <w:b/>
          <w:i w:val="0"/>
          <w:iCs w:val="0"/>
          <w:u w:val="single"/>
        </w:rPr>
        <w:t>项目蒸汽用量及凝结水量表</w:t>
      </w:r>
    </w:p>
    <w:tbl>
      <w:tblPr>
        <w:tblStyle w:val="58"/>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autofit"/>
        <w:tblCellMar>
          <w:top w:w="0" w:type="dxa"/>
          <w:left w:w="108" w:type="dxa"/>
          <w:bottom w:w="0" w:type="dxa"/>
          <w:right w:w="108" w:type="dxa"/>
        </w:tblCellMar>
      </w:tblPr>
      <w:tblGrid>
        <w:gridCol w:w="1322"/>
        <w:gridCol w:w="2223"/>
        <w:gridCol w:w="1871"/>
        <w:gridCol w:w="2046"/>
        <w:gridCol w:w="2042"/>
      </w:tblGrid>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cantSplit/>
          <w:jc w:val="center"/>
        </w:trPr>
        <w:tc>
          <w:tcPr>
            <w:tcW w:w="1865" w:type="pct"/>
            <w:gridSpan w:val="2"/>
            <w:vMerge w:val="restart"/>
            <w:tcBorders>
              <w:tl2br w:val="nil"/>
              <w:tr2bl w:val="nil"/>
            </w:tcBorders>
            <w:noWrap w:val="0"/>
            <w:vAlign w:val="center"/>
          </w:tcPr>
          <w:p>
            <w:pPr>
              <w:pStyle w:val="24"/>
              <w:snapToGrid w:val="0"/>
              <w:ind w:firstLine="630" w:firstLineChars="300"/>
              <w:rPr>
                <w:bCs/>
                <w:i w:val="0"/>
                <w:iCs w:val="0"/>
                <w:color w:val="000000"/>
                <w:sz w:val="21"/>
                <w:szCs w:val="21"/>
                <w:u w:val="single"/>
              </w:rPr>
            </w:pPr>
            <w:r>
              <w:rPr>
                <w:i w:val="0"/>
                <w:iCs w:val="0"/>
                <w:sz w:val="21"/>
                <w:szCs w:val="21"/>
                <w:u w:val="single"/>
              </w:rPr>
              <mc:AlternateContent>
                <mc:Choice Requires="wps">
                  <w:drawing>
                    <wp:anchor distT="0" distB="0" distL="114300" distR="114300" simplePos="0" relativeHeight="251662336" behindDoc="0" locked="0" layoutInCell="1" allowOverlap="1">
                      <wp:simplePos x="0" y="0"/>
                      <wp:positionH relativeFrom="column">
                        <wp:posOffset>-45720</wp:posOffset>
                      </wp:positionH>
                      <wp:positionV relativeFrom="paragraph">
                        <wp:posOffset>1270</wp:posOffset>
                      </wp:positionV>
                      <wp:extent cx="2199640" cy="495935"/>
                      <wp:effectExtent l="1270" t="4445" r="8890" b="13970"/>
                      <wp:wrapNone/>
                      <wp:docPr id="1" name="直线 1000"/>
                      <wp:cNvGraphicFramePr/>
                      <a:graphic xmlns:a="http://schemas.openxmlformats.org/drawingml/2006/main">
                        <a:graphicData uri="http://schemas.microsoft.com/office/word/2010/wordprocessingShape">
                          <wps:wsp>
                            <wps:cNvCnPr/>
                            <wps:spPr>
                              <a:xfrm>
                                <a:off x="0" y="0"/>
                                <a:ext cx="2199640" cy="4959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00" o:spid="_x0000_s1026" o:spt="20" style="position:absolute;left:0pt;margin-left:-3.6pt;margin-top:0.1pt;height:39.05pt;width:173.2pt;z-index:251662336;mso-width-relative:page;mso-height-relative:page;" filled="f" stroked="t" coordsize="21600,21600" o:gfxdata="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Q&#10;0/KB1QAAAAYBAAAPAAAAAAAAAAEAIAAAACIAAABkcnMvZG93bnJldi54bWxQSwECFAAUAAAACACH&#10;TuJA7baUL+4BAADjAwAADgAAAAAAAAABACAAAAAkAQAAZHJzL2Uyb0RvYy54bWxQSwUGAAAAAAYA&#10;BgBZAQAAhAUAAAAA&#10;">
                      <v:fill on="f" focussize="0,0"/>
                      <v:stroke color="#000000" joinstyle="round"/>
                      <v:imagedata o:title=""/>
                      <o:lock v:ext="edit" aspectratio="f"/>
                    </v:line>
                  </w:pict>
                </mc:Fallback>
              </mc:AlternateContent>
            </w:r>
            <w:r>
              <w:rPr>
                <w:rFonts w:hAnsi="宋体"/>
                <w:bCs/>
                <w:i w:val="0"/>
                <w:iCs w:val="0"/>
                <w:color w:val="000000"/>
                <w:sz w:val="21"/>
                <w:szCs w:val="21"/>
                <w:u w:val="single"/>
              </w:rPr>
              <w:t>项目</w:t>
            </w:r>
          </w:p>
          <w:p>
            <w:pPr>
              <w:pStyle w:val="24"/>
              <w:snapToGrid w:val="0"/>
              <w:rPr>
                <w:bCs/>
                <w:i w:val="0"/>
                <w:iCs w:val="0"/>
                <w:color w:val="000000"/>
                <w:sz w:val="21"/>
                <w:szCs w:val="21"/>
                <w:u w:val="single"/>
              </w:rPr>
            </w:pPr>
          </w:p>
          <w:p>
            <w:pPr>
              <w:pStyle w:val="24"/>
              <w:snapToGrid w:val="0"/>
              <w:rPr>
                <w:bCs/>
                <w:i w:val="0"/>
                <w:iCs w:val="0"/>
                <w:color w:val="000000"/>
                <w:sz w:val="21"/>
                <w:szCs w:val="21"/>
                <w:u w:val="single"/>
              </w:rPr>
            </w:pPr>
            <w:r>
              <w:rPr>
                <w:rFonts w:hAnsi="宋体"/>
                <w:bCs/>
                <w:i w:val="0"/>
                <w:iCs w:val="0"/>
                <w:color w:val="000000"/>
                <w:sz w:val="21"/>
                <w:szCs w:val="21"/>
                <w:u w:val="single"/>
              </w:rPr>
              <w:t>名称</w:t>
            </w:r>
          </w:p>
        </w:tc>
        <w:tc>
          <w:tcPr>
            <w:tcW w:w="2060" w:type="pct"/>
            <w:gridSpan w:val="2"/>
            <w:tcBorders>
              <w:tl2br w:val="nil"/>
              <w:tr2bl w:val="nil"/>
            </w:tcBorders>
            <w:noWrap w:val="0"/>
            <w:vAlign w:val="center"/>
          </w:tcPr>
          <w:p>
            <w:pPr>
              <w:pStyle w:val="24"/>
              <w:snapToGrid w:val="0"/>
              <w:rPr>
                <w:bCs/>
                <w:i w:val="0"/>
                <w:iCs w:val="0"/>
                <w:color w:val="000000"/>
                <w:sz w:val="21"/>
                <w:szCs w:val="21"/>
                <w:u w:val="single"/>
              </w:rPr>
            </w:pPr>
            <w:r>
              <w:rPr>
                <w:rFonts w:hAnsi="宋体"/>
                <w:bCs/>
                <w:i w:val="0"/>
                <w:iCs w:val="0"/>
                <w:color w:val="000000"/>
                <w:sz w:val="21"/>
                <w:szCs w:val="21"/>
                <w:u w:val="single"/>
              </w:rPr>
              <w:t>工艺生产</w:t>
            </w:r>
          </w:p>
        </w:tc>
        <w:tc>
          <w:tcPr>
            <w:tcW w:w="1074" w:type="pct"/>
            <w:vMerge w:val="restart"/>
            <w:tcBorders>
              <w:tl2br w:val="nil"/>
              <w:tr2bl w:val="nil"/>
            </w:tcBorders>
            <w:noWrap w:val="0"/>
            <w:vAlign w:val="center"/>
          </w:tcPr>
          <w:p>
            <w:pPr>
              <w:pStyle w:val="24"/>
              <w:snapToGrid w:val="0"/>
              <w:rPr>
                <w:rFonts w:hint="eastAsia"/>
                <w:bCs/>
                <w:i w:val="0"/>
                <w:iCs w:val="0"/>
                <w:color w:val="000000"/>
                <w:sz w:val="21"/>
                <w:szCs w:val="21"/>
                <w:u w:val="single"/>
              </w:rPr>
            </w:pPr>
            <w:r>
              <w:rPr>
                <w:rFonts w:hint="eastAsia"/>
                <w:bCs/>
                <w:i w:val="0"/>
                <w:iCs w:val="0"/>
                <w:color w:val="000000"/>
                <w:sz w:val="21"/>
                <w:szCs w:val="21"/>
                <w:u w:val="singl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cantSplit/>
          <w:jc w:val="center"/>
        </w:trPr>
        <w:tc>
          <w:tcPr>
            <w:tcW w:w="1865" w:type="pct"/>
            <w:gridSpan w:val="2"/>
            <w:vMerge w:val="continue"/>
            <w:tcBorders>
              <w:tl2br w:val="nil"/>
              <w:tr2bl w:val="nil"/>
            </w:tcBorders>
            <w:noWrap w:val="0"/>
            <w:vAlign w:val="center"/>
          </w:tcPr>
          <w:p>
            <w:pPr>
              <w:pStyle w:val="24"/>
              <w:snapToGrid w:val="0"/>
              <w:rPr>
                <w:bCs/>
                <w:i w:val="0"/>
                <w:iCs w:val="0"/>
                <w:color w:val="000000"/>
                <w:sz w:val="21"/>
                <w:szCs w:val="21"/>
                <w:u w:val="single"/>
              </w:rPr>
            </w:pPr>
          </w:p>
        </w:tc>
        <w:tc>
          <w:tcPr>
            <w:tcW w:w="984" w:type="pct"/>
            <w:tcBorders>
              <w:tl2br w:val="nil"/>
              <w:tr2bl w:val="nil"/>
            </w:tcBorders>
            <w:noWrap w:val="0"/>
            <w:vAlign w:val="center"/>
          </w:tcPr>
          <w:p>
            <w:pPr>
              <w:pStyle w:val="24"/>
              <w:snapToGrid w:val="0"/>
              <w:rPr>
                <w:bCs/>
                <w:i w:val="0"/>
                <w:iCs w:val="0"/>
                <w:color w:val="000000"/>
                <w:sz w:val="21"/>
                <w:szCs w:val="21"/>
                <w:u w:val="single"/>
              </w:rPr>
            </w:pPr>
            <w:r>
              <w:rPr>
                <w:rFonts w:hAnsi="宋体"/>
                <w:bCs/>
                <w:i w:val="0"/>
                <w:iCs w:val="0"/>
                <w:color w:val="000000"/>
                <w:sz w:val="21"/>
                <w:szCs w:val="21"/>
                <w:u w:val="single"/>
              </w:rPr>
              <w:t>蒸汽量</w:t>
            </w:r>
            <w:r>
              <w:rPr>
                <w:bCs/>
                <w:i w:val="0"/>
                <w:iCs w:val="0"/>
                <w:color w:val="000000"/>
                <w:sz w:val="21"/>
                <w:szCs w:val="21"/>
                <w:u w:val="single"/>
              </w:rPr>
              <w:t>(t/</w:t>
            </w:r>
            <w:r>
              <w:rPr>
                <w:rFonts w:hint="eastAsia"/>
                <w:bCs/>
                <w:i w:val="0"/>
                <w:iCs w:val="0"/>
                <w:color w:val="000000"/>
                <w:sz w:val="21"/>
                <w:szCs w:val="21"/>
                <w:u w:val="single"/>
                <w:lang w:val="en-US" w:eastAsia="zh-CN"/>
              </w:rPr>
              <w:t>a</w:t>
            </w:r>
            <w:r>
              <w:rPr>
                <w:bCs/>
                <w:i w:val="0"/>
                <w:iCs w:val="0"/>
                <w:color w:val="000000"/>
                <w:sz w:val="21"/>
                <w:szCs w:val="21"/>
                <w:u w:val="single"/>
              </w:rPr>
              <w:t>)</w:t>
            </w:r>
          </w:p>
        </w:tc>
        <w:tc>
          <w:tcPr>
            <w:tcW w:w="1076" w:type="pct"/>
            <w:tcBorders>
              <w:tl2br w:val="nil"/>
              <w:tr2bl w:val="nil"/>
            </w:tcBorders>
            <w:noWrap w:val="0"/>
            <w:vAlign w:val="center"/>
          </w:tcPr>
          <w:p>
            <w:pPr>
              <w:pStyle w:val="24"/>
              <w:snapToGrid w:val="0"/>
              <w:rPr>
                <w:bCs/>
                <w:i w:val="0"/>
                <w:iCs w:val="0"/>
                <w:color w:val="000000"/>
                <w:sz w:val="21"/>
                <w:szCs w:val="21"/>
                <w:u w:val="single"/>
              </w:rPr>
            </w:pPr>
            <w:r>
              <w:rPr>
                <w:rFonts w:hAnsi="宋体"/>
                <w:bCs/>
                <w:i w:val="0"/>
                <w:iCs w:val="0"/>
                <w:color w:val="000000"/>
                <w:sz w:val="21"/>
                <w:szCs w:val="21"/>
                <w:u w:val="single"/>
              </w:rPr>
              <w:t>凝结水量</w:t>
            </w:r>
            <w:r>
              <w:rPr>
                <w:bCs/>
                <w:i w:val="0"/>
                <w:iCs w:val="0"/>
                <w:color w:val="000000"/>
                <w:sz w:val="21"/>
                <w:szCs w:val="21"/>
                <w:u w:val="single"/>
              </w:rPr>
              <w:t>(t/</w:t>
            </w:r>
            <w:r>
              <w:rPr>
                <w:rFonts w:hint="eastAsia"/>
                <w:bCs/>
                <w:i w:val="0"/>
                <w:iCs w:val="0"/>
                <w:color w:val="000000"/>
                <w:sz w:val="21"/>
                <w:szCs w:val="21"/>
                <w:u w:val="single"/>
                <w:lang w:val="en-US" w:eastAsia="zh-CN"/>
              </w:rPr>
              <w:t>a</w:t>
            </w:r>
            <w:r>
              <w:rPr>
                <w:bCs/>
                <w:i w:val="0"/>
                <w:iCs w:val="0"/>
                <w:color w:val="000000"/>
                <w:sz w:val="21"/>
                <w:szCs w:val="21"/>
                <w:u w:val="single"/>
              </w:rPr>
              <w:t>)</w:t>
            </w:r>
          </w:p>
        </w:tc>
        <w:tc>
          <w:tcPr>
            <w:tcW w:w="1074" w:type="pct"/>
            <w:vMerge w:val="continue"/>
            <w:tcBorders>
              <w:tl2br w:val="nil"/>
              <w:tr2bl w:val="nil"/>
            </w:tcBorders>
            <w:noWrap w:val="0"/>
            <w:vAlign w:val="top"/>
          </w:tcPr>
          <w:p>
            <w:pPr>
              <w:pStyle w:val="24"/>
              <w:snapToGrid w:val="0"/>
              <w:rPr>
                <w:rFonts w:hAnsi="宋体"/>
                <w:bCs/>
                <w:i w:val="0"/>
                <w:iCs w:val="0"/>
                <w:color w:val="00000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cantSplit/>
          <w:trHeight w:val="238" w:hRule="atLeast"/>
          <w:jc w:val="center"/>
        </w:trPr>
        <w:tc>
          <w:tcPr>
            <w:tcW w:w="696" w:type="pct"/>
            <w:vMerge w:val="restart"/>
            <w:tcBorders>
              <w:tl2br w:val="nil"/>
              <w:tr2bl w:val="nil"/>
            </w:tcBorders>
            <w:noWrap w:val="0"/>
            <w:vAlign w:val="center"/>
          </w:tcPr>
          <w:p>
            <w:pPr>
              <w:pStyle w:val="24"/>
              <w:snapToGrid w:val="0"/>
              <w:rPr>
                <w:rFonts w:hint="eastAsia"/>
                <w:bCs/>
                <w:i w:val="0"/>
                <w:iCs w:val="0"/>
                <w:color w:val="000000"/>
                <w:sz w:val="21"/>
                <w:szCs w:val="21"/>
                <w:u w:val="single"/>
              </w:rPr>
            </w:pPr>
            <w:r>
              <w:rPr>
                <w:rFonts w:hint="eastAsia"/>
                <w:bCs/>
                <w:i w:val="0"/>
                <w:iCs w:val="0"/>
                <w:color w:val="000000"/>
                <w:sz w:val="21"/>
                <w:szCs w:val="21"/>
                <w:u w:val="single"/>
              </w:rPr>
              <w:t>发酵车间</w:t>
            </w:r>
          </w:p>
        </w:tc>
        <w:tc>
          <w:tcPr>
            <w:tcW w:w="1168" w:type="pct"/>
            <w:tcBorders>
              <w:tl2br w:val="nil"/>
              <w:tr2bl w:val="nil"/>
            </w:tcBorders>
            <w:noWrap w:val="0"/>
            <w:vAlign w:val="center"/>
          </w:tcPr>
          <w:p>
            <w:pPr>
              <w:keepNext w:val="0"/>
              <w:keepLines w:val="0"/>
              <w:widowControl/>
              <w:suppressLineNumbers w:val="0"/>
              <w:jc w:val="center"/>
              <w:textAlignment w:val="center"/>
              <w:rPr>
                <w:rFonts w:hAnsi="宋体"/>
                <w:bCs/>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一级种子罐</w:t>
            </w:r>
          </w:p>
        </w:tc>
        <w:tc>
          <w:tcPr>
            <w:tcW w:w="984" w:type="pct"/>
            <w:tcBorders>
              <w:tl2br w:val="nil"/>
              <w:tr2bl w:val="nil"/>
            </w:tcBorders>
            <w:noWrap w:val="0"/>
            <w:vAlign w:val="center"/>
          </w:tcPr>
          <w:p>
            <w:pPr>
              <w:pStyle w:val="24"/>
              <w:snapToGrid w:val="0"/>
              <w:rPr>
                <w:rFonts w:hint="eastAsia" w:ascii="Times New Roman" w:hAnsi="Times New Roman" w:eastAsia="宋体" w:cs="Times New Roman"/>
                <w:bCs/>
                <w:i w:val="0"/>
                <w:iCs w:val="0"/>
                <w:color w:val="000000"/>
                <w:sz w:val="21"/>
                <w:szCs w:val="21"/>
                <w:u w:val="single"/>
                <w:lang w:val="en-US" w:eastAsia="zh-CN"/>
              </w:rPr>
            </w:pPr>
            <w:r>
              <w:rPr>
                <w:rFonts w:hint="eastAsia" w:ascii="Times New Roman" w:hAnsi="Times New Roman" w:eastAsia="宋体" w:cs="Times New Roman"/>
                <w:bCs/>
                <w:i w:val="0"/>
                <w:iCs w:val="0"/>
                <w:color w:val="000000"/>
                <w:sz w:val="21"/>
                <w:szCs w:val="21"/>
                <w:u w:val="single"/>
                <w:lang w:val="en-US" w:eastAsia="zh-CN"/>
              </w:rPr>
              <w:t>0.625</w:t>
            </w:r>
          </w:p>
        </w:tc>
        <w:tc>
          <w:tcPr>
            <w:tcW w:w="1076" w:type="pct"/>
            <w:tcBorders>
              <w:tl2br w:val="nil"/>
              <w:tr2bl w:val="nil"/>
            </w:tcBorders>
            <w:noWrap w:val="0"/>
            <w:vAlign w:val="center"/>
          </w:tcPr>
          <w:p>
            <w:pPr>
              <w:pStyle w:val="24"/>
              <w:snapToGrid w:val="0"/>
              <w:rPr>
                <w:rFonts w:hint="default" w:eastAsia="宋体"/>
                <w:bCs/>
                <w:i w:val="0"/>
                <w:iCs w:val="0"/>
                <w:color w:val="000000"/>
                <w:sz w:val="21"/>
                <w:szCs w:val="21"/>
                <w:u w:val="single"/>
                <w:lang w:val="en-US" w:eastAsia="zh-CN"/>
              </w:rPr>
            </w:pPr>
            <w:r>
              <w:rPr>
                <w:rFonts w:hint="eastAsia"/>
                <w:bCs/>
                <w:i w:val="0"/>
                <w:iCs w:val="0"/>
                <w:color w:val="000000"/>
                <w:sz w:val="21"/>
                <w:szCs w:val="21"/>
                <w:u w:val="single"/>
                <w:lang w:val="en-US" w:eastAsia="zh-CN"/>
              </w:rPr>
              <w:t>0.48125</w:t>
            </w:r>
          </w:p>
        </w:tc>
        <w:tc>
          <w:tcPr>
            <w:tcW w:w="1074" w:type="pct"/>
            <w:vMerge w:val="restart"/>
            <w:tcBorders>
              <w:tl2br w:val="nil"/>
              <w:tr2bl w:val="nil"/>
            </w:tcBorders>
            <w:noWrap w:val="0"/>
            <w:vAlign w:val="center"/>
          </w:tcPr>
          <w:p>
            <w:pPr>
              <w:pStyle w:val="24"/>
              <w:snapToGrid w:val="0"/>
              <w:rPr>
                <w:rFonts w:hint="eastAsia" w:ascii="Times New Roman" w:hAnsi="Times New Roman" w:eastAsia="宋体" w:cs="Times New Roman"/>
                <w:bCs/>
                <w:i w:val="0"/>
                <w:iCs w:val="0"/>
                <w:color w:val="000000"/>
                <w:sz w:val="21"/>
                <w:szCs w:val="21"/>
                <w:u w:val="single"/>
              </w:rPr>
            </w:pPr>
          </w:p>
          <w:p>
            <w:pPr>
              <w:pStyle w:val="24"/>
              <w:snapToGrid w:val="0"/>
              <w:rPr>
                <w:rFonts w:hint="default" w:ascii="Times New Roman" w:hAnsi="Times New Roman" w:eastAsia="宋体" w:cs="Times New Roman"/>
                <w:bCs/>
                <w:i w:val="0"/>
                <w:iCs w:val="0"/>
                <w:color w:val="000000"/>
                <w:sz w:val="21"/>
                <w:szCs w:val="21"/>
                <w:u w:val="single"/>
                <w:lang w:val="en-US" w:eastAsia="zh-CN"/>
              </w:rPr>
            </w:pPr>
            <w:r>
              <w:rPr>
                <w:rFonts w:hint="eastAsia" w:ascii="Times New Roman" w:hAnsi="Times New Roman" w:eastAsia="宋体" w:cs="Times New Roman"/>
                <w:bCs/>
                <w:i w:val="0"/>
                <w:iCs w:val="0"/>
                <w:color w:val="000000"/>
                <w:sz w:val="21"/>
                <w:szCs w:val="21"/>
                <w:u w:val="single"/>
                <w:lang w:val="en-US" w:eastAsia="zh-CN"/>
              </w:rPr>
              <w:t>直接加热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cantSplit/>
          <w:jc w:val="center"/>
        </w:trPr>
        <w:tc>
          <w:tcPr>
            <w:tcW w:w="696" w:type="pct"/>
            <w:vMerge w:val="continue"/>
            <w:tcBorders>
              <w:tl2br w:val="nil"/>
              <w:tr2bl w:val="nil"/>
            </w:tcBorders>
            <w:noWrap w:val="0"/>
            <w:vAlign w:val="center"/>
          </w:tcPr>
          <w:p>
            <w:pPr>
              <w:pStyle w:val="24"/>
              <w:snapToGrid w:val="0"/>
              <w:rPr>
                <w:rFonts w:hint="eastAsia"/>
                <w:bCs/>
                <w:i w:val="0"/>
                <w:iCs w:val="0"/>
                <w:color w:val="000000"/>
                <w:sz w:val="21"/>
                <w:szCs w:val="21"/>
                <w:u w:val="single"/>
              </w:rPr>
            </w:pPr>
          </w:p>
        </w:tc>
        <w:tc>
          <w:tcPr>
            <w:tcW w:w="1168" w:type="pct"/>
            <w:tcBorders>
              <w:tl2br w:val="nil"/>
              <w:tr2bl w:val="nil"/>
            </w:tcBorders>
            <w:noWrap w:val="0"/>
            <w:vAlign w:val="center"/>
          </w:tcPr>
          <w:p>
            <w:pPr>
              <w:keepNext w:val="0"/>
              <w:keepLines w:val="0"/>
              <w:widowControl/>
              <w:suppressLineNumbers w:val="0"/>
              <w:jc w:val="center"/>
              <w:textAlignment w:val="center"/>
              <w:rPr>
                <w:rFonts w:hAnsi="宋体"/>
                <w:bCs/>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二级种子罐</w:t>
            </w:r>
          </w:p>
        </w:tc>
        <w:tc>
          <w:tcPr>
            <w:tcW w:w="984" w:type="pct"/>
            <w:tcBorders>
              <w:tl2br w:val="nil"/>
              <w:tr2bl w:val="nil"/>
            </w:tcBorders>
            <w:noWrap w:val="0"/>
            <w:vAlign w:val="center"/>
          </w:tcPr>
          <w:p>
            <w:pPr>
              <w:pStyle w:val="24"/>
              <w:snapToGrid w:val="0"/>
              <w:rPr>
                <w:rFonts w:hint="eastAsia" w:ascii="Times New Roman" w:hAnsi="Times New Roman" w:eastAsia="宋体" w:cs="Times New Roman"/>
                <w:bCs/>
                <w:i w:val="0"/>
                <w:iCs w:val="0"/>
                <w:color w:val="000000"/>
                <w:sz w:val="21"/>
                <w:szCs w:val="21"/>
                <w:u w:val="single"/>
                <w:lang w:val="en-US" w:eastAsia="zh-CN"/>
              </w:rPr>
            </w:pPr>
            <w:r>
              <w:rPr>
                <w:rFonts w:hint="eastAsia" w:ascii="Times New Roman" w:hAnsi="Times New Roman" w:eastAsia="宋体" w:cs="Times New Roman"/>
                <w:bCs/>
                <w:i w:val="0"/>
                <w:iCs w:val="0"/>
                <w:color w:val="000000"/>
                <w:sz w:val="21"/>
                <w:szCs w:val="21"/>
                <w:u w:val="single"/>
                <w:lang w:val="en-US" w:eastAsia="zh-CN"/>
              </w:rPr>
              <w:t>6.25</w:t>
            </w:r>
          </w:p>
        </w:tc>
        <w:tc>
          <w:tcPr>
            <w:tcW w:w="1076" w:type="pct"/>
            <w:tcBorders>
              <w:tl2br w:val="nil"/>
              <w:tr2bl w:val="nil"/>
            </w:tcBorders>
            <w:noWrap w:val="0"/>
            <w:vAlign w:val="center"/>
          </w:tcPr>
          <w:p>
            <w:pPr>
              <w:pStyle w:val="24"/>
              <w:snapToGrid w:val="0"/>
              <w:rPr>
                <w:rFonts w:hint="default" w:eastAsia="宋体"/>
                <w:bCs/>
                <w:i w:val="0"/>
                <w:iCs w:val="0"/>
                <w:color w:val="000000"/>
                <w:sz w:val="21"/>
                <w:szCs w:val="21"/>
                <w:u w:val="single"/>
                <w:lang w:val="en-US" w:eastAsia="zh-CN"/>
              </w:rPr>
            </w:pPr>
            <w:r>
              <w:rPr>
                <w:rFonts w:hint="eastAsia"/>
                <w:bCs/>
                <w:i w:val="0"/>
                <w:iCs w:val="0"/>
                <w:color w:val="000000"/>
                <w:sz w:val="21"/>
                <w:szCs w:val="21"/>
                <w:u w:val="single"/>
                <w:lang w:val="en-US" w:eastAsia="zh-CN"/>
              </w:rPr>
              <w:t>4.8125</w:t>
            </w:r>
          </w:p>
        </w:tc>
        <w:tc>
          <w:tcPr>
            <w:tcW w:w="1074" w:type="pct"/>
            <w:vMerge w:val="continue"/>
            <w:tcBorders>
              <w:tl2br w:val="nil"/>
              <w:tr2bl w:val="nil"/>
            </w:tcBorders>
            <w:noWrap w:val="0"/>
            <w:vAlign w:val="center"/>
          </w:tcPr>
          <w:p>
            <w:pPr>
              <w:pStyle w:val="24"/>
              <w:snapToGrid w:val="0"/>
              <w:rPr>
                <w:rFonts w:hint="eastAsia" w:ascii="Times New Roman" w:hAnsi="Times New Roman" w:eastAsia="宋体" w:cs="Times New Roman"/>
                <w:bCs/>
                <w:i w:val="0"/>
                <w:iCs w:val="0"/>
                <w:color w:val="00000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cantSplit/>
          <w:jc w:val="center"/>
        </w:trPr>
        <w:tc>
          <w:tcPr>
            <w:tcW w:w="696" w:type="pct"/>
            <w:vMerge w:val="continue"/>
            <w:tcBorders>
              <w:tl2br w:val="nil"/>
              <w:tr2bl w:val="nil"/>
            </w:tcBorders>
            <w:noWrap w:val="0"/>
            <w:vAlign w:val="center"/>
          </w:tcPr>
          <w:p>
            <w:pPr>
              <w:pStyle w:val="24"/>
              <w:snapToGrid w:val="0"/>
              <w:rPr>
                <w:rFonts w:hint="eastAsia"/>
                <w:bCs/>
                <w:i w:val="0"/>
                <w:iCs w:val="0"/>
                <w:color w:val="000000"/>
                <w:sz w:val="21"/>
                <w:szCs w:val="21"/>
                <w:u w:val="single"/>
              </w:rPr>
            </w:pPr>
          </w:p>
        </w:tc>
        <w:tc>
          <w:tcPr>
            <w:tcW w:w="1168" w:type="pct"/>
            <w:tcBorders>
              <w:tl2br w:val="nil"/>
              <w:tr2bl w:val="nil"/>
            </w:tcBorders>
            <w:noWrap w:val="0"/>
            <w:vAlign w:val="center"/>
          </w:tcPr>
          <w:p>
            <w:pPr>
              <w:keepNext w:val="0"/>
              <w:keepLines w:val="0"/>
              <w:widowControl/>
              <w:suppressLineNumbers w:val="0"/>
              <w:jc w:val="center"/>
              <w:textAlignment w:val="center"/>
              <w:rPr>
                <w:rFonts w:hAnsi="宋体"/>
                <w:bCs/>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三级种子罐</w:t>
            </w:r>
          </w:p>
        </w:tc>
        <w:tc>
          <w:tcPr>
            <w:tcW w:w="984" w:type="pct"/>
            <w:tcBorders>
              <w:tl2br w:val="nil"/>
              <w:tr2bl w:val="nil"/>
            </w:tcBorders>
            <w:noWrap w:val="0"/>
            <w:vAlign w:val="center"/>
          </w:tcPr>
          <w:p>
            <w:pPr>
              <w:pStyle w:val="24"/>
              <w:snapToGrid w:val="0"/>
              <w:rPr>
                <w:rFonts w:hint="eastAsia" w:ascii="Times New Roman" w:hAnsi="Times New Roman" w:eastAsia="宋体" w:cs="Times New Roman"/>
                <w:bCs/>
                <w:i w:val="0"/>
                <w:iCs w:val="0"/>
                <w:color w:val="000000"/>
                <w:sz w:val="21"/>
                <w:szCs w:val="21"/>
                <w:u w:val="single"/>
                <w:lang w:val="en-US" w:eastAsia="zh-CN"/>
              </w:rPr>
            </w:pPr>
            <w:r>
              <w:rPr>
                <w:rFonts w:hint="eastAsia" w:ascii="Times New Roman" w:hAnsi="Times New Roman" w:eastAsia="宋体" w:cs="Times New Roman"/>
                <w:bCs/>
                <w:i w:val="0"/>
                <w:iCs w:val="0"/>
                <w:color w:val="000000"/>
                <w:sz w:val="21"/>
                <w:szCs w:val="21"/>
                <w:u w:val="single"/>
                <w:lang w:val="en-US" w:eastAsia="zh-CN"/>
              </w:rPr>
              <w:t>125</w:t>
            </w:r>
          </w:p>
        </w:tc>
        <w:tc>
          <w:tcPr>
            <w:tcW w:w="1076" w:type="pct"/>
            <w:tcBorders>
              <w:tl2br w:val="nil"/>
              <w:tr2bl w:val="nil"/>
            </w:tcBorders>
            <w:noWrap w:val="0"/>
            <w:vAlign w:val="center"/>
          </w:tcPr>
          <w:p>
            <w:pPr>
              <w:pStyle w:val="24"/>
              <w:snapToGrid w:val="0"/>
              <w:rPr>
                <w:rFonts w:hint="default" w:ascii="Times New Roman" w:hAnsi="Times New Roman" w:eastAsia="宋体" w:cs="Times New Roman"/>
                <w:bCs/>
                <w:i w:val="0"/>
                <w:iCs w:val="0"/>
                <w:color w:val="000000"/>
                <w:sz w:val="21"/>
                <w:szCs w:val="21"/>
                <w:u w:val="single"/>
                <w:lang w:val="en-US" w:eastAsia="zh-CN"/>
              </w:rPr>
            </w:pPr>
            <w:r>
              <w:rPr>
                <w:rFonts w:hint="eastAsia" w:ascii="Times New Roman" w:hAnsi="Times New Roman" w:eastAsia="宋体" w:cs="Times New Roman"/>
                <w:bCs/>
                <w:i w:val="0"/>
                <w:iCs w:val="0"/>
                <w:color w:val="000000"/>
                <w:sz w:val="21"/>
                <w:szCs w:val="21"/>
                <w:u w:val="single"/>
                <w:lang w:val="en-US" w:eastAsia="zh-CN"/>
              </w:rPr>
              <w:t>96.25</w:t>
            </w:r>
          </w:p>
        </w:tc>
        <w:tc>
          <w:tcPr>
            <w:tcW w:w="1074" w:type="pct"/>
            <w:vMerge w:val="continue"/>
            <w:tcBorders>
              <w:tl2br w:val="nil"/>
              <w:tr2bl w:val="nil"/>
            </w:tcBorders>
            <w:noWrap w:val="0"/>
            <w:vAlign w:val="center"/>
          </w:tcPr>
          <w:p>
            <w:pPr>
              <w:pStyle w:val="24"/>
              <w:snapToGrid w:val="0"/>
              <w:rPr>
                <w:rFonts w:hint="eastAsia" w:ascii="Times New Roman" w:hAnsi="Times New Roman" w:eastAsia="宋体" w:cs="Times New Roman"/>
                <w:bCs/>
                <w:i w:val="0"/>
                <w:iCs w:val="0"/>
                <w:color w:val="00000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cantSplit/>
          <w:jc w:val="center"/>
        </w:trPr>
        <w:tc>
          <w:tcPr>
            <w:tcW w:w="696" w:type="pct"/>
            <w:vMerge w:val="continue"/>
            <w:tcBorders>
              <w:tl2br w:val="nil"/>
              <w:tr2bl w:val="nil"/>
            </w:tcBorders>
            <w:noWrap w:val="0"/>
            <w:vAlign w:val="center"/>
          </w:tcPr>
          <w:p>
            <w:pPr>
              <w:pStyle w:val="24"/>
              <w:snapToGrid w:val="0"/>
              <w:rPr>
                <w:rFonts w:hint="eastAsia"/>
                <w:bCs/>
                <w:i w:val="0"/>
                <w:iCs w:val="0"/>
                <w:color w:val="000000"/>
                <w:sz w:val="21"/>
                <w:szCs w:val="21"/>
                <w:u w:val="single"/>
              </w:rPr>
            </w:pPr>
          </w:p>
        </w:tc>
        <w:tc>
          <w:tcPr>
            <w:tcW w:w="1168" w:type="pct"/>
            <w:tcBorders>
              <w:tl2br w:val="nil"/>
              <w:tr2bl w:val="nil"/>
            </w:tcBorders>
            <w:noWrap w:val="0"/>
            <w:vAlign w:val="center"/>
          </w:tcPr>
          <w:p>
            <w:pPr>
              <w:keepNext w:val="0"/>
              <w:keepLines w:val="0"/>
              <w:widowControl/>
              <w:suppressLineNumbers w:val="0"/>
              <w:jc w:val="center"/>
              <w:textAlignment w:val="center"/>
              <w:rPr>
                <w:rFonts w:hAnsi="宋体"/>
                <w:bCs/>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发酵罐</w:t>
            </w:r>
          </w:p>
        </w:tc>
        <w:tc>
          <w:tcPr>
            <w:tcW w:w="984" w:type="pct"/>
            <w:tcBorders>
              <w:tl2br w:val="nil"/>
              <w:tr2bl w:val="nil"/>
            </w:tcBorders>
            <w:noWrap w:val="0"/>
            <w:vAlign w:val="center"/>
          </w:tcPr>
          <w:p>
            <w:pPr>
              <w:pStyle w:val="24"/>
              <w:snapToGrid w:val="0"/>
              <w:rPr>
                <w:rFonts w:hint="eastAsia" w:ascii="Times New Roman" w:hAnsi="Times New Roman" w:eastAsia="宋体" w:cs="Times New Roman"/>
                <w:bCs/>
                <w:i w:val="0"/>
                <w:iCs w:val="0"/>
                <w:color w:val="000000"/>
                <w:sz w:val="21"/>
                <w:szCs w:val="21"/>
                <w:u w:val="single"/>
                <w:lang w:val="en-US" w:eastAsia="zh-CN"/>
              </w:rPr>
            </w:pPr>
            <w:r>
              <w:rPr>
                <w:rFonts w:hint="eastAsia" w:ascii="Times New Roman" w:hAnsi="Times New Roman" w:eastAsia="宋体" w:cs="Times New Roman"/>
                <w:bCs/>
                <w:i w:val="0"/>
                <w:iCs w:val="0"/>
                <w:color w:val="000000"/>
                <w:sz w:val="21"/>
                <w:szCs w:val="21"/>
                <w:u w:val="single"/>
                <w:lang w:val="en-US" w:eastAsia="zh-CN"/>
              </w:rPr>
              <w:t>625</w:t>
            </w:r>
          </w:p>
        </w:tc>
        <w:tc>
          <w:tcPr>
            <w:tcW w:w="1076" w:type="pct"/>
            <w:tcBorders>
              <w:tl2br w:val="nil"/>
              <w:tr2bl w:val="nil"/>
            </w:tcBorders>
            <w:noWrap w:val="0"/>
            <w:vAlign w:val="center"/>
          </w:tcPr>
          <w:p>
            <w:pPr>
              <w:pStyle w:val="24"/>
              <w:snapToGrid w:val="0"/>
              <w:rPr>
                <w:rFonts w:hint="default" w:ascii="Times New Roman" w:hAnsi="Times New Roman" w:eastAsia="宋体" w:cs="Times New Roman"/>
                <w:bCs/>
                <w:i w:val="0"/>
                <w:iCs w:val="0"/>
                <w:color w:val="000000"/>
                <w:sz w:val="21"/>
                <w:szCs w:val="21"/>
                <w:u w:val="single"/>
                <w:lang w:val="en-US" w:eastAsia="zh-CN"/>
              </w:rPr>
            </w:pPr>
            <w:r>
              <w:rPr>
                <w:rFonts w:hint="eastAsia" w:ascii="Times New Roman" w:hAnsi="Times New Roman" w:eastAsia="宋体" w:cs="Times New Roman"/>
                <w:bCs/>
                <w:i w:val="0"/>
                <w:iCs w:val="0"/>
                <w:color w:val="000000"/>
                <w:sz w:val="21"/>
                <w:szCs w:val="21"/>
                <w:u w:val="single"/>
                <w:lang w:val="en-US" w:eastAsia="zh-CN"/>
              </w:rPr>
              <w:t>481.25</w:t>
            </w:r>
          </w:p>
        </w:tc>
        <w:tc>
          <w:tcPr>
            <w:tcW w:w="1074" w:type="pct"/>
            <w:vMerge w:val="continue"/>
            <w:tcBorders>
              <w:tl2br w:val="nil"/>
              <w:tr2bl w:val="nil"/>
            </w:tcBorders>
            <w:noWrap w:val="0"/>
            <w:vAlign w:val="center"/>
          </w:tcPr>
          <w:p>
            <w:pPr>
              <w:pStyle w:val="24"/>
              <w:snapToGrid w:val="0"/>
              <w:rPr>
                <w:rFonts w:hint="eastAsia" w:ascii="Times New Roman" w:hAnsi="Times New Roman" w:eastAsia="宋体" w:cs="Times New Roman"/>
                <w:bCs/>
                <w:i w:val="0"/>
                <w:iCs w:val="0"/>
                <w:color w:val="00000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cantSplit/>
          <w:jc w:val="center"/>
        </w:trPr>
        <w:tc>
          <w:tcPr>
            <w:tcW w:w="696" w:type="pct"/>
            <w:vMerge w:val="continue"/>
            <w:tcBorders>
              <w:tl2br w:val="nil"/>
              <w:tr2bl w:val="nil"/>
            </w:tcBorders>
            <w:noWrap w:val="0"/>
            <w:vAlign w:val="center"/>
          </w:tcPr>
          <w:p>
            <w:pPr>
              <w:pStyle w:val="24"/>
              <w:snapToGrid w:val="0"/>
              <w:rPr>
                <w:rFonts w:hint="eastAsia"/>
                <w:bCs/>
                <w:i w:val="0"/>
                <w:iCs w:val="0"/>
                <w:color w:val="000000"/>
                <w:sz w:val="21"/>
                <w:szCs w:val="21"/>
                <w:u w:val="single"/>
              </w:rPr>
            </w:pPr>
          </w:p>
        </w:tc>
        <w:tc>
          <w:tcPr>
            <w:tcW w:w="1168" w:type="pct"/>
            <w:tcBorders>
              <w:tl2br w:val="nil"/>
              <w:tr2bl w:val="nil"/>
            </w:tcBorders>
            <w:noWrap w:val="0"/>
            <w:vAlign w:val="center"/>
          </w:tcPr>
          <w:p>
            <w:pPr>
              <w:keepNext w:val="0"/>
              <w:keepLines w:val="0"/>
              <w:widowControl/>
              <w:suppressLineNumbers w:val="0"/>
              <w:jc w:val="center"/>
              <w:textAlignment w:val="center"/>
              <w:rPr>
                <w:rFonts w:hAnsi="宋体"/>
                <w:bCs/>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液糖消后罐</w:t>
            </w:r>
          </w:p>
        </w:tc>
        <w:tc>
          <w:tcPr>
            <w:tcW w:w="984" w:type="pct"/>
            <w:tcBorders>
              <w:tl2br w:val="nil"/>
              <w:tr2bl w:val="nil"/>
            </w:tcBorders>
            <w:noWrap w:val="0"/>
            <w:vAlign w:val="center"/>
          </w:tcPr>
          <w:p>
            <w:pPr>
              <w:pStyle w:val="24"/>
              <w:snapToGrid w:val="0"/>
              <w:rPr>
                <w:rFonts w:hint="eastAsia" w:ascii="Times New Roman" w:hAnsi="Times New Roman" w:eastAsia="宋体" w:cs="Times New Roman"/>
                <w:bCs/>
                <w:i w:val="0"/>
                <w:iCs w:val="0"/>
                <w:color w:val="000000"/>
                <w:sz w:val="21"/>
                <w:szCs w:val="21"/>
                <w:u w:val="single"/>
              </w:rPr>
            </w:pPr>
            <w:r>
              <w:rPr>
                <w:rFonts w:hint="eastAsia"/>
                <w:bCs/>
                <w:i w:val="0"/>
                <w:iCs w:val="0"/>
                <w:color w:val="000000"/>
                <w:sz w:val="21"/>
                <w:szCs w:val="21"/>
                <w:u w:val="single"/>
                <w:lang w:val="en-US" w:eastAsia="zh-CN"/>
              </w:rPr>
              <w:t>277.2</w:t>
            </w:r>
          </w:p>
        </w:tc>
        <w:tc>
          <w:tcPr>
            <w:tcW w:w="1076" w:type="pct"/>
            <w:tcBorders>
              <w:tl2br w:val="nil"/>
              <w:tr2bl w:val="nil"/>
            </w:tcBorders>
            <w:noWrap w:val="0"/>
            <w:vAlign w:val="center"/>
          </w:tcPr>
          <w:p>
            <w:pPr>
              <w:pStyle w:val="24"/>
              <w:snapToGrid w:val="0"/>
              <w:rPr>
                <w:rFonts w:hint="default" w:ascii="Times New Roman" w:hAnsi="Times New Roman" w:eastAsia="宋体" w:cs="Times New Roman"/>
                <w:bCs/>
                <w:i w:val="0"/>
                <w:iCs w:val="0"/>
                <w:color w:val="000000"/>
                <w:sz w:val="21"/>
                <w:szCs w:val="21"/>
                <w:u w:val="single"/>
                <w:lang w:val="en-US" w:eastAsia="zh-CN"/>
              </w:rPr>
            </w:pPr>
            <w:r>
              <w:rPr>
                <w:rFonts w:hint="eastAsia" w:ascii="Times New Roman" w:hAnsi="Times New Roman" w:eastAsia="宋体" w:cs="Times New Roman"/>
                <w:bCs/>
                <w:i w:val="0"/>
                <w:iCs w:val="0"/>
                <w:color w:val="000000"/>
                <w:sz w:val="21"/>
                <w:szCs w:val="21"/>
                <w:u w:val="single"/>
                <w:lang w:val="en-US" w:eastAsia="zh-CN"/>
              </w:rPr>
              <w:t xml:space="preserve">213.44 </w:t>
            </w:r>
          </w:p>
        </w:tc>
        <w:tc>
          <w:tcPr>
            <w:tcW w:w="1074" w:type="pct"/>
            <w:vMerge w:val="continue"/>
            <w:tcBorders>
              <w:tl2br w:val="nil"/>
              <w:tr2bl w:val="nil"/>
            </w:tcBorders>
            <w:noWrap w:val="0"/>
            <w:vAlign w:val="center"/>
          </w:tcPr>
          <w:p>
            <w:pPr>
              <w:pStyle w:val="24"/>
              <w:snapToGrid w:val="0"/>
              <w:rPr>
                <w:rFonts w:hint="eastAsia" w:ascii="Times New Roman" w:hAnsi="Times New Roman" w:eastAsia="宋体" w:cs="Times New Roman"/>
                <w:bCs/>
                <w:i w:val="0"/>
                <w:iCs w:val="0"/>
                <w:color w:val="00000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cantSplit/>
          <w:jc w:val="center"/>
        </w:trPr>
        <w:tc>
          <w:tcPr>
            <w:tcW w:w="696" w:type="pct"/>
            <w:vMerge w:val="continue"/>
            <w:tcBorders>
              <w:tl2br w:val="nil"/>
              <w:tr2bl w:val="nil"/>
            </w:tcBorders>
            <w:noWrap w:val="0"/>
            <w:vAlign w:val="center"/>
          </w:tcPr>
          <w:p>
            <w:pPr>
              <w:pStyle w:val="24"/>
              <w:snapToGrid w:val="0"/>
              <w:rPr>
                <w:rFonts w:hint="eastAsia"/>
                <w:bCs/>
                <w:i w:val="0"/>
                <w:iCs w:val="0"/>
                <w:color w:val="000000"/>
                <w:sz w:val="21"/>
                <w:szCs w:val="21"/>
                <w:u w:val="single"/>
              </w:rPr>
            </w:pPr>
          </w:p>
        </w:tc>
        <w:tc>
          <w:tcPr>
            <w:tcW w:w="1168" w:type="pc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single"/>
                <w:lang w:val="en-US" w:eastAsia="zh-CN" w:bidi="ar"/>
              </w:rPr>
            </w:pPr>
            <w:r>
              <w:rPr>
                <w:rFonts w:hint="eastAsia" w:ascii="宋体" w:hAnsi="宋体" w:eastAsia="宋体" w:cs="宋体"/>
                <w:i w:val="0"/>
                <w:iCs w:val="0"/>
                <w:color w:val="000000"/>
                <w:kern w:val="0"/>
                <w:sz w:val="21"/>
                <w:szCs w:val="21"/>
                <w:u w:val="single"/>
                <w:lang w:val="en-US" w:eastAsia="zh-CN" w:bidi="ar"/>
              </w:rPr>
              <w:t>柠檬酸消后罐</w:t>
            </w:r>
          </w:p>
        </w:tc>
        <w:tc>
          <w:tcPr>
            <w:tcW w:w="984" w:type="pct"/>
            <w:tcBorders>
              <w:tl2br w:val="nil"/>
              <w:tr2bl w:val="nil"/>
            </w:tcBorders>
            <w:noWrap w:val="0"/>
            <w:vAlign w:val="center"/>
          </w:tcPr>
          <w:p>
            <w:pPr>
              <w:pStyle w:val="24"/>
              <w:snapToGrid w:val="0"/>
              <w:rPr>
                <w:rFonts w:hint="eastAsia" w:ascii="Times New Roman" w:hAnsi="Times New Roman" w:eastAsia="宋体" w:cs="Times New Roman"/>
                <w:bCs/>
                <w:i w:val="0"/>
                <w:iCs w:val="0"/>
                <w:color w:val="000000"/>
                <w:sz w:val="21"/>
                <w:szCs w:val="21"/>
                <w:u w:val="single"/>
              </w:rPr>
            </w:pPr>
            <w:r>
              <w:rPr>
                <w:rFonts w:hint="eastAsia"/>
                <w:bCs/>
                <w:i w:val="0"/>
                <w:iCs w:val="0"/>
                <w:color w:val="000000"/>
                <w:sz w:val="21"/>
                <w:szCs w:val="21"/>
                <w:u w:val="single"/>
                <w:lang w:val="en-US" w:eastAsia="zh-CN"/>
              </w:rPr>
              <w:t>40.04</w:t>
            </w:r>
          </w:p>
        </w:tc>
        <w:tc>
          <w:tcPr>
            <w:tcW w:w="1076" w:type="pct"/>
            <w:tcBorders>
              <w:tl2br w:val="nil"/>
              <w:tr2bl w:val="nil"/>
            </w:tcBorders>
            <w:noWrap w:val="0"/>
            <w:vAlign w:val="center"/>
          </w:tcPr>
          <w:p>
            <w:pPr>
              <w:pStyle w:val="24"/>
              <w:snapToGrid w:val="0"/>
              <w:rPr>
                <w:rFonts w:hint="default" w:ascii="Times New Roman" w:hAnsi="Times New Roman" w:eastAsia="宋体" w:cs="Times New Roman"/>
                <w:bCs/>
                <w:i w:val="0"/>
                <w:iCs w:val="0"/>
                <w:color w:val="000000"/>
                <w:sz w:val="21"/>
                <w:szCs w:val="21"/>
                <w:u w:val="single"/>
                <w:lang w:val="en-US" w:eastAsia="zh-CN"/>
              </w:rPr>
            </w:pPr>
            <w:r>
              <w:rPr>
                <w:rFonts w:hint="eastAsia" w:ascii="Times New Roman" w:hAnsi="Times New Roman" w:eastAsia="宋体" w:cs="Times New Roman"/>
                <w:bCs/>
                <w:i w:val="0"/>
                <w:iCs w:val="0"/>
                <w:color w:val="000000"/>
                <w:sz w:val="21"/>
                <w:szCs w:val="21"/>
                <w:u w:val="single"/>
                <w:lang w:val="en-US" w:eastAsia="zh-CN"/>
              </w:rPr>
              <w:t xml:space="preserve">30.83 </w:t>
            </w:r>
          </w:p>
        </w:tc>
        <w:tc>
          <w:tcPr>
            <w:tcW w:w="1074" w:type="pct"/>
            <w:vMerge w:val="continue"/>
            <w:tcBorders>
              <w:tl2br w:val="nil"/>
              <w:tr2bl w:val="nil"/>
            </w:tcBorders>
            <w:noWrap w:val="0"/>
            <w:vAlign w:val="center"/>
          </w:tcPr>
          <w:p>
            <w:pPr>
              <w:pStyle w:val="24"/>
              <w:snapToGrid w:val="0"/>
              <w:rPr>
                <w:rFonts w:hint="eastAsia" w:ascii="Times New Roman" w:hAnsi="Times New Roman" w:eastAsia="宋体" w:cs="Times New Roman"/>
                <w:bCs/>
                <w:i w:val="0"/>
                <w:iCs w:val="0"/>
                <w:color w:val="00000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cantSplit/>
          <w:jc w:val="center"/>
        </w:trPr>
        <w:tc>
          <w:tcPr>
            <w:tcW w:w="696" w:type="pct"/>
            <w:vMerge w:val="restart"/>
            <w:tcBorders>
              <w:tl2br w:val="nil"/>
              <w:tr2bl w:val="nil"/>
            </w:tcBorders>
            <w:noWrap w:val="0"/>
            <w:vAlign w:val="center"/>
          </w:tcPr>
          <w:p>
            <w:pPr>
              <w:pStyle w:val="24"/>
              <w:snapToGrid w:val="0"/>
              <w:rPr>
                <w:rFonts w:hint="eastAsia"/>
                <w:bCs/>
                <w:i w:val="0"/>
                <w:iCs w:val="0"/>
                <w:color w:val="000000"/>
                <w:sz w:val="21"/>
                <w:szCs w:val="21"/>
                <w:u w:val="single"/>
              </w:rPr>
            </w:pPr>
            <w:r>
              <w:rPr>
                <w:rFonts w:hint="eastAsia"/>
                <w:bCs/>
                <w:i w:val="0"/>
                <w:iCs w:val="0"/>
                <w:color w:val="000000"/>
                <w:sz w:val="21"/>
                <w:szCs w:val="21"/>
                <w:u w:val="single"/>
              </w:rPr>
              <w:t>提取车间</w:t>
            </w:r>
          </w:p>
        </w:tc>
        <w:tc>
          <w:tcPr>
            <w:tcW w:w="1168" w:type="pc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single"/>
                <w:lang w:val="en-US" w:eastAsia="zh-CN" w:bidi="ar"/>
              </w:rPr>
            </w:pPr>
            <w:r>
              <w:rPr>
                <w:rFonts w:hint="eastAsia" w:ascii="宋体" w:hAnsi="宋体" w:eastAsia="宋体" w:cs="宋体"/>
                <w:i w:val="0"/>
                <w:iCs w:val="0"/>
                <w:color w:val="000000"/>
                <w:kern w:val="0"/>
                <w:sz w:val="21"/>
                <w:szCs w:val="21"/>
                <w:u w:val="single"/>
                <w:lang w:val="en-US" w:eastAsia="zh-CN" w:bidi="ar"/>
              </w:rPr>
              <w:t>发酵液暂存罐</w:t>
            </w:r>
          </w:p>
        </w:tc>
        <w:tc>
          <w:tcPr>
            <w:tcW w:w="984" w:type="pct"/>
            <w:tcBorders>
              <w:tl2br w:val="nil"/>
              <w:tr2bl w:val="nil"/>
            </w:tcBorders>
            <w:noWrap w:val="0"/>
            <w:vAlign w:val="center"/>
          </w:tcPr>
          <w:p>
            <w:pPr>
              <w:pStyle w:val="24"/>
              <w:snapToGrid w:val="0"/>
              <w:rPr>
                <w:rFonts w:hint="eastAsia" w:ascii="Times New Roman" w:hAnsi="Times New Roman" w:eastAsia="宋体" w:cs="Times New Roman"/>
                <w:bCs/>
                <w:i w:val="0"/>
                <w:iCs w:val="0"/>
                <w:color w:val="000000"/>
                <w:sz w:val="21"/>
                <w:szCs w:val="21"/>
                <w:u w:val="single"/>
              </w:rPr>
            </w:pPr>
            <w:r>
              <w:rPr>
                <w:rFonts w:hint="eastAsia"/>
                <w:bCs/>
                <w:i w:val="0"/>
                <w:iCs w:val="0"/>
                <w:color w:val="000000"/>
                <w:sz w:val="21"/>
                <w:szCs w:val="21"/>
                <w:u w:val="single"/>
                <w:lang w:val="en-US" w:eastAsia="zh-CN"/>
              </w:rPr>
              <w:t>107.8</w:t>
            </w:r>
          </w:p>
        </w:tc>
        <w:tc>
          <w:tcPr>
            <w:tcW w:w="1076" w:type="pct"/>
            <w:tcBorders>
              <w:tl2br w:val="nil"/>
              <w:tr2bl w:val="nil"/>
            </w:tcBorders>
            <w:noWrap w:val="0"/>
            <w:vAlign w:val="center"/>
          </w:tcPr>
          <w:p>
            <w:pPr>
              <w:pStyle w:val="24"/>
              <w:snapToGrid w:val="0"/>
              <w:rPr>
                <w:rFonts w:hint="default" w:ascii="Times New Roman" w:hAnsi="Times New Roman" w:eastAsia="宋体" w:cs="Times New Roman"/>
                <w:bCs/>
                <w:i w:val="0"/>
                <w:iCs w:val="0"/>
                <w:color w:val="000000"/>
                <w:sz w:val="21"/>
                <w:szCs w:val="21"/>
                <w:u w:val="single"/>
                <w:lang w:val="en-US" w:eastAsia="zh-CN"/>
              </w:rPr>
            </w:pPr>
            <w:r>
              <w:rPr>
                <w:rFonts w:hint="eastAsia" w:ascii="Times New Roman" w:hAnsi="Times New Roman" w:eastAsia="宋体" w:cs="Times New Roman"/>
                <w:bCs/>
                <w:i w:val="0"/>
                <w:iCs w:val="0"/>
                <w:color w:val="000000"/>
                <w:sz w:val="21"/>
                <w:szCs w:val="21"/>
                <w:u w:val="single"/>
                <w:lang w:val="en-US" w:eastAsia="zh-CN"/>
              </w:rPr>
              <w:t xml:space="preserve">83.01 </w:t>
            </w:r>
          </w:p>
        </w:tc>
        <w:tc>
          <w:tcPr>
            <w:tcW w:w="1074" w:type="pct"/>
            <w:vMerge w:val="restart"/>
            <w:tcBorders>
              <w:tl2br w:val="nil"/>
              <w:tr2bl w:val="nil"/>
            </w:tcBorders>
            <w:noWrap w:val="0"/>
            <w:vAlign w:val="center"/>
          </w:tcPr>
          <w:p>
            <w:pPr>
              <w:pStyle w:val="24"/>
              <w:snapToGrid w:val="0"/>
              <w:rPr>
                <w:rFonts w:hint="eastAsia" w:ascii="Times New Roman" w:hAnsi="Times New Roman" w:eastAsia="宋体" w:cs="Times New Roman"/>
                <w:bCs/>
                <w:i w:val="0"/>
                <w:iCs w:val="0"/>
                <w:color w:val="000000"/>
                <w:sz w:val="21"/>
                <w:szCs w:val="21"/>
                <w:u w:val="single"/>
              </w:rPr>
            </w:pPr>
            <w:r>
              <w:rPr>
                <w:rFonts w:hint="eastAsia" w:ascii="Times New Roman" w:hAnsi="Times New Roman" w:eastAsia="宋体" w:cs="Times New Roman"/>
                <w:bCs/>
                <w:i w:val="0"/>
                <w:iCs w:val="0"/>
                <w:color w:val="000000"/>
                <w:sz w:val="21"/>
                <w:szCs w:val="21"/>
                <w:u w:val="single"/>
                <w:lang w:val="en-US" w:eastAsia="zh-CN"/>
              </w:rPr>
              <w:t>直接加热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cantSplit/>
          <w:jc w:val="center"/>
        </w:trPr>
        <w:tc>
          <w:tcPr>
            <w:tcW w:w="696" w:type="pct"/>
            <w:vMerge w:val="continue"/>
            <w:tcBorders>
              <w:tl2br w:val="nil"/>
              <w:tr2bl w:val="nil"/>
            </w:tcBorders>
            <w:noWrap w:val="0"/>
            <w:vAlign w:val="center"/>
          </w:tcPr>
          <w:p>
            <w:pPr>
              <w:pStyle w:val="24"/>
              <w:snapToGrid w:val="0"/>
              <w:rPr>
                <w:rFonts w:hint="eastAsia"/>
                <w:bCs/>
                <w:i w:val="0"/>
                <w:iCs w:val="0"/>
                <w:color w:val="000000"/>
                <w:sz w:val="21"/>
                <w:szCs w:val="21"/>
                <w:u w:val="single"/>
              </w:rPr>
            </w:pPr>
          </w:p>
        </w:tc>
        <w:tc>
          <w:tcPr>
            <w:tcW w:w="1168" w:type="pc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single"/>
                <w:lang w:val="en-US" w:eastAsia="zh-CN" w:bidi="ar"/>
              </w:rPr>
            </w:pPr>
            <w:r>
              <w:rPr>
                <w:rFonts w:hint="eastAsia" w:ascii="宋体" w:hAnsi="宋体" w:eastAsia="宋体" w:cs="宋体"/>
                <w:i w:val="0"/>
                <w:iCs w:val="0"/>
                <w:color w:val="000000"/>
                <w:kern w:val="0"/>
                <w:sz w:val="21"/>
                <w:szCs w:val="21"/>
                <w:u w:val="single"/>
                <w:lang w:val="en-US" w:eastAsia="zh-CN" w:bidi="ar"/>
              </w:rPr>
              <w:t>半成品储罐</w:t>
            </w:r>
          </w:p>
        </w:tc>
        <w:tc>
          <w:tcPr>
            <w:tcW w:w="984" w:type="pct"/>
            <w:tcBorders>
              <w:tl2br w:val="nil"/>
              <w:tr2bl w:val="nil"/>
            </w:tcBorders>
            <w:noWrap w:val="0"/>
            <w:vAlign w:val="center"/>
          </w:tcPr>
          <w:p>
            <w:pPr>
              <w:pStyle w:val="24"/>
              <w:snapToGrid w:val="0"/>
              <w:rPr>
                <w:rFonts w:hint="eastAsia" w:ascii="Times New Roman" w:hAnsi="Times New Roman" w:eastAsia="宋体" w:cs="Times New Roman"/>
                <w:bCs/>
                <w:i w:val="0"/>
                <w:iCs w:val="0"/>
                <w:color w:val="000000"/>
                <w:sz w:val="21"/>
                <w:szCs w:val="21"/>
                <w:u w:val="single"/>
              </w:rPr>
            </w:pPr>
            <w:r>
              <w:rPr>
                <w:rFonts w:hint="eastAsia"/>
                <w:bCs/>
                <w:i w:val="0"/>
                <w:iCs w:val="0"/>
                <w:color w:val="000000"/>
                <w:sz w:val="21"/>
                <w:szCs w:val="21"/>
                <w:u w:val="single"/>
                <w:lang w:val="en-US" w:eastAsia="zh-CN"/>
              </w:rPr>
              <w:t>15.4</w:t>
            </w:r>
          </w:p>
        </w:tc>
        <w:tc>
          <w:tcPr>
            <w:tcW w:w="1076" w:type="pct"/>
            <w:tcBorders>
              <w:tl2br w:val="nil"/>
              <w:tr2bl w:val="nil"/>
            </w:tcBorders>
            <w:noWrap w:val="0"/>
            <w:vAlign w:val="center"/>
          </w:tcPr>
          <w:p>
            <w:pPr>
              <w:pStyle w:val="24"/>
              <w:snapToGrid w:val="0"/>
              <w:rPr>
                <w:rFonts w:hint="default" w:ascii="Times New Roman" w:hAnsi="Times New Roman" w:eastAsia="宋体" w:cs="Times New Roman"/>
                <w:bCs/>
                <w:i w:val="0"/>
                <w:iCs w:val="0"/>
                <w:color w:val="000000"/>
                <w:sz w:val="21"/>
                <w:szCs w:val="21"/>
                <w:u w:val="single"/>
                <w:lang w:val="en-US" w:eastAsia="zh-CN"/>
              </w:rPr>
            </w:pPr>
            <w:r>
              <w:rPr>
                <w:rFonts w:hint="eastAsia" w:ascii="Times New Roman" w:hAnsi="Times New Roman" w:eastAsia="宋体" w:cs="Times New Roman"/>
                <w:bCs/>
                <w:i w:val="0"/>
                <w:iCs w:val="0"/>
                <w:color w:val="000000"/>
                <w:sz w:val="21"/>
                <w:szCs w:val="21"/>
                <w:u w:val="single"/>
                <w:lang w:val="en-US" w:eastAsia="zh-CN"/>
              </w:rPr>
              <w:t xml:space="preserve">11.86 </w:t>
            </w:r>
          </w:p>
        </w:tc>
        <w:tc>
          <w:tcPr>
            <w:tcW w:w="1074" w:type="pct"/>
            <w:vMerge w:val="continue"/>
            <w:tcBorders>
              <w:tl2br w:val="nil"/>
              <w:tr2bl w:val="nil"/>
            </w:tcBorders>
            <w:noWrap w:val="0"/>
            <w:vAlign w:val="center"/>
          </w:tcPr>
          <w:p>
            <w:pPr>
              <w:pStyle w:val="24"/>
              <w:snapToGrid w:val="0"/>
              <w:rPr>
                <w:rFonts w:hint="eastAsia" w:ascii="Times New Roman" w:hAnsi="Times New Roman" w:eastAsia="宋体" w:cs="Times New Roman"/>
                <w:bCs/>
                <w:i w:val="0"/>
                <w:iCs w:val="0"/>
                <w:color w:val="00000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cantSplit/>
          <w:jc w:val="center"/>
        </w:trPr>
        <w:tc>
          <w:tcPr>
            <w:tcW w:w="696" w:type="pct"/>
            <w:vMerge w:val="continue"/>
            <w:tcBorders>
              <w:tl2br w:val="nil"/>
              <w:tr2bl w:val="nil"/>
            </w:tcBorders>
            <w:noWrap w:val="0"/>
            <w:vAlign w:val="center"/>
          </w:tcPr>
          <w:p>
            <w:pPr>
              <w:pStyle w:val="24"/>
              <w:snapToGrid w:val="0"/>
              <w:rPr>
                <w:rFonts w:hint="eastAsia"/>
                <w:bCs/>
                <w:i w:val="0"/>
                <w:iCs w:val="0"/>
                <w:color w:val="000000"/>
                <w:sz w:val="21"/>
                <w:szCs w:val="21"/>
                <w:u w:val="single"/>
              </w:rPr>
            </w:pPr>
          </w:p>
        </w:tc>
        <w:tc>
          <w:tcPr>
            <w:tcW w:w="1168" w:type="pct"/>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single"/>
                <w:lang w:val="en-US" w:eastAsia="zh-CN" w:bidi="ar"/>
              </w:rPr>
            </w:pPr>
            <w:r>
              <w:rPr>
                <w:rFonts w:hint="eastAsia" w:ascii="宋体" w:hAnsi="宋体" w:eastAsia="宋体" w:cs="宋体"/>
                <w:i w:val="0"/>
                <w:iCs w:val="0"/>
                <w:color w:val="000000"/>
                <w:kern w:val="0"/>
                <w:sz w:val="21"/>
                <w:szCs w:val="21"/>
                <w:u w:val="single"/>
                <w:lang w:val="en-US" w:eastAsia="zh-CN" w:bidi="ar"/>
              </w:rPr>
              <w:t>上清液储存罐</w:t>
            </w:r>
          </w:p>
        </w:tc>
        <w:tc>
          <w:tcPr>
            <w:tcW w:w="984" w:type="pct"/>
            <w:tcBorders>
              <w:tl2br w:val="nil"/>
              <w:tr2bl w:val="nil"/>
            </w:tcBorders>
            <w:noWrap w:val="0"/>
            <w:vAlign w:val="center"/>
          </w:tcPr>
          <w:p>
            <w:pPr>
              <w:pStyle w:val="24"/>
              <w:snapToGrid w:val="0"/>
              <w:rPr>
                <w:rFonts w:hint="eastAsia" w:ascii="Times New Roman" w:hAnsi="Times New Roman" w:eastAsia="宋体" w:cs="Times New Roman"/>
                <w:bCs/>
                <w:i w:val="0"/>
                <w:iCs w:val="0"/>
                <w:color w:val="000000"/>
                <w:sz w:val="21"/>
                <w:szCs w:val="21"/>
                <w:u w:val="single"/>
              </w:rPr>
            </w:pPr>
            <w:r>
              <w:rPr>
                <w:rFonts w:hint="eastAsia"/>
                <w:bCs/>
                <w:i w:val="0"/>
                <w:iCs w:val="0"/>
                <w:color w:val="000000"/>
                <w:sz w:val="21"/>
                <w:szCs w:val="21"/>
                <w:u w:val="single"/>
                <w:lang w:val="en-US" w:eastAsia="zh-CN"/>
              </w:rPr>
              <w:t>53.36</w:t>
            </w:r>
          </w:p>
        </w:tc>
        <w:tc>
          <w:tcPr>
            <w:tcW w:w="1076" w:type="pct"/>
            <w:tcBorders>
              <w:tl2br w:val="nil"/>
              <w:tr2bl w:val="nil"/>
            </w:tcBorders>
            <w:noWrap w:val="0"/>
            <w:vAlign w:val="center"/>
          </w:tcPr>
          <w:p>
            <w:pPr>
              <w:pStyle w:val="24"/>
              <w:snapToGrid w:val="0"/>
              <w:rPr>
                <w:rFonts w:hint="default" w:ascii="Times New Roman" w:hAnsi="Times New Roman" w:eastAsia="宋体" w:cs="Times New Roman"/>
                <w:bCs/>
                <w:i w:val="0"/>
                <w:iCs w:val="0"/>
                <w:color w:val="000000"/>
                <w:sz w:val="21"/>
                <w:szCs w:val="21"/>
                <w:u w:val="single"/>
                <w:lang w:val="en-US" w:eastAsia="zh-CN"/>
              </w:rPr>
            </w:pPr>
            <w:r>
              <w:rPr>
                <w:rFonts w:hint="eastAsia" w:ascii="Times New Roman" w:hAnsi="Times New Roman" w:eastAsia="宋体" w:cs="Times New Roman"/>
                <w:bCs/>
                <w:i w:val="0"/>
                <w:iCs w:val="0"/>
                <w:color w:val="000000"/>
                <w:sz w:val="21"/>
                <w:szCs w:val="21"/>
                <w:u w:val="single"/>
                <w:lang w:val="en-US" w:eastAsia="zh-CN"/>
              </w:rPr>
              <w:t xml:space="preserve">41.09 </w:t>
            </w:r>
          </w:p>
        </w:tc>
        <w:tc>
          <w:tcPr>
            <w:tcW w:w="1074" w:type="pct"/>
            <w:vMerge w:val="continue"/>
            <w:tcBorders>
              <w:tl2br w:val="nil"/>
              <w:tr2bl w:val="nil"/>
            </w:tcBorders>
            <w:noWrap w:val="0"/>
            <w:vAlign w:val="center"/>
          </w:tcPr>
          <w:p>
            <w:pPr>
              <w:pStyle w:val="24"/>
              <w:snapToGrid w:val="0"/>
              <w:rPr>
                <w:rFonts w:hint="eastAsia" w:ascii="Times New Roman" w:hAnsi="Times New Roman" w:eastAsia="宋体" w:cs="Times New Roman"/>
                <w:bCs/>
                <w:i w:val="0"/>
                <w:iCs w:val="0"/>
                <w:color w:val="000000"/>
                <w:sz w:val="21"/>
                <w:szCs w:val="21"/>
                <w:u w:val="single"/>
              </w:rPr>
            </w:pPr>
          </w:p>
        </w:tc>
      </w:tr>
    </w:tbl>
    <w:p>
      <w:pPr>
        <w:spacing w:line="360" w:lineRule="auto"/>
        <w:ind w:firstLine="480" w:firstLineChars="200"/>
        <w:rPr>
          <w:rFonts w:hint="eastAsia"/>
          <w:i w:val="0"/>
          <w:iCs w:val="0"/>
          <w:u w:val="single"/>
        </w:rPr>
      </w:pPr>
      <w:r>
        <w:rPr>
          <w:rFonts w:hint="eastAsia"/>
          <w:i w:val="0"/>
          <w:iCs w:val="0"/>
          <w:u w:val="single"/>
        </w:rPr>
        <w:t>4、压缩空气</w:t>
      </w:r>
    </w:p>
    <w:p>
      <w:pPr>
        <w:spacing w:line="360" w:lineRule="auto"/>
        <w:ind w:firstLine="480" w:firstLineChars="200"/>
        <w:rPr>
          <w:rFonts w:hint="eastAsia"/>
          <w:i w:val="0"/>
          <w:iCs w:val="0"/>
          <w:color w:val="000000"/>
          <w:u w:val="single"/>
        </w:rPr>
      </w:pPr>
      <w:r>
        <w:rPr>
          <w:rFonts w:hint="eastAsia"/>
          <w:i w:val="0"/>
          <w:iCs w:val="0"/>
          <w:color w:val="000000"/>
          <w:u w:val="single"/>
        </w:rPr>
        <w:t>各期工程压缩空气用量情况见表3-1</w:t>
      </w:r>
      <w:r>
        <w:rPr>
          <w:rFonts w:hint="eastAsia"/>
          <w:i w:val="0"/>
          <w:iCs w:val="0"/>
          <w:color w:val="000000"/>
          <w:u w:val="single"/>
          <w:lang w:val="en-US" w:eastAsia="zh-CN"/>
        </w:rPr>
        <w:t>8</w:t>
      </w:r>
      <w:r>
        <w:rPr>
          <w:rFonts w:hint="eastAsia"/>
          <w:i w:val="0"/>
          <w:iCs w:val="0"/>
          <w:color w:val="000000"/>
          <w:u w:val="single"/>
        </w:rPr>
        <w:t>。</w:t>
      </w:r>
    </w:p>
    <w:p>
      <w:pPr>
        <w:pStyle w:val="36"/>
        <w:ind w:left="0" w:leftChars="0"/>
        <w:jc w:val="center"/>
        <w:rPr>
          <w:rFonts w:hint="eastAsia" w:ascii="Times New Roman" w:hAnsi="Times New Roman"/>
          <w:b/>
          <w:i w:val="0"/>
          <w:iCs w:val="0"/>
          <w:u w:val="single"/>
        </w:rPr>
      </w:pPr>
      <w:r>
        <w:rPr>
          <w:rFonts w:hint="eastAsia" w:ascii="Times New Roman" w:hAnsi="Times New Roman"/>
          <w:b/>
          <w:i w:val="0"/>
          <w:iCs w:val="0"/>
          <w:u w:val="single"/>
        </w:rPr>
        <w:t>表3-1</w:t>
      </w:r>
      <w:r>
        <w:rPr>
          <w:rFonts w:hint="eastAsia" w:ascii="Times New Roman" w:hAnsi="Times New Roman"/>
          <w:b/>
          <w:i w:val="0"/>
          <w:iCs w:val="0"/>
          <w:u w:val="single"/>
          <w:lang w:val="en-US" w:eastAsia="zh-CN"/>
        </w:rPr>
        <w:t>8</w:t>
      </w:r>
      <w:r>
        <w:rPr>
          <w:rFonts w:hint="eastAsia" w:ascii="Times New Roman" w:hAnsi="Times New Roman"/>
          <w:b/>
          <w:i w:val="0"/>
          <w:iCs w:val="0"/>
          <w:u w:val="single"/>
        </w:rPr>
        <w:t xml:space="preserve">  压缩空气使用情况一览表</w:t>
      </w:r>
    </w:p>
    <w:tbl>
      <w:tblPr>
        <w:tblStyle w:val="5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792"/>
        <w:gridCol w:w="1056"/>
        <w:gridCol w:w="1279"/>
        <w:gridCol w:w="3772"/>
        <w:gridCol w:w="18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831" w:type="pct"/>
            <w:gridSpan w:val="2"/>
            <w:noWrap w:val="0"/>
            <w:vAlign w:val="center"/>
          </w:tcPr>
          <w:p>
            <w:pPr>
              <w:pStyle w:val="24"/>
              <w:snapToGrid w:val="0"/>
              <w:rPr>
                <w:rFonts w:hint="eastAsia"/>
                <w:bCs/>
                <w:i w:val="0"/>
                <w:iCs w:val="0"/>
                <w:color w:val="000000"/>
                <w:sz w:val="21"/>
                <w:szCs w:val="21"/>
                <w:u w:val="single"/>
              </w:rPr>
            </w:pPr>
            <w:r>
              <w:rPr>
                <w:rFonts w:hint="eastAsia"/>
                <w:bCs/>
                <w:i w:val="0"/>
                <w:iCs w:val="0"/>
                <w:color w:val="000000"/>
                <w:sz w:val="21"/>
                <w:szCs w:val="21"/>
                <w:u w:val="single"/>
              </w:rPr>
              <w:t>用气点名称</w:t>
            </w:r>
          </w:p>
        </w:tc>
        <w:tc>
          <w:tcPr>
            <w:tcW w:w="555" w:type="pct"/>
            <w:noWrap w:val="0"/>
            <w:vAlign w:val="center"/>
          </w:tcPr>
          <w:p>
            <w:pPr>
              <w:pStyle w:val="24"/>
              <w:snapToGrid w:val="0"/>
              <w:rPr>
                <w:rFonts w:hint="eastAsia"/>
                <w:bCs/>
                <w:i w:val="0"/>
                <w:iCs w:val="0"/>
                <w:color w:val="000000"/>
                <w:sz w:val="21"/>
                <w:szCs w:val="21"/>
                <w:u w:val="single"/>
              </w:rPr>
            </w:pPr>
            <w:r>
              <w:rPr>
                <w:rFonts w:hint="eastAsia"/>
                <w:bCs/>
                <w:i w:val="0"/>
                <w:iCs w:val="0"/>
                <w:color w:val="000000"/>
                <w:sz w:val="21"/>
                <w:szCs w:val="21"/>
                <w:u w:val="single"/>
              </w:rPr>
              <w:t>用气量m</w:t>
            </w:r>
            <w:r>
              <w:rPr>
                <w:rFonts w:hint="eastAsia"/>
                <w:bCs/>
                <w:i w:val="0"/>
                <w:iCs w:val="0"/>
                <w:color w:val="000000"/>
                <w:sz w:val="21"/>
                <w:szCs w:val="21"/>
                <w:u w:val="single"/>
                <w:vertAlign w:val="superscript"/>
              </w:rPr>
              <w:t>3</w:t>
            </w:r>
            <w:r>
              <w:rPr>
                <w:rFonts w:hint="eastAsia"/>
                <w:bCs/>
                <w:i w:val="0"/>
                <w:iCs w:val="0"/>
                <w:color w:val="000000"/>
                <w:sz w:val="21"/>
                <w:szCs w:val="21"/>
                <w:u w:val="single"/>
              </w:rPr>
              <w:t>/min</w:t>
            </w:r>
          </w:p>
        </w:tc>
        <w:tc>
          <w:tcPr>
            <w:tcW w:w="672" w:type="pct"/>
            <w:noWrap w:val="0"/>
            <w:vAlign w:val="center"/>
          </w:tcPr>
          <w:p>
            <w:pPr>
              <w:pStyle w:val="24"/>
              <w:snapToGrid w:val="0"/>
              <w:rPr>
                <w:rFonts w:hint="eastAsia"/>
                <w:bCs/>
                <w:i w:val="0"/>
                <w:iCs w:val="0"/>
                <w:color w:val="000000"/>
                <w:sz w:val="21"/>
                <w:szCs w:val="21"/>
                <w:u w:val="single"/>
              </w:rPr>
            </w:pPr>
            <w:r>
              <w:rPr>
                <w:rFonts w:hint="eastAsia"/>
                <w:bCs/>
                <w:i w:val="0"/>
                <w:iCs w:val="0"/>
                <w:color w:val="000000"/>
                <w:sz w:val="21"/>
                <w:szCs w:val="21"/>
                <w:u w:val="single"/>
              </w:rPr>
              <w:t>压力MPa</w:t>
            </w:r>
          </w:p>
        </w:tc>
        <w:tc>
          <w:tcPr>
            <w:tcW w:w="1982" w:type="pct"/>
            <w:noWrap w:val="0"/>
            <w:vAlign w:val="center"/>
          </w:tcPr>
          <w:p>
            <w:pPr>
              <w:pStyle w:val="24"/>
              <w:snapToGrid w:val="0"/>
              <w:rPr>
                <w:rFonts w:hint="eastAsia"/>
                <w:bCs/>
                <w:i w:val="0"/>
                <w:iCs w:val="0"/>
                <w:color w:val="000000"/>
                <w:sz w:val="21"/>
                <w:szCs w:val="21"/>
                <w:u w:val="single"/>
              </w:rPr>
            </w:pPr>
            <w:r>
              <w:rPr>
                <w:rFonts w:hint="eastAsia"/>
                <w:bCs/>
                <w:i w:val="0"/>
                <w:iCs w:val="0"/>
                <w:color w:val="000000"/>
                <w:sz w:val="21"/>
                <w:szCs w:val="21"/>
                <w:u w:val="single"/>
              </w:rPr>
              <w:t>质量要求</w:t>
            </w:r>
          </w:p>
        </w:tc>
        <w:tc>
          <w:tcPr>
            <w:tcW w:w="957" w:type="pct"/>
            <w:noWrap w:val="0"/>
            <w:vAlign w:val="center"/>
          </w:tcPr>
          <w:p>
            <w:pPr>
              <w:pStyle w:val="24"/>
              <w:snapToGrid w:val="0"/>
              <w:rPr>
                <w:rFonts w:hint="eastAsia"/>
                <w:bCs/>
                <w:i w:val="0"/>
                <w:iCs w:val="0"/>
                <w:color w:val="000000"/>
                <w:sz w:val="21"/>
                <w:szCs w:val="21"/>
                <w:u w:val="single"/>
              </w:rPr>
            </w:pPr>
            <w:r>
              <w:rPr>
                <w:rFonts w:hint="eastAsia"/>
                <w:bCs/>
                <w:i w:val="0"/>
                <w:iCs w:val="0"/>
                <w:color w:val="000000"/>
                <w:sz w:val="21"/>
                <w:szCs w:val="21"/>
                <w:u w:val="singl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1" w:hRule="atLeast"/>
        </w:trPr>
        <w:tc>
          <w:tcPr>
            <w:tcW w:w="415" w:type="pct"/>
            <w:vMerge w:val="restart"/>
            <w:noWrap w:val="0"/>
            <w:vAlign w:val="center"/>
          </w:tcPr>
          <w:p>
            <w:pPr>
              <w:pStyle w:val="24"/>
              <w:snapToGrid w:val="0"/>
              <w:rPr>
                <w:rFonts w:hint="eastAsia"/>
                <w:bCs/>
                <w:i w:val="0"/>
                <w:iCs w:val="0"/>
                <w:color w:val="000000"/>
                <w:sz w:val="21"/>
                <w:szCs w:val="21"/>
                <w:u w:val="single"/>
              </w:rPr>
            </w:pPr>
            <w:r>
              <w:rPr>
                <w:rFonts w:hint="eastAsia"/>
                <w:bCs/>
                <w:i w:val="0"/>
                <w:iCs w:val="0"/>
                <w:color w:val="000000"/>
                <w:sz w:val="21"/>
                <w:szCs w:val="21"/>
                <w:u w:val="single"/>
              </w:rPr>
              <w:t>一期工程</w:t>
            </w:r>
          </w:p>
        </w:tc>
        <w:tc>
          <w:tcPr>
            <w:tcW w:w="416" w:type="pct"/>
            <w:noWrap w:val="0"/>
            <w:vAlign w:val="center"/>
          </w:tcPr>
          <w:p>
            <w:pPr>
              <w:pStyle w:val="24"/>
              <w:snapToGrid w:val="0"/>
              <w:rPr>
                <w:rFonts w:hint="eastAsia"/>
                <w:bCs/>
                <w:i w:val="0"/>
                <w:iCs w:val="0"/>
                <w:color w:val="000000"/>
                <w:sz w:val="21"/>
                <w:szCs w:val="21"/>
                <w:u w:val="single"/>
              </w:rPr>
            </w:pPr>
            <w:r>
              <w:rPr>
                <w:rFonts w:hint="eastAsia"/>
                <w:bCs/>
                <w:i w:val="0"/>
                <w:iCs w:val="0"/>
                <w:color w:val="000000"/>
                <w:sz w:val="21"/>
                <w:szCs w:val="21"/>
                <w:u w:val="single"/>
              </w:rPr>
              <w:t>工艺</w:t>
            </w:r>
          </w:p>
        </w:tc>
        <w:tc>
          <w:tcPr>
            <w:tcW w:w="555" w:type="pct"/>
            <w:noWrap w:val="0"/>
            <w:vAlign w:val="center"/>
          </w:tcPr>
          <w:p>
            <w:pPr>
              <w:pStyle w:val="24"/>
              <w:snapToGrid w:val="0"/>
              <w:rPr>
                <w:bCs/>
                <w:i w:val="0"/>
                <w:iCs w:val="0"/>
                <w:color w:val="000000"/>
                <w:sz w:val="21"/>
                <w:szCs w:val="21"/>
                <w:u w:val="single"/>
              </w:rPr>
            </w:pPr>
            <w:r>
              <w:rPr>
                <w:rFonts w:hint="eastAsia"/>
                <w:bCs/>
                <w:i w:val="0"/>
                <w:iCs w:val="0"/>
                <w:color w:val="000000"/>
                <w:sz w:val="21"/>
                <w:szCs w:val="21"/>
                <w:u w:val="single"/>
              </w:rPr>
              <w:t>300</w:t>
            </w:r>
          </w:p>
        </w:tc>
        <w:tc>
          <w:tcPr>
            <w:tcW w:w="672" w:type="pct"/>
            <w:noWrap w:val="0"/>
            <w:vAlign w:val="center"/>
          </w:tcPr>
          <w:p>
            <w:pPr>
              <w:pStyle w:val="24"/>
              <w:snapToGrid w:val="0"/>
              <w:rPr>
                <w:bCs/>
                <w:i w:val="0"/>
                <w:iCs w:val="0"/>
                <w:color w:val="000000"/>
                <w:sz w:val="21"/>
                <w:szCs w:val="21"/>
                <w:u w:val="single"/>
              </w:rPr>
            </w:pPr>
            <w:r>
              <w:rPr>
                <w:rFonts w:hint="eastAsia"/>
                <w:bCs/>
                <w:i w:val="0"/>
                <w:iCs w:val="0"/>
                <w:color w:val="000000"/>
                <w:sz w:val="21"/>
                <w:szCs w:val="21"/>
                <w:u w:val="single"/>
              </w:rPr>
              <w:t>0.3</w:t>
            </w:r>
          </w:p>
        </w:tc>
        <w:tc>
          <w:tcPr>
            <w:tcW w:w="1982" w:type="pct"/>
            <w:vMerge w:val="restart"/>
            <w:noWrap w:val="0"/>
            <w:vAlign w:val="center"/>
          </w:tcPr>
          <w:p>
            <w:pPr>
              <w:pStyle w:val="24"/>
              <w:snapToGrid w:val="0"/>
              <w:rPr>
                <w:rFonts w:hint="eastAsia"/>
                <w:bCs/>
                <w:i w:val="0"/>
                <w:iCs w:val="0"/>
                <w:color w:val="000000"/>
                <w:sz w:val="21"/>
                <w:szCs w:val="21"/>
                <w:u w:val="single"/>
              </w:rPr>
            </w:pPr>
            <w:r>
              <w:rPr>
                <w:rFonts w:hint="eastAsia"/>
                <w:bCs/>
                <w:i w:val="0"/>
                <w:iCs w:val="0"/>
                <w:color w:val="000000"/>
                <w:sz w:val="21"/>
                <w:szCs w:val="21"/>
                <w:u w:val="single"/>
              </w:rPr>
              <w:t>dmax=1.0μm，相对湿度50%</w:t>
            </w:r>
          </w:p>
          <w:p>
            <w:pPr>
              <w:pStyle w:val="24"/>
              <w:snapToGrid w:val="0"/>
              <w:rPr>
                <w:rFonts w:hint="eastAsia"/>
                <w:bCs/>
                <w:i w:val="0"/>
                <w:iCs w:val="0"/>
                <w:color w:val="000000"/>
                <w:sz w:val="21"/>
                <w:szCs w:val="21"/>
                <w:u w:val="single"/>
              </w:rPr>
            </w:pPr>
            <w:r>
              <w:rPr>
                <w:rFonts w:hint="eastAsia"/>
                <w:bCs/>
                <w:i w:val="0"/>
                <w:iCs w:val="0"/>
                <w:color w:val="000000"/>
                <w:sz w:val="21"/>
                <w:szCs w:val="21"/>
                <w:u w:val="single"/>
              </w:rPr>
              <w:t>含油量：≤0.01mg/m</w:t>
            </w:r>
            <w:r>
              <w:rPr>
                <w:rFonts w:hint="eastAsia"/>
                <w:bCs/>
                <w:i w:val="0"/>
                <w:iCs w:val="0"/>
                <w:color w:val="000000"/>
                <w:sz w:val="21"/>
                <w:szCs w:val="21"/>
                <w:u w:val="single"/>
                <w:vertAlign w:val="superscript"/>
              </w:rPr>
              <w:t>3</w:t>
            </w:r>
          </w:p>
          <w:p>
            <w:pPr>
              <w:pStyle w:val="24"/>
              <w:snapToGrid w:val="0"/>
              <w:rPr>
                <w:rFonts w:hint="eastAsia"/>
                <w:bCs/>
                <w:i w:val="0"/>
                <w:iCs w:val="0"/>
                <w:color w:val="000000"/>
                <w:sz w:val="21"/>
                <w:szCs w:val="21"/>
                <w:u w:val="single"/>
              </w:rPr>
            </w:pPr>
            <w:r>
              <w:rPr>
                <w:rFonts w:hint="eastAsia"/>
                <w:bCs/>
                <w:i w:val="0"/>
                <w:iCs w:val="0"/>
                <w:color w:val="000000"/>
                <w:sz w:val="21"/>
                <w:szCs w:val="21"/>
                <w:u w:val="single"/>
              </w:rPr>
              <w:t>温度：25～40℃</w:t>
            </w:r>
          </w:p>
        </w:tc>
        <w:tc>
          <w:tcPr>
            <w:tcW w:w="957" w:type="pct"/>
            <w:vMerge w:val="restart"/>
            <w:noWrap w:val="0"/>
            <w:vAlign w:val="center"/>
          </w:tcPr>
          <w:p>
            <w:pPr>
              <w:pStyle w:val="24"/>
              <w:snapToGrid w:val="0"/>
              <w:rPr>
                <w:rFonts w:hint="eastAsia"/>
                <w:bCs/>
                <w:i w:val="0"/>
                <w:iCs w:val="0"/>
                <w:color w:val="000000"/>
                <w:sz w:val="21"/>
                <w:szCs w:val="21"/>
                <w:u w:val="single"/>
              </w:rPr>
            </w:pPr>
            <w:r>
              <w:rPr>
                <w:rFonts w:hint="eastAsia"/>
                <w:bCs/>
                <w:i w:val="0"/>
                <w:iCs w:val="0"/>
                <w:color w:val="000000"/>
                <w:sz w:val="21"/>
                <w:szCs w:val="21"/>
                <w:u w:val="single"/>
              </w:rPr>
              <w:t>生产时间连续使用3</w:t>
            </w:r>
            <w:r>
              <w:rPr>
                <w:rFonts w:hint="eastAsia"/>
                <w:bCs/>
                <w:i w:val="0"/>
                <w:iCs w:val="0"/>
                <w:color w:val="000000"/>
                <w:sz w:val="21"/>
                <w:szCs w:val="21"/>
                <w:u w:val="single"/>
                <w:lang w:val="en-US" w:eastAsia="zh-CN"/>
              </w:rPr>
              <w:t>25</w:t>
            </w:r>
            <w:r>
              <w:rPr>
                <w:rFonts w:hint="eastAsia"/>
                <w:bCs/>
                <w:i w:val="0"/>
                <w:iCs w:val="0"/>
                <w:color w:val="000000"/>
                <w:sz w:val="21"/>
                <w:szCs w:val="21"/>
                <w:u w:val="single"/>
              </w:rPr>
              <w:t>d/a，3班/d（发酵）。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415" w:type="pct"/>
            <w:vMerge w:val="continue"/>
            <w:noWrap w:val="0"/>
            <w:vAlign w:val="center"/>
          </w:tcPr>
          <w:p>
            <w:pPr>
              <w:pStyle w:val="24"/>
              <w:snapToGrid w:val="0"/>
              <w:rPr>
                <w:rFonts w:hint="eastAsia"/>
                <w:bCs/>
                <w:i w:val="0"/>
                <w:iCs w:val="0"/>
                <w:color w:val="000000"/>
                <w:sz w:val="21"/>
                <w:szCs w:val="21"/>
                <w:u w:val="single"/>
              </w:rPr>
            </w:pPr>
          </w:p>
        </w:tc>
        <w:tc>
          <w:tcPr>
            <w:tcW w:w="416" w:type="pct"/>
            <w:noWrap w:val="0"/>
            <w:vAlign w:val="center"/>
          </w:tcPr>
          <w:p>
            <w:pPr>
              <w:pStyle w:val="24"/>
              <w:snapToGrid w:val="0"/>
              <w:rPr>
                <w:rFonts w:hint="eastAsia"/>
                <w:bCs/>
                <w:i w:val="0"/>
                <w:iCs w:val="0"/>
                <w:color w:val="000000"/>
                <w:sz w:val="21"/>
                <w:szCs w:val="21"/>
                <w:u w:val="single"/>
              </w:rPr>
            </w:pPr>
            <w:r>
              <w:rPr>
                <w:rFonts w:hint="eastAsia"/>
                <w:bCs/>
                <w:i w:val="0"/>
                <w:iCs w:val="0"/>
                <w:color w:val="000000"/>
                <w:sz w:val="21"/>
                <w:szCs w:val="21"/>
                <w:u w:val="single"/>
              </w:rPr>
              <w:t>仪表</w:t>
            </w:r>
          </w:p>
        </w:tc>
        <w:tc>
          <w:tcPr>
            <w:tcW w:w="555" w:type="pct"/>
            <w:noWrap w:val="0"/>
            <w:vAlign w:val="center"/>
          </w:tcPr>
          <w:p>
            <w:pPr>
              <w:pStyle w:val="24"/>
              <w:snapToGrid w:val="0"/>
              <w:rPr>
                <w:bCs/>
                <w:i w:val="0"/>
                <w:iCs w:val="0"/>
                <w:color w:val="000000"/>
                <w:sz w:val="21"/>
                <w:szCs w:val="21"/>
                <w:u w:val="single"/>
              </w:rPr>
            </w:pPr>
            <w:r>
              <w:rPr>
                <w:rFonts w:hint="eastAsia"/>
                <w:bCs/>
                <w:i w:val="0"/>
                <w:iCs w:val="0"/>
                <w:color w:val="000000"/>
                <w:sz w:val="21"/>
                <w:szCs w:val="21"/>
                <w:u w:val="single"/>
              </w:rPr>
              <w:t>12</w:t>
            </w:r>
          </w:p>
        </w:tc>
        <w:tc>
          <w:tcPr>
            <w:tcW w:w="672" w:type="pct"/>
            <w:noWrap w:val="0"/>
            <w:vAlign w:val="center"/>
          </w:tcPr>
          <w:p>
            <w:pPr>
              <w:pStyle w:val="24"/>
              <w:snapToGrid w:val="0"/>
              <w:rPr>
                <w:rFonts w:hint="eastAsia"/>
                <w:bCs/>
                <w:i w:val="0"/>
                <w:iCs w:val="0"/>
                <w:color w:val="000000"/>
                <w:sz w:val="21"/>
                <w:szCs w:val="21"/>
                <w:u w:val="single"/>
              </w:rPr>
            </w:pPr>
            <w:r>
              <w:rPr>
                <w:rFonts w:hint="eastAsia"/>
                <w:bCs/>
                <w:i w:val="0"/>
                <w:iCs w:val="0"/>
                <w:color w:val="000000"/>
                <w:sz w:val="21"/>
                <w:szCs w:val="21"/>
                <w:u w:val="single"/>
              </w:rPr>
              <w:t>0.8</w:t>
            </w:r>
          </w:p>
        </w:tc>
        <w:tc>
          <w:tcPr>
            <w:tcW w:w="1982" w:type="pct"/>
            <w:vMerge w:val="continue"/>
            <w:noWrap w:val="0"/>
            <w:vAlign w:val="center"/>
          </w:tcPr>
          <w:p>
            <w:pPr>
              <w:pStyle w:val="24"/>
              <w:snapToGrid w:val="0"/>
              <w:rPr>
                <w:rFonts w:hint="eastAsia"/>
                <w:bCs/>
                <w:i w:val="0"/>
                <w:iCs w:val="0"/>
                <w:color w:val="000000"/>
                <w:sz w:val="21"/>
                <w:szCs w:val="21"/>
                <w:u w:val="single"/>
              </w:rPr>
            </w:pPr>
          </w:p>
        </w:tc>
        <w:tc>
          <w:tcPr>
            <w:tcW w:w="957" w:type="pct"/>
            <w:vMerge w:val="continue"/>
            <w:noWrap w:val="0"/>
            <w:vAlign w:val="center"/>
          </w:tcPr>
          <w:p>
            <w:pPr>
              <w:pStyle w:val="24"/>
              <w:snapToGrid w:val="0"/>
              <w:rPr>
                <w:rFonts w:hint="eastAsia"/>
                <w:bCs/>
                <w:i w:val="0"/>
                <w:iCs w:val="0"/>
                <w:color w:val="000000"/>
                <w:sz w:val="21"/>
                <w:szCs w:val="21"/>
                <w:u w:val="single"/>
              </w:rPr>
            </w:pPr>
          </w:p>
        </w:tc>
      </w:tr>
    </w:tbl>
    <w:p>
      <w:pPr>
        <w:spacing w:line="360" w:lineRule="auto"/>
        <w:ind w:firstLine="480" w:firstLineChars="200"/>
        <w:rPr>
          <w:rFonts w:hint="eastAsia"/>
          <w:i w:val="0"/>
          <w:iCs w:val="0"/>
          <w:u w:val="single"/>
        </w:rPr>
      </w:pPr>
      <w:r>
        <w:rPr>
          <w:rFonts w:hint="eastAsia"/>
          <w:i w:val="0"/>
          <w:iCs w:val="0"/>
          <w:u w:val="single"/>
        </w:rPr>
        <w:t>5、空调通风</w:t>
      </w:r>
    </w:p>
    <w:p>
      <w:pPr>
        <w:spacing w:line="360" w:lineRule="auto"/>
        <w:ind w:firstLine="480" w:firstLineChars="200"/>
        <w:rPr>
          <w:rFonts w:hint="eastAsia"/>
          <w:i w:val="0"/>
          <w:iCs w:val="0"/>
          <w:color w:val="000000"/>
          <w:u w:val="single"/>
        </w:rPr>
      </w:pPr>
      <w:r>
        <w:rPr>
          <w:rFonts w:hint="eastAsia"/>
          <w:i w:val="0"/>
          <w:iCs w:val="0"/>
          <w:color w:val="000000"/>
          <w:u w:val="single"/>
        </w:rPr>
        <w:t>根据有关规定：包装工序厂房内设置十万级洁净区，按有关规范和工艺要求做洁净空调设计。</w:t>
      </w:r>
    </w:p>
    <w:p>
      <w:pPr>
        <w:spacing w:line="360" w:lineRule="auto"/>
        <w:ind w:firstLine="480" w:firstLineChars="200"/>
        <w:rPr>
          <w:rFonts w:hint="eastAsia"/>
          <w:i w:val="0"/>
          <w:iCs w:val="0"/>
          <w:color w:val="000000"/>
          <w:u w:val="single"/>
        </w:rPr>
      </w:pPr>
      <w:r>
        <w:rPr>
          <w:rFonts w:hint="eastAsia"/>
          <w:i w:val="0"/>
          <w:iCs w:val="0"/>
          <w:color w:val="000000"/>
          <w:u w:val="single"/>
        </w:rPr>
        <w:t>洁净空调系统选择立式空调机组，新风经初效过滤器过滤后经蒸汽预加热段加热，再经表冷(夏季)、蒸汽加热、干蒸汽加湿(冬季)、送风机加压、中效过滤、消声等空气处理措施后最终经风口送入房间；发酵罐、种子罐等排气经旋风式汽水分离器后由屋面上排放；发酵车间除37℃恒温室外其余房间排气由经轴流风机外排。</w:t>
      </w:r>
    </w:p>
    <w:p>
      <w:pPr>
        <w:spacing w:line="360" w:lineRule="auto"/>
        <w:ind w:firstLine="480" w:firstLineChars="200"/>
        <w:rPr>
          <w:rFonts w:hint="eastAsia"/>
          <w:i w:val="0"/>
          <w:iCs w:val="0"/>
          <w:color w:val="000000"/>
          <w:u w:val="single"/>
        </w:rPr>
      </w:pPr>
      <w:r>
        <w:rPr>
          <w:rFonts w:hint="eastAsia"/>
          <w:i w:val="0"/>
          <w:iCs w:val="0"/>
          <w:color w:val="000000"/>
          <w:u w:val="single"/>
        </w:rPr>
        <w:t>空压站、变配电室、给水及循环水设施设轴流风机排风。空调系统的送回风形式为上送下回，气流组织为非单向流型，洁净区对室外维持不小于10Pa的正压，区内产热、产湿和有污染的房间对其他房间维持不小于5Pa的负压，通过调节回风量及排风量控制压力要求。</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i w:val="0"/>
          <w:iCs w:val="0"/>
          <w:color w:val="000000"/>
          <w:u w:val="single"/>
        </w:rPr>
      </w:pPr>
      <w:r>
        <w:rPr>
          <w:rFonts w:hint="eastAsia"/>
          <w:i w:val="0"/>
          <w:iCs w:val="0"/>
          <w:color w:val="000000"/>
          <w:u w:val="single"/>
        </w:rPr>
        <w:t>空调系统加热、加湿均采用大台子蒸汽站供给的饱和蒸汽。</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i w:val="0"/>
          <w:iCs w:val="0"/>
          <w:color w:val="000000"/>
          <w:u w:val="single"/>
        </w:rPr>
      </w:pPr>
      <w:r>
        <w:rPr>
          <w:rFonts w:hint="eastAsia"/>
          <w:i w:val="0"/>
          <w:iCs w:val="0"/>
          <w:color w:val="000000"/>
          <w:u w:val="single"/>
        </w:rPr>
        <w:t>6、低温水</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i w:val="0"/>
          <w:iCs w:val="0"/>
          <w:color w:val="000000"/>
          <w:u w:val="single"/>
        </w:rPr>
      </w:pPr>
      <w:r>
        <w:rPr>
          <w:rFonts w:hint="eastAsia"/>
          <w:i w:val="0"/>
          <w:iCs w:val="0"/>
          <w:color w:val="000000"/>
          <w:u w:val="single"/>
        </w:rPr>
        <w:t>项目夏季空调系统冷媒采用15/18℃一次水，生产工艺过程中消毒后需采用低温水对原料进行间接冷却，项目配套设有螺杆水冷机组提供低温水。</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i w:val="0"/>
          <w:iCs w:val="0"/>
          <w:u w:val="single"/>
        </w:rPr>
      </w:pPr>
      <w:r>
        <w:rPr>
          <w:rFonts w:hint="eastAsia"/>
          <w:i w:val="0"/>
          <w:iCs w:val="0"/>
          <w:u w:val="single"/>
        </w:rPr>
        <w:t>7、供电</w:t>
      </w:r>
    </w:p>
    <w:p>
      <w:pPr>
        <w:keepNext w:val="0"/>
        <w:keepLines w:val="0"/>
        <w:pageBreakBefore w:val="0"/>
        <w:kinsoku/>
        <w:wordWrap/>
        <w:overflowPunct/>
        <w:topLinePunct w:val="0"/>
        <w:autoSpaceDE/>
        <w:autoSpaceDN/>
        <w:bidi w:val="0"/>
        <w:spacing w:line="360" w:lineRule="auto"/>
        <w:ind w:firstLine="480" w:firstLineChars="200"/>
        <w:textAlignment w:val="auto"/>
        <w:rPr>
          <w:i w:val="0"/>
          <w:iCs w:val="0"/>
          <w:u w:val="single"/>
        </w:rPr>
      </w:pPr>
      <w:r>
        <w:rPr>
          <w:i w:val="0"/>
          <w:iCs w:val="0"/>
          <w:u w:val="single"/>
        </w:rPr>
        <w:t>项目供电电源引自江源经济开发区电网。</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i w:val="0"/>
          <w:iCs w:val="0"/>
          <w:kern w:val="0"/>
          <w:u w:val="single"/>
          <w:lang w:val="en-US" w:eastAsia="zh-CN"/>
        </w:rPr>
      </w:pPr>
      <w:r>
        <w:rPr>
          <w:rFonts w:hint="eastAsia" w:ascii="Times New Roman" w:hAnsi="Times New Roman" w:eastAsia="宋体" w:cs="Times New Roman"/>
          <w:i w:val="0"/>
          <w:iCs w:val="0"/>
          <w:kern w:val="0"/>
          <w:u w:val="single"/>
          <w:lang w:val="en-US" w:eastAsia="zh-CN"/>
        </w:rPr>
        <w:t>8、供热</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i w:val="0"/>
          <w:iCs w:val="0"/>
          <w:kern w:val="0"/>
          <w:u w:val="single"/>
          <w:lang w:val="en-US" w:eastAsia="zh-CN"/>
        </w:rPr>
      </w:pPr>
      <w:r>
        <w:rPr>
          <w:rFonts w:hint="eastAsia" w:ascii="Times New Roman" w:hAnsi="Times New Roman" w:eastAsia="宋体" w:cs="Times New Roman"/>
          <w:i w:val="0"/>
          <w:iCs w:val="0"/>
          <w:kern w:val="0"/>
          <w:u w:val="single"/>
        </w:rPr>
        <w:t>项目</w:t>
      </w:r>
      <w:r>
        <w:rPr>
          <w:rFonts w:hint="eastAsia" w:ascii="Times New Roman" w:hAnsi="Times New Roman" w:eastAsia="宋体" w:cs="Times New Roman"/>
          <w:i w:val="0"/>
          <w:iCs w:val="0"/>
          <w:kern w:val="0"/>
          <w:u w:val="single"/>
          <w:lang w:val="en-US" w:eastAsia="zh-CN"/>
        </w:rPr>
        <w:t>供热</w:t>
      </w:r>
      <w:r>
        <w:rPr>
          <w:rFonts w:hint="eastAsia" w:ascii="Times New Roman" w:hAnsi="Times New Roman" w:eastAsia="宋体" w:cs="Times New Roman"/>
          <w:i w:val="0"/>
          <w:iCs w:val="0"/>
          <w:kern w:val="0"/>
          <w:u w:val="single"/>
        </w:rPr>
        <w:t>由大台子蒸汽站供应</w:t>
      </w:r>
      <w:r>
        <w:rPr>
          <w:rFonts w:hint="eastAsia" w:ascii="Times New Roman" w:hAnsi="Times New Roman" w:eastAsia="宋体" w:cs="Times New Roman"/>
          <w:i w:val="0"/>
          <w:iCs w:val="0"/>
          <w:kern w:val="0"/>
          <w:u w:val="single"/>
          <w:lang w:eastAsia="zh-CN"/>
        </w:rPr>
        <w:t>，</w:t>
      </w:r>
      <w:r>
        <w:rPr>
          <w:rFonts w:hint="eastAsia" w:ascii="Times New Roman" w:hAnsi="Times New Roman" w:eastAsia="宋体" w:cs="Times New Roman"/>
          <w:i w:val="0"/>
          <w:iCs w:val="0"/>
          <w:kern w:val="0"/>
          <w:u w:val="single"/>
          <w:lang w:val="en-US" w:eastAsia="zh-CN"/>
        </w:rPr>
        <w:t xml:space="preserve"> 供热方式为二次网供热，由蒸汽站出一次供热管，沿纬五路进入中央大道综合管廊，换热站与虾青素项目距离500米，供热管道于2025年12月前建设完成。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i w:val="0"/>
          <w:iCs w:val="0"/>
          <w:kern w:val="0"/>
          <w:u w:val="single"/>
          <w:lang w:val="en-US" w:eastAsia="zh-CN"/>
        </w:rPr>
      </w:pPr>
      <w:r>
        <w:rPr>
          <w:rFonts w:hint="eastAsia" w:ascii="Times New Roman" w:hAnsi="Times New Roman" w:eastAsia="宋体" w:cs="Times New Roman"/>
          <w:i w:val="0"/>
          <w:iCs w:val="0"/>
          <w:kern w:val="0"/>
          <w:u w:val="single"/>
          <w:lang w:val="en-US" w:eastAsia="zh-CN"/>
        </w:rPr>
        <w:t>9、燃气</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i w:val="0"/>
          <w:iCs w:val="0"/>
          <w:kern w:val="0"/>
          <w:u w:val="single"/>
          <w:lang w:val="en-US" w:eastAsia="zh-CN"/>
        </w:rPr>
      </w:pPr>
      <w:r>
        <w:rPr>
          <w:rFonts w:hint="eastAsia" w:ascii="Times New Roman" w:hAnsi="Times New Roman" w:eastAsia="宋体" w:cs="Times New Roman"/>
          <w:i w:val="0"/>
          <w:iCs w:val="0"/>
          <w:kern w:val="0"/>
          <w:u w:val="single"/>
          <w:lang w:val="en-US" w:eastAsia="zh-CN"/>
        </w:rPr>
        <w:t>项目</w:t>
      </w:r>
      <w:r>
        <w:rPr>
          <w:rFonts w:hint="default" w:ascii="Times New Roman" w:hAnsi="Times New Roman" w:eastAsia="宋体" w:cs="Times New Roman"/>
          <w:i w:val="0"/>
          <w:iCs w:val="0"/>
          <w:kern w:val="0"/>
          <w:u w:val="single"/>
          <w:lang w:val="en-US" w:eastAsia="zh-CN"/>
        </w:rPr>
        <w:t>天然气</w:t>
      </w:r>
      <w:r>
        <w:rPr>
          <w:rFonts w:hint="eastAsia" w:ascii="Times New Roman" w:hAnsi="Times New Roman" w:eastAsia="宋体" w:cs="Times New Roman"/>
          <w:i w:val="0"/>
          <w:iCs w:val="0"/>
          <w:kern w:val="0"/>
          <w:u w:val="single"/>
          <w:lang w:val="en-US" w:eastAsia="zh-CN"/>
        </w:rPr>
        <w:t>由天然气</w:t>
      </w:r>
      <w:r>
        <w:rPr>
          <w:rFonts w:hint="default" w:ascii="Times New Roman" w:hAnsi="Times New Roman" w:eastAsia="宋体" w:cs="Times New Roman"/>
          <w:i w:val="0"/>
          <w:iCs w:val="0"/>
          <w:kern w:val="0"/>
          <w:u w:val="single"/>
          <w:lang w:val="en-US" w:eastAsia="zh-CN"/>
        </w:rPr>
        <w:t>管道供气</w:t>
      </w:r>
      <w:r>
        <w:rPr>
          <w:rFonts w:hint="eastAsia" w:ascii="Times New Roman" w:hAnsi="Times New Roman" w:eastAsia="宋体" w:cs="Times New Roman"/>
          <w:i w:val="0"/>
          <w:iCs w:val="0"/>
          <w:kern w:val="0"/>
          <w:u w:val="single"/>
          <w:lang w:val="en-US" w:eastAsia="zh-CN"/>
        </w:rPr>
        <w:t>，燃气管道于2025年12月前建设完成。</w:t>
      </w:r>
    </w:p>
    <w:p>
      <w:pPr>
        <w:pStyle w:val="4"/>
        <w:rPr>
          <w:rFonts w:hint="eastAsia" w:ascii="Times New Roman" w:hAnsi="Times New Roman" w:eastAsia="宋体"/>
          <w:b/>
          <w:i w:val="0"/>
          <w:iCs w:val="0"/>
          <w:sz w:val="28"/>
          <w:szCs w:val="28"/>
        </w:rPr>
      </w:pPr>
      <w:bookmarkStart w:id="86" w:name="_Toc25214"/>
      <w:r>
        <w:rPr>
          <w:rFonts w:hint="eastAsia" w:ascii="Times New Roman" w:hAnsi="Times New Roman" w:eastAsia="宋体"/>
          <w:b/>
          <w:i w:val="0"/>
          <w:iCs w:val="0"/>
          <w:sz w:val="28"/>
          <w:szCs w:val="28"/>
        </w:rPr>
        <w:t>3.3</w:t>
      </w:r>
      <w:r>
        <w:rPr>
          <w:rFonts w:ascii="Times New Roman" w:hAnsi="Times New Roman" w:eastAsia="宋体"/>
          <w:b/>
          <w:i w:val="0"/>
          <w:iCs w:val="0"/>
          <w:sz w:val="28"/>
          <w:szCs w:val="28"/>
        </w:rPr>
        <w:t>生产工艺及</w:t>
      </w:r>
      <w:r>
        <w:rPr>
          <w:rFonts w:hint="eastAsia" w:ascii="Times New Roman" w:hAnsi="Times New Roman" w:eastAsia="宋体"/>
          <w:b/>
          <w:i w:val="0"/>
          <w:iCs w:val="0"/>
          <w:sz w:val="28"/>
          <w:szCs w:val="28"/>
        </w:rPr>
        <w:t>产污环节</w:t>
      </w:r>
      <w:bookmarkEnd w:id="86"/>
    </w:p>
    <w:p>
      <w:pPr>
        <w:spacing w:line="360" w:lineRule="auto"/>
        <w:ind w:firstLine="466" w:firstLineChars="200"/>
        <w:rPr>
          <w:b/>
          <w:i w:val="0"/>
          <w:iCs w:val="0"/>
          <w:spacing w:val="-4"/>
        </w:rPr>
      </w:pPr>
      <w:r>
        <w:rPr>
          <w:rFonts w:hint="eastAsia"/>
          <w:b/>
          <w:i w:val="0"/>
          <w:iCs w:val="0"/>
          <w:spacing w:val="-4"/>
        </w:rPr>
        <w:t>3.3.1施工期</w:t>
      </w:r>
    </w:p>
    <w:p>
      <w:pPr>
        <w:widowControl/>
        <w:adjustRightInd w:val="0"/>
        <w:snapToGrid w:val="0"/>
        <w:spacing w:line="360" w:lineRule="auto"/>
        <w:ind w:firstLine="480" w:firstLineChars="200"/>
        <w:rPr>
          <w:i w:val="0"/>
          <w:iCs w:val="0"/>
          <w:kern w:val="0"/>
        </w:rPr>
      </w:pPr>
      <w:r>
        <w:rPr>
          <w:i w:val="0"/>
          <w:iCs w:val="0"/>
          <w:kern w:val="0"/>
        </w:rPr>
        <w:t>（1）废水</w:t>
      </w:r>
    </w:p>
    <w:p>
      <w:pPr>
        <w:widowControl/>
        <w:adjustRightInd w:val="0"/>
        <w:snapToGrid w:val="0"/>
        <w:spacing w:line="360" w:lineRule="auto"/>
        <w:ind w:firstLine="480" w:firstLineChars="200"/>
        <w:rPr>
          <w:i w:val="0"/>
          <w:iCs w:val="0"/>
          <w:kern w:val="0"/>
        </w:rPr>
      </w:pPr>
      <w:r>
        <w:rPr>
          <w:i w:val="0"/>
          <w:iCs w:val="0"/>
          <w:kern w:val="0"/>
        </w:rPr>
        <w:t>本项目施工营地设置在厂区占地范围内，利用周边现有厕所等卫生设施，施工过程中会产生生活污水，以及一定量的施工废水、</w:t>
      </w:r>
      <w:r>
        <w:rPr>
          <w:rFonts w:hint="eastAsia"/>
          <w:i w:val="0"/>
          <w:iCs w:val="0"/>
          <w:kern w:val="0"/>
        </w:rPr>
        <w:t>基坑排水</w:t>
      </w:r>
      <w:r>
        <w:rPr>
          <w:i w:val="0"/>
          <w:iCs w:val="0"/>
          <w:kern w:val="0"/>
        </w:rPr>
        <w:t>等。</w:t>
      </w:r>
    </w:p>
    <w:p>
      <w:pPr>
        <w:widowControl/>
        <w:adjustRightInd w:val="0"/>
        <w:snapToGrid w:val="0"/>
        <w:spacing w:line="360" w:lineRule="auto"/>
        <w:ind w:firstLine="480" w:firstLineChars="200"/>
        <w:rPr>
          <w:i w:val="0"/>
          <w:iCs w:val="0"/>
          <w:kern w:val="0"/>
        </w:rPr>
      </w:pPr>
      <w:r>
        <w:rPr>
          <w:i w:val="0"/>
          <w:iCs w:val="0"/>
          <w:kern w:val="0"/>
        </w:rPr>
        <w:t>（2）废气</w:t>
      </w:r>
    </w:p>
    <w:p>
      <w:pPr>
        <w:widowControl/>
        <w:adjustRightInd w:val="0"/>
        <w:snapToGrid w:val="0"/>
        <w:spacing w:line="360" w:lineRule="auto"/>
        <w:ind w:firstLine="480" w:firstLineChars="200"/>
        <w:rPr>
          <w:i w:val="0"/>
          <w:iCs w:val="0"/>
          <w:kern w:val="0"/>
        </w:rPr>
      </w:pPr>
      <w:r>
        <w:rPr>
          <w:i w:val="0"/>
          <w:iCs w:val="0"/>
          <w:kern w:val="0"/>
        </w:rPr>
        <w:t>施工过程中废气主要来源于施工机械和运输车辆所排放的废气以及施工过程中产生的扬尘。</w:t>
      </w:r>
    </w:p>
    <w:p>
      <w:pPr>
        <w:widowControl/>
        <w:adjustRightInd w:val="0"/>
        <w:snapToGrid w:val="0"/>
        <w:spacing w:line="360" w:lineRule="auto"/>
        <w:ind w:firstLine="480" w:firstLineChars="200"/>
        <w:rPr>
          <w:i w:val="0"/>
          <w:iCs w:val="0"/>
          <w:kern w:val="0"/>
        </w:rPr>
      </w:pPr>
      <w:r>
        <w:rPr>
          <w:i w:val="0"/>
          <w:iCs w:val="0"/>
          <w:kern w:val="0"/>
        </w:rPr>
        <w:t>（3）噪声</w:t>
      </w:r>
    </w:p>
    <w:p>
      <w:pPr>
        <w:widowControl/>
        <w:adjustRightInd w:val="0"/>
        <w:snapToGrid w:val="0"/>
        <w:spacing w:line="360" w:lineRule="auto"/>
        <w:ind w:firstLine="480" w:firstLineChars="200"/>
        <w:rPr>
          <w:i w:val="0"/>
          <w:iCs w:val="0"/>
          <w:kern w:val="0"/>
        </w:rPr>
      </w:pPr>
      <w:r>
        <w:rPr>
          <w:i w:val="0"/>
          <w:iCs w:val="0"/>
          <w:kern w:val="0"/>
        </w:rPr>
        <w:t>本项目施工期主要设备包括挖掘机、推土机、混凝土搅拌车等，在施工过程中，由于各种施工机械设备的运转和各类车辆的运行，不可避免地产生噪声污染。施工期噪声主要指建筑施工噪声和交通运输噪声两类。</w:t>
      </w:r>
    </w:p>
    <w:p>
      <w:pPr>
        <w:widowControl/>
        <w:adjustRightInd w:val="0"/>
        <w:snapToGrid w:val="0"/>
        <w:spacing w:line="360" w:lineRule="auto"/>
        <w:ind w:firstLine="480" w:firstLineChars="200"/>
        <w:rPr>
          <w:i w:val="0"/>
          <w:iCs w:val="0"/>
          <w:kern w:val="0"/>
        </w:rPr>
      </w:pPr>
      <w:r>
        <w:rPr>
          <w:i w:val="0"/>
          <w:iCs w:val="0"/>
          <w:kern w:val="0"/>
        </w:rPr>
        <w:t>（4）固体废物</w:t>
      </w:r>
    </w:p>
    <w:p>
      <w:pPr>
        <w:widowControl/>
        <w:adjustRightInd w:val="0"/>
        <w:snapToGrid w:val="0"/>
        <w:spacing w:line="360" w:lineRule="auto"/>
        <w:ind w:firstLine="480" w:firstLineChars="200"/>
        <w:rPr>
          <w:i w:val="0"/>
          <w:iCs w:val="0"/>
          <w:kern w:val="0"/>
        </w:rPr>
      </w:pPr>
      <w:r>
        <w:rPr>
          <w:i w:val="0"/>
          <w:iCs w:val="0"/>
          <w:kern w:val="0"/>
        </w:rPr>
        <w:t>施工期间垃圾主要来自施工所产生的建筑垃圾以及由施工人员产生的生活垃圾。建筑垃圾包括废弃的建筑材料，如砂石、石灰、混凝土、木材、废砖、土石方等。生活垃圾主要是施工人员日常生活产生的一定数量的生活垃圾。</w:t>
      </w:r>
    </w:p>
    <w:p>
      <w:pPr>
        <w:pStyle w:val="238"/>
        <w:tabs>
          <w:tab w:val="left" w:pos="0"/>
        </w:tabs>
        <w:spacing w:line="360" w:lineRule="auto"/>
        <w:ind w:firstLine="480" w:firstLineChars="200"/>
        <w:rPr>
          <w:rFonts w:ascii="Times New Roman"/>
          <w:bCs/>
          <w:i w:val="0"/>
          <w:iCs w:val="0"/>
          <w:sz w:val="24"/>
          <w:szCs w:val="24"/>
        </w:rPr>
      </w:pPr>
      <w:r>
        <w:rPr>
          <w:rFonts w:ascii="Times New Roman"/>
          <w:bCs/>
          <w:i w:val="0"/>
          <w:iCs w:val="0"/>
          <w:sz w:val="24"/>
          <w:szCs w:val="24"/>
        </w:rPr>
        <w:t>（</w:t>
      </w:r>
      <w:r>
        <w:rPr>
          <w:rFonts w:hint="eastAsia" w:ascii="Times New Roman"/>
          <w:bCs/>
          <w:i w:val="0"/>
          <w:iCs w:val="0"/>
          <w:sz w:val="24"/>
          <w:szCs w:val="24"/>
        </w:rPr>
        <w:t>5</w:t>
      </w:r>
      <w:r>
        <w:rPr>
          <w:rFonts w:ascii="Times New Roman"/>
          <w:bCs/>
          <w:i w:val="0"/>
          <w:iCs w:val="0"/>
          <w:sz w:val="24"/>
          <w:szCs w:val="24"/>
        </w:rPr>
        <w:t>）</w:t>
      </w:r>
      <w:r>
        <w:rPr>
          <w:rFonts w:hint="eastAsia" w:ascii="Times New Roman"/>
          <w:bCs/>
          <w:i w:val="0"/>
          <w:iCs w:val="0"/>
          <w:sz w:val="24"/>
          <w:szCs w:val="24"/>
        </w:rPr>
        <w:t>生态</w:t>
      </w:r>
      <w:r>
        <w:rPr>
          <w:rFonts w:ascii="Times New Roman"/>
          <w:bCs/>
          <w:i w:val="0"/>
          <w:iCs w:val="0"/>
          <w:sz w:val="24"/>
          <w:szCs w:val="24"/>
        </w:rPr>
        <w:t>影响因素</w:t>
      </w:r>
    </w:p>
    <w:p>
      <w:pPr>
        <w:pStyle w:val="238"/>
        <w:tabs>
          <w:tab w:val="left" w:pos="0"/>
        </w:tabs>
        <w:spacing w:line="360" w:lineRule="auto"/>
        <w:ind w:firstLine="480" w:firstLineChars="200"/>
        <w:rPr>
          <w:rFonts w:ascii="Times New Roman"/>
          <w:i w:val="0"/>
          <w:iCs w:val="0"/>
          <w:sz w:val="24"/>
          <w:szCs w:val="24"/>
        </w:rPr>
      </w:pPr>
      <w:r>
        <w:rPr>
          <w:rFonts w:ascii="Times New Roman"/>
          <w:i w:val="0"/>
          <w:iCs w:val="0"/>
          <w:sz w:val="24"/>
          <w:szCs w:val="24"/>
        </w:rPr>
        <w:t>水土流失施工对周围生态环境影响最重要的方面，由于土地平整等施工作业，将不可避免地改变地形地貌，对植被破坏面也较广。施工扰动土体，使土壤松散、搬移、堆填、裸露，引起水土流失。</w:t>
      </w:r>
    </w:p>
    <w:p>
      <w:pPr>
        <w:pStyle w:val="24"/>
        <w:snapToGrid w:val="0"/>
        <w:spacing w:line="360" w:lineRule="auto"/>
        <w:ind w:firstLine="480" w:firstLineChars="200"/>
        <w:jc w:val="both"/>
        <w:rPr>
          <w:i w:val="0"/>
          <w:iCs w:val="0"/>
        </w:rPr>
      </w:pPr>
      <w:r>
        <w:rPr>
          <w:i w:val="0"/>
          <w:iCs w:val="0"/>
          <w:color w:val="000000"/>
          <w:kern w:val="0"/>
        </w:rPr>
        <w:t>本工程建设过程中由于开挖区地表裸露，引起水土流失，而且将使土壤中的有机质分解作用加强，使有机质含量降低，并使土壤富集过程受阻，土壤的理化性质改变。在开挖</w:t>
      </w:r>
      <w:r>
        <w:rPr>
          <w:rFonts w:hint="eastAsia"/>
          <w:i w:val="0"/>
          <w:iCs w:val="0"/>
          <w:color w:val="000000"/>
          <w:kern w:val="0"/>
        </w:rPr>
        <w:t>时</w:t>
      </w:r>
      <w:r>
        <w:rPr>
          <w:i w:val="0"/>
          <w:iCs w:val="0"/>
          <w:color w:val="000000"/>
          <w:kern w:val="0"/>
        </w:rPr>
        <w:t>完全破坏土壤结构，即使回填后也将使土壤的容量、土体结构、土壤抗蚀指数等发生较大的变化。通过总体规划布局、施工期临时防护等方面提出工程措施，并从植被恢复和绿化角度提出可行的植物措施降低水土流失影响。</w:t>
      </w:r>
    </w:p>
    <w:p>
      <w:pPr>
        <w:spacing w:line="360" w:lineRule="auto"/>
        <w:ind w:firstLine="466" w:firstLineChars="200"/>
        <w:rPr>
          <w:b/>
          <w:i w:val="0"/>
          <w:iCs w:val="0"/>
          <w:spacing w:val="-4"/>
        </w:rPr>
      </w:pPr>
      <w:r>
        <w:rPr>
          <w:rFonts w:hint="eastAsia"/>
          <w:b/>
          <w:i w:val="0"/>
          <w:iCs w:val="0"/>
          <w:spacing w:val="-4"/>
        </w:rPr>
        <w:t>3.3.2运营期</w:t>
      </w:r>
    </w:p>
    <w:p>
      <w:pPr>
        <w:spacing w:line="360" w:lineRule="auto"/>
        <w:ind w:firstLine="466" w:firstLineChars="200"/>
        <w:rPr>
          <w:b/>
          <w:i w:val="0"/>
          <w:iCs w:val="0"/>
          <w:spacing w:val="-4"/>
        </w:rPr>
      </w:pPr>
      <w:r>
        <w:rPr>
          <w:rFonts w:hint="eastAsia"/>
          <w:b/>
          <w:i w:val="0"/>
          <w:iCs w:val="0"/>
          <w:spacing w:val="-4"/>
        </w:rPr>
        <w:t>3.3.2.1生产</w:t>
      </w:r>
      <w:r>
        <w:rPr>
          <w:b/>
          <w:i w:val="0"/>
          <w:iCs w:val="0"/>
          <w:spacing w:val="-4"/>
        </w:rPr>
        <w:t>工艺</w:t>
      </w:r>
      <w:r>
        <w:rPr>
          <w:rFonts w:hint="eastAsia"/>
          <w:b/>
          <w:i w:val="0"/>
          <w:iCs w:val="0"/>
          <w:spacing w:val="-4"/>
        </w:rPr>
        <w:t>流程</w:t>
      </w:r>
    </w:p>
    <w:p>
      <w:pPr>
        <w:pStyle w:val="402"/>
        <w:numPr>
          <w:ilvl w:val="0"/>
          <w:numId w:val="13"/>
        </w:numPr>
        <w:ind w:left="0" w:firstLine="482" w:firstLineChars="0"/>
        <w:rPr>
          <w:rFonts w:hAnsi="Times New Roman"/>
          <w:i/>
          <w:iCs/>
          <w:color w:val="000000"/>
          <w:szCs w:val="28"/>
          <w:u w:val="single"/>
        </w:rPr>
      </w:pPr>
      <w:r>
        <w:rPr>
          <w:rFonts w:hAnsi="Times New Roman"/>
          <w:i/>
          <w:iCs/>
          <w:color w:val="000000"/>
          <w:szCs w:val="28"/>
          <w:u w:val="single"/>
        </w:rPr>
        <w:t>菌种的制备</w:t>
      </w:r>
    </w:p>
    <w:p>
      <w:pPr>
        <w:pStyle w:val="402"/>
        <w:rPr>
          <w:rFonts w:hAnsi="Times New Roman"/>
          <w:i/>
          <w:iCs/>
          <w:color w:val="000000"/>
          <w:szCs w:val="28"/>
          <w:u w:val="single"/>
        </w:rPr>
      </w:pPr>
      <w:r>
        <w:rPr>
          <w:rFonts w:hAnsi="Times New Roman"/>
          <w:i/>
          <w:iCs/>
          <w:color w:val="000000"/>
          <w:szCs w:val="28"/>
          <w:u w:val="single"/>
        </w:rPr>
        <w:t>取-80℃冰箱保存的生产菌种红法夫酵母</w:t>
      </w:r>
      <w:r>
        <w:rPr>
          <w:rFonts w:hint="eastAsia" w:hAnsi="Times New Roman"/>
          <w:i/>
          <w:iCs/>
          <w:color w:val="000000"/>
          <w:szCs w:val="28"/>
          <w:u w:val="single"/>
        </w:rPr>
        <w:t>（保存编号</w:t>
      </w:r>
      <w:r>
        <w:rPr>
          <w:rFonts w:hAnsi="Times New Roman"/>
          <w:i/>
          <w:iCs/>
          <w:color w:val="000000"/>
          <w:szCs w:val="28"/>
          <w:u w:val="single"/>
        </w:rPr>
        <w:t>GDMCC No:70088</w:t>
      </w:r>
      <w:r>
        <w:rPr>
          <w:rFonts w:hint="eastAsia" w:hAnsi="Times New Roman"/>
          <w:i/>
          <w:iCs/>
          <w:color w:val="000000"/>
          <w:szCs w:val="28"/>
          <w:u w:val="single"/>
        </w:rPr>
        <w:t>）</w:t>
      </w:r>
      <w:r>
        <w:rPr>
          <w:rFonts w:hAnsi="Times New Roman"/>
          <w:i/>
          <w:iCs/>
          <w:color w:val="000000"/>
          <w:szCs w:val="28"/>
          <w:u w:val="single"/>
        </w:rPr>
        <w:t>，接种摇瓶进行扩培后接种到种子罐中进行发酵培养。菌种制作的全部过程要求在无菌状况下进行，而且确保菌种具有稳定生长特性。</w:t>
      </w:r>
    </w:p>
    <w:p>
      <w:pPr>
        <w:pStyle w:val="402"/>
        <w:numPr>
          <w:ilvl w:val="0"/>
          <w:numId w:val="13"/>
        </w:numPr>
        <w:ind w:left="0" w:firstLine="482" w:firstLineChars="0"/>
        <w:rPr>
          <w:rFonts w:hAnsi="Times New Roman"/>
          <w:i/>
          <w:iCs/>
          <w:color w:val="000000"/>
          <w:szCs w:val="28"/>
          <w:u w:val="single"/>
        </w:rPr>
      </w:pPr>
      <w:r>
        <w:rPr>
          <w:rFonts w:hAnsi="Times New Roman"/>
          <w:i/>
          <w:iCs/>
          <w:color w:val="000000"/>
          <w:szCs w:val="28"/>
          <w:u w:val="single"/>
        </w:rPr>
        <w:t>种子一级扩培</w:t>
      </w:r>
    </w:p>
    <w:p>
      <w:pPr>
        <w:pStyle w:val="402"/>
        <w:rPr>
          <w:rFonts w:hAnsi="Times New Roman"/>
          <w:i/>
          <w:iCs/>
          <w:color w:val="000000"/>
          <w:szCs w:val="28"/>
          <w:u w:val="single"/>
        </w:rPr>
      </w:pPr>
      <w:r>
        <w:rPr>
          <w:rFonts w:hint="eastAsia" w:hAnsi="Times New Roman"/>
          <w:i/>
          <w:iCs/>
          <w:color w:val="000000"/>
          <w:szCs w:val="28"/>
          <w:u w:val="single"/>
        </w:rPr>
        <w:t>将</w:t>
      </w:r>
      <w:r>
        <w:rPr>
          <w:rFonts w:hAnsi="Times New Roman"/>
          <w:i/>
          <w:iCs/>
          <w:color w:val="000000"/>
          <w:szCs w:val="28"/>
          <w:u w:val="single"/>
        </w:rPr>
        <w:t>葡萄糖、酵母浸粉、蛋白胨、消泡剂、水按一定的比例加入一级种子罐，</w:t>
      </w:r>
      <w:r>
        <w:rPr>
          <w:rFonts w:hint="eastAsia" w:hAnsi="Times New Roman"/>
          <w:i/>
          <w:iCs/>
          <w:color w:val="000000"/>
          <w:szCs w:val="28"/>
          <w:u w:val="single"/>
        </w:rPr>
        <w:t>搅拌溶解，</w:t>
      </w:r>
      <w:r>
        <w:rPr>
          <w:rFonts w:hAnsi="Times New Roman"/>
          <w:i/>
          <w:iCs/>
          <w:color w:val="000000"/>
          <w:szCs w:val="28"/>
          <w:u w:val="single"/>
        </w:rPr>
        <w:t>经121-123℃消毒30分钟，冷却到</w:t>
      </w:r>
      <w:r>
        <w:rPr>
          <w:rFonts w:hint="eastAsia" w:hAnsi="Times New Roman"/>
          <w:i/>
          <w:iCs/>
          <w:color w:val="000000"/>
          <w:szCs w:val="28"/>
          <w:u w:val="single"/>
        </w:rPr>
        <w:t>规定温度</w:t>
      </w:r>
      <w:r>
        <w:rPr>
          <w:rFonts w:hAnsi="Times New Roman"/>
          <w:i/>
          <w:iCs/>
          <w:color w:val="000000"/>
          <w:szCs w:val="28"/>
          <w:u w:val="single"/>
        </w:rPr>
        <w:t>后接入制备好的种子液，</w:t>
      </w:r>
      <w:r>
        <w:rPr>
          <w:rFonts w:hint="eastAsia" w:hAnsi="Times New Roman"/>
          <w:i/>
          <w:iCs/>
          <w:color w:val="000000"/>
          <w:szCs w:val="28"/>
          <w:u w:val="single"/>
        </w:rPr>
        <w:t>通入无菌空气、控制一定的工艺条件发酵36小时左右，移种到二级种子罐。成熟的培养液移种到二级种子罐后对一级种子罐进行清洗。</w:t>
      </w:r>
    </w:p>
    <w:p>
      <w:pPr>
        <w:pStyle w:val="402"/>
        <w:rPr>
          <w:rFonts w:hAnsi="Times New Roman"/>
          <w:i/>
          <w:iCs/>
          <w:color w:val="000000"/>
          <w:szCs w:val="28"/>
          <w:u w:val="single"/>
        </w:rPr>
      </w:pPr>
      <w:r>
        <w:rPr>
          <w:rFonts w:hint="eastAsia" w:hAnsi="Times New Roman"/>
          <w:i/>
          <w:iCs/>
          <w:color w:val="000000"/>
          <w:szCs w:val="28"/>
          <w:u w:val="single"/>
        </w:rPr>
        <w:t>产污分析：生物转化过程有二氧化碳废气产生，清洗过程有清洗废水产生。清洗废水间歇排放，废水中主要污染物为COD，清洗废水进厂区污水处理设施处理。</w:t>
      </w:r>
    </w:p>
    <w:p>
      <w:pPr>
        <w:pStyle w:val="402"/>
        <w:numPr>
          <w:ilvl w:val="0"/>
          <w:numId w:val="13"/>
        </w:numPr>
        <w:ind w:left="0" w:firstLine="482" w:firstLineChars="0"/>
        <w:rPr>
          <w:rFonts w:hAnsi="Times New Roman"/>
          <w:i/>
          <w:iCs/>
          <w:color w:val="000000"/>
          <w:szCs w:val="28"/>
          <w:u w:val="single"/>
        </w:rPr>
      </w:pPr>
      <w:r>
        <w:rPr>
          <w:rFonts w:hAnsi="Times New Roman"/>
          <w:i/>
          <w:iCs/>
          <w:color w:val="000000"/>
          <w:szCs w:val="28"/>
          <w:u w:val="single"/>
        </w:rPr>
        <w:t>种子二级扩培</w:t>
      </w:r>
    </w:p>
    <w:p>
      <w:pPr>
        <w:pStyle w:val="402"/>
        <w:rPr>
          <w:rFonts w:hAnsi="Times New Roman"/>
          <w:i/>
          <w:iCs/>
          <w:color w:val="000000"/>
          <w:szCs w:val="28"/>
          <w:u w:val="single"/>
        </w:rPr>
      </w:pPr>
      <w:r>
        <w:rPr>
          <w:rFonts w:hAnsi="Times New Roman"/>
          <w:i/>
          <w:iCs/>
          <w:color w:val="000000"/>
          <w:szCs w:val="28"/>
          <w:u w:val="single"/>
        </w:rPr>
        <w:t>将葡萄糖、酵母浸粉、蛋白胨、消泡剂、水按一定的比例</w:t>
      </w:r>
      <w:r>
        <w:rPr>
          <w:rFonts w:hint="eastAsia" w:hAnsi="Times New Roman"/>
          <w:i/>
          <w:iCs/>
          <w:color w:val="000000"/>
          <w:szCs w:val="28"/>
          <w:u w:val="single"/>
        </w:rPr>
        <w:t>加</w:t>
      </w:r>
      <w:r>
        <w:rPr>
          <w:rFonts w:hAnsi="Times New Roman"/>
          <w:i/>
          <w:iCs/>
          <w:color w:val="000000"/>
          <w:szCs w:val="28"/>
          <w:u w:val="single"/>
        </w:rPr>
        <w:t>入二级种子罐，经121-123℃消毒30分钟，采用低温水间接冷却到</w:t>
      </w:r>
      <w:r>
        <w:rPr>
          <w:rFonts w:hint="eastAsia" w:hAnsi="Times New Roman"/>
          <w:i/>
          <w:iCs/>
          <w:color w:val="000000"/>
          <w:szCs w:val="28"/>
          <w:u w:val="single"/>
        </w:rPr>
        <w:t>规定温度</w:t>
      </w:r>
      <w:r>
        <w:rPr>
          <w:rFonts w:hAnsi="Times New Roman"/>
          <w:i/>
          <w:iCs/>
          <w:color w:val="000000"/>
          <w:szCs w:val="28"/>
          <w:u w:val="single"/>
        </w:rPr>
        <w:t>后接入一级种子培养液，</w:t>
      </w:r>
      <w:r>
        <w:rPr>
          <w:rFonts w:hint="eastAsia" w:hAnsi="Times New Roman"/>
          <w:i/>
          <w:iCs/>
          <w:color w:val="000000"/>
          <w:szCs w:val="28"/>
          <w:u w:val="single"/>
        </w:rPr>
        <w:t>通入无菌空气、控制一定的工艺条件发酵36小时左右，移种到三级种子罐。成熟的培养液移种到三级种子罐后对二级种子罐进行清洗。</w:t>
      </w:r>
    </w:p>
    <w:p>
      <w:pPr>
        <w:pStyle w:val="402"/>
        <w:rPr>
          <w:rFonts w:hint="eastAsia" w:hAnsi="Times New Roman"/>
          <w:i/>
          <w:iCs/>
          <w:color w:val="000000"/>
          <w:szCs w:val="28"/>
          <w:u w:val="single"/>
        </w:rPr>
      </w:pPr>
      <w:r>
        <w:rPr>
          <w:rFonts w:hint="eastAsia" w:hAnsi="Times New Roman"/>
          <w:i/>
          <w:iCs/>
          <w:color w:val="000000"/>
          <w:szCs w:val="28"/>
          <w:u w:val="single"/>
        </w:rPr>
        <w:t>产污分析：生物转化过程有二氧化碳废气产生，清洗过程有清洗废水产生。清洗废水间歇排放，废水中主要污染物为COD，清洗废水进厂区污水处理设施处理。</w:t>
      </w:r>
    </w:p>
    <w:p>
      <w:pPr>
        <w:pStyle w:val="402"/>
        <w:numPr>
          <w:ilvl w:val="0"/>
          <w:numId w:val="13"/>
        </w:numPr>
        <w:ind w:left="0" w:firstLine="482" w:firstLineChars="0"/>
        <w:rPr>
          <w:rFonts w:hAnsi="Times New Roman"/>
          <w:i/>
          <w:iCs/>
          <w:color w:val="000000"/>
          <w:szCs w:val="28"/>
          <w:u w:val="single"/>
        </w:rPr>
      </w:pPr>
      <w:r>
        <w:rPr>
          <w:rFonts w:hAnsi="Times New Roman"/>
          <w:i/>
          <w:iCs/>
          <w:color w:val="000000"/>
          <w:szCs w:val="28"/>
          <w:u w:val="single"/>
        </w:rPr>
        <w:t>种子</w:t>
      </w:r>
      <w:r>
        <w:rPr>
          <w:rFonts w:hint="eastAsia" w:hAnsi="Times New Roman"/>
          <w:i/>
          <w:iCs/>
          <w:color w:val="000000"/>
          <w:szCs w:val="28"/>
          <w:u w:val="single"/>
        </w:rPr>
        <w:t>三</w:t>
      </w:r>
      <w:r>
        <w:rPr>
          <w:rFonts w:hAnsi="Times New Roman"/>
          <w:i/>
          <w:iCs/>
          <w:color w:val="000000"/>
          <w:szCs w:val="28"/>
          <w:u w:val="single"/>
        </w:rPr>
        <w:t>级扩培</w:t>
      </w:r>
    </w:p>
    <w:p>
      <w:pPr>
        <w:pStyle w:val="402"/>
        <w:rPr>
          <w:rFonts w:hAnsi="Times New Roman"/>
          <w:i/>
          <w:iCs/>
          <w:color w:val="000000"/>
          <w:szCs w:val="28"/>
          <w:u w:val="single"/>
        </w:rPr>
      </w:pPr>
      <w:r>
        <w:rPr>
          <w:rFonts w:hAnsi="Times New Roman"/>
          <w:i/>
          <w:iCs/>
          <w:color w:val="000000"/>
          <w:szCs w:val="28"/>
          <w:u w:val="single"/>
        </w:rPr>
        <w:t>将葡萄糖、酵母浸粉、蛋白胨、消泡剂、水按一定的比例加入配料罐，充分搅拌溶解后打入三级种子罐中，经121-123℃消毒30分钟，采用低温水间接冷却到规定温度后接入二级种子培养液，通入无菌空气、控制一定的工艺条件发酵36小时左右，移种到发酵罐。成熟的培养液移种到发酵罐后对三级种子罐进行清洗。</w:t>
      </w:r>
    </w:p>
    <w:p>
      <w:pPr>
        <w:pStyle w:val="402"/>
        <w:rPr>
          <w:rFonts w:hAnsi="Times New Roman"/>
          <w:i/>
          <w:iCs/>
          <w:color w:val="000000"/>
          <w:szCs w:val="28"/>
          <w:u w:val="single"/>
        </w:rPr>
      </w:pPr>
      <w:r>
        <w:rPr>
          <w:rFonts w:hAnsi="Times New Roman"/>
          <w:i/>
          <w:iCs/>
          <w:color w:val="000000"/>
          <w:szCs w:val="28"/>
          <w:u w:val="single"/>
        </w:rPr>
        <w:t>产污分析：生物转化过程有二氧化碳废气产生，清洗过程有清洗废水产生。清洗废水间歇排放，废水中主要污染物为COD，清洗废水进厂区污水处理设施处理。</w:t>
      </w:r>
    </w:p>
    <w:p>
      <w:pPr>
        <w:pStyle w:val="402"/>
        <w:numPr>
          <w:ilvl w:val="0"/>
          <w:numId w:val="13"/>
        </w:numPr>
        <w:ind w:left="0" w:firstLine="482" w:firstLineChars="0"/>
        <w:rPr>
          <w:rFonts w:hAnsi="Times New Roman"/>
          <w:i/>
          <w:iCs/>
          <w:color w:val="000000"/>
          <w:szCs w:val="28"/>
          <w:u w:val="single"/>
        </w:rPr>
      </w:pPr>
      <w:r>
        <w:rPr>
          <w:rFonts w:hAnsi="Times New Roman"/>
          <w:i/>
          <w:iCs/>
          <w:color w:val="000000"/>
          <w:szCs w:val="28"/>
          <w:u w:val="single"/>
        </w:rPr>
        <w:t>发酵</w:t>
      </w:r>
    </w:p>
    <w:p>
      <w:pPr>
        <w:pStyle w:val="402"/>
        <w:ind w:left="85"/>
        <w:rPr>
          <w:rFonts w:hAnsi="Times New Roman"/>
          <w:i/>
          <w:iCs/>
          <w:color w:val="000000"/>
          <w:szCs w:val="28"/>
          <w:u w:val="single"/>
        </w:rPr>
      </w:pPr>
      <w:r>
        <w:rPr>
          <w:rFonts w:hAnsi="Times New Roman"/>
          <w:i/>
          <w:iCs/>
          <w:color w:val="000000"/>
          <w:szCs w:val="28"/>
          <w:u w:val="single"/>
        </w:rPr>
        <w:t>将葡萄糖、酵母浸粉、蛋白胨、消泡剂、水按一定的比例</w:t>
      </w:r>
      <w:r>
        <w:rPr>
          <w:rFonts w:hint="eastAsia" w:hAnsi="Times New Roman"/>
          <w:i/>
          <w:iCs/>
          <w:color w:val="000000"/>
          <w:szCs w:val="28"/>
          <w:u w:val="single"/>
        </w:rPr>
        <w:t>加入发酵配料罐，充分搅拌溶解</w:t>
      </w:r>
      <w:r>
        <w:rPr>
          <w:rFonts w:hAnsi="Times New Roman"/>
          <w:i/>
          <w:iCs/>
          <w:color w:val="000000"/>
          <w:szCs w:val="28"/>
          <w:u w:val="single"/>
        </w:rPr>
        <w:t>后打入发酵罐，经121-123℃消毒30分钟，通过低温水间接冷却到</w:t>
      </w:r>
      <w:r>
        <w:rPr>
          <w:rFonts w:hint="eastAsia" w:hAnsi="Times New Roman"/>
          <w:i/>
          <w:iCs/>
          <w:color w:val="000000"/>
          <w:szCs w:val="28"/>
          <w:u w:val="single"/>
        </w:rPr>
        <w:t>规定温度后加入经过滤除菌的乙醇，再</w:t>
      </w:r>
      <w:r>
        <w:rPr>
          <w:rFonts w:hAnsi="Times New Roman"/>
          <w:i/>
          <w:iCs/>
          <w:color w:val="000000"/>
          <w:szCs w:val="28"/>
          <w:u w:val="single"/>
        </w:rPr>
        <w:t>接入</w:t>
      </w:r>
      <w:r>
        <w:rPr>
          <w:rFonts w:hint="eastAsia" w:hAnsi="Times New Roman"/>
          <w:i/>
          <w:iCs/>
          <w:color w:val="000000"/>
          <w:szCs w:val="28"/>
          <w:u w:val="single"/>
        </w:rPr>
        <w:t>三</w:t>
      </w:r>
      <w:r>
        <w:rPr>
          <w:rFonts w:hAnsi="Times New Roman"/>
          <w:i/>
          <w:iCs/>
          <w:color w:val="000000"/>
          <w:szCs w:val="28"/>
          <w:u w:val="single"/>
        </w:rPr>
        <w:t>级种子培养液，通入无菌空气</w:t>
      </w:r>
      <w:r>
        <w:rPr>
          <w:rFonts w:hint="eastAsia" w:hAnsi="Times New Roman"/>
          <w:i/>
          <w:iCs/>
          <w:color w:val="000000"/>
          <w:szCs w:val="28"/>
          <w:u w:val="single"/>
        </w:rPr>
        <w:t>并</w:t>
      </w:r>
      <w:r>
        <w:rPr>
          <w:rFonts w:hAnsi="Times New Roman"/>
          <w:i/>
          <w:iCs/>
          <w:color w:val="000000"/>
          <w:szCs w:val="28"/>
          <w:u w:val="single"/>
        </w:rPr>
        <w:t>控制</w:t>
      </w:r>
      <w:r>
        <w:rPr>
          <w:rFonts w:hint="eastAsia" w:hAnsi="Times New Roman"/>
          <w:i/>
          <w:iCs/>
          <w:color w:val="000000"/>
          <w:szCs w:val="28"/>
          <w:u w:val="single"/>
        </w:rPr>
        <w:t>一定的工艺条件</w:t>
      </w:r>
      <w:r>
        <w:rPr>
          <w:rFonts w:hAnsi="Times New Roman"/>
          <w:i/>
          <w:iCs/>
          <w:color w:val="000000"/>
          <w:szCs w:val="28"/>
          <w:u w:val="single"/>
        </w:rPr>
        <w:t>发酵192小时左右，发酵结束后送入离心分离工段进行处理。成熟好的发酵液送到离心分离工段处理后对发酵罐进行清洗。</w:t>
      </w:r>
    </w:p>
    <w:p>
      <w:pPr>
        <w:pStyle w:val="402"/>
        <w:ind w:left="85"/>
        <w:rPr>
          <w:rFonts w:hAnsi="Times New Roman"/>
          <w:i/>
          <w:iCs/>
          <w:color w:val="000000"/>
          <w:szCs w:val="28"/>
          <w:u w:val="single"/>
        </w:rPr>
      </w:pPr>
      <w:r>
        <w:rPr>
          <w:rFonts w:hAnsi="Times New Roman"/>
          <w:i/>
          <w:iCs/>
          <w:color w:val="000000"/>
          <w:szCs w:val="28"/>
          <w:u w:val="single"/>
        </w:rPr>
        <w:t>产污分析：生物转化过程有二氧化碳</w:t>
      </w:r>
      <w:r>
        <w:rPr>
          <w:rFonts w:hint="eastAsia" w:hAnsi="Times New Roman"/>
          <w:i/>
          <w:iCs/>
          <w:color w:val="000000"/>
          <w:szCs w:val="28"/>
          <w:u w:val="single"/>
        </w:rPr>
        <w:t>、氨气、非甲烷总烃</w:t>
      </w:r>
      <w:r>
        <w:rPr>
          <w:rFonts w:hAnsi="Times New Roman"/>
          <w:i/>
          <w:iCs/>
          <w:color w:val="000000"/>
          <w:szCs w:val="28"/>
          <w:u w:val="single"/>
        </w:rPr>
        <w:t>废气产生，清洗过程有清洗废水产生。清洗废水间歇排放，废水中主要污染物为COD，清洗废水进厂区污水处理设施处理。</w:t>
      </w:r>
    </w:p>
    <w:p>
      <w:pPr>
        <w:pStyle w:val="402"/>
        <w:numPr>
          <w:ilvl w:val="0"/>
          <w:numId w:val="13"/>
        </w:numPr>
        <w:ind w:left="0" w:firstLine="482" w:firstLineChars="0"/>
        <w:rPr>
          <w:rFonts w:hAnsi="Times New Roman"/>
          <w:i/>
          <w:iCs/>
          <w:color w:val="000000"/>
          <w:szCs w:val="28"/>
          <w:u w:val="single"/>
        </w:rPr>
      </w:pPr>
      <w:r>
        <w:rPr>
          <w:rFonts w:hAnsi="Times New Roman"/>
          <w:i/>
          <w:iCs/>
          <w:color w:val="000000"/>
          <w:szCs w:val="28"/>
          <w:u w:val="single"/>
        </w:rPr>
        <w:t>菌泥分离</w:t>
      </w:r>
    </w:p>
    <w:p>
      <w:pPr>
        <w:pStyle w:val="402"/>
        <w:ind w:left="85"/>
        <w:rPr>
          <w:rFonts w:hAnsi="Times New Roman"/>
          <w:i/>
          <w:iCs/>
          <w:color w:val="000000"/>
          <w:szCs w:val="28"/>
          <w:u w:val="single"/>
        </w:rPr>
      </w:pPr>
      <w:r>
        <w:rPr>
          <w:rFonts w:hAnsi="Times New Roman"/>
          <w:i/>
          <w:iCs/>
          <w:color w:val="000000"/>
          <w:szCs w:val="28"/>
          <w:u w:val="single"/>
        </w:rPr>
        <w:t>成熟细胞用离心分离机进行固液分离。发酵液通过管道移送到离心分离机，由上部中心进料口经进料管流至转鼓底部，由于离心分离机的碟片组高速旋转，发酵液通过碟片上圆孔形成的垂直通道进入碟片间的隙道后，也被带着高速旋转，具有了离心力。此时发酵液获得较大的离心沉降速度，则有向外运动的趋势，就从垂直圆孔通道在碟片间的隙道内向外运动，并连续向鼓壁沉降，在滑动转鼓控制下，可经出渣口连续排出；离心液则反方向向轴心方向流动，移动至转鼓中心的进液管周围，由向心泵排出机外，收集备用。这样，菌泥与上清液就在碟片间的隙道流动的过程中被分开。收集浓相（菌泥)进入喷雾干燥工段。</w:t>
      </w:r>
    </w:p>
    <w:p>
      <w:pPr>
        <w:pStyle w:val="402"/>
        <w:ind w:left="85"/>
        <w:rPr>
          <w:rFonts w:hAnsi="Times New Roman"/>
          <w:i/>
          <w:iCs/>
          <w:color w:val="000000"/>
          <w:szCs w:val="28"/>
          <w:u w:val="single"/>
        </w:rPr>
      </w:pPr>
      <w:r>
        <w:rPr>
          <w:rFonts w:hAnsi="Times New Roman"/>
          <w:i/>
          <w:iCs/>
          <w:color w:val="000000"/>
          <w:szCs w:val="28"/>
          <w:u w:val="single"/>
        </w:rPr>
        <w:t>产污分析：此工序有离心废水及机械噪声产生。离心废水间歇排放，产生量为</w:t>
      </w:r>
      <w:r>
        <w:rPr>
          <w:rFonts w:hint="eastAsia" w:hAnsi="Times New Roman"/>
          <w:i/>
          <w:iCs/>
          <w:color w:val="000000"/>
          <w:szCs w:val="28"/>
          <w:u w:val="single"/>
          <w:lang w:val="en-US" w:eastAsia="zh-CN"/>
        </w:rPr>
        <w:t>56</w:t>
      </w:r>
      <w:r>
        <w:rPr>
          <w:rFonts w:hAnsi="Times New Roman"/>
          <w:i/>
          <w:iCs/>
          <w:color w:val="000000"/>
          <w:szCs w:val="28"/>
          <w:u w:val="single"/>
        </w:rPr>
        <w:t>t/批次，废水中主要污染物为COD，离心废水进厂区污水处理设施处理。</w:t>
      </w:r>
    </w:p>
    <w:p>
      <w:pPr>
        <w:pStyle w:val="402"/>
        <w:numPr>
          <w:ilvl w:val="0"/>
          <w:numId w:val="13"/>
        </w:numPr>
        <w:ind w:left="0" w:firstLine="482" w:firstLineChars="0"/>
        <w:rPr>
          <w:rFonts w:hAnsi="Times New Roman"/>
          <w:i/>
          <w:iCs/>
          <w:color w:val="000000"/>
          <w:szCs w:val="28"/>
          <w:u w:val="single"/>
        </w:rPr>
      </w:pPr>
      <w:r>
        <w:rPr>
          <w:rFonts w:hAnsi="Times New Roman"/>
          <w:i/>
          <w:iCs/>
          <w:color w:val="000000"/>
          <w:szCs w:val="28"/>
          <w:u w:val="single"/>
        </w:rPr>
        <w:t>喷雾干燥</w:t>
      </w:r>
    </w:p>
    <w:p>
      <w:pPr>
        <w:pStyle w:val="106"/>
        <w:spacing w:line="360" w:lineRule="auto"/>
        <w:rPr>
          <w:rFonts w:ascii="Times New Roman" w:hAnsi="Times New Roman"/>
          <w:i/>
          <w:iCs/>
          <w:color w:val="000000"/>
          <w:kern w:val="2"/>
          <w:u w:val="single"/>
        </w:rPr>
      </w:pPr>
      <w:r>
        <w:rPr>
          <w:rFonts w:ascii="Times New Roman" w:hAnsi="Times New Roman"/>
          <w:i/>
          <w:iCs/>
          <w:color w:val="000000"/>
          <w:kern w:val="2"/>
          <w:u w:val="single"/>
        </w:rPr>
        <w:t>离心出来的浓相通过压力式喷雾干燥塔进行喷雾干燥。菌泥通过雾化器雾化，分散为细小雾滴进入干燥塔，同时，空气经鼓风机送入热风炉</w:t>
      </w:r>
      <w:r>
        <w:rPr>
          <w:rFonts w:hint="eastAsia" w:ascii="Times New Roman" w:hAnsi="Times New Roman"/>
          <w:i/>
          <w:iCs/>
          <w:color w:val="000000"/>
          <w:kern w:val="2"/>
          <w:u w:val="single"/>
        </w:rPr>
        <w:t>加热后</w:t>
      </w:r>
      <w:r>
        <w:rPr>
          <w:rFonts w:ascii="Times New Roman" w:hAnsi="Times New Roman"/>
          <w:i/>
          <w:iCs/>
          <w:color w:val="000000"/>
          <w:kern w:val="2"/>
          <w:u w:val="single"/>
        </w:rPr>
        <w:t>进入干燥塔。菌泥雾滴与热空气在干燥塔内充分混合、接触。雾滴中的液体瞬间蒸发为气体，物料干燥成细小的颗粒。混合的气固两相在风机负压的压力下被吸入旋风分离器（设有二级旋风除尘器），两相分离，固体物料沉降到底部收集器，气相被引送至粉尘过滤器，捕集逃逸的物料，由于采用布袋除尘，除尘后仅有极少量粉尘排放。绝大部分产品落下收料即得成品。成品物料经过振荡筛分出不同粒径产品，后经过包装机进行包装得到红法夫酵母最终产品</w:t>
      </w:r>
      <w:r>
        <w:rPr>
          <w:rFonts w:hint="eastAsia" w:ascii="Times New Roman" w:hAnsi="Times New Roman"/>
          <w:i/>
          <w:iCs/>
          <w:color w:val="000000"/>
          <w:kern w:val="2"/>
          <w:u w:val="single"/>
        </w:rPr>
        <w:t>（每批次产量在</w:t>
      </w:r>
      <w:r>
        <w:rPr>
          <w:rFonts w:ascii="Times New Roman" w:hAnsi="Times New Roman"/>
          <w:i/>
          <w:iCs/>
          <w:color w:val="000000"/>
          <w:kern w:val="2"/>
          <w:u w:val="single"/>
        </w:rPr>
        <w:t>1</w:t>
      </w:r>
      <w:r>
        <w:rPr>
          <w:rFonts w:hint="eastAsia" w:ascii="Times New Roman" w:hAnsi="Times New Roman"/>
          <w:i/>
          <w:iCs/>
          <w:color w:val="000000"/>
          <w:kern w:val="2"/>
          <w:u w:val="single"/>
          <w:lang w:val="en-US" w:eastAsia="zh-CN"/>
        </w:rPr>
        <w:t>6</w:t>
      </w:r>
      <w:r>
        <w:rPr>
          <w:rFonts w:hint="eastAsia" w:ascii="Times New Roman" w:hAnsi="Times New Roman"/>
          <w:i/>
          <w:iCs/>
          <w:color w:val="000000"/>
          <w:kern w:val="2"/>
          <w:u w:val="single"/>
        </w:rPr>
        <w:t>吨左右）。</w:t>
      </w:r>
    </w:p>
    <w:p>
      <w:pPr>
        <w:pStyle w:val="402"/>
        <w:numPr>
          <w:ilvl w:val="0"/>
          <w:numId w:val="13"/>
        </w:numPr>
        <w:ind w:left="0" w:firstLine="482" w:firstLineChars="0"/>
        <w:rPr>
          <w:rFonts w:hint="eastAsia" w:ascii="Times New Roman" w:hAnsi="Times New Roman"/>
          <w:i/>
          <w:iCs/>
          <w:color w:val="000000"/>
          <w:kern w:val="2"/>
          <w:u w:val="single"/>
        </w:rPr>
      </w:pPr>
      <w:r>
        <w:rPr>
          <w:rFonts w:hint="eastAsia" w:ascii="Times New Roman" w:hAnsi="Times New Roman"/>
          <w:i/>
          <w:iCs/>
          <w:color w:val="000000"/>
          <w:kern w:val="2"/>
          <w:u w:val="single"/>
        </w:rPr>
        <w:t>产污分析：此工序中有</w:t>
      </w:r>
      <w:r>
        <w:rPr>
          <w:rFonts w:hAnsi="Times New Roman"/>
          <w:i/>
          <w:iCs/>
          <w:color w:val="000000"/>
          <w:szCs w:val="28"/>
          <w:u w:val="single"/>
        </w:rPr>
        <w:t>喷雾干燥</w:t>
      </w:r>
      <w:r>
        <w:rPr>
          <w:rFonts w:hint="eastAsia" w:ascii="Times New Roman" w:hAnsi="Times New Roman"/>
          <w:i/>
          <w:iCs/>
          <w:color w:val="000000"/>
          <w:kern w:val="2"/>
          <w:u w:val="single"/>
        </w:rPr>
        <w:t>粉尘、</w:t>
      </w:r>
      <w:r>
        <w:rPr>
          <w:rFonts w:hint="eastAsia" w:ascii="Times New Roman" w:hAnsi="Times New Roman"/>
          <w:i/>
          <w:iCs/>
          <w:color w:val="000000"/>
          <w:kern w:val="2"/>
          <w:u w:val="single"/>
          <w:lang w:eastAsia="zh-CN"/>
        </w:rPr>
        <w:t>热风炉烟气</w:t>
      </w:r>
      <w:r>
        <w:rPr>
          <w:rFonts w:hint="eastAsia" w:ascii="Times New Roman" w:hAnsi="Times New Roman"/>
          <w:i/>
          <w:iCs/>
          <w:color w:val="000000"/>
          <w:kern w:val="2"/>
          <w:u w:val="single"/>
        </w:rPr>
        <w:t>、机械噪声产生。</w:t>
      </w:r>
    </w:p>
    <w:p>
      <w:pPr>
        <w:pStyle w:val="106"/>
        <w:spacing w:line="360" w:lineRule="auto"/>
        <w:rPr>
          <w:rFonts w:hint="eastAsia" w:ascii="Times New Roman" w:hAnsi="Times New Roman"/>
          <w:i/>
          <w:iCs/>
          <w:color w:val="000000"/>
          <w:kern w:val="2"/>
          <w:u w:val="single"/>
        </w:rPr>
      </w:pPr>
      <w:r>
        <w:rPr>
          <w:rFonts w:ascii="Times New Roman" w:hAnsi="Times New Roman"/>
          <w:i/>
          <w:iCs/>
          <w:color w:val="000000"/>
          <w:kern w:val="2"/>
          <w:u w:val="single"/>
        </w:rPr>
        <w:t>工艺流程图及产污环节见图3</w:t>
      </w:r>
      <w:r>
        <w:rPr>
          <w:rFonts w:hint="eastAsia" w:ascii="Times New Roman" w:hAnsi="Times New Roman"/>
          <w:i/>
          <w:iCs/>
          <w:color w:val="000000"/>
          <w:kern w:val="2"/>
          <w:u w:val="single"/>
          <w:lang w:val="en-US" w:eastAsia="zh-CN"/>
        </w:rPr>
        <w:t>-5</w:t>
      </w:r>
      <w:r>
        <w:rPr>
          <w:rFonts w:ascii="Times New Roman" w:hAnsi="Times New Roman"/>
          <w:i/>
          <w:iCs/>
          <w:color w:val="000000"/>
          <w:kern w:val="2"/>
          <w:u w:val="single"/>
        </w:rPr>
        <w:t>。</w:t>
      </w:r>
    </w:p>
    <w:p>
      <w:pPr>
        <w:pStyle w:val="24"/>
        <w:snapToGrid w:val="0"/>
        <w:jc w:val="right"/>
        <w:rPr>
          <w:i/>
          <w:iCs/>
          <w:color w:val="000000"/>
          <w:sz w:val="28"/>
          <w:szCs w:val="28"/>
          <w:u w:val="single"/>
        </w:rPr>
      </w:pPr>
      <w:r>
        <w:rPr>
          <w:i/>
          <w:iCs/>
          <w:u w:val="single"/>
        </w:rPr>
        <w:drawing>
          <wp:anchor distT="0" distB="0" distL="114300" distR="114300" simplePos="0" relativeHeight="251663360" behindDoc="0" locked="0" layoutInCell="1" allowOverlap="1">
            <wp:simplePos x="0" y="0"/>
            <wp:positionH relativeFrom="column">
              <wp:posOffset>1002030</wp:posOffset>
            </wp:positionH>
            <wp:positionV relativeFrom="paragraph">
              <wp:posOffset>-9201150</wp:posOffset>
            </wp:positionV>
            <wp:extent cx="5192395" cy="7426960"/>
            <wp:effectExtent l="0" t="0" r="8255" b="2540"/>
            <wp:wrapTopAndBottom/>
            <wp:docPr id="2" name="图片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55"/>
                    <pic:cNvPicPr>
                      <a:picLocks noChangeAspect="1"/>
                    </pic:cNvPicPr>
                  </pic:nvPicPr>
                  <pic:blipFill>
                    <a:blip r:embed="rId30"/>
                    <a:stretch>
                      <a:fillRect/>
                    </a:stretch>
                  </pic:blipFill>
                  <pic:spPr>
                    <a:xfrm>
                      <a:off x="0" y="0"/>
                      <a:ext cx="5192395" cy="7426960"/>
                    </a:xfrm>
                    <a:prstGeom prst="rect">
                      <a:avLst/>
                    </a:prstGeom>
                    <a:noFill/>
                    <a:ln>
                      <a:noFill/>
                    </a:ln>
                  </pic:spPr>
                </pic:pic>
              </a:graphicData>
            </a:graphic>
          </wp:anchor>
        </w:drawing>
      </w:r>
    </w:p>
    <w:p>
      <w:pPr>
        <w:spacing w:line="360" w:lineRule="auto"/>
        <w:jc w:val="center"/>
        <w:rPr>
          <w:rFonts w:hint="eastAsia" w:eastAsia="黑体"/>
          <w:i/>
          <w:iCs/>
          <w:color w:val="000000"/>
          <w:u w:val="single"/>
        </w:rPr>
      </w:pPr>
      <w:r>
        <w:rPr>
          <w:rFonts w:hint="eastAsia" w:eastAsia="黑体"/>
          <w:i/>
          <w:iCs/>
          <w:color w:val="000000"/>
          <w:u w:val="single"/>
        </w:rPr>
        <w:t>图3-</w:t>
      </w:r>
      <w:r>
        <w:rPr>
          <w:rFonts w:hint="eastAsia" w:eastAsia="黑体"/>
          <w:i/>
          <w:iCs/>
          <w:color w:val="000000"/>
          <w:u w:val="single"/>
          <w:lang w:val="en-US" w:eastAsia="zh-CN"/>
        </w:rPr>
        <w:t>5</w:t>
      </w:r>
      <w:r>
        <w:rPr>
          <w:rFonts w:hint="eastAsia" w:eastAsia="黑体"/>
          <w:i/>
          <w:iCs/>
          <w:color w:val="000000"/>
          <w:u w:val="single"/>
        </w:rPr>
        <w:t xml:space="preserve"> 生产工艺及产污节点图</w:t>
      </w:r>
    </w:p>
    <w:p>
      <w:pPr>
        <w:spacing w:line="360" w:lineRule="auto"/>
        <w:ind w:firstLine="482" w:firstLineChars="200"/>
        <w:rPr>
          <w:b/>
          <w:bCs/>
          <w:i w:val="0"/>
          <w:iCs w:val="0"/>
        </w:rPr>
      </w:pPr>
      <w:r>
        <w:rPr>
          <w:rFonts w:hint="eastAsia"/>
          <w:b/>
          <w:bCs/>
          <w:i w:val="0"/>
          <w:iCs w:val="0"/>
        </w:rPr>
        <w:t>3</w:t>
      </w:r>
      <w:r>
        <w:rPr>
          <w:b/>
          <w:bCs/>
          <w:i w:val="0"/>
          <w:iCs w:val="0"/>
        </w:rPr>
        <w:t>.</w:t>
      </w:r>
      <w:r>
        <w:rPr>
          <w:rFonts w:hint="eastAsia"/>
          <w:b/>
          <w:bCs/>
          <w:i w:val="0"/>
          <w:iCs w:val="0"/>
        </w:rPr>
        <w:t>3</w:t>
      </w:r>
      <w:r>
        <w:rPr>
          <w:b/>
          <w:bCs/>
          <w:i w:val="0"/>
          <w:iCs w:val="0"/>
        </w:rPr>
        <w:t>.</w:t>
      </w:r>
      <w:r>
        <w:rPr>
          <w:rFonts w:hint="eastAsia"/>
          <w:b/>
          <w:bCs/>
          <w:i w:val="0"/>
          <w:iCs w:val="0"/>
        </w:rPr>
        <w:t>2.2</w:t>
      </w:r>
      <w:r>
        <w:rPr>
          <w:b/>
          <w:bCs/>
          <w:i w:val="0"/>
          <w:iCs w:val="0"/>
        </w:rPr>
        <w:t>污水站处理工艺</w:t>
      </w:r>
      <w:r>
        <w:rPr>
          <w:rFonts w:hint="eastAsia"/>
          <w:b/>
          <w:bCs/>
          <w:i w:val="0"/>
          <w:iCs w:val="0"/>
        </w:rPr>
        <w:t>及产排污</w:t>
      </w:r>
    </w:p>
    <w:p>
      <w:pPr>
        <w:pStyle w:val="48"/>
        <w:spacing w:line="360" w:lineRule="auto"/>
        <w:ind w:left="0" w:firstLine="480" w:firstLineChars="200"/>
        <w:rPr>
          <w:rFonts w:hint="eastAsia"/>
          <w:i w:val="0"/>
          <w:iCs w:val="0"/>
          <w:smallCaps w:val="0"/>
          <w:sz w:val="24"/>
          <w:szCs w:val="24"/>
        </w:rPr>
      </w:pPr>
      <w:r>
        <w:rPr>
          <w:rFonts w:hint="eastAsia"/>
          <w:i w:val="0"/>
          <w:iCs w:val="0"/>
          <w:sz w:val="24"/>
          <w:szCs w:val="24"/>
        </w:rPr>
        <w:t>污水处理设施均位于厂区西南角，污水设计处理量</w:t>
      </w:r>
      <w:r>
        <w:rPr>
          <w:rFonts w:hint="eastAsia"/>
          <w:i w:val="0"/>
          <w:iCs w:val="0"/>
          <w:smallCaps w:val="0"/>
          <w:sz w:val="24"/>
          <w:szCs w:val="24"/>
        </w:rPr>
        <w:t>200m</w:t>
      </w:r>
      <w:r>
        <w:rPr>
          <w:rFonts w:hint="eastAsia"/>
          <w:i w:val="0"/>
          <w:iCs w:val="0"/>
          <w:smallCaps w:val="0"/>
          <w:sz w:val="24"/>
          <w:szCs w:val="24"/>
          <w:vertAlign w:val="superscript"/>
        </w:rPr>
        <w:t>3</w:t>
      </w:r>
      <w:r>
        <w:rPr>
          <w:rFonts w:hint="eastAsia"/>
          <w:i w:val="0"/>
          <w:iCs w:val="0"/>
          <w:smallCaps w:val="0"/>
          <w:sz w:val="24"/>
          <w:szCs w:val="24"/>
        </w:rPr>
        <w:t>/d，采取“水解+UASB+A/O”工艺，污水站产生的废气采用“化学洗涤+生物滤池+活性炭吸附”进行处理后通过15m高的排气筒外排，满足《恶臭污染物排放标准》（GB14554-93）中限值要求。</w:t>
      </w:r>
    </w:p>
    <w:p>
      <w:pPr>
        <w:spacing w:line="360" w:lineRule="auto"/>
        <w:ind w:firstLine="482" w:firstLineChars="200"/>
        <w:rPr>
          <w:rFonts w:hint="default"/>
          <w:b/>
          <w:bCs/>
          <w:i w:val="0"/>
          <w:iCs w:val="0"/>
          <w:lang w:val="en-US"/>
        </w:rPr>
      </w:pPr>
      <w:r>
        <w:rPr>
          <w:rFonts w:hint="eastAsia"/>
          <w:b/>
          <w:bCs/>
          <w:i w:val="0"/>
          <w:iCs w:val="0"/>
        </w:rPr>
        <w:t>3</w:t>
      </w:r>
      <w:r>
        <w:rPr>
          <w:b/>
          <w:bCs/>
          <w:i w:val="0"/>
          <w:iCs w:val="0"/>
        </w:rPr>
        <w:t>.</w:t>
      </w:r>
      <w:r>
        <w:rPr>
          <w:rFonts w:hint="eastAsia"/>
          <w:b/>
          <w:bCs/>
          <w:i w:val="0"/>
          <w:iCs w:val="0"/>
        </w:rPr>
        <w:t>3</w:t>
      </w:r>
      <w:r>
        <w:rPr>
          <w:b/>
          <w:bCs/>
          <w:i w:val="0"/>
          <w:iCs w:val="0"/>
        </w:rPr>
        <w:t>.</w:t>
      </w:r>
      <w:r>
        <w:rPr>
          <w:rFonts w:hint="eastAsia"/>
          <w:b/>
          <w:bCs/>
          <w:i w:val="0"/>
          <w:iCs w:val="0"/>
        </w:rPr>
        <w:t>2.</w:t>
      </w:r>
      <w:r>
        <w:rPr>
          <w:rFonts w:hint="eastAsia"/>
          <w:b/>
          <w:bCs/>
          <w:i w:val="0"/>
          <w:iCs w:val="0"/>
          <w:lang w:val="en-US" w:eastAsia="zh-CN"/>
        </w:rPr>
        <w:t>3乙醇过滤除菌工艺过程</w:t>
      </w:r>
    </w:p>
    <w:p>
      <w:pPr>
        <w:pStyle w:val="25"/>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Courier New"/>
          <w:i w:val="0"/>
          <w:iCs w:val="0"/>
          <w:kern w:val="2"/>
          <w:sz w:val="24"/>
          <w:szCs w:val="24"/>
          <w:lang w:val="en-US" w:eastAsia="zh-CN" w:bidi="ar-SA"/>
        </w:rPr>
      </w:pPr>
      <w:r>
        <w:rPr>
          <w:rFonts w:hint="eastAsia" w:ascii="Times New Roman" w:hAnsi="Times New Roman" w:eastAsia="宋体" w:cs="Courier New"/>
          <w:i w:val="0"/>
          <w:iCs w:val="0"/>
          <w:kern w:val="2"/>
          <w:sz w:val="24"/>
          <w:szCs w:val="24"/>
          <w:lang w:val="en-US" w:eastAsia="zh-CN" w:bidi="ar-SA"/>
        </w:rPr>
        <w:t>乙醇的过滤除菌采用膜过滤的方式，即乙醇由一路进入过滤器，在压力的作用下，乙醇会通过滤膜由另一端流出，杂菌由于较大被截留下来，达到除菌的目的。</w:t>
      </w:r>
    </w:p>
    <w:p>
      <w:pPr>
        <w:spacing w:line="360" w:lineRule="auto"/>
        <w:ind w:firstLine="482" w:firstLineChars="200"/>
        <w:rPr>
          <w:rFonts w:hint="eastAsia"/>
          <w:i w:val="0"/>
          <w:iCs w:val="0"/>
        </w:rPr>
      </w:pPr>
      <w:r>
        <w:rPr>
          <w:rFonts w:hint="eastAsia"/>
          <w:b/>
          <w:bCs/>
          <w:i w:val="0"/>
          <w:iCs w:val="0"/>
        </w:rPr>
        <w:t>3</w:t>
      </w:r>
      <w:r>
        <w:rPr>
          <w:b/>
          <w:bCs/>
          <w:i w:val="0"/>
          <w:iCs w:val="0"/>
        </w:rPr>
        <w:t>.</w:t>
      </w:r>
      <w:r>
        <w:rPr>
          <w:rFonts w:hint="eastAsia"/>
          <w:b/>
          <w:bCs/>
          <w:i w:val="0"/>
          <w:iCs w:val="0"/>
        </w:rPr>
        <w:t>3</w:t>
      </w:r>
      <w:r>
        <w:rPr>
          <w:b/>
          <w:bCs/>
          <w:i w:val="0"/>
          <w:iCs w:val="0"/>
        </w:rPr>
        <w:t>.</w:t>
      </w:r>
      <w:r>
        <w:rPr>
          <w:rFonts w:hint="eastAsia"/>
          <w:b/>
          <w:bCs/>
          <w:i w:val="0"/>
          <w:iCs w:val="0"/>
        </w:rPr>
        <w:t>2.</w:t>
      </w:r>
      <w:r>
        <w:rPr>
          <w:rFonts w:hint="eastAsia"/>
          <w:b/>
          <w:bCs/>
          <w:i w:val="0"/>
          <w:iCs w:val="0"/>
          <w:lang w:val="en-US" w:eastAsia="zh-CN"/>
        </w:rPr>
        <w:t>4实验工艺过程</w:t>
      </w:r>
    </w:p>
    <w:p>
      <w:pPr>
        <w:spacing w:line="360" w:lineRule="auto"/>
        <w:ind w:firstLine="480" w:firstLineChars="200"/>
        <w:rPr>
          <w:rFonts w:hint="eastAsia" w:eastAsia="宋体"/>
          <w:b/>
          <w:bCs/>
          <w:i w:val="0"/>
          <w:iCs w:val="0"/>
          <w:lang w:eastAsia="zh-CN"/>
        </w:rPr>
      </w:pPr>
      <w:r>
        <w:rPr>
          <w:rFonts w:hint="eastAsia"/>
          <w:i w:val="0"/>
          <w:iCs w:val="0"/>
        </w:rPr>
        <w:t>本项目拟设置化验室、研发室，主要对产品进行指标鉴定、工艺参数验证小试试验</w:t>
      </w:r>
      <w:r>
        <w:rPr>
          <w:rFonts w:hint="eastAsia"/>
          <w:i w:val="0"/>
          <w:iCs w:val="0"/>
          <w:lang w:val="en-US" w:eastAsia="zh-CN"/>
        </w:rPr>
        <w:t>。</w:t>
      </w:r>
    </w:p>
    <w:p>
      <w:pPr>
        <w:spacing w:line="360" w:lineRule="auto"/>
        <w:ind w:firstLine="482" w:firstLineChars="200"/>
        <w:rPr>
          <w:rFonts w:hint="eastAsia"/>
          <w:b/>
          <w:bCs/>
          <w:i w:val="0"/>
          <w:iCs w:val="0"/>
        </w:rPr>
      </w:pPr>
      <w:r>
        <w:rPr>
          <w:rFonts w:hint="eastAsia"/>
          <w:b/>
          <w:bCs/>
          <w:i w:val="0"/>
          <w:iCs w:val="0"/>
        </w:rPr>
        <w:t>3.3.2.</w:t>
      </w:r>
      <w:r>
        <w:rPr>
          <w:rFonts w:hint="eastAsia"/>
          <w:b/>
          <w:bCs/>
          <w:i w:val="0"/>
          <w:iCs w:val="0"/>
          <w:lang w:val="en-US" w:eastAsia="zh-CN"/>
        </w:rPr>
        <w:t>5</w:t>
      </w:r>
      <w:r>
        <w:rPr>
          <w:rFonts w:hint="eastAsia"/>
          <w:b/>
          <w:bCs/>
          <w:i w:val="0"/>
          <w:iCs w:val="0"/>
        </w:rPr>
        <w:t>生产产污环节</w:t>
      </w:r>
    </w:p>
    <w:p>
      <w:pPr>
        <w:pStyle w:val="32"/>
        <w:snapToGrid w:val="0"/>
        <w:spacing w:line="360" w:lineRule="auto"/>
        <w:ind w:firstLine="480"/>
        <w:jc w:val="left"/>
        <w:rPr>
          <w:rFonts w:ascii="Times New Roman" w:hAnsi="Times New Roman"/>
          <w:i w:val="0"/>
          <w:iCs w:val="0"/>
          <w:szCs w:val="24"/>
        </w:rPr>
      </w:pPr>
      <w:r>
        <w:rPr>
          <w:rFonts w:hint="eastAsia"/>
          <w:i w:val="0"/>
          <w:iCs w:val="0"/>
        </w:rPr>
        <w:t>1、废水：</w:t>
      </w:r>
      <w:r>
        <w:rPr>
          <w:rFonts w:ascii="Times New Roman" w:hAnsi="Times New Roman"/>
          <w:i w:val="0"/>
          <w:iCs w:val="0"/>
          <w:szCs w:val="24"/>
        </w:rPr>
        <w:t>本项目废水主要为生活污水及生产废水，其中生产废水主要为发酵车间清洗废水、分离干燥车间离心洗涤废水、车间冲洗地面水。</w:t>
      </w:r>
    </w:p>
    <w:p>
      <w:pPr>
        <w:spacing w:line="360" w:lineRule="auto"/>
        <w:ind w:firstLine="480" w:firstLineChars="200"/>
        <w:rPr>
          <w:rFonts w:hint="eastAsia"/>
          <w:i w:val="0"/>
          <w:iCs w:val="0"/>
        </w:rPr>
      </w:pPr>
      <w:r>
        <w:rPr>
          <w:i w:val="0"/>
          <w:iCs w:val="0"/>
        </w:rPr>
        <w:t>项目生产废水与生活污水混合，经过厂内污水处理站采用</w:t>
      </w:r>
      <w:r>
        <w:rPr>
          <w:rFonts w:hint="eastAsia"/>
          <w:i w:val="0"/>
          <w:iCs w:val="0"/>
        </w:rPr>
        <w:t>“水解+UASB+A/O”</w:t>
      </w:r>
      <w:r>
        <w:rPr>
          <w:i w:val="0"/>
          <w:iCs w:val="0"/>
        </w:rPr>
        <w:t>工艺处理，处理后废水达到</w:t>
      </w:r>
      <w:r>
        <w:rPr>
          <w:rFonts w:hint="eastAsia"/>
          <w:i w:val="0"/>
          <w:iCs w:val="0"/>
        </w:rPr>
        <w:t>《污水综合排放标准》GB8978-1996表2三级标准排放限值及园区污水处理厂进水指标</w:t>
      </w:r>
      <w:r>
        <w:rPr>
          <w:i w:val="0"/>
          <w:iCs w:val="0"/>
        </w:rPr>
        <w:t>，</w:t>
      </w:r>
      <w:r>
        <w:rPr>
          <w:rFonts w:hint="eastAsia"/>
          <w:i w:val="0"/>
          <w:iCs w:val="0"/>
        </w:rPr>
        <w:t>后排入污水管网内，进入园区污水处理厂处理后排放至浑江</w:t>
      </w:r>
      <w:r>
        <w:rPr>
          <w:i w:val="0"/>
          <w:iCs w:val="0"/>
        </w:rPr>
        <w:t>。</w:t>
      </w:r>
    </w:p>
    <w:p>
      <w:pPr>
        <w:spacing w:line="360" w:lineRule="auto"/>
        <w:ind w:firstLine="480" w:firstLineChars="200"/>
        <w:rPr>
          <w:i w:val="0"/>
          <w:iCs w:val="0"/>
          <w:color w:val="000000"/>
          <w:szCs w:val="28"/>
        </w:rPr>
      </w:pPr>
      <w:r>
        <w:rPr>
          <w:rFonts w:hint="eastAsia"/>
          <w:i w:val="0"/>
          <w:iCs w:val="0"/>
          <w:color w:val="000000"/>
        </w:rPr>
        <w:t>2、废气：</w:t>
      </w:r>
      <w:r>
        <w:rPr>
          <w:i w:val="0"/>
          <w:iCs w:val="0"/>
        </w:rPr>
        <w:t>本项目废气主要有</w:t>
      </w:r>
      <w:r>
        <w:rPr>
          <w:rFonts w:hint="eastAsia"/>
          <w:i w:val="0"/>
          <w:iCs w:val="0"/>
        </w:rPr>
        <w:t>生产发酵工序的发酵废气、</w:t>
      </w:r>
      <w:r>
        <w:rPr>
          <w:rFonts w:hint="eastAsia"/>
          <w:i w:val="0"/>
          <w:iCs w:val="0"/>
          <w:lang w:val="en-US" w:eastAsia="zh-CN"/>
        </w:rPr>
        <w:t>热风炉烟气、</w:t>
      </w:r>
      <w:r>
        <w:rPr>
          <w:rFonts w:hint="eastAsia"/>
          <w:i w:val="0"/>
          <w:iCs w:val="0"/>
        </w:rPr>
        <w:t>喷雾干燥工序产生粉尘及污水处理站运行过程中产生恶臭气体及食堂油烟</w:t>
      </w:r>
      <w:r>
        <w:rPr>
          <w:i w:val="0"/>
          <w:iCs w:val="0"/>
        </w:rPr>
        <w:t>，项目废气排放方式为有组织排放，未收集部分排放方式为无组织排放。</w:t>
      </w:r>
    </w:p>
    <w:p>
      <w:pPr>
        <w:spacing w:line="360" w:lineRule="auto"/>
        <w:ind w:firstLine="480" w:firstLineChars="200"/>
        <w:rPr>
          <w:rFonts w:hint="eastAsia"/>
          <w:i w:val="0"/>
          <w:iCs w:val="0"/>
        </w:rPr>
      </w:pPr>
      <w:r>
        <w:rPr>
          <w:rFonts w:hint="eastAsia"/>
          <w:i w:val="0"/>
          <w:iCs w:val="0"/>
          <w:szCs w:val="28"/>
        </w:rPr>
        <w:t>3、噪声：项目噪声源主要是各设备运行噪声，噪声值约为7</w:t>
      </w:r>
      <w:r>
        <w:rPr>
          <w:rFonts w:hint="eastAsia"/>
          <w:i w:val="0"/>
          <w:iCs w:val="0"/>
          <w:szCs w:val="28"/>
          <w:lang w:val="en-US" w:eastAsia="zh-CN"/>
        </w:rPr>
        <w:t>5</w:t>
      </w:r>
      <w:r>
        <w:rPr>
          <w:rFonts w:hint="eastAsia"/>
          <w:i w:val="0"/>
          <w:iCs w:val="0"/>
          <w:szCs w:val="28"/>
        </w:rPr>
        <w:t>~</w:t>
      </w:r>
      <w:r>
        <w:rPr>
          <w:rFonts w:hint="eastAsia"/>
          <w:i w:val="0"/>
          <w:iCs w:val="0"/>
          <w:szCs w:val="28"/>
          <w:lang w:val="en-US" w:eastAsia="zh-CN"/>
        </w:rPr>
        <w:t>90</w:t>
      </w:r>
      <w:r>
        <w:rPr>
          <w:rFonts w:hint="eastAsia"/>
          <w:i w:val="0"/>
          <w:iCs w:val="0"/>
          <w:szCs w:val="28"/>
        </w:rPr>
        <w:t>dB（A）。</w:t>
      </w:r>
    </w:p>
    <w:p>
      <w:pPr>
        <w:pStyle w:val="402"/>
        <w:rPr>
          <w:rFonts w:hint="eastAsia"/>
          <w:i w:val="0"/>
          <w:iCs w:val="0"/>
          <w:szCs w:val="28"/>
        </w:rPr>
      </w:pPr>
      <w:r>
        <w:rPr>
          <w:rFonts w:hint="eastAsia"/>
          <w:i w:val="0"/>
          <w:iCs w:val="0"/>
          <w:szCs w:val="28"/>
        </w:rPr>
        <w:t>4、固体废物：本</w:t>
      </w:r>
      <w:r>
        <w:rPr>
          <w:rFonts w:hint="eastAsia" w:hAnsi="Times New Roman"/>
          <w:i w:val="0"/>
          <w:iCs w:val="0"/>
          <w:color w:val="000000"/>
        </w:rPr>
        <w:t>项目产生的固体废物有生活垃圾、</w:t>
      </w:r>
      <w:r>
        <w:rPr>
          <w:rFonts w:hint="eastAsia" w:hAnsi="Times New Roman"/>
          <w:i w:val="0"/>
          <w:iCs w:val="0"/>
          <w:color w:val="000000"/>
          <w:lang w:eastAsia="zh-CN"/>
        </w:rPr>
        <w:t>收集到的粉尘、</w:t>
      </w:r>
      <w:r>
        <w:rPr>
          <w:rFonts w:hint="eastAsia" w:hAnsi="Times New Roman"/>
          <w:i w:val="0"/>
          <w:iCs w:val="0"/>
          <w:color w:val="000000"/>
        </w:rPr>
        <w:t>废包装材料、</w:t>
      </w:r>
      <w:r>
        <w:rPr>
          <w:rFonts w:hint="eastAsia"/>
          <w:i w:val="0"/>
          <w:iCs w:val="0"/>
          <w:szCs w:val="28"/>
        </w:rPr>
        <w:t>废滤材（初中高效过滤器、过滤芯）</w:t>
      </w:r>
      <w:r>
        <w:rPr>
          <w:rFonts w:hint="eastAsia" w:hAnsi="Times New Roman"/>
          <w:i w:val="0"/>
          <w:iCs w:val="0"/>
          <w:color w:val="000000"/>
          <w:lang w:eastAsia="zh-CN"/>
        </w:rPr>
        <w:t>、</w:t>
      </w:r>
      <w:r>
        <w:rPr>
          <w:rFonts w:hint="eastAsia" w:hAnsi="Times New Roman"/>
          <w:i w:val="0"/>
          <w:iCs w:val="0"/>
          <w:color w:val="000000"/>
          <w:kern w:val="2"/>
        </w:rPr>
        <w:t>污水站污泥、废活性炭</w:t>
      </w:r>
      <w:r>
        <w:rPr>
          <w:rFonts w:hint="eastAsia"/>
          <w:i w:val="0"/>
          <w:iCs w:val="0"/>
          <w:lang w:eastAsia="zh-CN"/>
        </w:rPr>
        <w:t>、实验废液及废包装瓶</w:t>
      </w:r>
      <w:r>
        <w:rPr>
          <w:rFonts w:hint="eastAsia" w:hAnsi="Times New Roman"/>
          <w:i w:val="0"/>
          <w:iCs w:val="0"/>
          <w:color w:val="000000"/>
          <w:kern w:val="2"/>
        </w:rPr>
        <w:t>，</w:t>
      </w:r>
      <w:r>
        <w:rPr>
          <w:rFonts w:hint="eastAsia"/>
          <w:i w:val="0"/>
          <w:iCs w:val="0"/>
          <w:szCs w:val="28"/>
        </w:rPr>
        <w:t>其中生活垃圾委托环卫部门处理；</w:t>
      </w:r>
      <w:r>
        <w:rPr>
          <w:rFonts w:hint="eastAsia" w:hAnsi="Times New Roman"/>
          <w:i w:val="0"/>
          <w:iCs w:val="0"/>
          <w:color w:val="000000"/>
          <w:lang w:eastAsia="zh-CN"/>
        </w:rPr>
        <w:t>收集到的粉尘、</w:t>
      </w:r>
      <w:r>
        <w:rPr>
          <w:rFonts w:hint="eastAsia"/>
          <w:i w:val="0"/>
          <w:iCs w:val="0"/>
          <w:szCs w:val="28"/>
        </w:rPr>
        <w:t>废滤材（初中高效过滤器、过滤芯）</w:t>
      </w:r>
      <w:r>
        <w:rPr>
          <w:rFonts w:hint="eastAsia"/>
          <w:i w:val="0"/>
          <w:iCs w:val="0"/>
          <w:szCs w:val="28"/>
          <w:lang w:eastAsia="zh-CN"/>
        </w:rPr>
        <w:t>、</w:t>
      </w:r>
      <w:r>
        <w:rPr>
          <w:rFonts w:hint="eastAsia" w:hAnsi="Times New Roman"/>
          <w:i w:val="0"/>
          <w:iCs w:val="0"/>
          <w:color w:val="000000"/>
        </w:rPr>
        <w:t>废包装材料</w:t>
      </w:r>
      <w:r>
        <w:rPr>
          <w:rFonts w:hint="eastAsia"/>
          <w:i w:val="0"/>
          <w:iCs w:val="0"/>
          <w:lang w:eastAsia="zh-CN"/>
        </w:rPr>
        <w:t>收集后外卖</w:t>
      </w:r>
      <w:r>
        <w:rPr>
          <w:rFonts w:hint="eastAsia"/>
          <w:i w:val="0"/>
          <w:iCs w:val="0"/>
          <w:szCs w:val="28"/>
          <w:lang w:eastAsia="zh-CN"/>
        </w:rPr>
        <w:t>，</w:t>
      </w:r>
      <w:r>
        <w:rPr>
          <w:rFonts w:hint="eastAsia"/>
          <w:i w:val="0"/>
          <w:iCs w:val="0"/>
          <w:szCs w:val="28"/>
        </w:rPr>
        <w:t>污水站污泥</w:t>
      </w:r>
      <w:r>
        <w:rPr>
          <w:rFonts w:hint="eastAsia"/>
          <w:i w:val="0"/>
          <w:iCs w:val="0"/>
          <w:szCs w:val="28"/>
          <w:lang w:eastAsia="zh-CN"/>
        </w:rPr>
        <w:t>送至白山绿能新能源有限公司处置，废机油</w:t>
      </w:r>
      <w:r>
        <w:rPr>
          <w:rFonts w:hint="eastAsia" w:ascii="Times New Roman" w:hAnsi="Times New Roman" w:eastAsia="宋体" w:cs="Times New Roman"/>
          <w:i w:val="0"/>
          <w:iCs w:val="0"/>
          <w:lang w:val="en-US" w:eastAsia="zh-CN"/>
        </w:rPr>
        <w:t>及废机油桶、</w:t>
      </w:r>
      <w:r>
        <w:rPr>
          <w:rFonts w:hint="eastAsia"/>
          <w:i w:val="0"/>
          <w:iCs w:val="0"/>
          <w:szCs w:val="28"/>
        </w:rPr>
        <w:t>废活性炭</w:t>
      </w:r>
      <w:r>
        <w:rPr>
          <w:rFonts w:hint="eastAsia"/>
          <w:i w:val="0"/>
          <w:iCs w:val="0"/>
          <w:lang w:eastAsia="zh-CN"/>
        </w:rPr>
        <w:t>、实验废液及废包装瓶</w:t>
      </w:r>
      <w:r>
        <w:rPr>
          <w:rFonts w:hint="eastAsia"/>
          <w:i w:val="0"/>
          <w:iCs w:val="0"/>
          <w:szCs w:val="28"/>
        </w:rPr>
        <w:t>委托有资质单位处理。</w:t>
      </w:r>
    </w:p>
    <w:p>
      <w:pPr>
        <w:pStyle w:val="4"/>
        <w:rPr>
          <w:rFonts w:ascii="Times New Roman" w:hAnsi="Times New Roman" w:eastAsia="宋体"/>
          <w:b/>
          <w:i w:val="0"/>
          <w:iCs w:val="0"/>
          <w:sz w:val="28"/>
          <w:szCs w:val="28"/>
        </w:rPr>
      </w:pPr>
      <w:bookmarkStart w:id="87" w:name="_Toc2259"/>
      <w:bookmarkStart w:id="88" w:name="_Toc61924745"/>
      <w:bookmarkStart w:id="89" w:name="_Toc69201930"/>
      <w:r>
        <w:rPr>
          <w:rFonts w:hint="eastAsia" w:ascii="Times New Roman" w:hAnsi="Times New Roman" w:eastAsia="宋体"/>
          <w:b/>
          <w:i w:val="0"/>
          <w:iCs w:val="0"/>
          <w:sz w:val="28"/>
          <w:szCs w:val="28"/>
        </w:rPr>
        <w:t>3</w:t>
      </w:r>
      <w:r>
        <w:rPr>
          <w:rFonts w:ascii="Times New Roman" w:hAnsi="Times New Roman" w:eastAsia="宋体"/>
          <w:b/>
          <w:i w:val="0"/>
          <w:iCs w:val="0"/>
          <w:sz w:val="28"/>
          <w:szCs w:val="28"/>
        </w:rPr>
        <w:t>.</w:t>
      </w:r>
      <w:r>
        <w:rPr>
          <w:rFonts w:hint="eastAsia" w:ascii="Times New Roman" w:hAnsi="Times New Roman" w:eastAsia="宋体"/>
          <w:b/>
          <w:i w:val="0"/>
          <w:iCs w:val="0"/>
          <w:sz w:val="28"/>
          <w:szCs w:val="28"/>
        </w:rPr>
        <w:t>5</w:t>
      </w:r>
      <w:r>
        <w:rPr>
          <w:rFonts w:ascii="Times New Roman" w:hAnsi="Times New Roman" w:eastAsia="宋体"/>
          <w:b/>
          <w:i w:val="0"/>
          <w:iCs w:val="0"/>
          <w:sz w:val="28"/>
          <w:szCs w:val="28"/>
        </w:rPr>
        <w:t>施工期污染源</w:t>
      </w:r>
      <w:bookmarkEnd w:id="87"/>
    </w:p>
    <w:p>
      <w:pPr>
        <w:widowControl/>
        <w:adjustRightInd w:val="0"/>
        <w:snapToGrid w:val="0"/>
        <w:spacing w:line="360" w:lineRule="auto"/>
        <w:ind w:firstLine="480" w:firstLineChars="200"/>
        <w:rPr>
          <w:i w:val="0"/>
          <w:iCs w:val="0"/>
          <w:kern w:val="0"/>
        </w:rPr>
      </w:pPr>
      <w:r>
        <w:rPr>
          <w:i w:val="0"/>
          <w:iCs w:val="0"/>
          <w:kern w:val="0"/>
        </w:rPr>
        <w:t>（1）施工扬尘</w:t>
      </w:r>
    </w:p>
    <w:p>
      <w:pPr>
        <w:widowControl/>
        <w:adjustRightInd w:val="0"/>
        <w:snapToGrid w:val="0"/>
        <w:spacing w:line="360" w:lineRule="auto"/>
        <w:ind w:firstLine="480" w:firstLineChars="200"/>
        <w:rPr>
          <w:i w:val="0"/>
          <w:iCs w:val="0"/>
          <w:kern w:val="0"/>
        </w:rPr>
      </w:pPr>
      <w:r>
        <w:rPr>
          <w:i w:val="0"/>
          <w:iCs w:val="0"/>
          <w:kern w:val="0"/>
        </w:rPr>
        <w:t>在项目建设过程中将要进行土石方开挖、建筑材料拌合等，在施工场地将产生施工扬尘和粉尘。通过建筑施工场地的类比调查表明，在不洒水的条件下，施工场地下风向200m范围内TSP的浓度在11.03～0.56mg/m</w:t>
      </w:r>
      <w:r>
        <w:rPr>
          <w:i w:val="0"/>
          <w:iCs w:val="0"/>
          <w:kern w:val="0"/>
          <w:vertAlign w:val="superscript"/>
        </w:rPr>
        <w:t>3</w:t>
      </w:r>
      <w:r>
        <w:rPr>
          <w:i w:val="0"/>
          <w:iCs w:val="0"/>
          <w:kern w:val="0"/>
        </w:rPr>
        <w:t>之间，超过《环境空气质量标准》GB3095-2012二级限值数倍至数十倍；经预测，粉尘经过洒水后的达标距离约为200m，200m以外区域的粉尘排放可以满足《大气污染物综合排放标准》（GB16297-1996）粉尘的无组织监控限值要求，可见施工现场通过洒水降尘，效果比较明显，降尘效率在31～80％之间，平均可降尘50％左右。施工场地扬尘产生情况见表3</w:t>
      </w:r>
      <w:r>
        <w:rPr>
          <w:rFonts w:hint="eastAsia"/>
          <w:i w:val="0"/>
          <w:iCs w:val="0"/>
          <w:kern w:val="0"/>
        </w:rPr>
        <w:t>-1</w:t>
      </w:r>
      <w:r>
        <w:rPr>
          <w:rFonts w:hint="eastAsia"/>
          <w:i w:val="0"/>
          <w:iCs w:val="0"/>
          <w:kern w:val="0"/>
          <w:lang w:val="en-US" w:eastAsia="zh-CN"/>
        </w:rPr>
        <w:t>9</w:t>
      </w:r>
      <w:r>
        <w:rPr>
          <w:i w:val="0"/>
          <w:iCs w:val="0"/>
          <w:kern w:val="0"/>
        </w:rPr>
        <w:t>。</w:t>
      </w:r>
    </w:p>
    <w:p>
      <w:pPr>
        <w:pStyle w:val="36"/>
        <w:ind w:left="0" w:leftChars="0"/>
        <w:jc w:val="center"/>
        <w:rPr>
          <w:rFonts w:ascii="Times New Roman" w:hAnsi="Times New Roman"/>
          <w:b/>
          <w:i w:val="0"/>
          <w:iCs w:val="0"/>
        </w:rPr>
      </w:pPr>
      <w:r>
        <w:rPr>
          <w:rFonts w:ascii="Times New Roman" w:hAnsi="Times New Roman"/>
          <w:b/>
          <w:i w:val="0"/>
          <w:iCs w:val="0"/>
        </w:rPr>
        <w:t>表3</w:t>
      </w:r>
      <w:r>
        <w:rPr>
          <w:rFonts w:ascii="Times New Roman" w:hAnsi="Times New Roman" w:eastAsia="黑体"/>
          <w:i w:val="0"/>
          <w:iCs w:val="0"/>
          <w:color w:val="000000"/>
        </w:rPr>
        <w:t>-</w:t>
      </w:r>
      <w:r>
        <w:rPr>
          <w:rFonts w:hint="eastAsia" w:ascii="Times New Roman" w:hAnsi="Times New Roman" w:eastAsia="黑体"/>
          <w:i w:val="0"/>
          <w:iCs w:val="0"/>
          <w:color w:val="000000"/>
        </w:rPr>
        <w:t>1</w:t>
      </w:r>
      <w:r>
        <w:rPr>
          <w:rFonts w:hint="eastAsia" w:ascii="Times New Roman" w:hAnsi="Times New Roman" w:eastAsia="黑体"/>
          <w:b/>
          <w:i w:val="0"/>
          <w:iCs w:val="0"/>
          <w:lang w:val="en-US" w:eastAsia="zh-CN"/>
        </w:rPr>
        <w:t>9</w:t>
      </w:r>
      <w:r>
        <w:rPr>
          <w:rFonts w:ascii="Times New Roman" w:hAnsi="Times New Roman"/>
          <w:b/>
          <w:i w:val="0"/>
          <w:iCs w:val="0"/>
        </w:rPr>
        <w:t xml:space="preserve">  施工场地TSP浓度值 （风速1.8m/s）</w:t>
      </w:r>
    </w:p>
    <w:tbl>
      <w:tblPr>
        <w:tblStyle w:val="5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13"/>
        <w:gridCol w:w="1465"/>
        <w:gridCol w:w="1115"/>
        <w:gridCol w:w="946"/>
        <w:gridCol w:w="946"/>
        <w:gridCol w:w="946"/>
        <w:gridCol w:w="18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933" w:type="pct"/>
            <w:gridSpan w:val="2"/>
            <w:tcBorders>
              <w:left w:val="nil"/>
            </w:tcBorders>
            <w:noWrap w:val="0"/>
            <w:vAlign w:val="center"/>
          </w:tcPr>
          <w:p>
            <w:pPr>
              <w:jc w:val="center"/>
              <w:rPr>
                <w:i w:val="0"/>
                <w:iCs w:val="0"/>
                <w:kern w:val="0"/>
                <w:sz w:val="21"/>
                <w:szCs w:val="21"/>
              </w:rPr>
            </w:pPr>
            <w:r>
              <w:rPr>
                <w:i w:val="0"/>
                <w:iCs w:val="0"/>
                <w:kern w:val="0"/>
                <w:sz w:val="21"/>
                <w:szCs w:val="21"/>
              </w:rPr>
              <w:t>距施工场地距离（m）</w:t>
            </w:r>
          </w:p>
        </w:tc>
        <w:tc>
          <w:tcPr>
            <w:tcW w:w="586" w:type="pct"/>
            <w:noWrap w:val="0"/>
            <w:vAlign w:val="center"/>
          </w:tcPr>
          <w:p>
            <w:pPr>
              <w:jc w:val="center"/>
              <w:rPr>
                <w:i w:val="0"/>
                <w:iCs w:val="0"/>
                <w:kern w:val="0"/>
                <w:sz w:val="21"/>
                <w:szCs w:val="21"/>
              </w:rPr>
            </w:pPr>
            <w:r>
              <w:rPr>
                <w:i w:val="0"/>
                <w:iCs w:val="0"/>
                <w:kern w:val="0"/>
                <w:sz w:val="21"/>
                <w:szCs w:val="21"/>
              </w:rPr>
              <w:t>0</w:t>
            </w:r>
          </w:p>
        </w:tc>
        <w:tc>
          <w:tcPr>
            <w:tcW w:w="497" w:type="pct"/>
            <w:noWrap w:val="0"/>
            <w:vAlign w:val="center"/>
          </w:tcPr>
          <w:p>
            <w:pPr>
              <w:jc w:val="center"/>
              <w:rPr>
                <w:i w:val="0"/>
                <w:iCs w:val="0"/>
                <w:kern w:val="0"/>
                <w:sz w:val="21"/>
                <w:szCs w:val="21"/>
              </w:rPr>
            </w:pPr>
            <w:r>
              <w:rPr>
                <w:i w:val="0"/>
                <w:iCs w:val="0"/>
                <w:kern w:val="0"/>
                <w:sz w:val="21"/>
                <w:szCs w:val="21"/>
              </w:rPr>
              <w:t>20</w:t>
            </w:r>
          </w:p>
        </w:tc>
        <w:tc>
          <w:tcPr>
            <w:tcW w:w="497" w:type="pct"/>
            <w:noWrap w:val="0"/>
            <w:vAlign w:val="center"/>
          </w:tcPr>
          <w:p>
            <w:pPr>
              <w:jc w:val="center"/>
              <w:rPr>
                <w:i w:val="0"/>
                <w:iCs w:val="0"/>
                <w:kern w:val="0"/>
                <w:sz w:val="21"/>
                <w:szCs w:val="21"/>
              </w:rPr>
            </w:pPr>
            <w:r>
              <w:rPr>
                <w:i w:val="0"/>
                <w:iCs w:val="0"/>
                <w:kern w:val="0"/>
                <w:sz w:val="21"/>
                <w:szCs w:val="21"/>
              </w:rPr>
              <w:t>50</w:t>
            </w:r>
          </w:p>
        </w:tc>
        <w:tc>
          <w:tcPr>
            <w:tcW w:w="497" w:type="pct"/>
            <w:noWrap w:val="0"/>
            <w:vAlign w:val="center"/>
          </w:tcPr>
          <w:p>
            <w:pPr>
              <w:jc w:val="center"/>
              <w:rPr>
                <w:i w:val="0"/>
                <w:iCs w:val="0"/>
                <w:kern w:val="0"/>
                <w:sz w:val="21"/>
                <w:szCs w:val="21"/>
              </w:rPr>
            </w:pPr>
            <w:r>
              <w:rPr>
                <w:i w:val="0"/>
                <w:iCs w:val="0"/>
                <w:kern w:val="0"/>
                <w:sz w:val="21"/>
                <w:szCs w:val="21"/>
              </w:rPr>
              <w:t>100</w:t>
            </w:r>
          </w:p>
        </w:tc>
        <w:tc>
          <w:tcPr>
            <w:tcW w:w="988" w:type="pct"/>
            <w:tcBorders>
              <w:right w:val="nil"/>
            </w:tcBorders>
            <w:noWrap w:val="0"/>
            <w:vAlign w:val="center"/>
          </w:tcPr>
          <w:p>
            <w:pPr>
              <w:jc w:val="center"/>
              <w:rPr>
                <w:i w:val="0"/>
                <w:iCs w:val="0"/>
                <w:kern w:val="0"/>
                <w:sz w:val="21"/>
                <w:szCs w:val="21"/>
              </w:rPr>
            </w:pPr>
            <w:r>
              <w:rPr>
                <w:i w:val="0"/>
                <w:iCs w:val="0"/>
                <w:kern w:val="0"/>
                <w:sz w:val="21"/>
                <w:szCs w:val="21"/>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1163" w:type="pct"/>
            <w:vMerge w:val="restart"/>
            <w:tcBorders>
              <w:left w:val="nil"/>
            </w:tcBorders>
            <w:noWrap w:val="0"/>
            <w:vAlign w:val="center"/>
          </w:tcPr>
          <w:p>
            <w:pPr>
              <w:jc w:val="center"/>
              <w:rPr>
                <w:i w:val="0"/>
                <w:iCs w:val="0"/>
                <w:kern w:val="0"/>
                <w:sz w:val="21"/>
                <w:szCs w:val="21"/>
              </w:rPr>
            </w:pPr>
            <w:r>
              <w:rPr>
                <w:i w:val="0"/>
                <w:iCs w:val="0"/>
                <w:kern w:val="0"/>
                <w:sz w:val="21"/>
                <w:szCs w:val="21"/>
              </w:rPr>
              <w:t>TSP（mg/m</w:t>
            </w:r>
            <w:r>
              <w:rPr>
                <w:i w:val="0"/>
                <w:iCs w:val="0"/>
                <w:kern w:val="0"/>
                <w:sz w:val="21"/>
                <w:szCs w:val="21"/>
                <w:vertAlign w:val="superscript"/>
              </w:rPr>
              <w:t>3</w:t>
            </w:r>
            <w:r>
              <w:rPr>
                <w:i w:val="0"/>
                <w:iCs w:val="0"/>
                <w:kern w:val="0"/>
                <w:sz w:val="21"/>
                <w:szCs w:val="21"/>
              </w:rPr>
              <w:t>）</w:t>
            </w:r>
          </w:p>
        </w:tc>
        <w:tc>
          <w:tcPr>
            <w:tcW w:w="770" w:type="pct"/>
            <w:noWrap w:val="0"/>
            <w:vAlign w:val="center"/>
          </w:tcPr>
          <w:p>
            <w:pPr>
              <w:jc w:val="center"/>
              <w:rPr>
                <w:i w:val="0"/>
                <w:iCs w:val="0"/>
                <w:kern w:val="0"/>
                <w:sz w:val="21"/>
                <w:szCs w:val="21"/>
              </w:rPr>
            </w:pPr>
            <w:r>
              <w:rPr>
                <w:i w:val="0"/>
                <w:iCs w:val="0"/>
                <w:kern w:val="0"/>
                <w:sz w:val="21"/>
                <w:szCs w:val="21"/>
              </w:rPr>
              <w:t>不洒水</w:t>
            </w:r>
          </w:p>
        </w:tc>
        <w:tc>
          <w:tcPr>
            <w:tcW w:w="586" w:type="pct"/>
            <w:noWrap w:val="0"/>
            <w:vAlign w:val="center"/>
          </w:tcPr>
          <w:p>
            <w:pPr>
              <w:jc w:val="center"/>
              <w:rPr>
                <w:i w:val="0"/>
                <w:iCs w:val="0"/>
                <w:kern w:val="0"/>
                <w:sz w:val="21"/>
                <w:szCs w:val="21"/>
              </w:rPr>
            </w:pPr>
            <w:r>
              <w:rPr>
                <w:i w:val="0"/>
                <w:iCs w:val="0"/>
                <w:kern w:val="0"/>
                <w:sz w:val="21"/>
                <w:szCs w:val="21"/>
              </w:rPr>
              <w:t>11.03</w:t>
            </w:r>
          </w:p>
        </w:tc>
        <w:tc>
          <w:tcPr>
            <w:tcW w:w="497" w:type="pct"/>
            <w:noWrap w:val="0"/>
            <w:vAlign w:val="center"/>
          </w:tcPr>
          <w:p>
            <w:pPr>
              <w:jc w:val="center"/>
              <w:rPr>
                <w:i w:val="0"/>
                <w:iCs w:val="0"/>
                <w:kern w:val="0"/>
                <w:sz w:val="21"/>
                <w:szCs w:val="21"/>
              </w:rPr>
            </w:pPr>
            <w:r>
              <w:rPr>
                <w:i w:val="0"/>
                <w:iCs w:val="0"/>
                <w:kern w:val="0"/>
                <w:sz w:val="21"/>
                <w:szCs w:val="21"/>
              </w:rPr>
              <w:t>2.89</w:t>
            </w:r>
          </w:p>
        </w:tc>
        <w:tc>
          <w:tcPr>
            <w:tcW w:w="497" w:type="pct"/>
            <w:noWrap w:val="0"/>
            <w:vAlign w:val="center"/>
          </w:tcPr>
          <w:p>
            <w:pPr>
              <w:jc w:val="center"/>
              <w:rPr>
                <w:i w:val="0"/>
                <w:iCs w:val="0"/>
                <w:kern w:val="0"/>
                <w:sz w:val="21"/>
                <w:szCs w:val="21"/>
              </w:rPr>
            </w:pPr>
            <w:r>
              <w:rPr>
                <w:i w:val="0"/>
                <w:iCs w:val="0"/>
                <w:kern w:val="0"/>
                <w:sz w:val="21"/>
                <w:szCs w:val="21"/>
              </w:rPr>
              <w:t>1.15</w:t>
            </w:r>
          </w:p>
        </w:tc>
        <w:tc>
          <w:tcPr>
            <w:tcW w:w="497" w:type="pct"/>
            <w:noWrap w:val="0"/>
            <w:vAlign w:val="center"/>
          </w:tcPr>
          <w:p>
            <w:pPr>
              <w:jc w:val="center"/>
              <w:rPr>
                <w:i w:val="0"/>
                <w:iCs w:val="0"/>
                <w:kern w:val="0"/>
                <w:sz w:val="21"/>
                <w:szCs w:val="21"/>
              </w:rPr>
            </w:pPr>
            <w:r>
              <w:rPr>
                <w:i w:val="0"/>
                <w:iCs w:val="0"/>
                <w:kern w:val="0"/>
                <w:sz w:val="21"/>
                <w:szCs w:val="21"/>
              </w:rPr>
              <w:t>0.86</w:t>
            </w:r>
          </w:p>
        </w:tc>
        <w:tc>
          <w:tcPr>
            <w:tcW w:w="988" w:type="pct"/>
            <w:tcBorders>
              <w:right w:val="nil"/>
            </w:tcBorders>
            <w:noWrap w:val="0"/>
            <w:vAlign w:val="center"/>
          </w:tcPr>
          <w:p>
            <w:pPr>
              <w:jc w:val="center"/>
              <w:rPr>
                <w:i w:val="0"/>
                <w:iCs w:val="0"/>
                <w:kern w:val="0"/>
                <w:sz w:val="21"/>
                <w:szCs w:val="21"/>
              </w:rPr>
            </w:pPr>
            <w:r>
              <w:rPr>
                <w:i w:val="0"/>
                <w:iCs w:val="0"/>
                <w:kern w:val="0"/>
                <w:sz w:val="21"/>
                <w:szCs w:val="21"/>
              </w:rPr>
              <w:t>0.56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1163" w:type="pct"/>
            <w:vMerge w:val="continue"/>
            <w:tcBorders>
              <w:left w:val="nil"/>
            </w:tcBorders>
            <w:noWrap w:val="0"/>
            <w:vAlign w:val="center"/>
          </w:tcPr>
          <w:p>
            <w:pPr>
              <w:ind w:firstLine="480"/>
              <w:jc w:val="center"/>
              <w:rPr>
                <w:i w:val="0"/>
                <w:iCs w:val="0"/>
                <w:kern w:val="0"/>
                <w:sz w:val="21"/>
                <w:szCs w:val="21"/>
              </w:rPr>
            </w:pPr>
          </w:p>
        </w:tc>
        <w:tc>
          <w:tcPr>
            <w:tcW w:w="770" w:type="pct"/>
            <w:noWrap w:val="0"/>
            <w:vAlign w:val="center"/>
          </w:tcPr>
          <w:p>
            <w:pPr>
              <w:jc w:val="center"/>
              <w:rPr>
                <w:i w:val="0"/>
                <w:iCs w:val="0"/>
                <w:kern w:val="0"/>
                <w:sz w:val="21"/>
                <w:szCs w:val="21"/>
              </w:rPr>
            </w:pPr>
            <w:r>
              <w:rPr>
                <w:i w:val="0"/>
                <w:iCs w:val="0"/>
                <w:kern w:val="0"/>
                <w:sz w:val="21"/>
                <w:szCs w:val="21"/>
              </w:rPr>
              <w:t>洒水</w:t>
            </w:r>
          </w:p>
        </w:tc>
        <w:tc>
          <w:tcPr>
            <w:tcW w:w="586" w:type="pct"/>
            <w:noWrap w:val="0"/>
            <w:vAlign w:val="center"/>
          </w:tcPr>
          <w:p>
            <w:pPr>
              <w:jc w:val="center"/>
              <w:rPr>
                <w:i w:val="0"/>
                <w:iCs w:val="0"/>
                <w:kern w:val="0"/>
                <w:sz w:val="21"/>
                <w:szCs w:val="21"/>
              </w:rPr>
            </w:pPr>
            <w:r>
              <w:rPr>
                <w:i w:val="0"/>
                <w:iCs w:val="0"/>
                <w:kern w:val="0"/>
                <w:sz w:val="21"/>
                <w:szCs w:val="21"/>
              </w:rPr>
              <w:t>2.11</w:t>
            </w:r>
          </w:p>
        </w:tc>
        <w:tc>
          <w:tcPr>
            <w:tcW w:w="497" w:type="pct"/>
            <w:noWrap w:val="0"/>
            <w:vAlign w:val="center"/>
          </w:tcPr>
          <w:p>
            <w:pPr>
              <w:jc w:val="center"/>
              <w:rPr>
                <w:i w:val="0"/>
                <w:iCs w:val="0"/>
                <w:kern w:val="0"/>
                <w:sz w:val="21"/>
                <w:szCs w:val="21"/>
              </w:rPr>
            </w:pPr>
            <w:r>
              <w:rPr>
                <w:i w:val="0"/>
                <w:iCs w:val="0"/>
                <w:kern w:val="0"/>
                <w:sz w:val="21"/>
                <w:szCs w:val="21"/>
              </w:rPr>
              <w:t>1.40</w:t>
            </w:r>
          </w:p>
        </w:tc>
        <w:tc>
          <w:tcPr>
            <w:tcW w:w="497" w:type="pct"/>
            <w:noWrap w:val="0"/>
            <w:vAlign w:val="center"/>
          </w:tcPr>
          <w:p>
            <w:pPr>
              <w:jc w:val="center"/>
              <w:rPr>
                <w:i w:val="0"/>
                <w:iCs w:val="0"/>
                <w:kern w:val="0"/>
                <w:sz w:val="21"/>
                <w:szCs w:val="21"/>
              </w:rPr>
            </w:pPr>
            <w:r>
              <w:rPr>
                <w:i w:val="0"/>
                <w:iCs w:val="0"/>
                <w:kern w:val="0"/>
                <w:sz w:val="21"/>
                <w:szCs w:val="21"/>
              </w:rPr>
              <w:t>0.68</w:t>
            </w:r>
          </w:p>
        </w:tc>
        <w:tc>
          <w:tcPr>
            <w:tcW w:w="497" w:type="pct"/>
            <w:noWrap w:val="0"/>
            <w:vAlign w:val="center"/>
          </w:tcPr>
          <w:p>
            <w:pPr>
              <w:jc w:val="center"/>
              <w:rPr>
                <w:i w:val="0"/>
                <w:iCs w:val="0"/>
                <w:kern w:val="0"/>
                <w:sz w:val="21"/>
                <w:szCs w:val="21"/>
              </w:rPr>
            </w:pPr>
            <w:r>
              <w:rPr>
                <w:i w:val="0"/>
                <w:iCs w:val="0"/>
                <w:kern w:val="0"/>
                <w:sz w:val="21"/>
                <w:szCs w:val="21"/>
              </w:rPr>
              <w:t>0.60</w:t>
            </w:r>
          </w:p>
        </w:tc>
        <w:tc>
          <w:tcPr>
            <w:tcW w:w="988" w:type="pct"/>
            <w:tcBorders>
              <w:right w:val="nil"/>
            </w:tcBorders>
            <w:noWrap w:val="0"/>
            <w:vAlign w:val="center"/>
          </w:tcPr>
          <w:p>
            <w:pPr>
              <w:jc w:val="center"/>
              <w:rPr>
                <w:i w:val="0"/>
                <w:iCs w:val="0"/>
                <w:kern w:val="0"/>
                <w:sz w:val="21"/>
                <w:szCs w:val="21"/>
              </w:rPr>
            </w:pPr>
            <w:r>
              <w:rPr>
                <w:i w:val="0"/>
                <w:iCs w:val="0"/>
                <w:kern w:val="0"/>
                <w:sz w:val="21"/>
                <w:szCs w:val="21"/>
              </w:rPr>
              <w:t>0.28～0.29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1933" w:type="pct"/>
            <w:gridSpan w:val="2"/>
            <w:tcBorders>
              <w:left w:val="nil"/>
            </w:tcBorders>
            <w:noWrap w:val="0"/>
            <w:vAlign w:val="center"/>
          </w:tcPr>
          <w:p>
            <w:pPr>
              <w:jc w:val="center"/>
              <w:rPr>
                <w:i w:val="0"/>
                <w:iCs w:val="0"/>
                <w:kern w:val="0"/>
                <w:sz w:val="21"/>
                <w:szCs w:val="21"/>
              </w:rPr>
            </w:pPr>
            <w:r>
              <w:rPr>
                <w:i w:val="0"/>
                <w:iCs w:val="0"/>
                <w:kern w:val="0"/>
                <w:sz w:val="21"/>
                <w:szCs w:val="21"/>
              </w:rPr>
              <w:t>降尘效率（%）</w:t>
            </w:r>
          </w:p>
        </w:tc>
        <w:tc>
          <w:tcPr>
            <w:tcW w:w="586" w:type="pct"/>
            <w:noWrap w:val="0"/>
            <w:vAlign w:val="center"/>
          </w:tcPr>
          <w:p>
            <w:pPr>
              <w:jc w:val="center"/>
              <w:rPr>
                <w:i w:val="0"/>
                <w:iCs w:val="0"/>
                <w:kern w:val="0"/>
                <w:sz w:val="21"/>
                <w:szCs w:val="21"/>
              </w:rPr>
            </w:pPr>
            <w:r>
              <w:rPr>
                <w:i w:val="0"/>
                <w:iCs w:val="0"/>
                <w:kern w:val="0"/>
                <w:sz w:val="21"/>
                <w:szCs w:val="21"/>
              </w:rPr>
              <w:t>80</w:t>
            </w:r>
          </w:p>
        </w:tc>
        <w:tc>
          <w:tcPr>
            <w:tcW w:w="497" w:type="pct"/>
            <w:noWrap w:val="0"/>
            <w:vAlign w:val="center"/>
          </w:tcPr>
          <w:p>
            <w:pPr>
              <w:jc w:val="center"/>
              <w:rPr>
                <w:i w:val="0"/>
                <w:iCs w:val="0"/>
                <w:kern w:val="0"/>
                <w:sz w:val="21"/>
                <w:szCs w:val="21"/>
              </w:rPr>
            </w:pPr>
            <w:r>
              <w:rPr>
                <w:i w:val="0"/>
                <w:iCs w:val="0"/>
                <w:kern w:val="0"/>
                <w:sz w:val="21"/>
                <w:szCs w:val="21"/>
              </w:rPr>
              <w:t>52</w:t>
            </w:r>
          </w:p>
        </w:tc>
        <w:tc>
          <w:tcPr>
            <w:tcW w:w="497" w:type="pct"/>
            <w:noWrap w:val="0"/>
            <w:vAlign w:val="center"/>
          </w:tcPr>
          <w:p>
            <w:pPr>
              <w:jc w:val="center"/>
              <w:rPr>
                <w:i w:val="0"/>
                <w:iCs w:val="0"/>
                <w:kern w:val="0"/>
                <w:sz w:val="21"/>
                <w:szCs w:val="21"/>
              </w:rPr>
            </w:pPr>
            <w:r>
              <w:rPr>
                <w:i w:val="0"/>
                <w:iCs w:val="0"/>
                <w:kern w:val="0"/>
                <w:sz w:val="21"/>
                <w:szCs w:val="21"/>
              </w:rPr>
              <w:t>41</w:t>
            </w:r>
          </w:p>
        </w:tc>
        <w:tc>
          <w:tcPr>
            <w:tcW w:w="497" w:type="pct"/>
            <w:noWrap w:val="0"/>
            <w:vAlign w:val="center"/>
          </w:tcPr>
          <w:p>
            <w:pPr>
              <w:jc w:val="center"/>
              <w:rPr>
                <w:i w:val="0"/>
                <w:iCs w:val="0"/>
                <w:kern w:val="0"/>
                <w:sz w:val="21"/>
                <w:szCs w:val="21"/>
              </w:rPr>
            </w:pPr>
            <w:r>
              <w:rPr>
                <w:i w:val="0"/>
                <w:iCs w:val="0"/>
                <w:kern w:val="0"/>
                <w:sz w:val="21"/>
                <w:szCs w:val="21"/>
              </w:rPr>
              <w:t>31</w:t>
            </w:r>
          </w:p>
        </w:tc>
        <w:tc>
          <w:tcPr>
            <w:tcW w:w="988" w:type="pct"/>
            <w:tcBorders>
              <w:right w:val="nil"/>
            </w:tcBorders>
            <w:noWrap w:val="0"/>
            <w:vAlign w:val="center"/>
          </w:tcPr>
          <w:p>
            <w:pPr>
              <w:jc w:val="center"/>
              <w:rPr>
                <w:i w:val="0"/>
                <w:iCs w:val="0"/>
                <w:kern w:val="0"/>
                <w:sz w:val="21"/>
                <w:szCs w:val="21"/>
              </w:rPr>
            </w:pPr>
            <w:r>
              <w:rPr>
                <w:i w:val="0"/>
                <w:iCs w:val="0"/>
                <w:kern w:val="0"/>
                <w:sz w:val="21"/>
                <w:szCs w:val="21"/>
              </w:rPr>
              <w:t>50</w:t>
            </w:r>
          </w:p>
        </w:tc>
      </w:tr>
    </w:tbl>
    <w:p>
      <w:pPr>
        <w:widowControl/>
        <w:adjustRightInd w:val="0"/>
        <w:snapToGrid w:val="0"/>
        <w:spacing w:before="120" w:beforeLines="50" w:line="360" w:lineRule="auto"/>
        <w:ind w:firstLine="480" w:firstLineChars="200"/>
        <w:rPr>
          <w:i w:val="0"/>
          <w:iCs w:val="0"/>
          <w:kern w:val="0"/>
        </w:rPr>
      </w:pPr>
      <w:r>
        <w:rPr>
          <w:i w:val="0"/>
          <w:iCs w:val="0"/>
          <w:kern w:val="0"/>
        </w:rPr>
        <w:t>（2）车辆尾气及运输扬尘</w:t>
      </w:r>
    </w:p>
    <w:p>
      <w:pPr>
        <w:widowControl/>
        <w:adjustRightInd w:val="0"/>
        <w:snapToGrid w:val="0"/>
        <w:spacing w:line="360" w:lineRule="auto"/>
        <w:ind w:firstLine="480" w:firstLineChars="200"/>
        <w:rPr>
          <w:i w:val="0"/>
          <w:iCs w:val="0"/>
          <w:kern w:val="0"/>
        </w:rPr>
      </w:pPr>
      <w:r>
        <w:rPr>
          <w:i w:val="0"/>
          <w:iCs w:val="0"/>
          <w:kern w:val="0"/>
        </w:rPr>
        <w:t>施工期间运输材料的各种车辆较多，车辆排放的尾气比较集中；车辆运输过程中，不进行蓬苫时，大风条件下将会产生大量扬尘，对沿路空气环境造成污染。</w:t>
      </w:r>
    </w:p>
    <w:p>
      <w:pPr>
        <w:widowControl/>
        <w:adjustRightInd w:val="0"/>
        <w:snapToGrid w:val="0"/>
        <w:spacing w:line="360" w:lineRule="auto"/>
        <w:ind w:firstLine="480" w:firstLineChars="200"/>
        <w:rPr>
          <w:b/>
          <w:i w:val="0"/>
          <w:iCs w:val="0"/>
        </w:rPr>
      </w:pPr>
      <w:r>
        <w:rPr>
          <w:i w:val="0"/>
          <w:iCs w:val="0"/>
          <w:kern w:val="0"/>
        </w:rPr>
        <w:t>据对燃油车辆调查，每辆车日耗油量为11.52kg/d，其中70%为柴油，30%为汽油，单车平均日排放污染物见表3</w:t>
      </w:r>
      <w:r>
        <w:rPr>
          <w:rFonts w:hint="eastAsia"/>
          <w:i w:val="0"/>
          <w:iCs w:val="0"/>
          <w:kern w:val="0"/>
        </w:rPr>
        <w:t>-</w:t>
      </w:r>
      <w:r>
        <w:rPr>
          <w:rFonts w:hint="eastAsia"/>
          <w:i w:val="0"/>
          <w:iCs w:val="0"/>
          <w:kern w:val="0"/>
          <w:lang w:val="en-US" w:eastAsia="zh-CN"/>
        </w:rPr>
        <w:t>20</w:t>
      </w:r>
      <w:r>
        <w:rPr>
          <w:i w:val="0"/>
          <w:iCs w:val="0"/>
          <w:kern w:val="0"/>
        </w:rPr>
        <w:t>。</w:t>
      </w:r>
    </w:p>
    <w:p>
      <w:pPr>
        <w:widowControl/>
        <w:adjustRightInd w:val="0"/>
        <w:snapToGrid w:val="0"/>
        <w:jc w:val="center"/>
        <w:rPr>
          <w:b/>
          <w:i w:val="0"/>
          <w:iCs w:val="0"/>
        </w:rPr>
      </w:pPr>
      <w:r>
        <w:rPr>
          <w:b/>
          <w:i w:val="0"/>
          <w:iCs w:val="0"/>
        </w:rPr>
        <w:t>表3-</w:t>
      </w:r>
      <w:r>
        <w:rPr>
          <w:rFonts w:hint="eastAsia"/>
          <w:b/>
          <w:i w:val="0"/>
          <w:iCs w:val="0"/>
          <w:lang w:val="en-US" w:eastAsia="zh-CN"/>
        </w:rPr>
        <w:t>20</w:t>
      </w:r>
      <w:r>
        <w:rPr>
          <w:b/>
          <w:i w:val="0"/>
          <w:iCs w:val="0"/>
        </w:rPr>
        <w:t xml:space="preserve">  单车排放尾气污染物        单位：kg/d</w:t>
      </w:r>
    </w:p>
    <w:tbl>
      <w:tblPr>
        <w:tblStyle w:val="5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78"/>
        <w:gridCol w:w="2380"/>
        <w:gridCol w:w="2380"/>
        <w:gridCol w:w="23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250" w:type="pct"/>
            <w:tcBorders>
              <w:left w:val="nil"/>
            </w:tcBorders>
            <w:noWrap w:val="0"/>
            <w:vAlign w:val="top"/>
          </w:tcPr>
          <w:p>
            <w:pPr>
              <w:jc w:val="center"/>
              <w:rPr>
                <w:i w:val="0"/>
                <w:iCs w:val="0"/>
                <w:kern w:val="0"/>
                <w:sz w:val="21"/>
                <w:szCs w:val="21"/>
              </w:rPr>
            </w:pPr>
            <w:r>
              <w:rPr>
                <w:i w:val="0"/>
                <w:iCs w:val="0"/>
                <w:kern w:val="0"/>
                <w:sz w:val="21"/>
                <w:szCs w:val="21"/>
              </w:rPr>
              <w:t>非甲烷总烃</w:t>
            </w:r>
          </w:p>
        </w:tc>
        <w:tc>
          <w:tcPr>
            <w:tcW w:w="1251" w:type="pct"/>
            <w:noWrap w:val="0"/>
            <w:vAlign w:val="top"/>
          </w:tcPr>
          <w:p>
            <w:pPr>
              <w:jc w:val="center"/>
              <w:rPr>
                <w:i w:val="0"/>
                <w:iCs w:val="0"/>
                <w:kern w:val="0"/>
                <w:sz w:val="21"/>
                <w:szCs w:val="21"/>
              </w:rPr>
            </w:pPr>
            <w:r>
              <w:rPr>
                <w:i w:val="0"/>
                <w:iCs w:val="0"/>
                <w:kern w:val="0"/>
                <w:sz w:val="21"/>
                <w:szCs w:val="21"/>
              </w:rPr>
              <w:t>SO</w:t>
            </w:r>
            <w:r>
              <w:rPr>
                <w:i w:val="0"/>
                <w:iCs w:val="0"/>
                <w:kern w:val="0"/>
                <w:sz w:val="21"/>
                <w:szCs w:val="21"/>
                <w:vertAlign w:val="subscript"/>
              </w:rPr>
              <w:t>2</w:t>
            </w:r>
          </w:p>
        </w:tc>
        <w:tc>
          <w:tcPr>
            <w:tcW w:w="1251" w:type="pct"/>
            <w:noWrap w:val="0"/>
            <w:vAlign w:val="top"/>
          </w:tcPr>
          <w:p>
            <w:pPr>
              <w:jc w:val="center"/>
              <w:rPr>
                <w:i w:val="0"/>
                <w:iCs w:val="0"/>
                <w:kern w:val="0"/>
                <w:sz w:val="21"/>
                <w:szCs w:val="21"/>
              </w:rPr>
            </w:pPr>
            <w:r>
              <w:rPr>
                <w:i w:val="0"/>
                <w:iCs w:val="0"/>
                <w:kern w:val="0"/>
                <w:sz w:val="21"/>
                <w:szCs w:val="21"/>
              </w:rPr>
              <w:t>NO</w:t>
            </w:r>
            <w:r>
              <w:rPr>
                <w:i w:val="0"/>
                <w:iCs w:val="0"/>
                <w:kern w:val="0"/>
                <w:sz w:val="21"/>
                <w:szCs w:val="21"/>
                <w:vertAlign w:val="subscript"/>
              </w:rPr>
              <w:t>X</w:t>
            </w:r>
          </w:p>
        </w:tc>
        <w:tc>
          <w:tcPr>
            <w:tcW w:w="1247" w:type="pct"/>
            <w:tcBorders>
              <w:right w:val="nil"/>
            </w:tcBorders>
            <w:noWrap w:val="0"/>
            <w:vAlign w:val="top"/>
          </w:tcPr>
          <w:p>
            <w:pPr>
              <w:jc w:val="center"/>
              <w:rPr>
                <w:i w:val="0"/>
                <w:iCs w:val="0"/>
                <w:kern w:val="0"/>
                <w:sz w:val="21"/>
                <w:szCs w:val="21"/>
              </w:rPr>
            </w:pPr>
            <w:r>
              <w:rPr>
                <w:i w:val="0"/>
                <w:iCs w:val="0"/>
                <w:kern w:val="0"/>
                <w:sz w:val="21"/>
                <w:szCs w:val="21"/>
              </w:rPr>
              <w:t>颗粒物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1250" w:type="pct"/>
            <w:tcBorders>
              <w:left w:val="nil"/>
            </w:tcBorders>
            <w:noWrap w:val="0"/>
            <w:vAlign w:val="top"/>
          </w:tcPr>
          <w:p>
            <w:pPr>
              <w:jc w:val="center"/>
              <w:rPr>
                <w:i w:val="0"/>
                <w:iCs w:val="0"/>
                <w:kern w:val="0"/>
                <w:sz w:val="21"/>
                <w:szCs w:val="21"/>
              </w:rPr>
            </w:pPr>
            <w:r>
              <w:rPr>
                <w:i w:val="0"/>
                <w:iCs w:val="0"/>
                <w:kern w:val="0"/>
                <w:sz w:val="21"/>
                <w:szCs w:val="21"/>
              </w:rPr>
              <w:t>0.269</w:t>
            </w:r>
          </w:p>
        </w:tc>
        <w:tc>
          <w:tcPr>
            <w:tcW w:w="1251" w:type="pct"/>
            <w:noWrap w:val="0"/>
            <w:vAlign w:val="top"/>
          </w:tcPr>
          <w:p>
            <w:pPr>
              <w:jc w:val="center"/>
              <w:rPr>
                <w:i w:val="0"/>
                <w:iCs w:val="0"/>
                <w:kern w:val="0"/>
                <w:sz w:val="21"/>
                <w:szCs w:val="21"/>
              </w:rPr>
            </w:pPr>
            <w:r>
              <w:rPr>
                <w:i w:val="0"/>
                <w:iCs w:val="0"/>
                <w:kern w:val="0"/>
                <w:sz w:val="21"/>
                <w:szCs w:val="21"/>
              </w:rPr>
              <w:t>0.027</w:t>
            </w:r>
          </w:p>
        </w:tc>
        <w:tc>
          <w:tcPr>
            <w:tcW w:w="1251" w:type="pct"/>
            <w:noWrap w:val="0"/>
            <w:vAlign w:val="top"/>
          </w:tcPr>
          <w:p>
            <w:pPr>
              <w:jc w:val="center"/>
              <w:rPr>
                <w:i w:val="0"/>
                <w:iCs w:val="0"/>
                <w:kern w:val="0"/>
                <w:sz w:val="21"/>
                <w:szCs w:val="21"/>
              </w:rPr>
            </w:pPr>
            <w:r>
              <w:rPr>
                <w:i w:val="0"/>
                <w:iCs w:val="0"/>
                <w:kern w:val="0"/>
                <w:sz w:val="21"/>
                <w:szCs w:val="21"/>
              </w:rPr>
              <w:t>0.431</w:t>
            </w:r>
          </w:p>
        </w:tc>
        <w:tc>
          <w:tcPr>
            <w:tcW w:w="1247" w:type="pct"/>
            <w:tcBorders>
              <w:right w:val="nil"/>
            </w:tcBorders>
            <w:noWrap w:val="0"/>
            <w:vAlign w:val="top"/>
          </w:tcPr>
          <w:p>
            <w:pPr>
              <w:jc w:val="center"/>
              <w:rPr>
                <w:i w:val="0"/>
                <w:iCs w:val="0"/>
                <w:kern w:val="0"/>
                <w:sz w:val="21"/>
                <w:szCs w:val="21"/>
              </w:rPr>
            </w:pPr>
            <w:r>
              <w:rPr>
                <w:i w:val="0"/>
                <w:iCs w:val="0"/>
                <w:kern w:val="0"/>
                <w:sz w:val="21"/>
                <w:szCs w:val="21"/>
              </w:rPr>
              <w:t>0.04</w:t>
            </w:r>
          </w:p>
        </w:tc>
      </w:tr>
    </w:tbl>
    <w:p>
      <w:pPr>
        <w:widowControl/>
        <w:adjustRightInd w:val="0"/>
        <w:snapToGrid w:val="0"/>
        <w:spacing w:before="120" w:beforeLines="50" w:line="360" w:lineRule="auto"/>
        <w:ind w:firstLine="480" w:firstLineChars="200"/>
        <w:rPr>
          <w:i w:val="0"/>
          <w:iCs w:val="0"/>
          <w:kern w:val="0"/>
        </w:rPr>
      </w:pPr>
      <w:r>
        <w:rPr>
          <w:i w:val="0"/>
          <w:iCs w:val="0"/>
          <w:kern w:val="0"/>
        </w:rPr>
        <w:t>2、施工期废水污染分析</w:t>
      </w:r>
    </w:p>
    <w:p>
      <w:pPr>
        <w:widowControl/>
        <w:adjustRightInd w:val="0"/>
        <w:snapToGrid w:val="0"/>
        <w:spacing w:line="360" w:lineRule="auto"/>
        <w:ind w:firstLine="480" w:firstLineChars="200"/>
        <w:rPr>
          <w:i w:val="0"/>
          <w:iCs w:val="0"/>
          <w:kern w:val="0"/>
        </w:rPr>
      </w:pPr>
      <w:r>
        <w:rPr>
          <w:i w:val="0"/>
          <w:iCs w:val="0"/>
          <w:kern w:val="0"/>
        </w:rPr>
        <w:t>（1）施工生产废水</w:t>
      </w:r>
    </w:p>
    <w:p>
      <w:pPr>
        <w:widowControl/>
        <w:adjustRightInd w:val="0"/>
        <w:snapToGrid w:val="0"/>
        <w:spacing w:line="360" w:lineRule="auto"/>
        <w:ind w:firstLine="480" w:firstLineChars="200"/>
        <w:rPr>
          <w:i w:val="0"/>
          <w:iCs w:val="0"/>
          <w:kern w:val="0"/>
        </w:rPr>
      </w:pPr>
      <w:r>
        <w:rPr>
          <w:i w:val="0"/>
          <w:iCs w:val="0"/>
          <w:kern w:val="0"/>
        </w:rPr>
        <w:t>施工生产废水主要为砂石料生产系统、施工机械维修冲洗废水，废水产生量约为10m</w:t>
      </w:r>
      <w:r>
        <w:rPr>
          <w:i w:val="0"/>
          <w:iCs w:val="0"/>
          <w:kern w:val="0"/>
          <w:vertAlign w:val="superscript"/>
        </w:rPr>
        <w:t>3</w:t>
      </w:r>
      <w:r>
        <w:rPr>
          <w:i w:val="0"/>
          <w:iCs w:val="0"/>
          <w:kern w:val="0"/>
        </w:rPr>
        <w:t>/d，废水中主要污染物是SS和石油类，上述废水可全部排入施工场区内沉淀池内进行处理，经处理后的生产废水全部回用于施工生产；沉淀池污泥在施工结束后回填于施工场地内。</w:t>
      </w:r>
    </w:p>
    <w:p>
      <w:pPr>
        <w:widowControl/>
        <w:adjustRightInd w:val="0"/>
        <w:snapToGrid w:val="0"/>
        <w:spacing w:line="360" w:lineRule="auto"/>
        <w:ind w:firstLine="480" w:firstLineChars="200"/>
        <w:rPr>
          <w:i w:val="0"/>
          <w:iCs w:val="0"/>
          <w:kern w:val="0"/>
        </w:rPr>
      </w:pPr>
      <w:r>
        <w:rPr>
          <w:i w:val="0"/>
          <w:iCs w:val="0"/>
          <w:kern w:val="0"/>
        </w:rPr>
        <w:t>（2）施工生活污水</w:t>
      </w:r>
    </w:p>
    <w:p>
      <w:pPr>
        <w:widowControl/>
        <w:adjustRightInd w:val="0"/>
        <w:snapToGrid w:val="0"/>
        <w:spacing w:line="360" w:lineRule="auto"/>
        <w:ind w:firstLine="480" w:firstLineChars="200"/>
        <w:rPr>
          <w:i w:val="0"/>
          <w:iCs w:val="0"/>
          <w:kern w:val="0"/>
        </w:rPr>
      </w:pPr>
      <w:r>
        <w:rPr>
          <w:i w:val="0"/>
          <w:iCs w:val="0"/>
          <w:kern w:val="0"/>
        </w:rPr>
        <w:t>施工生活污水来自施工期进场的管理人员和施工人员，工程施工生活污水产生量约为1.5m</w:t>
      </w:r>
      <w:r>
        <w:rPr>
          <w:i w:val="0"/>
          <w:iCs w:val="0"/>
          <w:kern w:val="0"/>
          <w:vertAlign w:val="superscript"/>
        </w:rPr>
        <w:t>3</w:t>
      </w:r>
      <w:r>
        <w:rPr>
          <w:i w:val="0"/>
          <w:iCs w:val="0"/>
          <w:kern w:val="0"/>
        </w:rPr>
        <w:t>/d（450m</w:t>
      </w:r>
      <w:r>
        <w:rPr>
          <w:i w:val="0"/>
          <w:iCs w:val="0"/>
          <w:kern w:val="0"/>
          <w:vertAlign w:val="superscript"/>
        </w:rPr>
        <w:t>3</w:t>
      </w:r>
      <w:r>
        <w:rPr>
          <w:i w:val="0"/>
          <w:iCs w:val="0"/>
          <w:kern w:val="0"/>
        </w:rPr>
        <w:t>/a），施工生活污水中主要污染物为COD、BOD</w:t>
      </w:r>
      <w:r>
        <w:rPr>
          <w:i w:val="0"/>
          <w:iCs w:val="0"/>
          <w:kern w:val="0"/>
          <w:vertAlign w:val="subscript"/>
        </w:rPr>
        <w:t>5</w:t>
      </w:r>
      <w:r>
        <w:rPr>
          <w:i w:val="0"/>
          <w:iCs w:val="0"/>
          <w:kern w:val="0"/>
        </w:rPr>
        <w:t>、SS、NH</w:t>
      </w:r>
      <w:r>
        <w:rPr>
          <w:i w:val="0"/>
          <w:iCs w:val="0"/>
          <w:kern w:val="0"/>
          <w:vertAlign w:val="subscript"/>
        </w:rPr>
        <w:t>3</w:t>
      </w:r>
      <w:r>
        <w:rPr>
          <w:i w:val="0"/>
          <w:iCs w:val="0"/>
          <w:kern w:val="0"/>
        </w:rPr>
        <w:t>-N，其产生情况见表3</w:t>
      </w:r>
      <w:r>
        <w:rPr>
          <w:rFonts w:hint="eastAsia"/>
          <w:i w:val="0"/>
          <w:iCs w:val="0"/>
          <w:kern w:val="0"/>
        </w:rPr>
        <w:t>-</w:t>
      </w:r>
      <w:r>
        <w:rPr>
          <w:rFonts w:hint="eastAsia"/>
          <w:i w:val="0"/>
          <w:iCs w:val="0"/>
          <w:kern w:val="0"/>
          <w:lang w:val="en-US" w:eastAsia="zh-CN"/>
        </w:rPr>
        <w:t>21</w:t>
      </w:r>
      <w:r>
        <w:rPr>
          <w:i w:val="0"/>
          <w:iCs w:val="0"/>
          <w:kern w:val="0"/>
        </w:rPr>
        <w:t>。</w:t>
      </w:r>
    </w:p>
    <w:p>
      <w:pPr>
        <w:widowControl/>
        <w:adjustRightInd w:val="0"/>
        <w:snapToGrid w:val="0"/>
        <w:jc w:val="center"/>
        <w:rPr>
          <w:b/>
          <w:i w:val="0"/>
          <w:iCs w:val="0"/>
        </w:rPr>
      </w:pPr>
      <w:r>
        <w:rPr>
          <w:b/>
          <w:i w:val="0"/>
          <w:iCs w:val="0"/>
        </w:rPr>
        <w:t>表3</w:t>
      </w:r>
      <w:r>
        <w:rPr>
          <w:rFonts w:hint="eastAsia"/>
          <w:b/>
          <w:i w:val="0"/>
          <w:iCs w:val="0"/>
        </w:rPr>
        <w:t>-</w:t>
      </w:r>
      <w:r>
        <w:rPr>
          <w:rFonts w:hint="eastAsia"/>
          <w:b/>
          <w:i w:val="0"/>
          <w:iCs w:val="0"/>
          <w:lang w:val="en-US" w:eastAsia="zh-CN"/>
        </w:rPr>
        <w:t>21</w:t>
      </w:r>
      <w:r>
        <w:rPr>
          <w:rFonts w:hint="eastAsia"/>
          <w:b/>
          <w:i w:val="0"/>
          <w:iCs w:val="0"/>
        </w:rPr>
        <w:t xml:space="preserve"> </w:t>
      </w:r>
      <w:r>
        <w:rPr>
          <w:b/>
          <w:i w:val="0"/>
          <w:iCs w:val="0"/>
        </w:rPr>
        <w:t xml:space="preserve"> 施工生活污水产生情况一览表</w:t>
      </w:r>
    </w:p>
    <w:tbl>
      <w:tblPr>
        <w:tblStyle w:val="58"/>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290"/>
        <w:gridCol w:w="1313"/>
        <w:gridCol w:w="807"/>
        <w:gridCol w:w="893"/>
        <w:gridCol w:w="651"/>
        <w:gridCol w:w="995"/>
        <w:gridCol w:w="832"/>
        <w:gridCol w:w="893"/>
        <w:gridCol w:w="843"/>
        <w:gridCol w:w="99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78" w:type="pct"/>
            <w:tcBorders>
              <w:left w:val="nil"/>
            </w:tcBorders>
            <w:noWrap w:val="0"/>
            <w:vAlign w:val="center"/>
          </w:tcPr>
          <w:p>
            <w:pPr>
              <w:jc w:val="center"/>
              <w:rPr>
                <w:i w:val="0"/>
                <w:iCs w:val="0"/>
                <w:sz w:val="21"/>
                <w:szCs w:val="21"/>
              </w:rPr>
            </w:pPr>
            <w:r>
              <w:rPr>
                <w:i w:val="0"/>
                <w:iCs w:val="0"/>
                <w:sz w:val="21"/>
                <w:szCs w:val="21"/>
              </w:rPr>
              <w:t>污染源</w:t>
            </w:r>
          </w:p>
        </w:tc>
        <w:tc>
          <w:tcPr>
            <w:tcW w:w="690" w:type="pct"/>
            <w:noWrap w:val="0"/>
            <w:vAlign w:val="center"/>
          </w:tcPr>
          <w:p>
            <w:pPr>
              <w:jc w:val="center"/>
              <w:rPr>
                <w:i w:val="0"/>
                <w:iCs w:val="0"/>
                <w:sz w:val="21"/>
                <w:szCs w:val="21"/>
              </w:rPr>
            </w:pPr>
            <w:r>
              <w:rPr>
                <w:i w:val="0"/>
                <w:iCs w:val="0"/>
                <w:sz w:val="21"/>
                <w:szCs w:val="21"/>
              </w:rPr>
              <w:t>废水m</w:t>
            </w:r>
            <w:r>
              <w:rPr>
                <w:i w:val="0"/>
                <w:iCs w:val="0"/>
                <w:sz w:val="21"/>
                <w:szCs w:val="21"/>
                <w:vertAlign w:val="superscript"/>
              </w:rPr>
              <w:t>3</w:t>
            </w:r>
            <w:r>
              <w:rPr>
                <w:i w:val="0"/>
                <w:iCs w:val="0"/>
                <w:sz w:val="21"/>
                <w:szCs w:val="21"/>
              </w:rPr>
              <w:t>/a</w:t>
            </w:r>
          </w:p>
        </w:tc>
        <w:tc>
          <w:tcPr>
            <w:tcW w:w="1758" w:type="pct"/>
            <w:gridSpan w:val="4"/>
            <w:noWrap w:val="0"/>
            <w:vAlign w:val="center"/>
          </w:tcPr>
          <w:p>
            <w:pPr>
              <w:jc w:val="center"/>
              <w:rPr>
                <w:i w:val="0"/>
                <w:iCs w:val="0"/>
                <w:sz w:val="21"/>
                <w:szCs w:val="21"/>
              </w:rPr>
            </w:pPr>
            <w:r>
              <w:rPr>
                <w:i w:val="0"/>
                <w:iCs w:val="0"/>
                <w:sz w:val="21"/>
                <w:szCs w:val="21"/>
              </w:rPr>
              <w:t>污染物浓度mg/L</w:t>
            </w:r>
          </w:p>
        </w:tc>
        <w:tc>
          <w:tcPr>
            <w:tcW w:w="1871" w:type="pct"/>
            <w:gridSpan w:val="4"/>
            <w:tcBorders>
              <w:right w:val="nil"/>
            </w:tcBorders>
            <w:noWrap w:val="0"/>
            <w:vAlign w:val="center"/>
          </w:tcPr>
          <w:p>
            <w:pPr>
              <w:jc w:val="center"/>
              <w:rPr>
                <w:i w:val="0"/>
                <w:iCs w:val="0"/>
                <w:sz w:val="21"/>
                <w:szCs w:val="21"/>
              </w:rPr>
            </w:pPr>
            <w:r>
              <w:rPr>
                <w:i w:val="0"/>
                <w:iCs w:val="0"/>
                <w:sz w:val="21"/>
                <w:szCs w:val="21"/>
              </w:rPr>
              <w:t>折纯量t/a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78" w:type="pct"/>
            <w:vMerge w:val="restart"/>
            <w:tcBorders>
              <w:left w:val="nil"/>
            </w:tcBorders>
            <w:noWrap w:val="0"/>
            <w:vAlign w:val="center"/>
          </w:tcPr>
          <w:p>
            <w:pPr>
              <w:jc w:val="center"/>
              <w:rPr>
                <w:i w:val="0"/>
                <w:iCs w:val="0"/>
                <w:sz w:val="21"/>
                <w:szCs w:val="21"/>
              </w:rPr>
            </w:pPr>
            <w:r>
              <w:rPr>
                <w:i w:val="0"/>
                <w:iCs w:val="0"/>
                <w:sz w:val="21"/>
                <w:szCs w:val="21"/>
              </w:rPr>
              <w:t>生活污水</w:t>
            </w:r>
          </w:p>
        </w:tc>
        <w:tc>
          <w:tcPr>
            <w:tcW w:w="690" w:type="pct"/>
            <w:vMerge w:val="restart"/>
            <w:noWrap w:val="0"/>
            <w:vAlign w:val="center"/>
          </w:tcPr>
          <w:p>
            <w:pPr>
              <w:jc w:val="center"/>
              <w:rPr>
                <w:i w:val="0"/>
                <w:iCs w:val="0"/>
                <w:sz w:val="21"/>
                <w:szCs w:val="21"/>
              </w:rPr>
            </w:pPr>
            <w:r>
              <w:rPr>
                <w:i w:val="0"/>
                <w:iCs w:val="0"/>
                <w:sz w:val="21"/>
                <w:szCs w:val="21"/>
              </w:rPr>
              <w:t>450</w:t>
            </w:r>
          </w:p>
        </w:tc>
        <w:tc>
          <w:tcPr>
            <w:tcW w:w="424" w:type="pct"/>
            <w:noWrap w:val="0"/>
            <w:vAlign w:val="center"/>
          </w:tcPr>
          <w:p>
            <w:pPr>
              <w:jc w:val="center"/>
              <w:rPr>
                <w:i w:val="0"/>
                <w:iCs w:val="0"/>
                <w:sz w:val="21"/>
                <w:szCs w:val="21"/>
              </w:rPr>
            </w:pPr>
            <w:r>
              <w:rPr>
                <w:i w:val="0"/>
                <w:iCs w:val="0"/>
                <w:sz w:val="21"/>
                <w:szCs w:val="21"/>
              </w:rPr>
              <w:t>COD</w:t>
            </w:r>
          </w:p>
        </w:tc>
        <w:tc>
          <w:tcPr>
            <w:tcW w:w="469" w:type="pct"/>
            <w:noWrap w:val="0"/>
            <w:vAlign w:val="center"/>
          </w:tcPr>
          <w:p>
            <w:pPr>
              <w:jc w:val="center"/>
              <w:rPr>
                <w:i w:val="0"/>
                <w:iCs w:val="0"/>
                <w:sz w:val="21"/>
                <w:szCs w:val="21"/>
                <w:vertAlign w:val="subscript"/>
              </w:rPr>
            </w:pPr>
            <w:r>
              <w:rPr>
                <w:i w:val="0"/>
                <w:iCs w:val="0"/>
                <w:sz w:val="21"/>
                <w:szCs w:val="21"/>
              </w:rPr>
              <w:t>BOD</w:t>
            </w:r>
            <w:r>
              <w:rPr>
                <w:i w:val="0"/>
                <w:iCs w:val="0"/>
                <w:sz w:val="21"/>
                <w:szCs w:val="21"/>
                <w:vertAlign w:val="subscript"/>
              </w:rPr>
              <w:t>5</w:t>
            </w:r>
          </w:p>
        </w:tc>
        <w:tc>
          <w:tcPr>
            <w:tcW w:w="342" w:type="pct"/>
            <w:noWrap w:val="0"/>
            <w:vAlign w:val="center"/>
          </w:tcPr>
          <w:p>
            <w:pPr>
              <w:jc w:val="center"/>
              <w:rPr>
                <w:i w:val="0"/>
                <w:iCs w:val="0"/>
                <w:sz w:val="21"/>
                <w:szCs w:val="21"/>
              </w:rPr>
            </w:pPr>
            <w:r>
              <w:rPr>
                <w:i w:val="0"/>
                <w:iCs w:val="0"/>
                <w:sz w:val="21"/>
                <w:szCs w:val="21"/>
              </w:rPr>
              <w:t>SS</w:t>
            </w:r>
          </w:p>
        </w:tc>
        <w:tc>
          <w:tcPr>
            <w:tcW w:w="522" w:type="pct"/>
            <w:noWrap w:val="0"/>
            <w:vAlign w:val="center"/>
          </w:tcPr>
          <w:p>
            <w:pPr>
              <w:jc w:val="center"/>
              <w:rPr>
                <w:i w:val="0"/>
                <w:iCs w:val="0"/>
                <w:sz w:val="21"/>
                <w:szCs w:val="21"/>
              </w:rPr>
            </w:pPr>
            <w:r>
              <w:rPr>
                <w:i w:val="0"/>
                <w:iCs w:val="0"/>
                <w:sz w:val="21"/>
                <w:szCs w:val="21"/>
              </w:rPr>
              <w:t>NH</w:t>
            </w:r>
            <w:r>
              <w:rPr>
                <w:i w:val="0"/>
                <w:iCs w:val="0"/>
                <w:sz w:val="21"/>
                <w:szCs w:val="21"/>
                <w:vertAlign w:val="subscript"/>
              </w:rPr>
              <w:t>3</w:t>
            </w:r>
            <w:r>
              <w:rPr>
                <w:i w:val="0"/>
                <w:iCs w:val="0"/>
                <w:sz w:val="21"/>
                <w:szCs w:val="21"/>
              </w:rPr>
              <w:t>-N</w:t>
            </w:r>
          </w:p>
        </w:tc>
        <w:tc>
          <w:tcPr>
            <w:tcW w:w="437" w:type="pct"/>
            <w:noWrap w:val="0"/>
            <w:vAlign w:val="center"/>
          </w:tcPr>
          <w:p>
            <w:pPr>
              <w:jc w:val="center"/>
              <w:rPr>
                <w:i w:val="0"/>
                <w:iCs w:val="0"/>
                <w:sz w:val="21"/>
                <w:szCs w:val="21"/>
              </w:rPr>
            </w:pPr>
            <w:r>
              <w:rPr>
                <w:i w:val="0"/>
                <w:iCs w:val="0"/>
                <w:sz w:val="21"/>
                <w:szCs w:val="21"/>
              </w:rPr>
              <w:t>COD</w:t>
            </w:r>
          </w:p>
        </w:tc>
        <w:tc>
          <w:tcPr>
            <w:tcW w:w="469" w:type="pct"/>
            <w:noWrap w:val="0"/>
            <w:vAlign w:val="center"/>
          </w:tcPr>
          <w:p>
            <w:pPr>
              <w:jc w:val="center"/>
              <w:rPr>
                <w:i w:val="0"/>
                <w:iCs w:val="0"/>
                <w:sz w:val="21"/>
                <w:szCs w:val="21"/>
                <w:vertAlign w:val="subscript"/>
              </w:rPr>
            </w:pPr>
            <w:r>
              <w:rPr>
                <w:i w:val="0"/>
                <w:iCs w:val="0"/>
                <w:sz w:val="21"/>
                <w:szCs w:val="21"/>
              </w:rPr>
              <w:t>BOD</w:t>
            </w:r>
            <w:r>
              <w:rPr>
                <w:i w:val="0"/>
                <w:iCs w:val="0"/>
                <w:sz w:val="21"/>
                <w:szCs w:val="21"/>
                <w:vertAlign w:val="subscript"/>
              </w:rPr>
              <w:t>5</w:t>
            </w:r>
          </w:p>
        </w:tc>
        <w:tc>
          <w:tcPr>
            <w:tcW w:w="443" w:type="pct"/>
            <w:noWrap w:val="0"/>
            <w:vAlign w:val="center"/>
          </w:tcPr>
          <w:p>
            <w:pPr>
              <w:jc w:val="center"/>
              <w:rPr>
                <w:i w:val="0"/>
                <w:iCs w:val="0"/>
                <w:sz w:val="21"/>
                <w:szCs w:val="21"/>
              </w:rPr>
            </w:pPr>
            <w:r>
              <w:rPr>
                <w:i w:val="0"/>
                <w:iCs w:val="0"/>
                <w:sz w:val="21"/>
                <w:szCs w:val="21"/>
              </w:rPr>
              <w:t>SS</w:t>
            </w:r>
          </w:p>
        </w:tc>
        <w:tc>
          <w:tcPr>
            <w:tcW w:w="521" w:type="pct"/>
            <w:tcBorders>
              <w:right w:val="nil"/>
            </w:tcBorders>
            <w:noWrap w:val="0"/>
            <w:vAlign w:val="center"/>
          </w:tcPr>
          <w:p>
            <w:pPr>
              <w:jc w:val="center"/>
              <w:rPr>
                <w:i w:val="0"/>
                <w:iCs w:val="0"/>
                <w:sz w:val="21"/>
                <w:szCs w:val="21"/>
              </w:rPr>
            </w:pPr>
            <w:r>
              <w:rPr>
                <w:i w:val="0"/>
                <w:iCs w:val="0"/>
                <w:sz w:val="21"/>
                <w:szCs w:val="21"/>
              </w:rPr>
              <w:t>NH</w:t>
            </w:r>
            <w:r>
              <w:rPr>
                <w:i w:val="0"/>
                <w:iCs w:val="0"/>
                <w:sz w:val="21"/>
                <w:szCs w:val="21"/>
                <w:vertAlign w:val="subscript"/>
              </w:rPr>
              <w:t>3</w:t>
            </w:r>
            <w:r>
              <w:rPr>
                <w:i w:val="0"/>
                <w:iCs w:val="0"/>
                <w:sz w:val="21"/>
                <w:szCs w:val="21"/>
              </w:rPr>
              <w:t>-N</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78" w:type="pct"/>
            <w:vMerge w:val="continue"/>
            <w:tcBorders>
              <w:left w:val="nil"/>
            </w:tcBorders>
            <w:noWrap w:val="0"/>
            <w:vAlign w:val="center"/>
          </w:tcPr>
          <w:p>
            <w:pPr>
              <w:jc w:val="center"/>
              <w:rPr>
                <w:i w:val="0"/>
                <w:iCs w:val="0"/>
                <w:sz w:val="21"/>
                <w:szCs w:val="21"/>
              </w:rPr>
            </w:pPr>
          </w:p>
        </w:tc>
        <w:tc>
          <w:tcPr>
            <w:tcW w:w="690" w:type="pct"/>
            <w:vMerge w:val="continue"/>
            <w:noWrap w:val="0"/>
            <w:vAlign w:val="center"/>
          </w:tcPr>
          <w:p>
            <w:pPr>
              <w:jc w:val="center"/>
              <w:rPr>
                <w:i w:val="0"/>
                <w:iCs w:val="0"/>
                <w:sz w:val="21"/>
                <w:szCs w:val="21"/>
              </w:rPr>
            </w:pPr>
          </w:p>
        </w:tc>
        <w:tc>
          <w:tcPr>
            <w:tcW w:w="424" w:type="pct"/>
            <w:noWrap w:val="0"/>
            <w:vAlign w:val="center"/>
          </w:tcPr>
          <w:p>
            <w:pPr>
              <w:jc w:val="center"/>
              <w:rPr>
                <w:i w:val="0"/>
                <w:iCs w:val="0"/>
                <w:sz w:val="21"/>
                <w:szCs w:val="21"/>
              </w:rPr>
            </w:pPr>
            <w:r>
              <w:rPr>
                <w:i w:val="0"/>
                <w:iCs w:val="0"/>
                <w:sz w:val="21"/>
                <w:szCs w:val="21"/>
              </w:rPr>
              <w:t>250</w:t>
            </w:r>
          </w:p>
        </w:tc>
        <w:tc>
          <w:tcPr>
            <w:tcW w:w="469" w:type="pct"/>
            <w:noWrap w:val="0"/>
            <w:vAlign w:val="center"/>
          </w:tcPr>
          <w:p>
            <w:pPr>
              <w:jc w:val="center"/>
              <w:rPr>
                <w:i w:val="0"/>
                <w:iCs w:val="0"/>
                <w:sz w:val="21"/>
                <w:szCs w:val="21"/>
              </w:rPr>
            </w:pPr>
            <w:r>
              <w:rPr>
                <w:i w:val="0"/>
                <w:iCs w:val="0"/>
                <w:sz w:val="21"/>
                <w:szCs w:val="21"/>
              </w:rPr>
              <w:t>150</w:t>
            </w:r>
          </w:p>
        </w:tc>
        <w:tc>
          <w:tcPr>
            <w:tcW w:w="342" w:type="pct"/>
            <w:noWrap w:val="0"/>
            <w:vAlign w:val="center"/>
          </w:tcPr>
          <w:p>
            <w:pPr>
              <w:jc w:val="center"/>
              <w:rPr>
                <w:i w:val="0"/>
                <w:iCs w:val="0"/>
                <w:sz w:val="21"/>
                <w:szCs w:val="21"/>
              </w:rPr>
            </w:pPr>
            <w:r>
              <w:rPr>
                <w:i w:val="0"/>
                <w:iCs w:val="0"/>
                <w:sz w:val="21"/>
                <w:szCs w:val="21"/>
              </w:rPr>
              <w:t>200</w:t>
            </w:r>
          </w:p>
        </w:tc>
        <w:tc>
          <w:tcPr>
            <w:tcW w:w="522" w:type="pct"/>
            <w:noWrap w:val="0"/>
            <w:vAlign w:val="center"/>
          </w:tcPr>
          <w:p>
            <w:pPr>
              <w:jc w:val="center"/>
              <w:rPr>
                <w:i w:val="0"/>
                <w:iCs w:val="0"/>
                <w:sz w:val="21"/>
                <w:szCs w:val="21"/>
              </w:rPr>
            </w:pPr>
            <w:r>
              <w:rPr>
                <w:i w:val="0"/>
                <w:iCs w:val="0"/>
                <w:sz w:val="21"/>
                <w:szCs w:val="21"/>
              </w:rPr>
              <w:t>25</w:t>
            </w:r>
          </w:p>
        </w:tc>
        <w:tc>
          <w:tcPr>
            <w:tcW w:w="437" w:type="pct"/>
            <w:noWrap w:val="0"/>
            <w:vAlign w:val="center"/>
          </w:tcPr>
          <w:p>
            <w:pPr>
              <w:jc w:val="center"/>
              <w:rPr>
                <w:i w:val="0"/>
                <w:iCs w:val="0"/>
                <w:sz w:val="21"/>
                <w:szCs w:val="21"/>
              </w:rPr>
            </w:pPr>
            <w:r>
              <w:rPr>
                <w:i w:val="0"/>
                <w:iCs w:val="0"/>
                <w:sz w:val="21"/>
                <w:szCs w:val="21"/>
              </w:rPr>
              <w:t>0.113</w:t>
            </w:r>
          </w:p>
        </w:tc>
        <w:tc>
          <w:tcPr>
            <w:tcW w:w="469" w:type="pct"/>
            <w:noWrap w:val="0"/>
            <w:vAlign w:val="center"/>
          </w:tcPr>
          <w:p>
            <w:pPr>
              <w:jc w:val="center"/>
              <w:rPr>
                <w:i w:val="0"/>
                <w:iCs w:val="0"/>
                <w:sz w:val="21"/>
                <w:szCs w:val="21"/>
              </w:rPr>
            </w:pPr>
            <w:r>
              <w:rPr>
                <w:i w:val="0"/>
                <w:iCs w:val="0"/>
                <w:sz w:val="21"/>
                <w:szCs w:val="21"/>
              </w:rPr>
              <w:t>0.068</w:t>
            </w:r>
          </w:p>
        </w:tc>
        <w:tc>
          <w:tcPr>
            <w:tcW w:w="443" w:type="pct"/>
            <w:noWrap w:val="0"/>
            <w:vAlign w:val="center"/>
          </w:tcPr>
          <w:p>
            <w:pPr>
              <w:jc w:val="center"/>
              <w:rPr>
                <w:i w:val="0"/>
                <w:iCs w:val="0"/>
                <w:sz w:val="21"/>
                <w:szCs w:val="21"/>
              </w:rPr>
            </w:pPr>
            <w:r>
              <w:rPr>
                <w:i w:val="0"/>
                <w:iCs w:val="0"/>
                <w:sz w:val="21"/>
                <w:szCs w:val="21"/>
              </w:rPr>
              <w:t>0.090</w:t>
            </w:r>
          </w:p>
        </w:tc>
        <w:tc>
          <w:tcPr>
            <w:tcW w:w="521" w:type="pct"/>
            <w:tcBorders>
              <w:right w:val="nil"/>
            </w:tcBorders>
            <w:noWrap w:val="0"/>
            <w:vAlign w:val="center"/>
          </w:tcPr>
          <w:p>
            <w:pPr>
              <w:jc w:val="center"/>
              <w:rPr>
                <w:i w:val="0"/>
                <w:iCs w:val="0"/>
                <w:sz w:val="21"/>
                <w:szCs w:val="21"/>
              </w:rPr>
            </w:pPr>
            <w:r>
              <w:rPr>
                <w:i w:val="0"/>
                <w:iCs w:val="0"/>
                <w:sz w:val="21"/>
                <w:szCs w:val="21"/>
              </w:rPr>
              <w:t>0.011</w:t>
            </w:r>
          </w:p>
        </w:tc>
      </w:tr>
    </w:tbl>
    <w:p>
      <w:pPr>
        <w:widowControl/>
        <w:adjustRightInd w:val="0"/>
        <w:snapToGrid w:val="0"/>
        <w:spacing w:before="120" w:beforeLines="50" w:line="360" w:lineRule="auto"/>
        <w:ind w:firstLine="480" w:firstLineChars="200"/>
        <w:rPr>
          <w:i w:val="0"/>
          <w:iCs w:val="0"/>
          <w:kern w:val="0"/>
        </w:rPr>
      </w:pPr>
      <w:r>
        <w:rPr>
          <w:i w:val="0"/>
          <w:iCs w:val="0"/>
          <w:kern w:val="0"/>
        </w:rPr>
        <w:t>本项目施工期生活污水全部排入附近现有厕所内，不外排。</w:t>
      </w:r>
    </w:p>
    <w:p>
      <w:pPr>
        <w:widowControl/>
        <w:adjustRightInd w:val="0"/>
        <w:snapToGrid w:val="0"/>
        <w:spacing w:line="360" w:lineRule="auto"/>
        <w:ind w:firstLine="480" w:firstLineChars="200"/>
        <w:rPr>
          <w:i w:val="0"/>
          <w:iCs w:val="0"/>
          <w:kern w:val="0"/>
        </w:rPr>
      </w:pPr>
      <w:r>
        <w:rPr>
          <w:i w:val="0"/>
          <w:iCs w:val="0"/>
          <w:kern w:val="0"/>
        </w:rPr>
        <w:t>（3）施工物料堆存淋溶水</w:t>
      </w:r>
    </w:p>
    <w:p>
      <w:pPr>
        <w:widowControl/>
        <w:adjustRightInd w:val="0"/>
        <w:snapToGrid w:val="0"/>
        <w:spacing w:line="360" w:lineRule="auto"/>
        <w:ind w:firstLine="480" w:firstLineChars="200"/>
        <w:rPr>
          <w:i w:val="0"/>
          <w:iCs w:val="0"/>
          <w:kern w:val="0"/>
        </w:rPr>
      </w:pPr>
      <w:r>
        <w:rPr>
          <w:i w:val="0"/>
          <w:iCs w:val="0"/>
          <w:kern w:val="0"/>
        </w:rPr>
        <w:t>本项目施工期物料堆存在室外，遇雨季将有淋溶水产生，其产生量难以估算，环评建议企业对建筑材料堆置于全封闭料棚内，并远离</w:t>
      </w:r>
      <w:r>
        <w:rPr>
          <w:rFonts w:hint="eastAsia"/>
          <w:i w:val="0"/>
          <w:iCs w:val="0"/>
          <w:kern w:val="0"/>
        </w:rPr>
        <w:t>项目附近</w:t>
      </w:r>
      <w:r>
        <w:rPr>
          <w:i w:val="0"/>
          <w:iCs w:val="0"/>
          <w:kern w:val="0"/>
        </w:rPr>
        <w:t>的</w:t>
      </w:r>
      <w:r>
        <w:rPr>
          <w:rFonts w:hint="eastAsia"/>
          <w:i w:val="0"/>
          <w:iCs w:val="0"/>
          <w:kern w:val="0"/>
        </w:rPr>
        <w:t>东辽河</w:t>
      </w:r>
      <w:r>
        <w:rPr>
          <w:i w:val="0"/>
          <w:iCs w:val="0"/>
          <w:kern w:val="0"/>
        </w:rPr>
        <w:t>堆存，避免施工物料随淋溶水进入地表水体，对地表水环境产生影响。</w:t>
      </w:r>
    </w:p>
    <w:p>
      <w:pPr>
        <w:pStyle w:val="48"/>
        <w:spacing w:line="360" w:lineRule="auto"/>
        <w:ind w:left="0" w:firstLine="480" w:firstLineChars="200"/>
        <w:jc w:val="both"/>
        <w:rPr>
          <w:rFonts w:hint="eastAsia"/>
          <w:i w:val="0"/>
          <w:iCs w:val="0"/>
          <w:kern w:val="0"/>
          <w:sz w:val="24"/>
          <w:szCs w:val="24"/>
        </w:rPr>
      </w:pPr>
      <w:r>
        <w:rPr>
          <w:rFonts w:hint="eastAsia"/>
          <w:i w:val="0"/>
          <w:iCs w:val="0"/>
          <w:kern w:val="0"/>
          <w:sz w:val="24"/>
          <w:szCs w:val="24"/>
        </w:rPr>
        <w:t>（4）基坑排水</w:t>
      </w:r>
    </w:p>
    <w:p>
      <w:pPr>
        <w:widowControl/>
        <w:adjustRightInd w:val="0"/>
        <w:snapToGrid w:val="0"/>
        <w:spacing w:line="360" w:lineRule="auto"/>
        <w:ind w:firstLine="480" w:firstLineChars="200"/>
        <w:rPr>
          <w:rFonts w:hint="eastAsia"/>
          <w:i w:val="0"/>
          <w:iCs w:val="0"/>
        </w:rPr>
      </w:pPr>
      <w:r>
        <w:rPr>
          <w:i w:val="0"/>
          <w:iCs w:val="0"/>
          <w:kern w:val="0"/>
        </w:rPr>
        <w:t>在开挖基坑时,地下水位高于开挖底面,地下水会不断渗入坑内</w:t>
      </w:r>
      <w:r>
        <w:rPr>
          <w:rFonts w:hint="eastAsia"/>
          <w:i w:val="0"/>
          <w:iCs w:val="0"/>
          <w:kern w:val="0"/>
        </w:rPr>
        <w:t>，</w:t>
      </w:r>
      <w:r>
        <w:rPr>
          <w:i w:val="0"/>
          <w:iCs w:val="0"/>
          <w:kern w:val="0"/>
        </w:rPr>
        <w:t>废水产生量约为</w:t>
      </w:r>
      <w:r>
        <w:rPr>
          <w:rFonts w:hint="eastAsia"/>
          <w:i w:val="0"/>
          <w:iCs w:val="0"/>
          <w:kern w:val="0"/>
        </w:rPr>
        <w:t>36</w:t>
      </w:r>
      <w:r>
        <w:rPr>
          <w:i w:val="0"/>
          <w:iCs w:val="0"/>
          <w:kern w:val="0"/>
        </w:rPr>
        <w:t>m</w:t>
      </w:r>
      <w:r>
        <w:rPr>
          <w:i w:val="0"/>
          <w:iCs w:val="0"/>
          <w:kern w:val="0"/>
          <w:vertAlign w:val="superscript"/>
        </w:rPr>
        <w:t>3</w:t>
      </w:r>
      <w:r>
        <w:rPr>
          <w:i w:val="0"/>
          <w:iCs w:val="0"/>
          <w:kern w:val="0"/>
        </w:rPr>
        <w:t>/d，废水中主要污染物是SS，上述废水可全部排入施工场区内沉淀池内进行处理，经处理后的生产废水全部回用于施工生产；沉淀池污泥在施工结束后回填于施工场地内。</w:t>
      </w:r>
    </w:p>
    <w:p>
      <w:pPr>
        <w:widowControl/>
        <w:adjustRightInd w:val="0"/>
        <w:snapToGrid w:val="0"/>
        <w:spacing w:line="360" w:lineRule="auto"/>
        <w:ind w:firstLine="480" w:firstLineChars="200"/>
        <w:rPr>
          <w:i w:val="0"/>
          <w:iCs w:val="0"/>
          <w:kern w:val="0"/>
        </w:rPr>
      </w:pPr>
      <w:r>
        <w:rPr>
          <w:i w:val="0"/>
          <w:iCs w:val="0"/>
          <w:kern w:val="0"/>
        </w:rPr>
        <w:t>3、施工期噪声污染分析</w:t>
      </w:r>
    </w:p>
    <w:p>
      <w:pPr>
        <w:widowControl/>
        <w:adjustRightInd w:val="0"/>
        <w:snapToGrid w:val="0"/>
        <w:spacing w:line="360" w:lineRule="auto"/>
        <w:ind w:firstLine="480" w:firstLineChars="200"/>
        <w:rPr>
          <w:i w:val="0"/>
          <w:iCs w:val="0"/>
          <w:kern w:val="0"/>
        </w:rPr>
      </w:pPr>
      <w:r>
        <w:rPr>
          <w:i w:val="0"/>
          <w:iCs w:val="0"/>
          <w:kern w:val="0"/>
        </w:rPr>
        <w:t>施工机械包括运输车辆、推土机、挖掘机、混凝土搅拌机、空压机、吊车等设备，这些机械运行时将会不同程度的产生噪声，其声级值最高为95dB（A），各施工阶段施工机械噪声源强见表3</w:t>
      </w:r>
      <w:r>
        <w:rPr>
          <w:rFonts w:hint="eastAsia"/>
          <w:i w:val="0"/>
          <w:iCs w:val="0"/>
          <w:kern w:val="0"/>
        </w:rPr>
        <w:t>-</w:t>
      </w:r>
      <w:r>
        <w:rPr>
          <w:rFonts w:hint="eastAsia"/>
          <w:i w:val="0"/>
          <w:iCs w:val="0"/>
          <w:kern w:val="0"/>
          <w:lang w:val="en-US" w:eastAsia="zh-CN"/>
        </w:rPr>
        <w:t>22</w:t>
      </w:r>
      <w:r>
        <w:rPr>
          <w:i w:val="0"/>
          <w:iCs w:val="0"/>
          <w:kern w:val="0"/>
        </w:rPr>
        <w:t>。</w:t>
      </w:r>
    </w:p>
    <w:p>
      <w:pPr>
        <w:widowControl/>
        <w:adjustRightInd w:val="0"/>
        <w:snapToGrid w:val="0"/>
        <w:jc w:val="center"/>
        <w:rPr>
          <w:b/>
          <w:i w:val="0"/>
          <w:iCs w:val="0"/>
        </w:rPr>
      </w:pPr>
      <w:r>
        <w:rPr>
          <w:b/>
          <w:i w:val="0"/>
          <w:iCs w:val="0"/>
        </w:rPr>
        <w:t>表3-</w:t>
      </w:r>
      <w:r>
        <w:rPr>
          <w:rFonts w:hint="eastAsia"/>
          <w:b/>
          <w:i w:val="0"/>
          <w:iCs w:val="0"/>
          <w:lang w:val="en-US" w:eastAsia="zh-CN"/>
        </w:rPr>
        <w:t>22</w:t>
      </w:r>
      <w:r>
        <w:rPr>
          <w:b/>
          <w:i w:val="0"/>
          <w:iCs w:val="0"/>
        </w:rPr>
        <w:t xml:space="preserve">   施工噪声源强一览表</w:t>
      </w:r>
    </w:p>
    <w:tbl>
      <w:tblPr>
        <w:tblStyle w:val="58"/>
        <w:tblW w:w="4999"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0" w:type="dxa"/>
          <w:bottom w:w="0" w:type="dxa"/>
          <w:right w:w="0" w:type="dxa"/>
        </w:tblCellMar>
      </w:tblPr>
      <w:tblGrid>
        <w:gridCol w:w="2721"/>
        <w:gridCol w:w="3476"/>
        <w:gridCol w:w="310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283" w:hRule="atLeast"/>
        </w:trPr>
        <w:tc>
          <w:tcPr>
            <w:tcW w:w="1463" w:type="pct"/>
            <w:tcBorders>
              <w:left w:val="nil"/>
            </w:tcBorders>
            <w:noWrap w:val="0"/>
            <w:vAlign w:val="center"/>
          </w:tcPr>
          <w:p>
            <w:pPr>
              <w:jc w:val="center"/>
              <w:rPr>
                <w:i w:val="0"/>
                <w:iCs w:val="0"/>
                <w:sz w:val="21"/>
                <w:szCs w:val="21"/>
              </w:rPr>
            </w:pPr>
            <w:r>
              <w:rPr>
                <w:i w:val="0"/>
                <w:iCs w:val="0"/>
                <w:sz w:val="21"/>
                <w:szCs w:val="21"/>
              </w:rPr>
              <w:t>施工阶段</w:t>
            </w:r>
          </w:p>
        </w:tc>
        <w:tc>
          <w:tcPr>
            <w:tcW w:w="1869" w:type="pct"/>
            <w:noWrap w:val="0"/>
            <w:vAlign w:val="center"/>
          </w:tcPr>
          <w:p>
            <w:pPr>
              <w:jc w:val="center"/>
              <w:rPr>
                <w:i w:val="0"/>
                <w:iCs w:val="0"/>
                <w:sz w:val="21"/>
                <w:szCs w:val="21"/>
              </w:rPr>
            </w:pPr>
            <w:r>
              <w:rPr>
                <w:i w:val="0"/>
                <w:iCs w:val="0"/>
                <w:sz w:val="21"/>
                <w:szCs w:val="21"/>
              </w:rPr>
              <w:t>主要设备</w:t>
            </w:r>
          </w:p>
        </w:tc>
        <w:tc>
          <w:tcPr>
            <w:tcW w:w="1667" w:type="pct"/>
            <w:tcBorders>
              <w:right w:val="nil"/>
            </w:tcBorders>
            <w:noWrap w:val="0"/>
            <w:vAlign w:val="center"/>
          </w:tcPr>
          <w:p>
            <w:pPr>
              <w:jc w:val="center"/>
              <w:rPr>
                <w:i w:val="0"/>
                <w:iCs w:val="0"/>
                <w:sz w:val="21"/>
                <w:szCs w:val="21"/>
              </w:rPr>
            </w:pPr>
            <w:r>
              <w:rPr>
                <w:i w:val="0"/>
                <w:iCs w:val="0"/>
                <w:sz w:val="21"/>
                <w:szCs w:val="21"/>
              </w:rPr>
              <w:t>声功率级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283" w:hRule="atLeast"/>
        </w:trPr>
        <w:tc>
          <w:tcPr>
            <w:tcW w:w="1463" w:type="pct"/>
            <w:tcBorders>
              <w:left w:val="nil"/>
            </w:tcBorders>
            <w:noWrap w:val="0"/>
            <w:vAlign w:val="center"/>
          </w:tcPr>
          <w:p>
            <w:pPr>
              <w:jc w:val="center"/>
              <w:rPr>
                <w:i w:val="0"/>
                <w:iCs w:val="0"/>
                <w:sz w:val="21"/>
                <w:szCs w:val="21"/>
              </w:rPr>
            </w:pPr>
            <w:r>
              <w:rPr>
                <w:i w:val="0"/>
                <w:iCs w:val="0"/>
                <w:sz w:val="21"/>
                <w:szCs w:val="21"/>
              </w:rPr>
              <w:t>土石方阶段</w:t>
            </w:r>
          </w:p>
        </w:tc>
        <w:tc>
          <w:tcPr>
            <w:tcW w:w="1869" w:type="pct"/>
            <w:noWrap w:val="0"/>
            <w:vAlign w:val="center"/>
          </w:tcPr>
          <w:p>
            <w:pPr>
              <w:jc w:val="center"/>
              <w:rPr>
                <w:i w:val="0"/>
                <w:iCs w:val="0"/>
                <w:sz w:val="21"/>
                <w:szCs w:val="21"/>
              </w:rPr>
            </w:pPr>
            <w:r>
              <w:rPr>
                <w:i w:val="0"/>
                <w:iCs w:val="0"/>
                <w:sz w:val="21"/>
                <w:szCs w:val="21"/>
              </w:rPr>
              <w:t>推土机、挖掘机等</w:t>
            </w:r>
          </w:p>
        </w:tc>
        <w:tc>
          <w:tcPr>
            <w:tcW w:w="1667" w:type="pct"/>
            <w:tcBorders>
              <w:right w:val="nil"/>
            </w:tcBorders>
            <w:noWrap w:val="0"/>
            <w:vAlign w:val="center"/>
          </w:tcPr>
          <w:p>
            <w:pPr>
              <w:jc w:val="center"/>
              <w:rPr>
                <w:i w:val="0"/>
                <w:iCs w:val="0"/>
                <w:sz w:val="21"/>
                <w:szCs w:val="21"/>
              </w:rPr>
            </w:pPr>
            <w:r>
              <w:rPr>
                <w:i w:val="0"/>
                <w:iCs w:val="0"/>
                <w:sz w:val="21"/>
                <w:szCs w:val="21"/>
              </w:rPr>
              <w:t>90～95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283" w:hRule="atLeast"/>
        </w:trPr>
        <w:tc>
          <w:tcPr>
            <w:tcW w:w="1463" w:type="pct"/>
            <w:tcBorders>
              <w:left w:val="nil"/>
            </w:tcBorders>
            <w:noWrap w:val="0"/>
            <w:vAlign w:val="center"/>
          </w:tcPr>
          <w:p>
            <w:pPr>
              <w:jc w:val="center"/>
              <w:rPr>
                <w:i w:val="0"/>
                <w:iCs w:val="0"/>
                <w:sz w:val="21"/>
                <w:szCs w:val="21"/>
              </w:rPr>
            </w:pPr>
            <w:r>
              <w:rPr>
                <w:i w:val="0"/>
                <w:iCs w:val="0"/>
                <w:sz w:val="21"/>
                <w:szCs w:val="21"/>
              </w:rPr>
              <w:t>基础阶段</w:t>
            </w:r>
          </w:p>
        </w:tc>
        <w:tc>
          <w:tcPr>
            <w:tcW w:w="1869" w:type="pct"/>
            <w:noWrap w:val="0"/>
            <w:vAlign w:val="center"/>
          </w:tcPr>
          <w:p>
            <w:pPr>
              <w:jc w:val="center"/>
              <w:rPr>
                <w:i w:val="0"/>
                <w:iCs w:val="0"/>
                <w:sz w:val="21"/>
                <w:szCs w:val="21"/>
              </w:rPr>
            </w:pPr>
            <w:r>
              <w:rPr>
                <w:i w:val="0"/>
                <w:iCs w:val="0"/>
                <w:sz w:val="21"/>
                <w:szCs w:val="21"/>
              </w:rPr>
              <w:t>各种吊车等</w:t>
            </w:r>
          </w:p>
        </w:tc>
        <w:tc>
          <w:tcPr>
            <w:tcW w:w="1667" w:type="pct"/>
            <w:tcBorders>
              <w:right w:val="nil"/>
            </w:tcBorders>
            <w:noWrap w:val="0"/>
            <w:vAlign w:val="center"/>
          </w:tcPr>
          <w:p>
            <w:pPr>
              <w:jc w:val="center"/>
              <w:rPr>
                <w:i w:val="0"/>
                <w:iCs w:val="0"/>
                <w:sz w:val="21"/>
                <w:szCs w:val="21"/>
              </w:rPr>
            </w:pPr>
            <w:r>
              <w:rPr>
                <w:i w:val="0"/>
                <w:iCs w:val="0"/>
                <w:sz w:val="21"/>
                <w:szCs w:val="21"/>
              </w:rPr>
              <w:t>82～90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283" w:hRule="atLeast"/>
        </w:trPr>
        <w:tc>
          <w:tcPr>
            <w:tcW w:w="1463" w:type="pct"/>
            <w:tcBorders>
              <w:left w:val="nil"/>
            </w:tcBorders>
            <w:noWrap w:val="0"/>
            <w:vAlign w:val="center"/>
          </w:tcPr>
          <w:p>
            <w:pPr>
              <w:jc w:val="center"/>
              <w:rPr>
                <w:i w:val="0"/>
                <w:iCs w:val="0"/>
                <w:sz w:val="21"/>
                <w:szCs w:val="21"/>
              </w:rPr>
            </w:pPr>
            <w:r>
              <w:rPr>
                <w:i w:val="0"/>
                <w:iCs w:val="0"/>
                <w:sz w:val="21"/>
                <w:szCs w:val="21"/>
              </w:rPr>
              <w:t>结构阶段</w:t>
            </w:r>
          </w:p>
        </w:tc>
        <w:tc>
          <w:tcPr>
            <w:tcW w:w="1869" w:type="pct"/>
            <w:noWrap w:val="0"/>
            <w:vAlign w:val="center"/>
          </w:tcPr>
          <w:p>
            <w:pPr>
              <w:jc w:val="center"/>
              <w:rPr>
                <w:i w:val="0"/>
                <w:iCs w:val="0"/>
                <w:sz w:val="21"/>
                <w:szCs w:val="21"/>
              </w:rPr>
            </w:pPr>
            <w:r>
              <w:rPr>
                <w:i w:val="0"/>
                <w:iCs w:val="0"/>
                <w:sz w:val="21"/>
                <w:szCs w:val="21"/>
              </w:rPr>
              <w:t>砼搅拌机、掘搅棒等</w:t>
            </w:r>
          </w:p>
        </w:tc>
        <w:tc>
          <w:tcPr>
            <w:tcW w:w="1667" w:type="pct"/>
            <w:tcBorders>
              <w:right w:val="nil"/>
            </w:tcBorders>
            <w:noWrap w:val="0"/>
            <w:vAlign w:val="center"/>
          </w:tcPr>
          <w:p>
            <w:pPr>
              <w:jc w:val="center"/>
              <w:rPr>
                <w:i w:val="0"/>
                <w:iCs w:val="0"/>
                <w:sz w:val="21"/>
                <w:szCs w:val="21"/>
              </w:rPr>
            </w:pPr>
            <w:r>
              <w:rPr>
                <w:i w:val="0"/>
                <w:iCs w:val="0"/>
                <w:sz w:val="21"/>
                <w:szCs w:val="21"/>
              </w:rPr>
              <w:t>85～90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283" w:hRule="atLeast"/>
        </w:trPr>
        <w:tc>
          <w:tcPr>
            <w:tcW w:w="1463" w:type="pct"/>
            <w:tcBorders>
              <w:left w:val="nil"/>
            </w:tcBorders>
            <w:noWrap w:val="0"/>
            <w:vAlign w:val="center"/>
          </w:tcPr>
          <w:p>
            <w:pPr>
              <w:jc w:val="center"/>
              <w:rPr>
                <w:i w:val="0"/>
                <w:iCs w:val="0"/>
                <w:sz w:val="21"/>
                <w:szCs w:val="21"/>
              </w:rPr>
            </w:pPr>
            <w:r>
              <w:rPr>
                <w:i w:val="0"/>
                <w:iCs w:val="0"/>
                <w:sz w:val="21"/>
                <w:szCs w:val="21"/>
              </w:rPr>
              <w:t>装修阶段</w:t>
            </w:r>
          </w:p>
        </w:tc>
        <w:tc>
          <w:tcPr>
            <w:tcW w:w="1869" w:type="pct"/>
            <w:noWrap w:val="0"/>
            <w:vAlign w:val="center"/>
          </w:tcPr>
          <w:p>
            <w:pPr>
              <w:jc w:val="center"/>
              <w:rPr>
                <w:i w:val="0"/>
                <w:iCs w:val="0"/>
                <w:sz w:val="21"/>
                <w:szCs w:val="21"/>
              </w:rPr>
            </w:pPr>
            <w:r>
              <w:rPr>
                <w:i w:val="0"/>
                <w:iCs w:val="0"/>
                <w:sz w:val="21"/>
                <w:szCs w:val="21"/>
              </w:rPr>
              <w:t>电钻、切割机等</w:t>
            </w:r>
          </w:p>
        </w:tc>
        <w:tc>
          <w:tcPr>
            <w:tcW w:w="1667" w:type="pct"/>
            <w:tcBorders>
              <w:right w:val="nil"/>
            </w:tcBorders>
            <w:noWrap w:val="0"/>
            <w:vAlign w:val="center"/>
          </w:tcPr>
          <w:p>
            <w:pPr>
              <w:jc w:val="center"/>
              <w:rPr>
                <w:i w:val="0"/>
                <w:iCs w:val="0"/>
                <w:sz w:val="21"/>
                <w:szCs w:val="21"/>
              </w:rPr>
            </w:pPr>
            <w:r>
              <w:rPr>
                <w:i w:val="0"/>
                <w:iCs w:val="0"/>
                <w:sz w:val="21"/>
                <w:szCs w:val="21"/>
              </w:rPr>
              <w:t>85～90</w:t>
            </w:r>
          </w:p>
        </w:tc>
      </w:tr>
    </w:tbl>
    <w:p>
      <w:pPr>
        <w:widowControl/>
        <w:adjustRightInd w:val="0"/>
        <w:snapToGrid w:val="0"/>
        <w:spacing w:line="360" w:lineRule="auto"/>
        <w:ind w:firstLine="480" w:firstLineChars="200"/>
        <w:rPr>
          <w:i w:val="0"/>
          <w:iCs w:val="0"/>
          <w:kern w:val="0"/>
        </w:rPr>
      </w:pPr>
      <w:r>
        <w:rPr>
          <w:i w:val="0"/>
          <w:iCs w:val="0"/>
          <w:kern w:val="0"/>
        </w:rPr>
        <w:t>根据同类施工阶段的类比调查</w:t>
      </w:r>
      <w:r>
        <w:rPr>
          <w:rFonts w:hint="eastAsia"/>
          <w:i w:val="0"/>
          <w:iCs w:val="0"/>
          <w:kern w:val="0"/>
        </w:rPr>
        <w:t>，</w:t>
      </w:r>
      <w:r>
        <w:rPr>
          <w:i w:val="0"/>
          <w:iCs w:val="0"/>
          <w:kern w:val="0"/>
        </w:rPr>
        <w:t>一般施工机械的声功率级在95dB 以上。施工噪声评价标准分别执行《建筑施工场界环境噪声排放标准》GB12523</w:t>
      </w:r>
      <w:r>
        <w:rPr>
          <w:rFonts w:hint="eastAsia"/>
          <w:i w:val="0"/>
          <w:iCs w:val="0"/>
          <w:kern w:val="0"/>
        </w:rPr>
        <w:t>-</w:t>
      </w:r>
      <w:r>
        <w:rPr>
          <w:i w:val="0"/>
          <w:iCs w:val="0"/>
          <w:kern w:val="0"/>
        </w:rPr>
        <w:t>2011。一般施工作业噪声达标距离昼间约为100米</w:t>
      </w:r>
      <w:r>
        <w:rPr>
          <w:rFonts w:hint="eastAsia"/>
          <w:i w:val="0"/>
          <w:iCs w:val="0"/>
          <w:kern w:val="0"/>
        </w:rPr>
        <w:t>，100米范围内</w:t>
      </w:r>
      <w:r>
        <w:rPr>
          <w:rFonts w:hint="eastAsia"/>
          <w:i w:val="0"/>
          <w:iCs w:val="0"/>
          <w:kern w:val="0"/>
          <w:lang w:eastAsia="zh-CN"/>
        </w:rPr>
        <w:t>有</w:t>
      </w:r>
      <w:r>
        <w:rPr>
          <w:rFonts w:hint="eastAsia"/>
          <w:i w:val="0"/>
          <w:iCs w:val="0"/>
          <w:kern w:val="0"/>
        </w:rPr>
        <w:t>敏感点，</w:t>
      </w:r>
      <w:r>
        <w:rPr>
          <w:rFonts w:hint="eastAsia"/>
          <w:i w:val="0"/>
          <w:iCs w:val="0"/>
          <w:kern w:val="0"/>
          <w:lang w:eastAsia="zh-CN"/>
        </w:rPr>
        <w:t>应避免夜间施工</w:t>
      </w:r>
      <w:r>
        <w:rPr>
          <w:i w:val="0"/>
          <w:iCs w:val="0"/>
          <w:kern w:val="0"/>
        </w:rPr>
        <w:t>。</w:t>
      </w:r>
    </w:p>
    <w:p>
      <w:pPr>
        <w:pStyle w:val="262"/>
        <w:ind w:firstLine="480"/>
        <w:rPr>
          <w:i w:val="0"/>
          <w:iCs w:val="0"/>
        </w:rPr>
      </w:pPr>
      <w:r>
        <w:rPr>
          <w:i w:val="0"/>
          <w:iCs w:val="0"/>
        </w:rPr>
        <w:t>根据工程特点，本工程在施工期最有效的噪声防治对策是合理安排施工计划并从声源上、噪声传播途径上降低噪声。</w:t>
      </w:r>
    </w:p>
    <w:p>
      <w:pPr>
        <w:pStyle w:val="262"/>
        <w:ind w:firstLine="480"/>
        <w:rPr>
          <w:i w:val="0"/>
          <w:iCs w:val="0"/>
        </w:rPr>
      </w:pPr>
      <w:r>
        <w:rPr>
          <w:i w:val="0"/>
          <w:iCs w:val="0"/>
        </w:rPr>
        <w:t>（1）合理安排施工时间</w:t>
      </w:r>
    </w:p>
    <w:p>
      <w:pPr>
        <w:pStyle w:val="262"/>
        <w:ind w:firstLine="480"/>
        <w:rPr>
          <w:i w:val="0"/>
          <w:iCs w:val="0"/>
        </w:rPr>
      </w:pPr>
      <w:r>
        <w:rPr>
          <w:i w:val="0"/>
          <w:iCs w:val="0"/>
        </w:rPr>
        <w:t>（2）合理布局施工现场，以避免局部声级过高。</w:t>
      </w:r>
    </w:p>
    <w:p>
      <w:pPr>
        <w:pStyle w:val="262"/>
        <w:ind w:firstLine="480"/>
        <w:rPr>
          <w:i w:val="0"/>
          <w:iCs w:val="0"/>
        </w:rPr>
      </w:pPr>
      <w:r>
        <w:rPr>
          <w:i w:val="0"/>
          <w:iCs w:val="0"/>
        </w:rPr>
        <w:t>（3）降低人为噪音按规定操作机械设备，模板、支架拆卸过程中，遵守作业规定，减少碰撞噪音。同时要尽量少用哨子、钟、笛等指挥作业，而代以现代化设备。</w:t>
      </w:r>
    </w:p>
    <w:p>
      <w:pPr>
        <w:pStyle w:val="262"/>
        <w:ind w:firstLine="480"/>
        <w:rPr>
          <w:i w:val="0"/>
          <w:iCs w:val="0"/>
        </w:rPr>
      </w:pPr>
      <w:r>
        <w:rPr>
          <w:i w:val="0"/>
          <w:iCs w:val="0"/>
        </w:rPr>
        <w:t>（4）建立临时声障，对施工场地噪声除采取上述降噪措施外，还应与周围单位、居民建立良好关系，对受施工干扰的单位和居民应在作业前予以通知，并随时向他们汇报施工进度及施工中对降低噪音采取的措施，求得大家的共同理解。对受施工影响较大的居民或单位，如建设地周围迤资村等应引起重视。此外，施工期间应设热线投诉电话，接受噪音扰民投诉，并对投诉情况进行积极治理或更严格地限制作业时间。</w:t>
      </w:r>
    </w:p>
    <w:p>
      <w:pPr>
        <w:widowControl/>
        <w:adjustRightInd w:val="0"/>
        <w:snapToGrid w:val="0"/>
        <w:spacing w:line="360" w:lineRule="auto"/>
        <w:ind w:firstLine="480" w:firstLineChars="200"/>
        <w:rPr>
          <w:i w:val="0"/>
          <w:iCs w:val="0"/>
          <w:kern w:val="0"/>
        </w:rPr>
      </w:pPr>
      <w:r>
        <w:rPr>
          <w:i w:val="0"/>
          <w:iCs w:val="0"/>
          <w:kern w:val="0"/>
        </w:rPr>
        <w:t>4、施工期固体废物污染分析</w:t>
      </w:r>
    </w:p>
    <w:p>
      <w:pPr>
        <w:widowControl/>
        <w:adjustRightInd w:val="0"/>
        <w:snapToGrid w:val="0"/>
        <w:spacing w:line="360" w:lineRule="auto"/>
        <w:ind w:firstLine="480" w:firstLineChars="200"/>
        <w:rPr>
          <w:i w:val="0"/>
          <w:iCs w:val="0"/>
          <w:kern w:val="0"/>
        </w:rPr>
      </w:pPr>
      <w:r>
        <w:rPr>
          <w:i w:val="0"/>
          <w:iCs w:val="0"/>
          <w:kern w:val="0"/>
        </w:rPr>
        <w:t>本项目施工期产生的固体废物主要是施工建筑垃圾及施工人员生活垃圾。施工建筑垃圾产生量约为15t/a，全部外运至建筑垃圾填埋场；施工人员生活垃圾产生量约为7.5t/a，全部定期运至当地生活垃圾填埋场。</w:t>
      </w:r>
    </w:p>
    <w:p>
      <w:pPr>
        <w:widowControl/>
        <w:adjustRightInd w:val="0"/>
        <w:snapToGrid w:val="0"/>
        <w:spacing w:line="360" w:lineRule="auto"/>
        <w:ind w:firstLine="480" w:firstLineChars="200"/>
        <w:rPr>
          <w:rFonts w:hint="eastAsia"/>
          <w:i w:val="0"/>
          <w:iCs w:val="0"/>
          <w:kern w:val="0"/>
        </w:rPr>
      </w:pPr>
      <w:r>
        <w:rPr>
          <w:i w:val="0"/>
          <w:iCs w:val="0"/>
          <w:kern w:val="0"/>
        </w:rPr>
        <w:t>5、</w:t>
      </w:r>
      <w:r>
        <w:rPr>
          <w:rFonts w:hint="eastAsia"/>
          <w:i w:val="0"/>
          <w:iCs w:val="0"/>
          <w:kern w:val="0"/>
        </w:rPr>
        <w:t>施工期生态保护与水土流失环境影响分析</w:t>
      </w:r>
    </w:p>
    <w:p>
      <w:pPr>
        <w:widowControl/>
        <w:adjustRightInd w:val="0"/>
        <w:snapToGrid w:val="0"/>
        <w:spacing w:line="360" w:lineRule="auto"/>
        <w:ind w:firstLine="480" w:firstLineChars="200"/>
        <w:rPr>
          <w:rFonts w:hint="eastAsia"/>
          <w:i w:val="0"/>
          <w:iCs w:val="0"/>
          <w:kern w:val="0"/>
        </w:rPr>
      </w:pPr>
      <w:r>
        <w:rPr>
          <w:rFonts w:hint="eastAsia"/>
          <w:i w:val="0"/>
          <w:iCs w:val="0"/>
          <w:kern w:val="0"/>
        </w:rPr>
        <w:t>施工场地位于江源工业经济开发区长白山特色食药科技产业园区，企业获得土地使用权时，该土地性质为工业用地，因此施工的生态影响甚微。据调查，项目选址区域内野生植被较少，野生珍惜动植物更是少见，工程施工过程中将进行土石方的填挖，不仅需要动用土石方，而且有大量的施工机械及人员活动。如果不在施工期间内采取相应生态保护措施，容易造成土壤的侵蚀及水土流失。</w:t>
      </w:r>
    </w:p>
    <w:p>
      <w:pPr>
        <w:widowControl/>
        <w:adjustRightInd w:val="0"/>
        <w:snapToGrid w:val="0"/>
        <w:spacing w:line="360" w:lineRule="auto"/>
        <w:ind w:firstLine="480" w:firstLineChars="200"/>
        <w:rPr>
          <w:rFonts w:hint="eastAsia"/>
          <w:i w:val="0"/>
          <w:iCs w:val="0"/>
          <w:kern w:val="0"/>
        </w:rPr>
      </w:pPr>
      <w:r>
        <w:rPr>
          <w:rFonts w:hint="eastAsia"/>
          <w:i w:val="0"/>
          <w:iCs w:val="0"/>
          <w:kern w:val="0"/>
        </w:rPr>
        <w:t>本项目总占地面积约为45936m</w:t>
      </w:r>
      <w:r>
        <w:rPr>
          <w:rFonts w:hint="eastAsia"/>
          <w:i w:val="0"/>
          <w:iCs w:val="0"/>
          <w:kern w:val="0"/>
          <w:vertAlign w:val="superscript"/>
        </w:rPr>
        <w:t>2</w:t>
      </w:r>
      <w:r>
        <w:rPr>
          <w:rFonts w:hint="eastAsia"/>
          <w:i w:val="0"/>
          <w:iCs w:val="0"/>
          <w:kern w:val="0"/>
        </w:rPr>
        <w:t>，施工期水土流失预测情况如下：</w:t>
      </w:r>
    </w:p>
    <w:p>
      <w:pPr>
        <w:widowControl/>
        <w:adjustRightInd w:val="0"/>
        <w:snapToGrid w:val="0"/>
        <w:spacing w:line="360" w:lineRule="auto"/>
        <w:ind w:firstLine="480" w:firstLineChars="200"/>
        <w:rPr>
          <w:rFonts w:hint="eastAsia"/>
          <w:i w:val="0"/>
          <w:iCs w:val="0"/>
          <w:kern w:val="0"/>
        </w:rPr>
      </w:pPr>
      <w:r>
        <w:rPr>
          <w:rFonts w:hint="eastAsia"/>
          <w:i w:val="0"/>
          <w:iCs w:val="0"/>
          <w:kern w:val="0"/>
        </w:rPr>
        <w:t>（1）预测时段的划分</w:t>
      </w:r>
    </w:p>
    <w:p>
      <w:pPr>
        <w:widowControl/>
        <w:adjustRightInd w:val="0"/>
        <w:snapToGrid w:val="0"/>
        <w:spacing w:line="360" w:lineRule="auto"/>
        <w:ind w:firstLine="480" w:firstLineChars="200"/>
        <w:rPr>
          <w:rFonts w:hint="eastAsia"/>
          <w:i w:val="0"/>
          <w:iCs w:val="0"/>
          <w:kern w:val="0"/>
        </w:rPr>
      </w:pPr>
      <w:r>
        <w:rPr>
          <w:rFonts w:hint="eastAsia"/>
          <w:i w:val="0"/>
          <w:iCs w:val="0"/>
          <w:kern w:val="0"/>
        </w:rPr>
        <w:t>根据本项目建设特点、施工方法及工期，在建设期内由于施工以及临时工程占地将扰动土壤，引起水土流失，而工程运行期已经对上述责任区采取了水土保护措施，不再涉及水土流失</w:t>
      </w:r>
    </w:p>
    <w:p>
      <w:pPr>
        <w:widowControl/>
        <w:adjustRightInd w:val="0"/>
        <w:snapToGrid w:val="0"/>
        <w:spacing w:line="360" w:lineRule="auto"/>
        <w:ind w:firstLine="480" w:firstLineChars="200"/>
        <w:rPr>
          <w:rFonts w:hint="eastAsia"/>
          <w:i w:val="0"/>
          <w:iCs w:val="0"/>
          <w:kern w:val="0"/>
        </w:rPr>
      </w:pPr>
      <w:r>
        <w:rPr>
          <w:rFonts w:hint="eastAsia"/>
          <w:i w:val="0"/>
          <w:iCs w:val="0"/>
          <w:kern w:val="0"/>
        </w:rPr>
        <w:t>问题，因此确定工程水土流失预测时段为工程施工期，施工期为1年。</w:t>
      </w:r>
    </w:p>
    <w:p>
      <w:pPr>
        <w:widowControl/>
        <w:adjustRightInd w:val="0"/>
        <w:snapToGrid w:val="0"/>
        <w:spacing w:line="360" w:lineRule="auto"/>
        <w:ind w:firstLine="480" w:firstLineChars="200"/>
        <w:rPr>
          <w:rFonts w:hint="eastAsia"/>
          <w:i w:val="0"/>
          <w:iCs w:val="0"/>
          <w:kern w:val="0"/>
        </w:rPr>
      </w:pPr>
      <w:r>
        <w:rPr>
          <w:rFonts w:hint="eastAsia"/>
          <w:i w:val="0"/>
          <w:iCs w:val="0"/>
          <w:kern w:val="0"/>
        </w:rPr>
        <w:t>2、预测方法</w:t>
      </w:r>
    </w:p>
    <w:p>
      <w:pPr>
        <w:widowControl/>
        <w:adjustRightInd w:val="0"/>
        <w:snapToGrid w:val="0"/>
        <w:spacing w:line="360" w:lineRule="auto"/>
        <w:ind w:firstLine="480" w:firstLineChars="200"/>
        <w:rPr>
          <w:rFonts w:hint="eastAsia"/>
          <w:i w:val="0"/>
          <w:iCs w:val="0"/>
          <w:kern w:val="0"/>
        </w:rPr>
      </w:pPr>
      <w:r>
        <w:rPr>
          <w:rFonts w:hint="eastAsia"/>
          <w:i w:val="0"/>
          <w:iCs w:val="0"/>
          <w:kern w:val="0"/>
        </w:rPr>
        <w:t>根据项目区域土壤侵蚀的背景资料和工程建设特点，水土流失预测将采用专家预测和经验公式法，确定原土地利用条件下的水土流失背景值；另一方面要通过相关的调查、分析，确定施工期和营运期再塑地貌的土壤侵蚀，按照计算公式如下：</w:t>
      </w:r>
    </w:p>
    <w:p>
      <w:pPr>
        <w:widowControl/>
        <w:adjustRightInd w:val="0"/>
        <w:snapToGrid w:val="0"/>
        <w:spacing w:line="360" w:lineRule="auto"/>
        <w:ind w:firstLine="480" w:firstLineChars="200"/>
        <w:rPr>
          <w:rFonts w:hint="eastAsia"/>
          <w:i w:val="0"/>
          <w:iCs w:val="0"/>
          <w:kern w:val="0"/>
        </w:rPr>
      </w:pPr>
      <w:r>
        <w:rPr>
          <w:rFonts w:hint="eastAsia"/>
          <w:i w:val="0"/>
          <w:iCs w:val="0"/>
          <w:kern w:val="0"/>
        </w:rPr>
        <w:t>W=F×A×P×T</w:t>
      </w:r>
    </w:p>
    <w:p>
      <w:pPr>
        <w:widowControl/>
        <w:adjustRightInd w:val="0"/>
        <w:snapToGrid w:val="0"/>
        <w:spacing w:line="360" w:lineRule="auto"/>
        <w:ind w:firstLine="480" w:firstLineChars="200"/>
        <w:rPr>
          <w:rFonts w:hint="eastAsia"/>
          <w:i w:val="0"/>
          <w:iCs w:val="0"/>
          <w:kern w:val="0"/>
        </w:rPr>
      </w:pPr>
      <w:r>
        <w:rPr>
          <w:rFonts w:hint="eastAsia"/>
          <w:i w:val="0"/>
          <w:iCs w:val="0"/>
          <w:kern w:val="0"/>
        </w:rPr>
        <w:t>式中：W—某一施工区水土流失量（t）；</w:t>
      </w:r>
    </w:p>
    <w:p>
      <w:pPr>
        <w:widowControl/>
        <w:adjustRightInd w:val="0"/>
        <w:snapToGrid w:val="0"/>
        <w:spacing w:line="360" w:lineRule="auto"/>
        <w:ind w:firstLine="480" w:firstLineChars="200"/>
        <w:rPr>
          <w:rFonts w:hint="eastAsia"/>
          <w:i w:val="0"/>
          <w:iCs w:val="0"/>
          <w:kern w:val="0"/>
        </w:rPr>
      </w:pPr>
      <w:r>
        <w:rPr>
          <w:rFonts w:hint="eastAsia"/>
          <w:i w:val="0"/>
          <w:iCs w:val="0"/>
          <w:kern w:val="0"/>
        </w:rPr>
        <w:t>F—加速侵蚀面积（km</w:t>
      </w:r>
      <w:r>
        <w:rPr>
          <w:rFonts w:hint="eastAsia"/>
          <w:i w:val="0"/>
          <w:iCs w:val="0"/>
          <w:kern w:val="0"/>
          <w:vertAlign w:val="superscript"/>
        </w:rPr>
        <w:t>2</w:t>
      </w:r>
      <w:r>
        <w:rPr>
          <w:rFonts w:hint="eastAsia"/>
          <w:i w:val="0"/>
          <w:iCs w:val="0"/>
          <w:kern w:val="0"/>
        </w:rPr>
        <w:t>）；</w:t>
      </w:r>
    </w:p>
    <w:p>
      <w:pPr>
        <w:widowControl/>
        <w:adjustRightInd w:val="0"/>
        <w:snapToGrid w:val="0"/>
        <w:spacing w:line="360" w:lineRule="auto"/>
        <w:ind w:firstLine="480" w:firstLineChars="200"/>
        <w:rPr>
          <w:rFonts w:hint="eastAsia"/>
          <w:i w:val="0"/>
          <w:iCs w:val="0"/>
          <w:kern w:val="0"/>
        </w:rPr>
      </w:pPr>
      <w:r>
        <w:rPr>
          <w:rFonts w:hint="eastAsia"/>
          <w:i w:val="0"/>
          <w:iCs w:val="0"/>
          <w:kern w:val="0"/>
        </w:rPr>
        <w:t>A—加速侵蚀系数，本工程 A 值取 1.65；</w:t>
      </w:r>
    </w:p>
    <w:p>
      <w:pPr>
        <w:widowControl/>
        <w:adjustRightInd w:val="0"/>
        <w:snapToGrid w:val="0"/>
        <w:spacing w:line="360" w:lineRule="auto"/>
        <w:ind w:firstLine="480" w:firstLineChars="200"/>
        <w:rPr>
          <w:rFonts w:hint="eastAsia"/>
          <w:i w:val="0"/>
          <w:iCs w:val="0"/>
          <w:kern w:val="0"/>
        </w:rPr>
      </w:pPr>
      <w:r>
        <w:rPr>
          <w:rFonts w:hint="eastAsia"/>
          <w:i w:val="0"/>
          <w:iCs w:val="0"/>
          <w:kern w:val="0"/>
        </w:rPr>
        <w:t>P—原生地貌土壤侵蚀模数（t/km</w:t>
      </w:r>
      <w:r>
        <w:rPr>
          <w:rFonts w:hint="eastAsia"/>
          <w:i w:val="0"/>
          <w:iCs w:val="0"/>
          <w:kern w:val="0"/>
          <w:vertAlign w:val="superscript"/>
        </w:rPr>
        <w:t>2</w:t>
      </w:r>
      <w:r>
        <w:rPr>
          <w:rFonts w:hint="eastAsia"/>
          <w:i w:val="0"/>
          <w:iCs w:val="0"/>
          <w:kern w:val="0"/>
        </w:rPr>
        <w:t>·a），为 1000t/km</w:t>
      </w:r>
      <w:r>
        <w:rPr>
          <w:rFonts w:hint="eastAsia"/>
          <w:i w:val="0"/>
          <w:iCs w:val="0"/>
          <w:kern w:val="0"/>
          <w:vertAlign w:val="superscript"/>
        </w:rPr>
        <w:t>2</w:t>
      </w:r>
      <w:r>
        <w:rPr>
          <w:rFonts w:hint="eastAsia"/>
          <w:i w:val="0"/>
          <w:iCs w:val="0"/>
          <w:kern w:val="0"/>
        </w:rPr>
        <w:t>·a。</w:t>
      </w:r>
    </w:p>
    <w:p>
      <w:pPr>
        <w:widowControl/>
        <w:adjustRightInd w:val="0"/>
        <w:snapToGrid w:val="0"/>
        <w:spacing w:line="360" w:lineRule="auto"/>
        <w:ind w:firstLine="480" w:firstLineChars="200"/>
        <w:rPr>
          <w:rFonts w:hint="eastAsia"/>
          <w:i w:val="0"/>
          <w:iCs w:val="0"/>
          <w:kern w:val="0"/>
        </w:rPr>
      </w:pPr>
      <w:r>
        <w:rPr>
          <w:rFonts w:hint="eastAsia"/>
          <w:i w:val="0"/>
          <w:iCs w:val="0"/>
          <w:kern w:val="0"/>
        </w:rPr>
        <w:t>T—侵蚀时间（a）。</w:t>
      </w:r>
    </w:p>
    <w:p>
      <w:pPr>
        <w:widowControl/>
        <w:adjustRightInd w:val="0"/>
        <w:snapToGrid w:val="0"/>
        <w:spacing w:line="360" w:lineRule="auto"/>
        <w:ind w:firstLine="480" w:firstLineChars="200"/>
        <w:rPr>
          <w:rFonts w:hint="eastAsia"/>
          <w:i w:val="0"/>
          <w:iCs w:val="0"/>
          <w:kern w:val="0"/>
        </w:rPr>
      </w:pPr>
      <w:r>
        <w:rPr>
          <w:rFonts w:hint="eastAsia"/>
          <w:i w:val="0"/>
          <w:iCs w:val="0"/>
          <w:kern w:val="0"/>
        </w:rPr>
        <w:t>③预测结果及其分析</w:t>
      </w:r>
    </w:p>
    <w:p>
      <w:pPr>
        <w:widowControl/>
        <w:adjustRightInd w:val="0"/>
        <w:snapToGrid w:val="0"/>
        <w:spacing w:line="360" w:lineRule="auto"/>
        <w:ind w:firstLine="480" w:firstLineChars="200"/>
        <w:rPr>
          <w:rFonts w:hint="default" w:eastAsia="宋体"/>
          <w:i w:val="0"/>
          <w:iCs w:val="0"/>
          <w:kern w:val="0"/>
          <w:lang w:val="en-US" w:eastAsia="zh-CN"/>
        </w:rPr>
      </w:pPr>
      <w:r>
        <w:rPr>
          <w:rFonts w:hint="eastAsia"/>
          <w:i w:val="0"/>
          <w:iCs w:val="0"/>
          <w:kern w:val="0"/>
        </w:rPr>
        <w:t>根据公式及施工占地情况，计算出本工程施工区水土流失背景值，详见表3-</w:t>
      </w:r>
      <w:r>
        <w:rPr>
          <w:rFonts w:hint="eastAsia"/>
          <w:i w:val="0"/>
          <w:iCs w:val="0"/>
          <w:kern w:val="0"/>
          <w:lang w:val="en-US" w:eastAsia="zh-CN"/>
        </w:rPr>
        <w:t>23。</w:t>
      </w:r>
    </w:p>
    <w:p>
      <w:pPr>
        <w:widowControl/>
        <w:adjustRightInd w:val="0"/>
        <w:snapToGrid w:val="0"/>
        <w:jc w:val="center"/>
        <w:rPr>
          <w:rFonts w:hint="eastAsia"/>
          <w:b/>
          <w:i w:val="0"/>
          <w:iCs w:val="0"/>
        </w:rPr>
      </w:pPr>
      <w:r>
        <w:rPr>
          <w:rFonts w:hint="eastAsia"/>
          <w:b/>
          <w:i w:val="0"/>
          <w:iCs w:val="0"/>
        </w:rPr>
        <w:t>表3-</w:t>
      </w:r>
      <w:r>
        <w:rPr>
          <w:rFonts w:hint="eastAsia"/>
          <w:b/>
          <w:i w:val="0"/>
          <w:iCs w:val="0"/>
          <w:lang w:val="en-US" w:eastAsia="zh-CN"/>
        </w:rPr>
        <w:t>23</w:t>
      </w:r>
      <w:r>
        <w:rPr>
          <w:rFonts w:hint="eastAsia"/>
          <w:b/>
          <w:i w:val="0"/>
          <w:iCs w:val="0"/>
        </w:rPr>
        <w:t xml:space="preserve"> 本工程施工区水土流失背景值</w:t>
      </w:r>
    </w:p>
    <w:tbl>
      <w:tblPr>
        <w:tblStyle w:val="5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03"/>
        <w:gridCol w:w="1903"/>
        <w:gridCol w:w="1903"/>
        <w:gridCol w:w="1755"/>
        <w:gridCol w:w="20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noWrap w:val="0"/>
            <w:vAlign w:val="center"/>
          </w:tcPr>
          <w:p>
            <w:pPr>
              <w:jc w:val="center"/>
              <w:rPr>
                <w:rFonts w:hint="eastAsia"/>
                <w:i w:val="0"/>
                <w:iCs w:val="0"/>
                <w:sz w:val="21"/>
                <w:szCs w:val="21"/>
              </w:rPr>
            </w:pPr>
            <w:r>
              <w:rPr>
                <w:rFonts w:hint="eastAsia"/>
                <w:i w:val="0"/>
                <w:iCs w:val="0"/>
                <w:sz w:val="21"/>
                <w:szCs w:val="21"/>
              </w:rPr>
              <w:t>施工用地类型</w:t>
            </w:r>
          </w:p>
        </w:tc>
        <w:tc>
          <w:tcPr>
            <w:tcW w:w="1000" w:type="pct"/>
            <w:noWrap w:val="0"/>
            <w:vAlign w:val="center"/>
          </w:tcPr>
          <w:p>
            <w:pPr>
              <w:jc w:val="center"/>
              <w:rPr>
                <w:rFonts w:hint="eastAsia"/>
                <w:i w:val="0"/>
                <w:iCs w:val="0"/>
                <w:sz w:val="21"/>
                <w:szCs w:val="21"/>
              </w:rPr>
            </w:pPr>
            <w:r>
              <w:rPr>
                <w:rFonts w:hint="eastAsia"/>
                <w:i w:val="0"/>
                <w:iCs w:val="0"/>
                <w:sz w:val="21"/>
                <w:szCs w:val="21"/>
              </w:rPr>
              <w:t>占地</w:t>
            </w:r>
            <w:r>
              <w:rPr>
                <w:i w:val="0"/>
                <w:iCs w:val="0"/>
                <w:sz w:val="21"/>
                <w:szCs w:val="21"/>
              </w:rPr>
              <w:t>面积（</w:t>
            </w:r>
            <w:r>
              <w:rPr>
                <w:rFonts w:hint="eastAsia"/>
                <w:i w:val="0"/>
                <w:iCs w:val="0"/>
                <w:sz w:val="21"/>
                <w:szCs w:val="21"/>
              </w:rPr>
              <w:t>k</w:t>
            </w:r>
            <w:r>
              <w:rPr>
                <w:i w:val="0"/>
                <w:iCs w:val="0"/>
                <w:sz w:val="21"/>
                <w:szCs w:val="21"/>
              </w:rPr>
              <w:t>m</w:t>
            </w:r>
            <w:r>
              <w:rPr>
                <w:i w:val="0"/>
                <w:iCs w:val="0"/>
                <w:sz w:val="21"/>
                <w:szCs w:val="21"/>
                <w:vertAlign w:val="superscript"/>
              </w:rPr>
              <w:t>2</w:t>
            </w:r>
            <w:r>
              <w:rPr>
                <w:i w:val="0"/>
                <w:iCs w:val="0"/>
                <w:sz w:val="21"/>
                <w:szCs w:val="21"/>
              </w:rPr>
              <w:t>）</w:t>
            </w:r>
          </w:p>
        </w:tc>
        <w:tc>
          <w:tcPr>
            <w:tcW w:w="1000" w:type="pct"/>
            <w:noWrap w:val="0"/>
            <w:vAlign w:val="center"/>
          </w:tcPr>
          <w:p>
            <w:pPr>
              <w:jc w:val="center"/>
              <w:rPr>
                <w:rFonts w:hint="eastAsia"/>
                <w:i w:val="0"/>
                <w:iCs w:val="0"/>
                <w:sz w:val="21"/>
                <w:szCs w:val="21"/>
              </w:rPr>
            </w:pPr>
            <w:r>
              <w:rPr>
                <w:i w:val="0"/>
                <w:iCs w:val="0"/>
                <w:sz w:val="21"/>
                <w:szCs w:val="21"/>
              </w:rPr>
              <w:t>侵蚀模数(t/km</w:t>
            </w:r>
            <w:r>
              <w:rPr>
                <w:i w:val="0"/>
                <w:iCs w:val="0"/>
                <w:sz w:val="21"/>
                <w:szCs w:val="21"/>
                <w:vertAlign w:val="superscript"/>
              </w:rPr>
              <w:t>2</w:t>
            </w:r>
            <w:r>
              <w:rPr>
                <w:i w:val="0"/>
                <w:iCs w:val="0"/>
                <w:sz w:val="21"/>
                <w:szCs w:val="21"/>
              </w:rPr>
              <w:t>·a)</w:t>
            </w:r>
          </w:p>
        </w:tc>
        <w:tc>
          <w:tcPr>
            <w:tcW w:w="922" w:type="pct"/>
            <w:noWrap w:val="0"/>
            <w:vAlign w:val="center"/>
          </w:tcPr>
          <w:p>
            <w:pPr>
              <w:jc w:val="center"/>
              <w:rPr>
                <w:rFonts w:hint="eastAsia"/>
                <w:i w:val="0"/>
                <w:iCs w:val="0"/>
                <w:sz w:val="21"/>
                <w:szCs w:val="21"/>
              </w:rPr>
            </w:pPr>
            <w:r>
              <w:rPr>
                <w:rFonts w:hint="eastAsia"/>
                <w:i w:val="0"/>
                <w:iCs w:val="0"/>
                <w:sz w:val="21"/>
                <w:szCs w:val="21"/>
              </w:rPr>
              <w:t>预测年限（a）</w:t>
            </w:r>
          </w:p>
        </w:tc>
        <w:tc>
          <w:tcPr>
            <w:tcW w:w="1077" w:type="pct"/>
            <w:noWrap w:val="0"/>
            <w:vAlign w:val="center"/>
          </w:tcPr>
          <w:p>
            <w:pPr>
              <w:jc w:val="center"/>
              <w:rPr>
                <w:rFonts w:hint="eastAsia"/>
                <w:i w:val="0"/>
                <w:iCs w:val="0"/>
                <w:sz w:val="21"/>
                <w:szCs w:val="21"/>
              </w:rPr>
            </w:pPr>
            <w:r>
              <w:rPr>
                <w:rFonts w:hint="eastAsia"/>
                <w:i w:val="0"/>
                <w:iCs w:val="0"/>
                <w:sz w:val="21"/>
                <w:szCs w:val="21"/>
              </w:rPr>
              <w:t>水土流失背景值（t）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noWrap w:val="0"/>
            <w:vAlign w:val="center"/>
          </w:tcPr>
          <w:p>
            <w:pPr>
              <w:jc w:val="center"/>
              <w:rPr>
                <w:rFonts w:hint="eastAsia"/>
                <w:i w:val="0"/>
                <w:iCs w:val="0"/>
                <w:sz w:val="21"/>
                <w:szCs w:val="21"/>
              </w:rPr>
            </w:pPr>
            <w:r>
              <w:rPr>
                <w:rFonts w:hint="eastAsia"/>
                <w:i w:val="0"/>
                <w:iCs w:val="0"/>
                <w:sz w:val="21"/>
                <w:szCs w:val="21"/>
              </w:rPr>
              <w:t>永久占地（含临时占地）</w:t>
            </w:r>
          </w:p>
        </w:tc>
        <w:tc>
          <w:tcPr>
            <w:tcW w:w="1000" w:type="pct"/>
            <w:noWrap w:val="0"/>
            <w:vAlign w:val="center"/>
          </w:tcPr>
          <w:p>
            <w:pPr>
              <w:jc w:val="center"/>
              <w:rPr>
                <w:i w:val="0"/>
                <w:iCs w:val="0"/>
                <w:sz w:val="21"/>
                <w:szCs w:val="21"/>
              </w:rPr>
            </w:pPr>
            <w:r>
              <w:rPr>
                <w:rFonts w:hint="eastAsia"/>
                <w:i w:val="0"/>
                <w:iCs w:val="0"/>
                <w:sz w:val="21"/>
                <w:szCs w:val="21"/>
              </w:rPr>
              <w:t>0.045936</w:t>
            </w:r>
          </w:p>
        </w:tc>
        <w:tc>
          <w:tcPr>
            <w:tcW w:w="1000" w:type="pct"/>
            <w:noWrap w:val="0"/>
            <w:vAlign w:val="center"/>
          </w:tcPr>
          <w:p>
            <w:pPr>
              <w:jc w:val="center"/>
              <w:rPr>
                <w:i w:val="0"/>
                <w:iCs w:val="0"/>
                <w:sz w:val="21"/>
                <w:szCs w:val="21"/>
              </w:rPr>
            </w:pPr>
            <w:r>
              <w:rPr>
                <w:rFonts w:hint="eastAsia"/>
                <w:i w:val="0"/>
                <w:iCs w:val="0"/>
                <w:sz w:val="21"/>
                <w:szCs w:val="21"/>
              </w:rPr>
              <w:t>1000</w:t>
            </w:r>
          </w:p>
        </w:tc>
        <w:tc>
          <w:tcPr>
            <w:tcW w:w="922" w:type="pct"/>
            <w:noWrap w:val="0"/>
            <w:vAlign w:val="center"/>
          </w:tcPr>
          <w:p>
            <w:pPr>
              <w:jc w:val="center"/>
              <w:rPr>
                <w:i w:val="0"/>
                <w:iCs w:val="0"/>
                <w:sz w:val="21"/>
                <w:szCs w:val="21"/>
              </w:rPr>
            </w:pPr>
            <w:r>
              <w:rPr>
                <w:rFonts w:hint="eastAsia"/>
                <w:i w:val="0"/>
                <w:iCs w:val="0"/>
                <w:sz w:val="21"/>
                <w:szCs w:val="21"/>
              </w:rPr>
              <w:t>1.0</w:t>
            </w:r>
          </w:p>
        </w:tc>
        <w:tc>
          <w:tcPr>
            <w:tcW w:w="1077" w:type="pct"/>
            <w:noWrap w:val="0"/>
            <w:vAlign w:val="center"/>
          </w:tcPr>
          <w:p>
            <w:pPr>
              <w:jc w:val="center"/>
              <w:rPr>
                <w:i w:val="0"/>
                <w:iCs w:val="0"/>
                <w:sz w:val="21"/>
                <w:szCs w:val="21"/>
              </w:rPr>
            </w:pPr>
            <w:r>
              <w:rPr>
                <w:rFonts w:hint="eastAsia"/>
                <w:i w:val="0"/>
                <w:iCs w:val="0"/>
                <w:sz w:val="21"/>
                <w:szCs w:val="21"/>
              </w:rPr>
              <w:t>88.133</w:t>
            </w:r>
          </w:p>
        </w:tc>
      </w:tr>
    </w:tbl>
    <w:p>
      <w:pPr>
        <w:widowControl/>
        <w:adjustRightInd w:val="0"/>
        <w:snapToGrid w:val="0"/>
        <w:spacing w:line="360" w:lineRule="auto"/>
        <w:ind w:firstLine="480" w:firstLineChars="200"/>
        <w:rPr>
          <w:rFonts w:hint="eastAsia"/>
          <w:i w:val="0"/>
          <w:iCs w:val="0"/>
          <w:kern w:val="0"/>
        </w:rPr>
      </w:pPr>
      <w:r>
        <w:rPr>
          <w:rFonts w:hint="eastAsia"/>
          <w:i w:val="0"/>
          <w:iCs w:val="0"/>
          <w:kern w:val="0"/>
        </w:rPr>
        <w:t>本项目水土流失主要是施工期间土石方开挖引起的，此时对地面扰动较大，水土流失表现为雨水冲溅和径流冲刷等。根据施工期的扰动面积和实际流失面积，将施工期扰动的面积新增水土流失量统计，详见表3-</w:t>
      </w:r>
      <w:r>
        <w:rPr>
          <w:rFonts w:hint="eastAsia"/>
          <w:i w:val="0"/>
          <w:iCs w:val="0"/>
          <w:kern w:val="0"/>
          <w:lang w:val="en-US" w:eastAsia="zh-CN"/>
        </w:rPr>
        <w:t>24</w:t>
      </w:r>
      <w:r>
        <w:rPr>
          <w:rFonts w:hint="eastAsia"/>
          <w:i w:val="0"/>
          <w:iCs w:val="0"/>
          <w:kern w:val="0"/>
        </w:rPr>
        <w:t>。</w:t>
      </w:r>
    </w:p>
    <w:p>
      <w:pPr>
        <w:widowControl/>
        <w:adjustRightInd w:val="0"/>
        <w:snapToGrid w:val="0"/>
        <w:jc w:val="center"/>
        <w:rPr>
          <w:rFonts w:hint="eastAsia"/>
          <w:b/>
          <w:i w:val="0"/>
          <w:iCs w:val="0"/>
        </w:rPr>
      </w:pPr>
    </w:p>
    <w:p>
      <w:pPr>
        <w:widowControl/>
        <w:adjustRightInd w:val="0"/>
        <w:snapToGrid w:val="0"/>
        <w:jc w:val="center"/>
        <w:rPr>
          <w:rFonts w:hint="eastAsia"/>
          <w:b/>
          <w:i w:val="0"/>
          <w:iCs w:val="0"/>
        </w:rPr>
      </w:pPr>
    </w:p>
    <w:p>
      <w:pPr>
        <w:widowControl/>
        <w:adjustRightInd w:val="0"/>
        <w:snapToGrid w:val="0"/>
        <w:jc w:val="center"/>
        <w:rPr>
          <w:rFonts w:hint="eastAsia"/>
          <w:b/>
          <w:i w:val="0"/>
          <w:iCs w:val="0"/>
        </w:rPr>
      </w:pPr>
      <w:r>
        <w:rPr>
          <w:rFonts w:hint="eastAsia"/>
          <w:b/>
          <w:i w:val="0"/>
          <w:iCs w:val="0"/>
        </w:rPr>
        <w:t>表3-</w:t>
      </w:r>
      <w:r>
        <w:rPr>
          <w:rFonts w:hint="eastAsia"/>
          <w:b/>
          <w:i w:val="0"/>
          <w:iCs w:val="0"/>
          <w:lang w:val="en-US" w:eastAsia="zh-CN"/>
        </w:rPr>
        <w:t>24</w:t>
      </w:r>
      <w:r>
        <w:rPr>
          <w:rFonts w:hint="eastAsia"/>
          <w:b/>
          <w:i w:val="0"/>
          <w:iCs w:val="0"/>
        </w:rPr>
        <w:t xml:space="preserve"> 施工区扰动面积新增水土流失量预测结果表</w:t>
      </w:r>
    </w:p>
    <w:tbl>
      <w:tblPr>
        <w:tblStyle w:val="5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5"/>
        <w:gridCol w:w="1585"/>
        <w:gridCol w:w="1585"/>
        <w:gridCol w:w="1585"/>
        <w:gridCol w:w="1585"/>
        <w:gridCol w:w="15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5" w:type="dxa"/>
            <w:noWrap w:val="0"/>
            <w:vAlign w:val="center"/>
          </w:tcPr>
          <w:p>
            <w:pPr>
              <w:widowControl/>
              <w:adjustRightInd w:val="0"/>
              <w:snapToGrid w:val="0"/>
              <w:spacing w:line="360" w:lineRule="auto"/>
              <w:jc w:val="center"/>
              <w:rPr>
                <w:rFonts w:hint="eastAsia"/>
                <w:i w:val="0"/>
                <w:iCs w:val="0"/>
                <w:kern w:val="0"/>
                <w:sz w:val="21"/>
                <w:szCs w:val="21"/>
              </w:rPr>
            </w:pPr>
            <w:r>
              <w:rPr>
                <w:rFonts w:hint="eastAsia"/>
                <w:i w:val="0"/>
                <w:iCs w:val="0"/>
                <w:kern w:val="0"/>
                <w:sz w:val="21"/>
                <w:szCs w:val="21"/>
              </w:rPr>
              <w:t>施工用地类型</w:t>
            </w:r>
          </w:p>
        </w:tc>
        <w:tc>
          <w:tcPr>
            <w:tcW w:w="1585" w:type="dxa"/>
            <w:noWrap w:val="0"/>
            <w:vAlign w:val="center"/>
          </w:tcPr>
          <w:p>
            <w:pPr>
              <w:snapToGrid w:val="0"/>
              <w:jc w:val="center"/>
              <w:rPr>
                <w:rFonts w:hint="eastAsia"/>
                <w:bCs/>
                <w:i w:val="0"/>
                <w:iCs w:val="0"/>
                <w:color w:val="000000"/>
                <w:sz w:val="21"/>
                <w:szCs w:val="21"/>
                <w:lang w:bidi="zh-CN"/>
              </w:rPr>
            </w:pPr>
            <w:r>
              <w:rPr>
                <w:rFonts w:hint="eastAsia"/>
                <w:bCs/>
                <w:i w:val="0"/>
                <w:iCs w:val="0"/>
                <w:color w:val="000000"/>
                <w:sz w:val="21"/>
                <w:szCs w:val="21"/>
                <w:lang w:bidi="zh-CN"/>
              </w:rPr>
              <w:t>流失预测面</w:t>
            </w:r>
          </w:p>
          <w:p>
            <w:pPr>
              <w:snapToGrid w:val="0"/>
              <w:jc w:val="center"/>
              <w:rPr>
                <w:rFonts w:hint="eastAsia"/>
                <w:i w:val="0"/>
                <w:iCs w:val="0"/>
                <w:kern w:val="0"/>
                <w:sz w:val="21"/>
                <w:szCs w:val="21"/>
              </w:rPr>
            </w:pPr>
            <w:r>
              <w:rPr>
                <w:rFonts w:hint="eastAsia"/>
                <w:bCs/>
                <w:i w:val="0"/>
                <w:iCs w:val="0"/>
                <w:color w:val="000000"/>
                <w:sz w:val="21"/>
                <w:szCs w:val="21"/>
                <w:lang w:bidi="zh-CN"/>
              </w:rPr>
              <w:t>积</w:t>
            </w:r>
            <w:r>
              <w:rPr>
                <w:bCs/>
                <w:i w:val="0"/>
                <w:iCs w:val="0"/>
                <w:color w:val="000000"/>
                <w:sz w:val="21"/>
                <w:szCs w:val="21"/>
                <w:lang w:bidi="zh-CN"/>
              </w:rPr>
              <w:t>（</w:t>
            </w:r>
            <w:r>
              <w:rPr>
                <w:rFonts w:hint="eastAsia"/>
                <w:bCs/>
                <w:i w:val="0"/>
                <w:iCs w:val="0"/>
                <w:color w:val="000000"/>
                <w:sz w:val="21"/>
                <w:szCs w:val="21"/>
                <w:lang w:bidi="zh-CN"/>
              </w:rPr>
              <w:t>k</w:t>
            </w:r>
            <w:r>
              <w:rPr>
                <w:bCs/>
                <w:i w:val="0"/>
                <w:iCs w:val="0"/>
                <w:color w:val="000000"/>
                <w:sz w:val="21"/>
                <w:szCs w:val="21"/>
                <w:lang w:bidi="zh-CN"/>
              </w:rPr>
              <w:t>m</w:t>
            </w:r>
            <w:r>
              <w:rPr>
                <w:bCs/>
                <w:i w:val="0"/>
                <w:iCs w:val="0"/>
                <w:color w:val="000000"/>
                <w:sz w:val="21"/>
                <w:szCs w:val="21"/>
                <w:vertAlign w:val="superscript"/>
                <w:lang w:bidi="zh-CN"/>
              </w:rPr>
              <w:t>2</w:t>
            </w:r>
            <w:r>
              <w:rPr>
                <w:bCs/>
                <w:i w:val="0"/>
                <w:iCs w:val="0"/>
                <w:color w:val="000000"/>
                <w:sz w:val="21"/>
                <w:szCs w:val="21"/>
                <w:lang w:bidi="zh-CN"/>
              </w:rPr>
              <w:t>）</w:t>
            </w:r>
          </w:p>
        </w:tc>
        <w:tc>
          <w:tcPr>
            <w:tcW w:w="1585" w:type="dxa"/>
            <w:noWrap w:val="0"/>
            <w:vAlign w:val="center"/>
          </w:tcPr>
          <w:p>
            <w:pPr>
              <w:widowControl/>
              <w:adjustRightInd w:val="0"/>
              <w:snapToGrid w:val="0"/>
              <w:spacing w:line="360" w:lineRule="auto"/>
              <w:jc w:val="center"/>
              <w:rPr>
                <w:rFonts w:hint="eastAsia"/>
                <w:i w:val="0"/>
                <w:iCs w:val="0"/>
                <w:kern w:val="0"/>
                <w:sz w:val="21"/>
                <w:szCs w:val="21"/>
              </w:rPr>
            </w:pPr>
            <w:r>
              <w:rPr>
                <w:i w:val="0"/>
                <w:iCs w:val="0"/>
                <w:sz w:val="21"/>
                <w:szCs w:val="21"/>
              </w:rPr>
              <w:t>加速侵蚀系数（A）</w:t>
            </w:r>
          </w:p>
        </w:tc>
        <w:tc>
          <w:tcPr>
            <w:tcW w:w="1585" w:type="dxa"/>
            <w:noWrap w:val="0"/>
            <w:vAlign w:val="center"/>
          </w:tcPr>
          <w:p>
            <w:pPr>
              <w:widowControl/>
              <w:adjustRightInd w:val="0"/>
              <w:snapToGrid w:val="0"/>
              <w:spacing w:line="360" w:lineRule="auto"/>
              <w:jc w:val="center"/>
              <w:rPr>
                <w:rFonts w:hint="eastAsia"/>
                <w:i w:val="0"/>
                <w:iCs w:val="0"/>
                <w:kern w:val="0"/>
                <w:sz w:val="21"/>
                <w:szCs w:val="21"/>
              </w:rPr>
            </w:pPr>
            <w:r>
              <w:rPr>
                <w:rFonts w:hint="eastAsia"/>
                <w:i w:val="0"/>
                <w:iCs w:val="0"/>
                <w:kern w:val="0"/>
                <w:sz w:val="21"/>
                <w:szCs w:val="21"/>
              </w:rPr>
              <w:t>预测年限（a）</w:t>
            </w:r>
          </w:p>
        </w:tc>
        <w:tc>
          <w:tcPr>
            <w:tcW w:w="1585" w:type="dxa"/>
            <w:noWrap w:val="0"/>
            <w:vAlign w:val="center"/>
          </w:tcPr>
          <w:p>
            <w:pPr>
              <w:widowControl/>
              <w:adjustRightInd w:val="0"/>
              <w:snapToGrid w:val="0"/>
              <w:spacing w:line="360" w:lineRule="auto"/>
              <w:jc w:val="center"/>
              <w:rPr>
                <w:rFonts w:hint="eastAsia"/>
                <w:i w:val="0"/>
                <w:iCs w:val="0"/>
                <w:kern w:val="0"/>
                <w:sz w:val="21"/>
                <w:szCs w:val="21"/>
              </w:rPr>
            </w:pPr>
            <w:r>
              <w:rPr>
                <w:i w:val="0"/>
                <w:iCs w:val="0"/>
                <w:sz w:val="21"/>
                <w:szCs w:val="21"/>
              </w:rPr>
              <w:t>侵蚀模数(t/km</w:t>
            </w:r>
            <w:r>
              <w:rPr>
                <w:i w:val="0"/>
                <w:iCs w:val="0"/>
                <w:sz w:val="21"/>
                <w:szCs w:val="21"/>
                <w:vertAlign w:val="superscript"/>
              </w:rPr>
              <w:t>2</w:t>
            </w:r>
            <w:r>
              <w:rPr>
                <w:i w:val="0"/>
                <w:iCs w:val="0"/>
                <w:sz w:val="21"/>
                <w:szCs w:val="21"/>
              </w:rPr>
              <w:t>·a)</w:t>
            </w:r>
          </w:p>
        </w:tc>
        <w:tc>
          <w:tcPr>
            <w:tcW w:w="1585" w:type="dxa"/>
            <w:noWrap w:val="0"/>
            <w:vAlign w:val="center"/>
          </w:tcPr>
          <w:p>
            <w:pPr>
              <w:widowControl/>
              <w:adjustRightInd w:val="0"/>
              <w:snapToGrid w:val="0"/>
              <w:spacing w:line="360" w:lineRule="auto"/>
              <w:jc w:val="center"/>
              <w:rPr>
                <w:rFonts w:hint="eastAsia"/>
                <w:i w:val="0"/>
                <w:iCs w:val="0"/>
                <w:kern w:val="0"/>
                <w:sz w:val="21"/>
                <w:szCs w:val="21"/>
              </w:rPr>
            </w:pPr>
            <w:r>
              <w:rPr>
                <w:rFonts w:hint="eastAsia"/>
                <w:i w:val="0"/>
                <w:iCs w:val="0"/>
                <w:kern w:val="0"/>
                <w:sz w:val="21"/>
                <w:szCs w:val="21"/>
              </w:rPr>
              <w:t>预测水土流失量（t）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5" w:type="dxa"/>
            <w:noWrap w:val="0"/>
            <w:vAlign w:val="center"/>
          </w:tcPr>
          <w:p>
            <w:pPr>
              <w:widowControl/>
              <w:adjustRightInd w:val="0"/>
              <w:snapToGrid w:val="0"/>
              <w:spacing w:line="360" w:lineRule="auto"/>
              <w:jc w:val="center"/>
              <w:rPr>
                <w:rFonts w:hint="eastAsia"/>
                <w:i w:val="0"/>
                <w:iCs w:val="0"/>
                <w:kern w:val="0"/>
                <w:sz w:val="21"/>
                <w:szCs w:val="21"/>
              </w:rPr>
            </w:pPr>
            <w:r>
              <w:rPr>
                <w:rFonts w:hint="eastAsia"/>
                <w:i w:val="0"/>
                <w:iCs w:val="0"/>
                <w:kern w:val="0"/>
                <w:sz w:val="21"/>
                <w:szCs w:val="21"/>
              </w:rPr>
              <w:t>永久占地（含临时占地）</w:t>
            </w:r>
          </w:p>
        </w:tc>
        <w:tc>
          <w:tcPr>
            <w:tcW w:w="1585" w:type="dxa"/>
            <w:noWrap w:val="0"/>
            <w:vAlign w:val="center"/>
          </w:tcPr>
          <w:p>
            <w:pPr>
              <w:widowControl/>
              <w:adjustRightInd w:val="0"/>
              <w:snapToGrid w:val="0"/>
              <w:spacing w:line="360" w:lineRule="auto"/>
              <w:jc w:val="center"/>
              <w:rPr>
                <w:rFonts w:hint="eastAsia"/>
                <w:i w:val="0"/>
                <w:iCs w:val="0"/>
                <w:kern w:val="0"/>
                <w:sz w:val="21"/>
                <w:szCs w:val="21"/>
              </w:rPr>
            </w:pPr>
            <w:r>
              <w:rPr>
                <w:rFonts w:hint="eastAsia"/>
                <w:i w:val="0"/>
                <w:iCs w:val="0"/>
                <w:sz w:val="21"/>
                <w:szCs w:val="21"/>
              </w:rPr>
              <w:t>0.045936</w:t>
            </w:r>
          </w:p>
        </w:tc>
        <w:tc>
          <w:tcPr>
            <w:tcW w:w="1585" w:type="dxa"/>
            <w:noWrap w:val="0"/>
            <w:vAlign w:val="center"/>
          </w:tcPr>
          <w:p>
            <w:pPr>
              <w:widowControl/>
              <w:adjustRightInd w:val="0"/>
              <w:snapToGrid w:val="0"/>
              <w:spacing w:line="360" w:lineRule="auto"/>
              <w:jc w:val="center"/>
              <w:rPr>
                <w:i w:val="0"/>
                <w:iCs w:val="0"/>
                <w:kern w:val="0"/>
                <w:sz w:val="21"/>
                <w:szCs w:val="21"/>
              </w:rPr>
            </w:pPr>
            <w:r>
              <w:rPr>
                <w:rFonts w:hint="eastAsia"/>
                <w:i w:val="0"/>
                <w:iCs w:val="0"/>
                <w:kern w:val="0"/>
                <w:sz w:val="21"/>
                <w:szCs w:val="21"/>
              </w:rPr>
              <w:t>1.65</w:t>
            </w:r>
          </w:p>
        </w:tc>
        <w:tc>
          <w:tcPr>
            <w:tcW w:w="1585" w:type="dxa"/>
            <w:noWrap w:val="0"/>
            <w:vAlign w:val="center"/>
          </w:tcPr>
          <w:p>
            <w:pPr>
              <w:widowControl/>
              <w:adjustRightInd w:val="0"/>
              <w:snapToGrid w:val="0"/>
              <w:spacing w:line="360" w:lineRule="auto"/>
              <w:jc w:val="center"/>
              <w:rPr>
                <w:i w:val="0"/>
                <w:iCs w:val="0"/>
                <w:kern w:val="0"/>
                <w:sz w:val="21"/>
                <w:szCs w:val="21"/>
              </w:rPr>
            </w:pPr>
            <w:r>
              <w:rPr>
                <w:rFonts w:hint="eastAsia"/>
                <w:i w:val="0"/>
                <w:iCs w:val="0"/>
                <w:kern w:val="0"/>
                <w:sz w:val="21"/>
                <w:szCs w:val="21"/>
              </w:rPr>
              <w:t>1.0</w:t>
            </w:r>
          </w:p>
        </w:tc>
        <w:tc>
          <w:tcPr>
            <w:tcW w:w="1585" w:type="dxa"/>
            <w:noWrap w:val="0"/>
            <w:vAlign w:val="center"/>
          </w:tcPr>
          <w:p>
            <w:pPr>
              <w:widowControl/>
              <w:adjustRightInd w:val="0"/>
              <w:snapToGrid w:val="0"/>
              <w:spacing w:line="360" w:lineRule="auto"/>
              <w:jc w:val="center"/>
              <w:rPr>
                <w:i w:val="0"/>
                <w:iCs w:val="0"/>
                <w:kern w:val="0"/>
                <w:sz w:val="21"/>
                <w:szCs w:val="21"/>
              </w:rPr>
            </w:pPr>
            <w:r>
              <w:rPr>
                <w:rFonts w:hint="eastAsia"/>
                <w:i w:val="0"/>
                <w:iCs w:val="0"/>
                <w:kern w:val="0"/>
                <w:sz w:val="21"/>
                <w:szCs w:val="21"/>
              </w:rPr>
              <w:t>1000</w:t>
            </w:r>
          </w:p>
        </w:tc>
        <w:tc>
          <w:tcPr>
            <w:tcW w:w="1585" w:type="dxa"/>
            <w:noWrap w:val="0"/>
            <w:vAlign w:val="center"/>
          </w:tcPr>
          <w:p>
            <w:pPr>
              <w:widowControl/>
              <w:adjustRightInd w:val="0"/>
              <w:snapToGrid w:val="0"/>
              <w:spacing w:line="360" w:lineRule="auto"/>
              <w:jc w:val="center"/>
              <w:rPr>
                <w:i w:val="0"/>
                <w:iCs w:val="0"/>
                <w:kern w:val="0"/>
                <w:sz w:val="21"/>
                <w:szCs w:val="21"/>
              </w:rPr>
            </w:pPr>
            <w:r>
              <w:rPr>
                <w:rFonts w:hint="eastAsia"/>
                <w:i w:val="0"/>
                <w:iCs w:val="0"/>
                <w:kern w:val="0"/>
                <w:sz w:val="21"/>
                <w:szCs w:val="21"/>
              </w:rPr>
              <w:t>145.419</w:t>
            </w:r>
          </w:p>
        </w:tc>
      </w:tr>
    </w:tbl>
    <w:p>
      <w:pPr>
        <w:widowControl/>
        <w:adjustRightInd w:val="0"/>
        <w:snapToGrid w:val="0"/>
        <w:spacing w:line="360" w:lineRule="auto"/>
        <w:ind w:firstLine="480" w:firstLineChars="200"/>
        <w:rPr>
          <w:rFonts w:hint="eastAsia"/>
          <w:i w:val="0"/>
          <w:iCs w:val="0"/>
          <w:kern w:val="0"/>
        </w:rPr>
      </w:pPr>
      <w:r>
        <w:rPr>
          <w:rFonts w:hint="eastAsia"/>
          <w:i w:val="0"/>
          <w:iCs w:val="0"/>
          <w:kern w:val="0"/>
        </w:rPr>
        <w:t>根据上表将本项目施工期水土流失与测量统计，详见表3-</w:t>
      </w:r>
      <w:r>
        <w:rPr>
          <w:rFonts w:hint="eastAsia"/>
          <w:i w:val="0"/>
          <w:iCs w:val="0"/>
          <w:kern w:val="0"/>
          <w:lang w:val="en-US" w:eastAsia="zh-CN"/>
        </w:rPr>
        <w:t>25</w:t>
      </w:r>
      <w:r>
        <w:rPr>
          <w:rFonts w:hint="eastAsia"/>
          <w:i w:val="0"/>
          <w:iCs w:val="0"/>
          <w:kern w:val="0"/>
        </w:rPr>
        <w:t>。</w:t>
      </w:r>
    </w:p>
    <w:p>
      <w:pPr>
        <w:widowControl/>
        <w:adjustRightInd w:val="0"/>
        <w:snapToGrid w:val="0"/>
        <w:jc w:val="center"/>
        <w:rPr>
          <w:rFonts w:hint="eastAsia"/>
          <w:b/>
          <w:i w:val="0"/>
          <w:iCs w:val="0"/>
        </w:rPr>
      </w:pPr>
      <w:r>
        <w:rPr>
          <w:rFonts w:hint="eastAsia"/>
          <w:b/>
          <w:i w:val="0"/>
          <w:iCs w:val="0"/>
        </w:rPr>
        <w:t>表3-</w:t>
      </w:r>
      <w:r>
        <w:rPr>
          <w:rFonts w:hint="eastAsia"/>
          <w:b/>
          <w:i w:val="0"/>
          <w:iCs w:val="0"/>
          <w:lang w:val="en-US" w:eastAsia="zh-CN"/>
        </w:rPr>
        <w:t>25</w:t>
      </w:r>
      <w:r>
        <w:rPr>
          <w:rFonts w:hint="eastAsia"/>
          <w:b/>
          <w:i w:val="0"/>
          <w:iCs w:val="0"/>
        </w:rPr>
        <w:t xml:space="preserve"> 施工期水土流失量统计表</w:t>
      </w:r>
    </w:p>
    <w:tbl>
      <w:tblPr>
        <w:tblStyle w:val="5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03"/>
        <w:gridCol w:w="1903"/>
        <w:gridCol w:w="1903"/>
        <w:gridCol w:w="1903"/>
        <w:gridCol w:w="19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03" w:type="dxa"/>
            <w:noWrap w:val="0"/>
            <w:vAlign w:val="center"/>
          </w:tcPr>
          <w:p>
            <w:pPr>
              <w:snapToGrid w:val="0"/>
              <w:jc w:val="center"/>
              <w:rPr>
                <w:rFonts w:hint="eastAsia"/>
                <w:bCs/>
                <w:i w:val="0"/>
                <w:iCs w:val="0"/>
                <w:color w:val="000000"/>
                <w:sz w:val="21"/>
                <w:szCs w:val="21"/>
                <w:lang w:bidi="zh-CN"/>
              </w:rPr>
            </w:pPr>
            <w:r>
              <w:rPr>
                <w:rFonts w:hint="eastAsia"/>
                <w:bCs/>
                <w:i w:val="0"/>
                <w:iCs w:val="0"/>
                <w:color w:val="000000"/>
                <w:sz w:val="21"/>
                <w:szCs w:val="21"/>
                <w:lang w:bidi="zh-CN"/>
              </w:rPr>
              <w:t>施工区名称</w:t>
            </w:r>
          </w:p>
        </w:tc>
        <w:tc>
          <w:tcPr>
            <w:tcW w:w="1903" w:type="dxa"/>
            <w:noWrap w:val="0"/>
            <w:vAlign w:val="center"/>
          </w:tcPr>
          <w:p>
            <w:pPr>
              <w:snapToGrid w:val="0"/>
              <w:jc w:val="center"/>
              <w:rPr>
                <w:rFonts w:hint="eastAsia"/>
                <w:bCs/>
                <w:i w:val="0"/>
                <w:iCs w:val="0"/>
                <w:color w:val="000000"/>
                <w:sz w:val="21"/>
                <w:szCs w:val="21"/>
                <w:lang w:bidi="zh-CN"/>
              </w:rPr>
            </w:pPr>
            <w:r>
              <w:rPr>
                <w:rFonts w:hint="eastAsia"/>
                <w:bCs/>
                <w:i w:val="0"/>
                <w:iCs w:val="0"/>
                <w:color w:val="000000"/>
                <w:sz w:val="21"/>
                <w:szCs w:val="21"/>
                <w:lang w:bidi="zh-CN"/>
              </w:rPr>
              <w:t>流失时间（a）</w:t>
            </w:r>
          </w:p>
        </w:tc>
        <w:tc>
          <w:tcPr>
            <w:tcW w:w="1903" w:type="dxa"/>
            <w:noWrap w:val="0"/>
            <w:vAlign w:val="center"/>
          </w:tcPr>
          <w:p>
            <w:pPr>
              <w:snapToGrid w:val="0"/>
              <w:jc w:val="center"/>
              <w:rPr>
                <w:rFonts w:hint="eastAsia"/>
                <w:bCs/>
                <w:i w:val="0"/>
                <w:iCs w:val="0"/>
                <w:color w:val="000000"/>
                <w:sz w:val="21"/>
                <w:szCs w:val="21"/>
                <w:lang w:bidi="zh-CN"/>
              </w:rPr>
            </w:pPr>
            <w:r>
              <w:rPr>
                <w:bCs/>
                <w:i w:val="0"/>
                <w:iCs w:val="0"/>
                <w:color w:val="000000"/>
                <w:sz w:val="21"/>
                <w:szCs w:val="21"/>
                <w:lang w:bidi="zh-CN"/>
              </w:rPr>
              <w:t>预测水土流失量（t）</w:t>
            </w:r>
          </w:p>
        </w:tc>
        <w:tc>
          <w:tcPr>
            <w:tcW w:w="1903" w:type="dxa"/>
            <w:noWrap w:val="0"/>
            <w:vAlign w:val="top"/>
          </w:tcPr>
          <w:p>
            <w:pPr>
              <w:snapToGrid w:val="0"/>
              <w:jc w:val="center"/>
              <w:rPr>
                <w:rFonts w:hint="eastAsia"/>
                <w:bCs/>
                <w:i w:val="0"/>
                <w:iCs w:val="0"/>
                <w:color w:val="000000"/>
                <w:sz w:val="21"/>
                <w:szCs w:val="21"/>
                <w:lang w:bidi="zh-CN"/>
              </w:rPr>
            </w:pPr>
            <w:r>
              <w:rPr>
                <w:rFonts w:hint="eastAsia"/>
                <w:bCs/>
                <w:i w:val="0"/>
                <w:iCs w:val="0"/>
                <w:color w:val="000000"/>
                <w:sz w:val="21"/>
                <w:szCs w:val="21"/>
                <w:lang w:bidi="zh-CN"/>
              </w:rPr>
              <w:t>水土流失背景量（t）</w:t>
            </w:r>
          </w:p>
        </w:tc>
        <w:tc>
          <w:tcPr>
            <w:tcW w:w="1903" w:type="dxa"/>
            <w:noWrap w:val="0"/>
            <w:vAlign w:val="top"/>
          </w:tcPr>
          <w:p>
            <w:pPr>
              <w:snapToGrid w:val="0"/>
              <w:jc w:val="center"/>
              <w:rPr>
                <w:rFonts w:hint="eastAsia"/>
                <w:bCs/>
                <w:i w:val="0"/>
                <w:iCs w:val="0"/>
                <w:color w:val="000000"/>
                <w:sz w:val="21"/>
                <w:szCs w:val="21"/>
                <w:lang w:bidi="zh-CN"/>
              </w:rPr>
            </w:pPr>
            <w:r>
              <w:rPr>
                <w:rFonts w:hint="eastAsia"/>
                <w:bCs/>
                <w:i w:val="0"/>
                <w:iCs w:val="0"/>
                <w:color w:val="000000"/>
                <w:sz w:val="21"/>
                <w:szCs w:val="21"/>
                <w:lang w:bidi="zh-CN"/>
              </w:rPr>
              <w:t>水土流失增量（t）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03" w:type="dxa"/>
            <w:noWrap w:val="0"/>
            <w:vAlign w:val="center"/>
          </w:tcPr>
          <w:p>
            <w:pPr>
              <w:snapToGrid w:val="0"/>
              <w:jc w:val="center"/>
              <w:rPr>
                <w:rFonts w:hint="eastAsia"/>
                <w:bCs/>
                <w:i w:val="0"/>
                <w:iCs w:val="0"/>
                <w:color w:val="000000"/>
                <w:sz w:val="21"/>
                <w:szCs w:val="21"/>
                <w:lang w:bidi="zh-CN"/>
              </w:rPr>
            </w:pPr>
            <w:r>
              <w:rPr>
                <w:rFonts w:hint="eastAsia"/>
                <w:bCs/>
                <w:i w:val="0"/>
                <w:iCs w:val="0"/>
                <w:color w:val="000000"/>
                <w:sz w:val="21"/>
                <w:szCs w:val="21"/>
                <w:lang w:bidi="zh-CN"/>
              </w:rPr>
              <w:t>永久占地</w:t>
            </w:r>
          </w:p>
        </w:tc>
        <w:tc>
          <w:tcPr>
            <w:tcW w:w="1903" w:type="dxa"/>
            <w:noWrap w:val="0"/>
            <w:vAlign w:val="center"/>
          </w:tcPr>
          <w:p>
            <w:pPr>
              <w:snapToGrid w:val="0"/>
              <w:jc w:val="center"/>
              <w:rPr>
                <w:bCs/>
                <w:i w:val="0"/>
                <w:iCs w:val="0"/>
                <w:color w:val="000000"/>
                <w:sz w:val="21"/>
                <w:szCs w:val="21"/>
                <w:lang w:bidi="zh-CN"/>
              </w:rPr>
            </w:pPr>
            <w:r>
              <w:rPr>
                <w:rFonts w:hint="eastAsia"/>
                <w:bCs/>
                <w:i w:val="0"/>
                <w:iCs w:val="0"/>
                <w:color w:val="000000"/>
                <w:sz w:val="21"/>
                <w:szCs w:val="21"/>
                <w:lang w:bidi="zh-CN"/>
              </w:rPr>
              <w:t>1.0</w:t>
            </w:r>
          </w:p>
        </w:tc>
        <w:tc>
          <w:tcPr>
            <w:tcW w:w="1903" w:type="dxa"/>
            <w:noWrap w:val="0"/>
            <w:vAlign w:val="center"/>
          </w:tcPr>
          <w:p>
            <w:pPr>
              <w:snapToGrid w:val="0"/>
              <w:jc w:val="center"/>
              <w:rPr>
                <w:bCs/>
                <w:i w:val="0"/>
                <w:iCs w:val="0"/>
                <w:color w:val="000000"/>
                <w:sz w:val="21"/>
                <w:szCs w:val="21"/>
                <w:lang w:bidi="zh-CN"/>
              </w:rPr>
            </w:pPr>
            <w:r>
              <w:rPr>
                <w:rFonts w:hint="eastAsia"/>
                <w:bCs/>
                <w:i w:val="0"/>
                <w:iCs w:val="0"/>
                <w:color w:val="000000"/>
                <w:sz w:val="21"/>
                <w:szCs w:val="21"/>
                <w:lang w:bidi="zh-CN"/>
              </w:rPr>
              <w:t>145.419</w:t>
            </w:r>
          </w:p>
        </w:tc>
        <w:tc>
          <w:tcPr>
            <w:tcW w:w="1903" w:type="dxa"/>
            <w:noWrap w:val="0"/>
            <w:vAlign w:val="top"/>
          </w:tcPr>
          <w:p>
            <w:pPr>
              <w:snapToGrid w:val="0"/>
              <w:jc w:val="center"/>
              <w:rPr>
                <w:bCs/>
                <w:i w:val="0"/>
                <w:iCs w:val="0"/>
                <w:color w:val="000000"/>
                <w:sz w:val="21"/>
                <w:szCs w:val="21"/>
                <w:lang w:bidi="zh-CN"/>
              </w:rPr>
            </w:pPr>
            <w:r>
              <w:rPr>
                <w:rFonts w:hint="eastAsia"/>
                <w:bCs/>
                <w:i w:val="0"/>
                <w:iCs w:val="0"/>
                <w:color w:val="000000"/>
                <w:sz w:val="21"/>
                <w:szCs w:val="21"/>
                <w:lang w:bidi="zh-CN"/>
              </w:rPr>
              <w:t>88.133</w:t>
            </w:r>
          </w:p>
        </w:tc>
        <w:tc>
          <w:tcPr>
            <w:tcW w:w="1903" w:type="dxa"/>
            <w:noWrap w:val="0"/>
            <w:vAlign w:val="top"/>
          </w:tcPr>
          <w:p>
            <w:pPr>
              <w:snapToGrid w:val="0"/>
              <w:jc w:val="center"/>
              <w:rPr>
                <w:bCs/>
                <w:i w:val="0"/>
                <w:iCs w:val="0"/>
                <w:color w:val="000000"/>
                <w:sz w:val="21"/>
                <w:szCs w:val="21"/>
                <w:lang w:bidi="zh-CN"/>
              </w:rPr>
            </w:pPr>
            <w:r>
              <w:rPr>
                <w:rFonts w:hint="eastAsia"/>
                <w:bCs/>
                <w:i w:val="0"/>
                <w:iCs w:val="0"/>
                <w:color w:val="000000"/>
                <w:sz w:val="21"/>
                <w:szCs w:val="21"/>
                <w:lang w:bidi="zh-CN"/>
              </w:rPr>
              <w:t>57.286</w:t>
            </w:r>
          </w:p>
        </w:tc>
      </w:tr>
    </w:tbl>
    <w:p>
      <w:pPr>
        <w:spacing w:line="360" w:lineRule="auto"/>
        <w:ind w:firstLine="480" w:firstLineChars="200"/>
        <w:rPr>
          <w:rFonts w:hint="eastAsia" w:hAnsi="宋体"/>
          <w:i w:val="0"/>
          <w:iCs w:val="0"/>
          <w:color w:val="000000"/>
        </w:rPr>
      </w:pPr>
      <w:r>
        <w:rPr>
          <w:rFonts w:hint="eastAsia" w:hAnsi="宋体"/>
          <w:i w:val="0"/>
          <w:iCs w:val="0"/>
          <w:color w:val="000000"/>
        </w:rPr>
        <w:t>通过对本项目施工期水土流失的预测结果可以看出，由于施工期在一定程度上破坏了施工区原有地貌，使表层松散，抗水力侵蚀能力减弱，使土壤失去了原有的固土防风能力，从而增加了一定量的水土流失，在不采取任何水土保持措施的情况下，施工期水土流失增量为筑围墙，禁止在大雨和暴雨时进行土方工程施工，临时堆场应用苫布等进行遮盖，不会带来明显的水土流失及景观影响。</w:t>
      </w:r>
    </w:p>
    <w:p>
      <w:pPr>
        <w:pStyle w:val="4"/>
        <w:rPr>
          <w:rFonts w:ascii="Times New Roman" w:hAnsi="Times New Roman" w:eastAsia="宋体"/>
          <w:b/>
          <w:i w:val="0"/>
          <w:iCs w:val="0"/>
          <w:sz w:val="28"/>
          <w:szCs w:val="28"/>
        </w:rPr>
      </w:pPr>
      <w:bookmarkStart w:id="90" w:name="_Toc31141"/>
      <w:r>
        <w:rPr>
          <w:rFonts w:hint="eastAsia" w:ascii="Times New Roman" w:hAnsi="Times New Roman" w:eastAsia="宋体"/>
          <w:b/>
          <w:i w:val="0"/>
          <w:iCs w:val="0"/>
          <w:sz w:val="28"/>
          <w:szCs w:val="28"/>
        </w:rPr>
        <w:t>3</w:t>
      </w:r>
      <w:r>
        <w:rPr>
          <w:rFonts w:ascii="Times New Roman" w:hAnsi="Times New Roman" w:eastAsia="宋体"/>
          <w:b/>
          <w:i w:val="0"/>
          <w:iCs w:val="0"/>
          <w:sz w:val="28"/>
          <w:szCs w:val="28"/>
        </w:rPr>
        <w:t>.</w:t>
      </w:r>
      <w:r>
        <w:rPr>
          <w:rFonts w:hint="eastAsia" w:ascii="Times New Roman" w:hAnsi="Times New Roman" w:eastAsia="宋体"/>
          <w:b/>
          <w:i w:val="0"/>
          <w:iCs w:val="0"/>
          <w:sz w:val="28"/>
          <w:szCs w:val="28"/>
        </w:rPr>
        <w:t>6</w:t>
      </w:r>
      <w:r>
        <w:rPr>
          <w:rFonts w:ascii="Times New Roman" w:hAnsi="Times New Roman" w:eastAsia="宋体"/>
          <w:b/>
          <w:i w:val="0"/>
          <w:iCs w:val="0"/>
          <w:sz w:val="28"/>
          <w:szCs w:val="28"/>
        </w:rPr>
        <w:t>运行期污染</w:t>
      </w:r>
      <w:bookmarkEnd w:id="88"/>
      <w:r>
        <w:rPr>
          <w:rFonts w:ascii="Times New Roman" w:hAnsi="Times New Roman" w:eastAsia="宋体"/>
          <w:b/>
          <w:i w:val="0"/>
          <w:iCs w:val="0"/>
          <w:sz w:val="28"/>
          <w:szCs w:val="28"/>
        </w:rPr>
        <w:t>源</w:t>
      </w:r>
      <w:bookmarkEnd w:id="89"/>
      <w:bookmarkEnd w:id="90"/>
    </w:p>
    <w:p>
      <w:pPr>
        <w:spacing w:line="360" w:lineRule="auto"/>
        <w:ind w:firstLine="482" w:firstLineChars="200"/>
        <w:rPr>
          <w:b/>
          <w:i w:val="0"/>
          <w:iCs w:val="0"/>
        </w:rPr>
      </w:pPr>
      <w:r>
        <w:rPr>
          <w:rFonts w:hint="eastAsia"/>
          <w:b/>
          <w:i w:val="0"/>
          <w:iCs w:val="0"/>
        </w:rPr>
        <w:t>3</w:t>
      </w:r>
      <w:r>
        <w:rPr>
          <w:b/>
          <w:i w:val="0"/>
          <w:iCs w:val="0"/>
        </w:rPr>
        <w:t>.</w:t>
      </w:r>
      <w:r>
        <w:rPr>
          <w:rFonts w:hint="eastAsia"/>
          <w:b/>
          <w:i w:val="0"/>
          <w:iCs w:val="0"/>
        </w:rPr>
        <w:t>6</w:t>
      </w:r>
      <w:r>
        <w:rPr>
          <w:b/>
          <w:i w:val="0"/>
          <w:iCs w:val="0"/>
        </w:rPr>
        <w:t>.1废</w:t>
      </w:r>
      <w:bookmarkStart w:id="91" w:name="_Hlt195622312"/>
      <w:bookmarkEnd w:id="91"/>
      <w:r>
        <w:rPr>
          <w:b/>
          <w:i w:val="0"/>
          <w:iCs w:val="0"/>
        </w:rPr>
        <w:t>水</w:t>
      </w:r>
    </w:p>
    <w:p>
      <w:pPr>
        <w:spacing w:line="360" w:lineRule="auto"/>
        <w:ind w:firstLine="480" w:firstLineChars="200"/>
        <w:rPr>
          <w:rFonts w:hint="eastAsia" w:hAnsi="宋体"/>
          <w:i w:val="0"/>
          <w:iCs w:val="0"/>
          <w:color w:val="000000"/>
        </w:rPr>
      </w:pPr>
      <w:r>
        <w:rPr>
          <w:rFonts w:hint="eastAsia"/>
          <w:i w:val="0"/>
          <w:iCs w:val="0"/>
          <w:color w:val="000000"/>
        </w:rPr>
        <w:t>（1）</w:t>
      </w:r>
      <w:r>
        <w:rPr>
          <w:i w:val="0"/>
          <w:iCs w:val="0"/>
          <w:color w:val="000000"/>
          <w:lang w:val="zh-CN"/>
        </w:rPr>
        <w:t>污</w:t>
      </w:r>
      <w:r>
        <w:rPr>
          <w:rFonts w:hint="eastAsia" w:hAnsi="宋体"/>
          <w:i w:val="0"/>
          <w:iCs w:val="0"/>
          <w:color w:val="000000"/>
          <w:lang w:val="zh-CN"/>
        </w:rPr>
        <w:t>水来源</w:t>
      </w:r>
    </w:p>
    <w:p>
      <w:pPr>
        <w:spacing w:line="360" w:lineRule="auto"/>
        <w:ind w:firstLine="480" w:firstLineChars="200"/>
        <w:rPr>
          <w:rFonts w:hint="eastAsia" w:hAnsi="宋体"/>
          <w:i w:val="0"/>
          <w:iCs w:val="0"/>
          <w:color w:val="000000"/>
        </w:rPr>
      </w:pPr>
      <w:r>
        <w:rPr>
          <w:rFonts w:hint="eastAsia" w:hAnsi="宋体"/>
          <w:i w:val="0"/>
          <w:iCs w:val="0"/>
          <w:color w:val="000000"/>
        </w:rPr>
        <w:t>①生产废水</w:t>
      </w:r>
    </w:p>
    <w:p>
      <w:pPr>
        <w:spacing w:line="360" w:lineRule="auto"/>
        <w:ind w:firstLine="480" w:firstLineChars="200"/>
        <w:rPr>
          <w:rFonts w:hint="eastAsia"/>
          <w:i w:val="0"/>
          <w:iCs w:val="0"/>
          <w:color w:val="000000"/>
        </w:rPr>
      </w:pPr>
      <w:r>
        <w:rPr>
          <w:rFonts w:hint="eastAsia" w:hAnsi="宋体"/>
          <w:i w:val="0"/>
          <w:iCs w:val="0"/>
          <w:color w:val="000000"/>
        </w:rPr>
        <w:t>生产废水主要有：发酵车间</w:t>
      </w:r>
      <w:r>
        <w:rPr>
          <w:rFonts w:hint="eastAsia" w:hAnsi="宋体"/>
          <w:i w:val="0"/>
          <w:iCs w:val="0"/>
          <w:color w:val="000000"/>
          <w:lang w:val="en-US" w:eastAsia="zh-CN"/>
        </w:rPr>
        <w:t>洗罐</w:t>
      </w:r>
      <w:r>
        <w:rPr>
          <w:rFonts w:hint="eastAsia" w:hAnsi="宋体"/>
          <w:i w:val="0"/>
          <w:iCs w:val="0"/>
          <w:color w:val="000000"/>
        </w:rPr>
        <w:t>废水、分离干燥车间离心洗涤废水、车间冲洗地面水</w:t>
      </w:r>
      <w:r>
        <w:rPr>
          <w:rFonts w:hint="eastAsia" w:hAnsi="宋体"/>
          <w:i w:val="0"/>
          <w:iCs w:val="0"/>
          <w:color w:val="000000"/>
          <w:lang w:eastAsia="zh-CN"/>
        </w:rPr>
        <w:t>、</w:t>
      </w:r>
      <w:r>
        <w:rPr>
          <w:rFonts w:hint="eastAsia" w:hAnsi="宋体"/>
          <w:i w:val="0"/>
          <w:iCs w:val="0"/>
          <w:color w:val="000000"/>
          <w:lang w:val="en-US" w:eastAsia="zh-CN"/>
        </w:rPr>
        <w:t>喷淋废水、化验废水、循环水系统排水及冷凝水</w:t>
      </w:r>
      <w:r>
        <w:rPr>
          <w:rFonts w:hint="eastAsia" w:hAnsi="宋体"/>
          <w:i w:val="0"/>
          <w:iCs w:val="0"/>
          <w:color w:val="000000"/>
        </w:rPr>
        <w:t>，根据物料平衡</w:t>
      </w:r>
      <w:r>
        <w:rPr>
          <w:rFonts w:hint="eastAsia" w:hAnsi="宋体"/>
          <w:i w:val="0"/>
          <w:iCs w:val="0"/>
          <w:color w:val="000000"/>
          <w:sz w:val="24"/>
        </w:rPr>
        <w:t>及项目</w:t>
      </w:r>
      <w:r>
        <w:rPr>
          <w:rFonts w:hint="eastAsia" w:hAnsi="宋体"/>
          <w:i w:val="0"/>
          <w:iCs w:val="0"/>
          <w:color w:val="000000"/>
          <w:sz w:val="24"/>
          <w:lang w:val="en-US" w:eastAsia="zh-CN"/>
        </w:rPr>
        <w:t>小</w:t>
      </w:r>
      <w:r>
        <w:rPr>
          <w:rFonts w:hint="eastAsia" w:hAnsi="宋体"/>
          <w:i w:val="0"/>
          <w:iCs w:val="0"/>
          <w:color w:val="000000"/>
          <w:sz w:val="24"/>
        </w:rPr>
        <w:t>试废水监测，</w:t>
      </w:r>
      <w:r>
        <w:rPr>
          <w:rFonts w:hint="eastAsia" w:hAnsi="宋体"/>
          <w:i w:val="0"/>
          <w:iCs w:val="0"/>
          <w:color w:val="000000"/>
        </w:rPr>
        <w:t>生产废水</w:t>
      </w:r>
      <w:r>
        <w:rPr>
          <w:rFonts w:hint="eastAsia"/>
          <w:i w:val="0"/>
          <w:iCs w:val="0"/>
          <w:color w:val="000000"/>
        </w:rPr>
        <w:t>污染物情况见表3-2</w:t>
      </w:r>
      <w:r>
        <w:rPr>
          <w:rFonts w:hint="eastAsia"/>
          <w:i w:val="0"/>
          <w:iCs w:val="0"/>
          <w:color w:val="000000"/>
          <w:lang w:val="en-US" w:eastAsia="zh-CN"/>
        </w:rPr>
        <w:t>6</w:t>
      </w:r>
      <w:r>
        <w:rPr>
          <w:rFonts w:hint="eastAsia"/>
          <w:i w:val="0"/>
          <w:iCs w:val="0"/>
          <w:color w:val="000000"/>
        </w:rPr>
        <w:t>。</w:t>
      </w:r>
    </w:p>
    <w:p>
      <w:pPr>
        <w:pStyle w:val="36"/>
        <w:ind w:left="0" w:leftChars="0"/>
        <w:jc w:val="center"/>
        <w:rPr>
          <w:rFonts w:hint="eastAsia" w:ascii="Times New Roman" w:hAnsi="Times New Roman"/>
          <w:b/>
          <w:i w:val="0"/>
          <w:iCs w:val="0"/>
        </w:rPr>
      </w:pPr>
      <w:r>
        <w:rPr>
          <w:rFonts w:hint="eastAsia" w:ascii="Times New Roman" w:hAnsi="Times New Roman"/>
          <w:b/>
          <w:i w:val="0"/>
          <w:iCs w:val="0"/>
        </w:rPr>
        <w:t>表3-2</w:t>
      </w:r>
      <w:r>
        <w:rPr>
          <w:rFonts w:hint="eastAsia" w:ascii="Times New Roman" w:hAnsi="Times New Roman"/>
          <w:b/>
          <w:i w:val="0"/>
          <w:iCs w:val="0"/>
          <w:lang w:val="en-US" w:eastAsia="zh-CN"/>
        </w:rPr>
        <w:t>6</w:t>
      </w:r>
      <w:r>
        <w:rPr>
          <w:rFonts w:hint="eastAsia" w:ascii="Times New Roman" w:hAnsi="Times New Roman"/>
          <w:b/>
          <w:i w:val="0"/>
          <w:iCs w:val="0"/>
        </w:rPr>
        <w:t xml:space="preserve"> 拟建项目生产废水种类与主要污染物情况</w:t>
      </w:r>
    </w:p>
    <w:tbl>
      <w:tblPr>
        <w:tblStyle w:val="5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1736"/>
        <w:gridCol w:w="1551"/>
        <w:gridCol w:w="1785"/>
        <w:gridCol w:w="1650"/>
        <w:gridCol w:w="17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37" w:type="pct"/>
            <w:vMerge w:val="restart"/>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r>
              <w:rPr>
                <w:i w:val="0"/>
                <w:iCs w:val="0"/>
                <w:snapToGrid w:val="0"/>
                <w:color w:val="000000"/>
                <w:kern w:val="0"/>
                <w:sz w:val="21"/>
                <w:szCs w:val="21"/>
              </w:rPr>
              <w:t>种类</w:t>
            </w:r>
          </w:p>
        </w:tc>
        <w:tc>
          <w:tcPr>
            <w:tcW w:w="913" w:type="pct"/>
            <w:vMerge w:val="restart"/>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r>
              <w:rPr>
                <w:i w:val="0"/>
                <w:iCs w:val="0"/>
                <w:snapToGrid w:val="0"/>
                <w:color w:val="000000"/>
                <w:kern w:val="0"/>
                <w:sz w:val="21"/>
                <w:szCs w:val="21"/>
              </w:rPr>
              <w:t>废水名称</w:t>
            </w:r>
          </w:p>
        </w:tc>
        <w:tc>
          <w:tcPr>
            <w:tcW w:w="815" w:type="pct"/>
            <w:vMerge w:val="restart"/>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r>
              <w:rPr>
                <w:i w:val="0"/>
                <w:iCs w:val="0"/>
                <w:snapToGrid w:val="0"/>
                <w:color w:val="000000"/>
                <w:kern w:val="0"/>
                <w:sz w:val="21"/>
                <w:szCs w:val="21"/>
              </w:rPr>
              <w:t>废水量t/a</w:t>
            </w:r>
          </w:p>
        </w:tc>
        <w:tc>
          <w:tcPr>
            <w:tcW w:w="2733" w:type="pct"/>
            <w:gridSpan w:val="3"/>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r>
              <w:rPr>
                <w:i w:val="0"/>
                <w:iCs w:val="0"/>
                <w:snapToGrid w:val="0"/>
                <w:color w:val="000000"/>
                <w:kern w:val="0"/>
                <w:sz w:val="21"/>
                <w:szCs w:val="21"/>
              </w:rPr>
              <w:t>污染物产生情况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tblHeader/>
          <w:jc w:val="center"/>
        </w:trPr>
        <w:tc>
          <w:tcPr>
            <w:tcW w:w="537" w:type="pct"/>
            <w:vMerge w:val="continue"/>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p>
        </w:tc>
        <w:tc>
          <w:tcPr>
            <w:tcW w:w="913" w:type="pct"/>
            <w:vMerge w:val="continue"/>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p>
        </w:tc>
        <w:tc>
          <w:tcPr>
            <w:tcW w:w="815" w:type="pct"/>
            <w:vMerge w:val="continue"/>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p>
        </w:tc>
        <w:tc>
          <w:tcPr>
            <w:tcW w:w="938" w:type="pct"/>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r>
              <w:rPr>
                <w:i w:val="0"/>
                <w:iCs w:val="0"/>
                <w:snapToGrid w:val="0"/>
                <w:color w:val="000000"/>
                <w:kern w:val="0"/>
                <w:sz w:val="21"/>
                <w:szCs w:val="21"/>
              </w:rPr>
              <w:t>污染物</w:t>
            </w:r>
          </w:p>
        </w:tc>
        <w:tc>
          <w:tcPr>
            <w:tcW w:w="867" w:type="pct"/>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r>
              <w:rPr>
                <w:i w:val="0"/>
                <w:iCs w:val="0"/>
                <w:snapToGrid w:val="0"/>
                <w:color w:val="000000"/>
                <w:kern w:val="0"/>
                <w:sz w:val="21"/>
                <w:szCs w:val="21"/>
              </w:rPr>
              <w:t>浓度mg/L</w:t>
            </w:r>
          </w:p>
        </w:tc>
        <w:tc>
          <w:tcPr>
            <w:tcW w:w="927" w:type="pct"/>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r>
              <w:rPr>
                <w:i w:val="0"/>
                <w:iCs w:val="0"/>
                <w:snapToGrid w:val="0"/>
                <w:color w:val="000000"/>
                <w:kern w:val="0"/>
                <w:sz w:val="21"/>
                <w:szCs w:val="21"/>
              </w:rPr>
              <w:t>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7" w:type="pct"/>
            <w:vMerge w:val="restart"/>
            <w:noWrap w:val="0"/>
            <w:vAlign w:val="center"/>
          </w:tcPr>
          <w:p>
            <w:pPr>
              <w:overflowPunct w:val="0"/>
              <w:autoSpaceDE w:val="0"/>
              <w:autoSpaceDN w:val="0"/>
              <w:adjustRightInd w:val="0"/>
              <w:snapToGrid w:val="0"/>
              <w:spacing w:before="48" w:beforeLines="20" w:after="48" w:afterLines="20"/>
              <w:jc w:val="center"/>
              <w:rPr>
                <w:rFonts w:hint="eastAsia"/>
                <w:i w:val="0"/>
                <w:iCs w:val="0"/>
                <w:snapToGrid w:val="0"/>
                <w:color w:val="000000"/>
                <w:kern w:val="0"/>
                <w:sz w:val="21"/>
                <w:szCs w:val="21"/>
              </w:rPr>
            </w:pPr>
            <w:r>
              <w:rPr>
                <w:rFonts w:hint="eastAsia"/>
                <w:i w:val="0"/>
                <w:iCs w:val="0"/>
                <w:snapToGrid w:val="0"/>
                <w:color w:val="000000"/>
                <w:kern w:val="0"/>
                <w:sz w:val="21"/>
                <w:szCs w:val="21"/>
              </w:rPr>
              <w:t>一期工程</w:t>
            </w:r>
          </w:p>
        </w:tc>
        <w:tc>
          <w:tcPr>
            <w:tcW w:w="913" w:type="pct"/>
            <w:vMerge w:val="restart"/>
            <w:noWrap w:val="0"/>
            <w:vAlign w:val="center"/>
          </w:tcPr>
          <w:p>
            <w:pPr>
              <w:overflowPunct w:val="0"/>
              <w:autoSpaceDE w:val="0"/>
              <w:autoSpaceDN w:val="0"/>
              <w:adjustRightInd w:val="0"/>
              <w:snapToGrid w:val="0"/>
              <w:spacing w:before="48" w:beforeLines="20" w:after="48" w:afterLines="20"/>
              <w:jc w:val="center"/>
              <w:rPr>
                <w:rFonts w:hint="eastAsia"/>
                <w:i w:val="0"/>
                <w:iCs w:val="0"/>
                <w:snapToGrid w:val="0"/>
                <w:color w:val="000000"/>
                <w:kern w:val="0"/>
                <w:sz w:val="21"/>
                <w:szCs w:val="21"/>
              </w:rPr>
            </w:pPr>
            <w:r>
              <w:rPr>
                <w:rFonts w:hint="eastAsia"/>
                <w:i w:val="0"/>
                <w:iCs w:val="0"/>
                <w:snapToGrid w:val="0"/>
                <w:color w:val="000000"/>
                <w:kern w:val="0"/>
                <w:sz w:val="21"/>
                <w:szCs w:val="21"/>
              </w:rPr>
              <w:t>洗罐废水及菌泥分离洗涤废水</w:t>
            </w:r>
          </w:p>
        </w:tc>
        <w:tc>
          <w:tcPr>
            <w:tcW w:w="815" w:type="pct"/>
            <w:vMerge w:val="restart"/>
            <w:noWrap w:val="0"/>
            <w:vAlign w:val="center"/>
          </w:tcPr>
          <w:p>
            <w:pPr>
              <w:overflowPunct w:val="0"/>
              <w:autoSpaceDE w:val="0"/>
              <w:autoSpaceDN w:val="0"/>
              <w:adjustRightInd w:val="0"/>
              <w:snapToGrid w:val="0"/>
              <w:spacing w:before="48" w:beforeLines="20" w:after="48" w:afterLines="20"/>
              <w:jc w:val="center"/>
              <w:rPr>
                <w:rFonts w:hint="default" w:eastAsia="宋体"/>
                <w:i w:val="0"/>
                <w:iCs w:val="0"/>
                <w:snapToGrid w:val="0"/>
                <w:color w:val="000000"/>
                <w:kern w:val="0"/>
                <w:sz w:val="21"/>
                <w:szCs w:val="21"/>
                <w:lang w:val="en-US" w:eastAsia="zh-CN"/>
              </w:rPr>
            </w:pPr>
            <w:r>
              <w:rPr>
                <w:rFonts w:hint="eastAsia"/>
                <w:i w:val="0"/>
                <w:iCs w:val="0"/>
                <w:snapToGrid w:val="0"/>
                <w:color w:val="000000"/>
                <w:kern w:val="0"/>
                <w:sz w:val="21"/>
                <w:szCs w:val="21"/>
                <w:lang w:val="en-US" w:eastAsia="zh-CN"/>
              </w:rPr>
              <w:t>7352.57</w:t>
            </w:r>
          </w:p>
        </w:tc>
        <w:tc>
          <w:tcPr>
            <w:tcW w:w="938" w:type="pct"/>
            <w:noWrap w:val="0"/>
            <w:vAlign w:val="center"/>
          </w:tcPr>
          <w:p>
            <w:pPr>
              <w:jc w:val="center"/>
              <w:rPr>
                <w:i w:val="0"/>
                <w:iCs w:val="0"/>
                <w:color w:val="000000"/>
                <w:sz w:val="21"/>
                <w:szCs w:val="21"/>
              </w:rPr>
            </w:pPr>
            <w:r>
              <w:rPr>
                <w:i w:val="0"/>
                <w:iCs w:val="0"/>
                <w:color w:val="000000"/>
                <w:sz w:val="21"/>
                <w:szCs w:val="21"/>
              </w:rPr>
              <w:t>COD</w:t>
            </w:r>
          </w:p>
        </w:tc>
        <w:tc>
          <w:tcPr>
            <w:tcW w:w="867" w:type="pct"/>
            <w:noWrap w:val="0"/>
            <w:vAlign w:val="center"/>
          </w:tcPr>
          <w:p>
            <w:pPr>
              <w:overflowPunct w:val="0"/>
              <w:autoSpaceDE w:val="0"/>
              <w:autoSpaceDN w:val="0"/>
              <w:adjustRightInd w:val="0"/>
              <w:snapToGrid w:val="0"/>
              <w:spacing w:before="48" w:beforeLines="20" w:after="48" w:afterLines="20"/>
              <w:jc w:val="center"/>
              <w:rPr>
                <w:rFonts w:hint="default" w:eastAsia="宋体"/>
                <w:i w:val="0"/>
                <w:iCs w:val="0"/>
                <w:snapToGrid w:val="0"/>
                <w:color w:val="000000"/>
                <w:kern w:val="0"/>
                <w:sz w:val="21"/>
                <w:szCs w:val="21"/>
                <w:lang w:val="en-US" w:eastAsia="zh-CN"/>
              </w:rPr>
            </w:pPr>
            <w:r>
              <w:rPr>
                <w:rFonts w:hint="eastAsia"/>
                <w:i w:val="0"/>
                <w:iCs w:val="0"/>
                <w:color w:val="000000"/>
                <w:sz w:val="21"/>
                <w:szCs w:val="21"/>
                <w:lang w:val="en-US" w:eastAsia="zh-CN"/>
              </w:rPr>
              <w:t>16140</w:t>
            </w:r>
          </w:p>
        </w:tc>
        <w:tc>
          <w:tcPr>
            <w:tcW w:w="1766" w:type="dxa"/>
            <w:noWrap w:val="0"/>
            <w:vAlign w:val="center"/>
          </w:tcPr>
          <w:p>
            <w:pPr>
              <w:widowControl/>
              <w:jc w:val="center"/>
              <w:rPr>
                <w:rFonts w:hint="eastAsia" w:ascii="Times New Roman" w:hAnsi="Times New Roman" w:eastAsia="宋体" w:cs="Times New Roman"/>
                <w:i w:val="0"/>
                <w:iCs w:val="0"/>
                <w:snapToGrid w:val="0"/>
                <w:color w:val="000000"/>
                <w:kern w:val="0"/>
                <w:sz w:val="21"/>
                <w:szCs w:val="21"/>
              </w:rPr>
            </w:pPr>
            <w:r>
              <w:rPr>
                <w:rFonts w:hint="eastAsia" w:ascii="Times New Roman" w:hAnsi="Times New Roman" w:eastAsia="宋体" w:cs="Times New Roman"/>
                <w:i w:val="0"/>
                <w:iCs w:val="0"/>
                <w:snapToGrid w:val="0"/>
                <w:color w:val="000000"/>
                <w:kern w:val="0"/>
                <w:sz w:val="21"/>
                <w:szCs w:val="21"/>
                <w:lang w:val="en-US" w:eastAsia="zh-CN"/>
              </w:rPr>
              <w:t xml:space="preserve">118.670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p>
        </w:tc>
        <w:tc>
          <w:tcPr>
            <w:tcW w:w="913" w:type="pct"/>
            <w:vMerge w:val="continue"/>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p>
        </w:tc>
        <w:tc>
          <w:tcPr>
            <w:tcW w:w="815" w:type="pct"/>
            <w:vMerge w:val="continue"/>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p>
        </w:tc>
        <w:tc>
          <w:tcPr>
            <w:tcW w:w="938" w:type="pct"/>
            <w:noWrap w:val="0"/>
            <w:vAlign w:val="center"/>
          </w:tcPr>
          <w:p>
            <w:pPr>
              <w:jc w:val="center"/>
              <w:rPr>
                <w:i w:val="0"/>
                <w:iCs w:val="0"/>
                <w:color w:val="000000"/>
                <w:sz w:val="21"/>
                <w:szCs w:val="21"/>
              </w:rPr>
            </w:pPr>
            <w:r>
              <w:rPr>
                <w:i w:val="0"/>
                <w:iCs w:val="0"/>
                <w:color w:val="000000"/>
                <w:sz w:val="21"/>
                <w:szCs w:val="21"/>
              </w:rPr>
              <w:t>SS</w:t>
            </w:r>
          </w:p>
        </w:tc>
        <w:tc>
          <w:tcPr>
            <w:tcW w:w="867" w:type="pct"/>
            <w:noWrap w:val="0"/>
            <w:vAlign w:val="center"/>
          </w:tcPr>
          <w:p>
            <w:pPr>
              <w:overflowPunct w:val="0"/>
              <w:autoSpaceDE w:val="0"/>
              <w:autoSpaceDN w:val="0"/>
              <w:adjustRightInd w:val="0"/>
              <w:snapToGrid w:val="0"/>
              <w:spacing w:before="48" w:beforeLines="20" w:after="48" w:afterLines="20"/>
              <w:jc w:val="center"/>
              <w:rPr>
                <w:rFonts w:hint="eastAsia"/>
                <w:i w:val="0"/>
                <w:iCs w:val="0"/>
                <w:snapToGrid w:val="0"/>
                <w:color w:val="000000"/>
                <w:kern w:val="0"/>
                <w:sz w:val="21"/>
                <w:szCs w:val="21"/>
              </w:rPr>
            </w:pPr>
            <w:r>
              <w:rPr>
                <w:rFonts w:hint="eastAsia"/>
                <w:i w:val="0"/>
                <w:iCs w:val="0"/>
                <w:color w:val="000000"/>
                <w:sz w:val="21"/>
                <w:szCs w:val="21"/>
              </w:rPr>
              <w:t>602</w:t>
            </w:r>
          </w:p>
        </w:tc>
        <w:tc>
          <w:tcPr>
            <w:tcW w:w="1766" w:type="dxa"/>
            <w:noWrap w:val="0"/>
            <w:vAlign w:val="center"/>
          </w:tcPr>
          <w:p>
            <w:pPr>
              <w:widowControl/>
              <w:jc w:val="center"/>
              <w:rPr>
                <w:rFonts w:hint="eastAsia" w:ascii="Times New Roman" w:hAnsi="Times New Roman" w:eastAsia="宋体" w:cs="Times New Roman"/>
                <w:i w:val="0"/>
                <w:iCs w:val="0"/>
                <w:snapToGrid w:val="0"/>
                <w:color w:val="000000"/>
                <w:kern w:val="0"/>
                <w:sz w:val="21"/>
                <w:szCs w:val="21"/>
              </w:rPr>
            </w:pPr>
            <w:r>
              <w:rPr>
                <w:rFonts w:hint="eastAsia" w:ascii="Times New Roman" w:hAnsi="Times New Roman" w:eastAsia="宋体" w:cs="Times New Roman"/>
                <w:i w:val="0"/>
                <w:iCs w:val="0"/>
                <w:snapToGrid w:val="0"/>
                <w:color w:val="000000"/>
                <w:kern w:val="0"/>
                <w:sz w:val="21"/>
                <w:szCs w:val="21"/>
                <w:lang w:val="en-US" w:eastAsia="zh-CN"/>
              </w:rPr>
              <w:t xml:space="preserve">4.426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p>
        </w:tc>
        <w:tc>
          <w:tcPr>
            <w:tcW w:w="913" w:type="pct"/>
            <w:vMerge w:val="continue"/>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p>
        </w:tc>
        <w:tc>
          <w:tcPr>
            <w:tcW w:w="815" w:type="pct"/>
            <w:vMerge w:val="continue"/>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p>
        </w:tc>
        <w:tc>
          <w:tcPr>
            <w:tcW w:w="938" w:type="pct"/>
            <w:noWrap w:val="0"/>
            <w:vAlign w:val="center"/>
          </w:tcPr>
          <w:p>
            <w:pPr>
              <w:jc w:val="center"/>
              <w:rPr>
                <w:rFonts w:hint="eastAsia"/>
                <w:i w:val="0"/>
                <w:iCs w:val="0"/>
                <w:color w:val="000000"/>
                <w:sz w:val="21"/>
                <w:szCs w:val="21"/>
              </w:rPr>
            </w:pPr>
            <w:r>
              <w:rPr>
                <w:i w:val="0"/>
                <w:iCs w:val="0"/>
                <w:color w:val="000000"/>
                <w:sz w:val="21"/>
                <w:szCs w:val="21"/>
              </w:rPr>
              <w:t>BOD</w:t>
            </w:r>
            <w:r>
              <w:rPr>
                <w:rFonts w:hint="eastAsia"/>
                <w:i w:val="0"/>
                <w:iCs w:val="0"/>
                <w:color w:val="000000"/>
                <w:sz w:val="21"/>
                <w:szCs w:val="21"/>
                <w:vertAlign w:val="subscript"/>
              </w:rPr>
              <w:t>5</w:t>
            </w:r>
          </w:p>
        </w:tc>
        <w:tc>
          <w:tcPr>
            <w:tcW w:w="867" w:type="pct"/>
            <w:noWrap w:val="0"/>
            <w:vAlign w:val="center"/>
          </w:tcPr>
          <w:p>
            <w:pPr>
              <w:overflowPunct w:val="0"/>
              <w:autoSpaceDE w:val="0"/>
              <w:autoSpaceDN w:val="0"/>
              <w:adjustRightInd w:val="0"/>
              <w:snapToGrid w:val="0"/>
              <w:spacing w:before="48" w:beforeLines="20" w:after="48" w:afterLines="20"/>
              <w:jc w:val="center"/>
              <w:rPr>
                <w:rFonts w:hint="default" w:eastAsia="宋体"/>
                <w:i w:val="0"/>
                <w:iCs w:val="0"/>
                <w:snapToGrid w:val="0"/>
                <w:color w:val="000000"/>
                <w:kern w:val="0"/>
                <w:sz w:val="21"/>
                <w:szCs w:val="21"/>
                <w:lang w:val="en-US" w:eastAsia="zh-CN"/>
              </w:rPr>
            </w:pPr>
            <w:r>
              <w:rPr>
                <w:rFonts w:hint="eastAsia"/>
                <w:i w:val="0"/>
                <w:iCs w:val="0"/>
                <w:color w:val="000000"/>
                <w:sz w:val="21"/>
                <w:szCs w:val="21"/>
                <w:lang w:val="en-US" w:eastAsia="zh-CN"/>
              </w:rPr>
              <w:t>5600</w:t>
            </w:r>
          </w:p>
        </w:tc>
        <w:tc>
          <w:tcPr>
            <w:tcW w:w="1766" w:type="dxa"/>
            <w:noWrap w:val="0"/>
            <w:vAlign w:val="center"/>
          </w:tcPr>
          <w:p>
            <w:pPr>
              <w:widowControl/>
              <w:jc w:val="center"/>
              <w:rPr>
                <w:rFonts w:hint="eastAsia" w:ascii="Times New Roman" w:hAnsi="Times New Roman" w:eastAsia="宋体" w:cs="Times New Roman"/>
                <w:i w:val="0"/>
                <w:iCs w:val="0"/>
                <w:snapToGrid w:val="0"/>
                <w:color w:val="000000"/>
                <w:kern w:val="0"/>
                <w:sz w:val="21"/>
                <w:szCs w:val="21"/>
              </w:rPr>
            </w:pPr>
            <w:r>
              <w:rPr>
                <w:rFonts w:hint="eastAsia" w:ascii="Times New Roman" w:hAnsi="Times New Roman" w:eastAsia="宋体" w:cs="Times New Roman"/>
                <w:i w:val="0"/>
                <w:iCs w:val="0"/>
                <w:snapToGrid w:val="0"/>
                <w:color w:val="000000"/>
                <w:kern w:val="0"/>
                <w:sz w:val="21"/>
                <w:szCs w:val="21"/>
                <w:lang w:val="en-US" w:eastAsia="zh-CN"/>
              </w:rPr>
              <w:t xml:space="preserve">41.174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p>
        </w:tc>
        <w:tc>
          <w:tcPr>
            <w:tcW w:w="913" w:type="pct"/>
            <w:vMerge w:val="continue"/>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p>
        </w:tc>
        <w:tc>
          <w:tcPr>
            <w:tcW w:w="815" w:type="pct"/>
            <w:vMerge w:val="continue"/>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p>
        </w:tc>
        <w:tc>
          <w:tcPr>
            <w:tcW w:w="938" w:type="pct"/>
            <w:noWrap w:val="0"/>
            <w:vAlign w:val="center"/>
          </w:tcPr>
          <w:p>
            <w:pPr>
              <w:jc w:val="center"/>
              <w:rPr>
                <w:i w:val="0"/>
                <w:iCs w:val="0"/>
                <w:color w:val="000000"/>
                <w:sz w:val="21"/>
                <w:szCs w:val="21"/>
              </w:rPr>
            </w:pPr>
            <w:r>
              <w:rPr>
                <w:i w:val="0"/>
                <w:iCs w:val="0"/>
                <w:color w:val="000000"/>
                <w:sz w:val="21"/>
                <w:szCs w:val="21"/>
              </w:rPr>
              <w:t>氨氮</w:t>
            </w:r>
          </w:p>
        </w:tc>
        <w:tc>
          <w:tcPr>
            <w:tcW w:w="867" w:type="pct"/>
            <w:noWrap w:val="0"/>
            <w:vAlign w:val="center"/>
          </w:tcPr>
          <w:p>
            <w:pPr>
              <w:overflowPunct w:val="0"/>
              <w:autoSpaceDE w:val="0"/>
              <w:autoSpaceDN w:val="0"/>
              <w:adjustRightInd w:val="0"/>
              <w:snapToGrid w:val="0"/>
              <w:spacing w:before="48" w:beforeLines="20" w:after="48" w:afterLines="20"/>
              <w:jc w:val="center"/>
              <w:rPr>
                <w:rFonts w:hint="eastAsia"/>
                <w:i w:val="0"/>
                <w:iCs w:val="0"/>
                <w:snapToGrid w:val="0"/>
                <w:color w:val="000000"/>
                <w:kern w:val="0"/>
                <w:sz w:val="21"/>
                <w:szCs w:val="21"/>
              </w:rPr>
            </w:pPr>
            <w:r>
              <w:rPr>
                <w:rFonts w:hint="eastAsia"/>
                <w:i w:val="0"/>
                <w:iCs w:val="0"/>
                <w:color w:val="000000"/>
                <w:sz w:val="21"/>
                <w:szCs w:val="21"/>
              </w:rPr>
              <w:t>35</w:t>
            </w:r>
          </w:p>
        </w:tc>
        <w:tc>
          <w:tcPr>
            <w:tcW w:w="1766" w:type="dxa"/>
            <w:noWrap w:val="0"/>
            <w:vAlign w:val="center"/>
          </w:tcPr>
          <w:p>
            <w:pPr>
              <w:widowControl/>
              <w:jc w:val="center"/>
              <w:rPr>
                <w:rFonts w:hint="eastAsia" w:ascii="Times New Roman" w:hAnsi="Times New Roman" w:eastAsia="宋体" w:cs="Times New Roman"/>
                <w:i w:val="0"/>
                <w:iCs w:val="0"/>
                <w:snapToGrid w:val="0"/>
                <w:color w:val="000000"/>
                <w:kern w:val="0"/>
                <w:sz w:val="21"/>
                <w:szCs w:val="21"/>
              </w:rPr>
            </w:pPr>
            <w:r>
              <w:rPr>
                <w:rFonts w:hint="eastAsia" w:ascii="Times New Roman" w:hAnsi="Times New Roman" w:eastAsia="宋体" w:cs="Times New Roman"/>
                <w:i w:val="0"/>
                <w:iCs w:val="0"/>
                <w:snapToGrid w:val="0"/>
                <w:color w:val="000000"/>
                <w:kern w:val="0"/>
                <w:sz w:val="21"/>
                <w:szCs w:val="21"/>
                <w:lang w:val="en-US" w:eastAsia="zh-CN"/>
              </w:rPr>
              <w:t xml:space="preserve">0.257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7" w:type="pct"/>
            <w:vMerge w:val="continue"/>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p>
        </w:tc>
        <w:tc>
          <w:tcPr>
            <w:tcW w:w="913" w:type="pct"/>
            <w:vMerge w:val="restart"/>
            <w:noWrap w:val="0"/>
            <w:vAlign w:val="center"/>
          </w:tcPr>
          <w:p>
            <w:pPr>
              <w:overflowPunct w:val="0"/>
              <w:autoSpaceDE w:val="0"/>
              <w:autoSpaceDN w:val="0"/>
              <w:adjustRightInd w:val="0"/>
              <w:snapToGrid w:val="0"/>
              <w:spacing w:before="48" w:beforeLines="20" w:after="48" w:afterLines="20"/>
              <w:jc w:val="center"/>
              <w:rPr>
                <w:rFonts w:hint="eastAsia"/>
                <w:i w:val="0"/>
                <w:iCs w:val="0"/>
                <w:snapToGrid w:val="0"/>
                <w:color w:val="000000"/>
                <w:kern w:val="0"/>
                <w:sz w:val="21"/>
                <w:szCs w:val="21"/>
              </w:rPr>
            </w:pPr>
            <w:r>
              <w:rPr>
                <w:rFonts w:hint="eastAsia"/>
                <w:i w:val="0"/>
                <w:iCs w:val="0"/>
                <w:snapToGrid w:val="0"/>
                <w:color w:val="000000"/>
                <w:kern w:val="0"/>
                <w:sz w:val="21"/>
                <w:szCs w:val="21"/>
              </w:rPr>
              <w:t>车间冲洗水</w:t>
            </w:r>
          </w:p>
        </w:tc>
        <w:tc>
          <w:tcPr>
            <w:tcW w:w="815" w:type="pct"/>
            <w:vMerge w:val="restart"/>
            <w:noWrap w:val="0"/>
            <w:vAlign w:val="center"/>
          </w:tcPr>
          <w:p>
            <w:pPr>
              <w:overflowPunct w:val="0"/>
              <w:autoSpaceDE w:val="0"/>
              <w:autoSpaceDN w:val="0"/>
              <w:adjustRightInd w:val="0"/>
              <w:snapToGrid w:val="0"/>
              <w:spacing w:before="48" w:beforeLines="20" w:after="48" w:afterLines="20"/>
              <w:jc w:val="center"/>
              <w:rPr>
                <w:rFonts w:hint="default" w:eastAsia="宋体"/>
                <w:i w:val="0"/>
                <w:iCs w:val="0"/>
                <w:snapToGrid w:val="0"/>
                <w:color w:val="000000"/>
                <w:kern w:val="0"/>
                <w:sz w:val="21"/>
                <w:szCs w:val="21"/>
                <w:lang w:val="en-US" w:eastAsia="zh-CN"/>
              </w:rPr>
            </w:pPr>
            <w:r>
              <w:rPr>
                <w:rFonts w:hint="eastAsia"/>
                <w:i w:val="0"/>
                <w:iCs w:val="0"/>
                <w:snapToGrid w:val="0"/>
                <w:color w:val="000000"/>
                <w:kern w:val="0"/>
                <w:sz w:val="21"/>
                <w:szCs w:val="21"/>
                <w:lang w:val="en-US" w:eastAsia="zh-CN"/>
              </w:rPr>
              <w:t>895.72</w:t>
            </w:r>
          </w:p>
        </w:tc>
        <w:tc>
          <w:tcPr>
            <w:tcW w:w="938" w:type="pct"/>
            <w:noWrap w:val="0"/>
            <w:vAlign w:val="center"/>
          </w:tcPr>
          <w:p>
            <w:pPr>
              <w:jc w:val="center"/>
              <w:rPr>
                <w:rFonts w:hint="eastAsia"/>
                <w:i w:val="0"/>
                <w:iCs w:val="0"/>
                <w:color w:val="000000"/>
                <w:sz w:val="21"/>
                <w:szCs w:val="21"/>
              </w:rPr>
            </w:pPr>
            <w:r>
              <w:rPr>
                <w:i w:val="0"/>
                <w:iCs w:val="0"/>
                <w:color w:val="000000"/>
                <w:sz w:val="21"/>
                <w:szCs w:val="21"/>
              </w:rPr>
              <w:t>COD</w:t>
            </w:r>
          </w:p>
        </w:tc>
        <w:tc>
          <w:tcPr>
            <w:tcW w:w="867" w:type="pct"/>
            <w:noWrap w:val="0"/>
            <w:vAlign w:val="center"/>
          </w:tcPr>
          <w:p>
            <w:pPr>
              <w:overflowPunct w:val="0"/>
              <w:autoSpaceDE w:val="0"/>
              <w:autoSpaceDN w:val="0"/>
              <w:adjustRightInd w:val="0"/>
              <w:snapToGrid w:val="0"/>
              <w:spacing w:before="48" w:beforeLines="20" w:after="48" w:afterLines="20"/>
              <w:jc w:val="center"/>
              <w:rPr>
                <w:rFonts w:hint="eastAsia"/>
                <w:i w:val="0"/>
                <w:iCs w:val="0"/>
                <w:snapToGrid w:val="0"/>
                <w:color w:val="000000"/>
                <w:kern w:val="0"/>
                <w:sz w:val="21"/>
                <w:szCs w:val="21"/>
              </w:rPr>
            </w:pPr>
            <w:r>
              <w:rPr>
                <w:rFonts w:hint="eastAsia"/>
                <w:i w:val="0"/>
                <w:iCs w:val="0"/>
                <w:snapToGrid w:val="0"/>
                <w:color w:val="000000"/>
                <w:kern w:val="0"/>
                <w:sz w:val="21"/>
                <w:szCs w:val="21"/>
              </w:rPr>
              <w:t>400</w:t>
            </w:r>
          </w:p>
        </w:tc>
        <w:tc>
          <w:tcPr>
            <w:tcW w:w="1766" w:type="dxa"/>
            <w:noWrap w:val="0"/>
            <w:vAlign w:val="center"/>
          </w:tcPr>
          <w:p>
            <w:pPr>
              <w:widowControl/>
              <w:jc w:val="center"/>
              <w:rPr>
                <w:rFonts w:hint="eastAsia" w:ascii="Times New Roman" w:hAnsi="Times New Roman" w:eastAsia="宋体" w:cs="Times New Roman"/>
                <w:i w:val="0"/>
                <w:iCs w:val="0"/>
                <w:snapToGrid w:val="0"/>
                <w:color w:val="000000"/>
                <w:kern w:val="0"/>
                <w:sz w:val="21"/>
                <w:szCs w:val="21"/>
              </w:rPr>
            </w:pPr>
            <w:r>
              <w:rPr>
                <w:rFonts w:hint="eastAsia" w:ascii="Times New Roman" w:hAnsi="Times New Roman" w:eastAsia="宋体" w:cs="Times New Roman"/>
                <w:i w:val="0"/>
                <w:iCs w:val="0"/>
                <w:snapToGrid w:val="0"/>
                <w:color w:val="000000"/>
                <w:kern w:val="0"/>
                <w:sz w:val="21"/>
                <w:szCs w:val="21"/>
                <w:lang w:val="en-US" w:eastAsia="zh-CN"/>
              </w:rPr>
              <w:t xml:space="preserve">0.358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p>
        </w:tc>
        <w:tc>
          <w:tcPr>
            <w:tcW w:w="913" w:type="pct"/>
            <w:vMerge w:val="continue"/>
            <w:noWrap w:val="0"/>
            <w:vAlign w:val="center"/>
          </w:tcPr>
          <w:p>
            <w:pPr>
              <w:overflowPunct w:val="0"/>
              <w:autoSpaceDE w:val="0"/>
              <w:autoSpaceDN w:val="0"/>
              <w:adjustRightInd w:val="0"/>
              <w:snapToGrid w:val="0"/>
              <w:spacing w:before="48" w:beforeLines="20" w:after="48" w:afterLines="20"/>
              <w:jc w:val="center"/>
              <w:rPr>
                <w:rFonts w:hint="eastAsia"/>
                <w:i w:val="0"/>
                <w:iCs w:val="0"/>
                <w:snapToGrid w:val="0"/>
                <w:color w:val="000000"/>
                <w:kern w:val="0"/>
                <w:sz w:val="21"/>
                <w:szCs w:val="21"/>
              </w:rPr>
            </w:pPr>
          </w:p>
        </w:tc>
        <w:tc>
          <w:tcPr>
            <w:tcW w:w="815" w:type="pct"/>
            <w:vMerge w:val="continue"/>
            <w:noWrap w:val="0"/>
            <w:vAlign w:val="center"/>
          </w:tcPr>
          <w:p>
            <w:pPr>
              <w:overflowPunct w:val="0"/>
              <w:autoSpaceDE w:val="0"/>
              <w:autoSpaceDN w:val="0"/>
              <w:adjustRightInd w:val="0"/>
              <w:snapToGrid w:val="0"/>
              <w:spacing w:before="48" w:beforeLines="20" w:after="48" w:afterLines="20"/>
              <w:jc w:val="center"/>
              <w:rPr>
                <w:rFonts w:hint="eastAsia"/>
                <w:i w:val="0"/>
                <w:iCs w:val="0"/>
                <w:snapToGrid w:val="0"/>
                <w:color w:val="000000"/>
                <w:kern w:val="0"/>
                <w:sz w:val="21"/>
                <w:szCs w:val="21"/>
              </w:rPr>
            </w:pPr>
          </w:p>
        </w:tc>
        <w:tc>
          <w:tcPr>
            <w:tcW w:w="938" w:type="pct"/>
            <w:noWrap w:val="0"/>
            <w:vAlign w:val="center"/>
          </w:tcPr>
          <w:p>
            <w:pPr>
              <w:jc w:val="center"/>
              <w:rPr>
                <w:i w:val="0"/>
                <w:iCs w:val="0"/>
                <w:color w:val="000000"/>
                <w:sz w:val="21"/>
                <w:szCs w:val="21"/>
              </w:rPr>
            </w:pPr>
            <w:r>
              <w:rPr>
                <w:rFonts w:hint="eastAsia"/>
                <w:i w:val="0"/>
                <w:iCs w:val="0"/>
                <w:color w:val="000000"/>
                <w:sz w:val="21"/>
                <w:szCs w:val="21"/>
              </w:rPr>
              <w:t>SS</w:t>
            </w:r>
          </w:p>
        </w:tc>
        <w:tc>
          <w:tcPr>
            <w:tcW w:w="867" w:type="pct"/>
            <w:noWrap w:val="0"/>
            <w:vAlign w:val="center"/>
          </w:tcPr>
          <w:p>
            <w:pPr>
              <w:overflowPunct w:val="0"/>
              <w:autoSpaceDE w:val="0"/>
              <w:autoSpaceDN w:val="0"/>
              <w:adjustRightInd w:val="0"/>
              <w:snapToGrid w:val="0"/>
              <w:spacing w:before="48" w:beforeLines="20" w:after="48" w:afterLines="20"/>
              <w:jc w:val="center"/>
              <w:rPr>
                <w:rFonts w:hint="eastAsia"/>
                <w:i w:val="0"/>
                <w:iCs w:val="0"/>
                <w:snapToGrid w:val="0"/>
                <w:color w:val="000000"/>
                <w:kern w:val="0"/>
                <w:sz w:val="21"/>
                <w:szCs w:val="21"/>
              </w:rPr>
            </w:pPr>
            <w:r>
              <w:rPr>
                <w:rFonts w:hint="eastAsia"/>
                <w:i w:val="0"/>
                <w:iCs w:val="0"/>
                <w:snapToGrid w:val="0"/>
                <w:color w:val="000000"/>
                <w:kern w:val="0"/>
                <w:sz w:val="21"/>
                <w:szCs w:val="21"/>
              </w:rPr>
              <w:t>300</w:t>
            </w:r>
          </w:p>
        </w:tc>
        <w:tc>
          <w:tcPr>
            <w:tcW w:w="1766" w:type="dxa"/>
            <w:noWrap w:val="0"/>
            <w:vAlign w:val="center"/>
          </w:tcPr>
          <w:p>
            <w:pPr>
              <w:widowControl/>
              <w:jc w:val="center"/>
              <w:rPr>
                <w:rFonts w:hint="eastAsia" w:ascii="Times New Roman" w:hAnsi="Times New Roman" w:eastAsia="宋体" w:cs="Times New Roman"/>
                <w:i w:val="0"/>
                <w:iCs w:val="0"/>
                <w:snapToGrid w:val="0"/>
                <w:color w:val="000000"/>
                <w:kern w:val="0"/>
                <w:sz w:val="21"/>
                <w:szCs w:val="21"/>
              </w:rPr>
            </w:pPr>
            <w:r>
              <w:rPr>
                <w:rFonts w:hint="eastAsia" w:ascii="Times New Roman" w:hAnsi="Times New Roman" w:eastAsia="宋体" w:cs="Times New Roman"/>
                <w:i w:val="0"/>
                <w:iCs w:val="0"/>
                <w:snapToGrid w:val="0"/>
                <w:color w:val="000000"/>
                <w:kern w:val="0"/>
                <w:sz w:val="21"/>
                <w:szCs w:val="21"/>
                <w:lang w:val="en-US" w:eastAsia="zh-CN"/>
              </w:rPr>
              <w:t xml:space="preserve">0.269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537" w:type="pct"/>
            <w:vMerge w:val="continue"/>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p>
        </w:tc>
        <w:tc>
          <w:tcPr>
            <w:tcW w:w="913" w:type="pct"/>
            <w:vMerge w:val="restart"/>
            <w:noWrap w:val="0"/>
            <w:vAlign w:val="center"/>
          </w:tcPr>
          <w:p>
            <w:pPr>
              <w:overflowPunct w:val="0"/>
              <w:autoSpaceDE w:val="0"/>
              <w:autoSpaceDN w:val="0"/>
              <w:adjustRightInd w:val="0"/>
              <w:snapToGrid w:val="0"/>
              <w:spacing w:before="48" w:beforeLines="20" w:after="48" w:afterLines="20"/>
              <w:jc w:val="center"/>
              <w:rPr>
                <w:rFonts w:hint="eastAsia"/>
                <w:i w:val="0"/>
                <w:iCs w:val="0"/>
                <w:snapToGrid w:val="0"/>
                <w:color w:val="000000"/>
                <w:kern w:val="0"/>
                <w:sz w:val="21"/>
                <w:szCs w:val="21"/>
              </w:rPr>
            </w:pPr>
          </w:p>
          <w:p>
            <w:pPr>
              <w:overflowPunct w:val="0"/>
              <w:autoSpaceDE w:val="0"/>
              <w:autoSpaceDN w:val="0"/>
              <w:adjustRightInd w:val="0"/>
              <w:snapToGrid w:val="0"/>
              <w:spacing w:before="48" w:beforeLines="20" w:after="48" w:afterLines="20"/>
              <w:jc w:val="center"/>
              <w:rPr>
                <w:rFonts w:hint="default" w:eastAsia="宋体"/>
                <w:i w:val="0"/>
                <w:iCs w:val="0"/>
                <w:snapToGrid w:val="0"/>
                <w:color w:val="000000"/>
                <w:kern w:val="0"/>
                <w:sz w:val="21"/>
                <w:szCs w:val="21"/>
                <w:lang w:val="en-US" w:eastAsia="zh-CN"/>
              </w:rPr>
            </w:pPr>
            <w:r>
              <w:rPr>
                <w:rFonts w:hint="eastAsia"/>
                <w:i w:val="0"/>
                <w:iCs w:val="0"/>
                <w:snapToGrid w:val="0"/>
                <w:color w:val="000000"/>
                <w:kern w:val="0"/>
                <w:sz w:val="21"/>
                <w:szCs w:val="21"/>
              </w:rPr>
              <w:t>循环水系统排水</w:t>
            </w:r>
            <w:r>
              <w:rPr>
                <w:rFonts w:hint="eastAsia"/>
                <w:i w:val="0"/>
                <w:iCs w:val="0"/>
                <w:snapToGrid w:val="0"/>
                <w:color w:val="000000"/>
                <w:kern w:val="0"/>
                <w:sz w:val="21"/>
                <w:szCs w:val="21"/>
                <w:lang w:val="en-US" w:eastAsia="zh-CN"/>
              </w:rPr>
              <w:t>及冷凝水</w:t>
            </w:r>
          </w:p>
        </w:tc>
        <w:tc>
          <w:tcPr>
            <w:tcW w:w="815" w:type="pct"/>
            <w:vMerge w:val="restart"/>
            <w:noWrap w:val="0"/>
            <w:vAlign w:val="center"/>
          </w:tcPr>
          <w:p>
            <w:pPr>
              <w:overflowPunct w:val="0"/>
              <w:autoSpaceDE w:val="0"/>
              <w:autoSpaceDN w:val="0"/>
              <w:adjustRightInd w:val="0"/>
              <w:snapToGrid w:val="0"/>
              <w:spacing w:before="48" w:beforeLines="20" w:after="48" w:afterLines="20"/>
              <w:jc w:val="center"/>
              <w:rPr>
                <w:rFonts w:hint="default" w:eastAsia="宋体"/>
                <w:i w:val="0"/>
                <w:iCs w:val="0"/>
                <w:snapToGrid w:val="0"/>
                <w:color w:val="000000"/>
                <w:kern w:val="0"/>
                <w:sz w:val="21"/>
                <w:szCs w:val="21"/>
                <w:lang w:val="en-US" w:eastAsia="zh-CN"/>
              </w:rPr>
            </w:pPr>
            <w:r>
              <w:rPr>
                <w:rFonts w:hint="eastAsia"/>
                <w:i w:val="0"/>
                <w:iCs w:val="0"/>
                <w:snapToGrid w:val="0"/>
                <w:color w:val="000000"/>
                <w:kern w:val="0"/>
                <w:sz w:val="21"/>
                <w:szCs w:val="21"/>
                <w:lang w:val="en-US" w:eastAsia="zh-CN"/>
              </w:rPr>
              <w:t>23130.23</w:t>
            </w:r>
          </w:p>
        </w:tc>
        <w:tc>
          <w:tcPr>
            <w:tcW w:w="938" w:type="pct"/>
            <w:noWrap w:val="0"/>
            <w:vAlign w:val="center"/>
          </w:tcPr>
          <w:p>
            <w:pPr>
              <w:widowControl/>
              <w:jc w:val="center"/>
              <w:rPr>
                <w:rFonts w:hint="eastAsia"/>
                <w:i w:val="0"/>
                <w:iCs w:val="0"/>
                <w:color w:val="000000"/>
                <w:sz w:val="21"/>
                <w:szCs w:val="21"/>
              </w:rPr>
            </w:pPr>
            <w:r>
              <w:rPr>
                <w:rFonts w:hint="eastAsia"/>
                <w:i w:val="0"/>
                <w:iCs w:val="0"/>
                <w:color w:val="000000"/>
                <w:kern w:val="0"/>
                <w:sz w:val="21"/>
                <w:szCs w:val="21"/>
              </w:rPr>
              <w:t>COD</w:t>
            </w:r>
          </w:p>
        </w:tc>
        <w:tc>
          <w:tcPr>
            <w:tcW w:w="867" w:type="pct"/>
            <w:noWrap w:val="0"/>
            <w:vAlign w:val="center"/>
          </w:tcPr>
          <w:p>
            <w:pPr>
              <w:widowControl/>
              <w:jc w:val="center"/>
              <w:rPr>
                <w:rFonts w:hint="eastAsia"/>
                <w:i w:val="0"/>
                <w:iCs w:val="0"/>
                <w:snapToGrid w:val="0"/>
                <w:color w:val="000000"/>
                <w:kern w:val="0"/>
                <w:sz w:val="21"/>
                <w:szCs w:val="21"/>
              </w:rPr>
            </w:pPr>
            <w:r>
              <w:rPr>
                <w:rFonts w:hint="eastAsia"/>
                <w:i w:val="0"/>
                <w:iCs w:val="0"/>
                <w:color w:val="000000"/>
                <w:kern w:val="0"/>
                <w:sz w:val="21"/>
                <w:szCs w:val="21"/>
              </w:rPr>
              <w:t>50</w:t>
            </w:r>
          </w:p>
        </w:tc>
        <w:tc>
          <w:tcPr>
            <w:tcW w:w="1766" w:type="dxa"/>
            <w:noWrap w:val="0"/>
            <w:vAlign w:val="center"/>
          </w:tcPr>
          <w:p>
            <w:pPr>
              <w:widowControl/>
              <w:jc w:val="center"/>
              <w:rPr>
                <w:rFonts w:hint="eastAsia" w:ascii="Times New Roman" w:hAnsi="Times New Roman" w:eastAsia="宋体" w:cs="Times New Roman"/>
                <w:i w:val="0"/>
                <w:iCs w:val="0"/>
                <w:snapToGrid w:val="0"/>
                <w:color w:val="000000"/>
                <w:kern w:val="0"/>
                <w:sz w:val="21"/>
                <w:szCs w:val="21"/>
              </w:rPr>
            </w:pPr>
            <w:r>
              <w:rPr>
                <w:rFonts w:hint="eastAsia" w:ascii="Times New Roman" w:hAnsi="Times New Roman" w:eastAsia="宋体" w:cs="Times New Roman"/>
                <w:i w:val="0"/>
                <w:iCs w:val="0"/>
                <w:snapToGrid w:val="0"/>
                <w:color w:val="000000"/>
                <w:kern w:val="0"/>
                <w:sz w:val="21"/>
                <w:szCs w:val="21"/>
                <w:lang w:val="en-US" w:eastAsia="zh-CN"/>
              </w:rPr>
              <w:t xml:space="preserve">1.157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537" w:type="pct"/>
            <w:vMerge w:val="continue"/>
            <w:noWrap w:val="0"/>
            <w:vAlign w:val="center"/>
          </w:tcPr>
          <w:p>
            <w:pPr>
              <w:jc w:val="center"/>
              <w:rPr>
                <w:i w:val="0"/>
                <w:iCs w:val="0"/>
              </w:rPr>
            </w:pPr>
          </w:p>
        </w:tc>
        <w:tc>
          <w:tcPr>
            <w:tcW w:w="913" w:type="pct"/>
            <w:vMerge w:val="continue"/>
            <w:noWrap w:val="0"/>
            <w:vAlign w:val="center"/>
          </w:tcPr>
          <w:p>
            <w:pPr>
              <w:jc w:val="center"/>
              <w:rPr>
                <w:i w:val="0"/>
                <w:iCs w:val="0"/>
              </w:rPr>
            </w:pPr>
          </w:p>
        </w:tc>
        <w:tc>
          <w:tcPr>
            <w:tcW w:w="815" w:type="pct"/>
            <w:vMerge w:val="continue"/>
            <w:noWrap w:val="0"/>
            <w:vAlign w:val="center"/>
          </w:tcPr>
          <w:p>
            <w:pPr>
              <w:jc w:val="center"/>
              <w:rPr>
                <w:i w:val="0"/>
                <w:iCs w:val="0"/>
              </w:rPr>
            </w:pPr>
          </w:p>
        </w:tc>
        <w:tc>
          <w:tcPr>
            <w:tcW w:w="938" w:type="pct"/>
            <w:noWrap w:val="0"/>
            <w:vAlign w:val="center"/>
          </w:tcPr>
          <w:p>
            <w:pPr>
              <w:widowControl/>
              <w:jc w:val="center"/>
              <w:rPr>
                <w:rFonts w:hint="eastAsia"/>
                <w:i w:val="0"/>
                <w:iCs w:val="0"/>
                <w:color w:val="000000"/>
                <w:sz w:val="21"/>
                <w:szCs w:val="21"/>
              </w:rPr>
            </w:pPr>
            <w:r>
              <w:rPr>
                <w:rFonts w:hint="eastAsia"/>
                <w:i w:val="0"/>
                <w:iCs w:val="0"/>
                <w:color w:val="000000"/>
                <w:kern w:val="0"/>
                <w:sz w:val="21"/>
                <w:szCs w:val="21"/>
              </w:rPr>
              <w:t>BOD</w:t>
            </w:r>
            <w:r>
              <w:rPr>
                <w:rFonts w:hint="eastAsia"/>
                <w:i w:val="0"/>
                <w:iCs w:val="0"/>
                <w:color w:val="000000"/>
                <w:kern w:val="0"/>
                <w:sz w:val="21"/>
                <w:szCs w:val="21"/>
                <w:vertAlign w:val="subscript"/>
              </w:rPr>
              <w:t>5</w:t>
            </w:r>
          </w:p>
        </w:tc>
        <w:tc>
          <w:tcPr>
            <w:tcW w:w="867" w:type="pct"/>
            <w:noWrap w:val="0"/>
            <w:vAlign w:val="center"/>
          </w:tcPr>
          <w:p>
            <w:pPr>
              <w:widowControl/>
              <w:jc w:val="center"/>
              <w:rPr>
                <w:rFonts w:hint="eastAsia"/>
                <w:i w:val="0"/>
                <w:iCs w:val="0"/>
                <w:color w:val="000000"/>
                <w:sz w:val="21"/>
                <w:szCs w:val="21"/>
              </w:rPr>
            </w:pPr>
            <w:r>
              <w:rPr>
                <w:rFonts w:hint="eastAsia"/>
                <w:i w:val="0"/>
                <w:iCs w:val="0"/>
                <w:color w:val="000000"/>
                <w:kern w:val="0"/>
                <w:sz w:val="21"/>
                <w:szCs w:val="21"/>
              </w:rPr>
              <w:t>15</w:t>
            </w:r>
          </w:p>
        </w:tc>
        <w:tc>
          <w:tcPr>
            <w:tcW w:w="1766" w:type="dxa"/>
            <w:noWrap w:val="0"/>
            <w:vAlign w:val="center"/>
          </w:tcPr>
          <w:p>
            <w:pPr>
              <w:widowControl/>
              <w:jc w:val="center"/>
              <w:rPr>
                <w:rFonts w:hint="eastAsia" w:ascii="Times New Roman" w:hAnsi="Times New Roman" w:eastAsia="宋体" w:cs="Times New Roman"/>
                <w:i w:val="0"/>
                <w:iCs w:val="0"/>
                <w:snapToGrid w:val="0"/>
                <w:color w:val="000000"/>
                <w:kern w:val="0"/>
                <w:sz w:val="21"/>
                <w:szCs w:val="21"/>
              </w:rPr>
            </w:pPr>
            <w:r>
              <w:rPr>
                <w:rFonts w:hint="eastAsia" w:ascii="Times New Roman" w:hAnsi="Times New Roman" w:eastAsia="宋体" w:cs="Times New Roman"/>
                <w:i w:val="0"/>
                <w:iCs w:val="0"/>
                <w:snapToGrid w:val="0"/>
                <w:color w:val="000000"/>
                <w:kern w:val="0"/>
                <w:sz w:val="21"/>
                <w:szCs w:val="21"/>
                <w:lang w:val="en-US" w:eastAsia="zh-CN"/>
              </w:rPr>
              <w:t xml:space="preserve">0.347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537" w:type="pct"/>
            <w:vMerge w:val="continue"/>
            <w:noWrap w:val="0"/>
            <w:vAlign w:val="center"/>
          </w:tcPr>
          <w:p>
            <w:pPr>
              <w:jc w:val="center"/>
              <w:rPr>
                <w:rFonts w:hint="eastAsia"/>
                <w:i w:val="0"/>
                <w:iCs w:val="0"/>
                <w:color w:val="000000"/>
                <w:sz w:val="21"/>
                <w:szCs w:val="21"/>
              </w:rPr>
            </w:pPr>
          </w:p>
        </w:tc>
        <w:tc>
          <w:tcPr>
            <w:tcW w:w="913" w:type="pct"/>
            <w:vMerge w:val="continue"/>
            <w:noWrap w:val="0"/>
            <w:vAlign w:val="center"/>
          </w:tcPr>
          <w:p>
            <w:pPr>
              <w:jc w:val="center"/>
              <w:rPr>
                <w:rFonts w:hint="eastAsia"/>
                <w:i w:val="0"/>
                <w:iCs w:val="0"/>
                <w:color w:val="000000"/>
                <w:sz w:val="21"/>
                <w:szCs w:val="21"/>
              </w:rPr>
            </w:pPr>
          </w:p>
        </w:tc>
        <w:tc>
          <w:tcPr>
            <w:tcW w:w="815" w:type="pct"/>
            <w:vMerge w:val="continue"/>
            <w:noWrap w:val="0"/>
            <w:vAlign w:val="center"/>
          </w:tcPr>
          <w:p>
            <w:pPr>
              <w:jc w:val="center"/>
              <w:rPr>
                <w:rFonts w:hint="eastAsia"/>
                <w:i w:val="0"/>
                <w:iCs w:val="0"/>
                <w:color w:val="000000"/>
                <w:sz w:val="21"/>
                <w:szCs w:val="21"/>
              </w:rPr>
            </w:pPr>
          </w:p>
        </w:tc>
        <w:tc>
          <w:tcPr>
            <w:tcW w:w="938" w:type="pct"/>
            <w:noWrap w:val="0"/>
            <w:vAlign w:val="center"/>
          </w:tcPr>
          <w:p>
            <w:pPr>
              <w:widowControl/>
              <w:jc w:val="center"/>
              <w:rPr>
                <w:rFonts w:hint="eastAsia"/>
                <w:i w:val="0"/>
                <w:iCs w:val="0"/>
                <w:color w:val="000000"/>
                <w:sz w:val="21"/>
                <w:szCs w:val="21"/>
              </w:rPr>
            </w:pPr>
            <w:r>
              <w:rPr>
                <w:rFonts w:hint="eastAsia"/>
                <w:i w:val="0"/>
                <w:iCs w:val="0"/>
                <w:color w:val="000000"/>
                <w:kern w:val="0"/>
                <w:sz w:val="21"/>
                <w:szCs w:val="21"/>
              </w:rPr>
              <w:t>SS</w:t>
            </w:r>
          </w:p>
        </w:tc>
        <w:tc>
          <w:tcPr>
            <w:tcW w:w="867" w:type="pct"/>
            <w:noWrap w:val="0"/>
            <w:vAlign w:val="center"/>
          </w:tcPr>
          <w:p>
            <w:pPr>
              <w:widowControl/>
              <w:jc w:val="center"/>
              <w:rPr>
                <w:rFonts w:hint="eastAsia"/>
                <w:i w:val="0"/>
                <w:iCs w:val="0"/>
                <w:color w:val="000000"/>
                <w:sz w:val="21"/>
                <w:szCs w:val="21"/>
              </w:rPr>
            </w:pPr>
            <w:r>
              <w:rPr>
                <w:rFonts w:hint="eastAsia"/>
                <w:i w:val="0"/>
                <w:iCs w:val="0"/>
                <w:color w:val="000000"/>
                <w:kern w:val="0"/>
                <w:sz w:val="21"/>
                <w:szCs w:val="21"/>
              </w:rPr>
              <w:t>30</w:t>
            </w:r>
          </w:p>
        </w:tc>
        <w:tc>
          <w:tcPr>
            <w:tcW w:w="1766" w:type="dxa"/>
            <w:noWrap w:val="0"/>
            <w:vAlign w:val="center"/>
          </w:tcPr>
          <w:p>
            <w:pPr>
              <w:widowControl/>
              <w:jc w:val="center"/>
              <w:rPr>
                <w:rFonts w:hint="eastAsia" w:ascii="Times New Roman" w:hAnsi="Times New Roman" w:eastAsia="宋体" w:cs="Times New Roman"/>
                <w:i w:val="0"/>
                <w:iCs w:val="0"/>
                <w:snapToGrid w:val="0"/>
                <w:color w:val="000000"/>
                <w:kern w:val="0"/>
                <w:sz w:val="21"/>
                <w:szCs w:val="21"/>
              </w:rPr>
            </w:pPr>
            <w:r>
              <w:rPr>
                <w:rFonts w:hint="eastAsia" w:ascii="Times New Roman" w:hAnsi="Times New Roman" w:eastAsia="宋体" w:cs="Times New Roman"/>
                <w:i w:val="0"/>
                <w:iCs w:val="0"/>
                <w:snapToGrid w:val="0"/>
                <w:color w:val="000000"/>
                <w:kern w:val="0"/>
                <w:sz w:val="21"/>
                <w:szCs w:val="21"/>
                <w:lang w:val="en-US" w:eastAsia="zh-CN"/>
              </w:rPr>
              <w:t xml:space="preserve">0.694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7" w:type="pct"/>
            <w:vMerge w:val="continue"/>
            <w:noWrap w:val="0"/>
            <w:vAlign w:val="center"/>
          </w:tcPr>
          <w:p>
            <w:pPr>
              <w:jc w:val="center"/>
              <w:rPr>
                <w:rFonts w:hint="eastAsia"/>
                <w:i w:val="0"/>
                <w:iCs w:val="0"/>
                <w:color w:val="000000"/>
                <w:sz w:val="21"/>
                <w:szCs w:val="21"/>
              </w:rPr>
            </w:pPr>
          </w:p>
        </w:tc>
        <w:tc>
          <w:tcPr>
            <w:tcW w:w="913" w:type="pct"/>
            <w:vMerge w:val="continue"/>
            <w:noWrap w:val="0"/>
            <w:vAlign w:val="center"/>
          </w:tcPr>
          <w:p>
            <w:pPr>
              <w:jc w:val="center"/>
              <w:rPr>
                <w:rFonts w:hint="eastAsia"/>
                <w:i w:val="0"/>
                <w:iCs w:val="0"/>
                <w:color w:val="000000"/>
                <w:sz w:val="21"/>
                <w:szCs w:val="21"/>
              </w:rPr>
            </w:pPr>
          </w:p>
        </w:tc>
        <w:tc>
          <w:tcPr>
            <w:tcW w:w="815" w:type="pct"/>
            <w:vMerge w:val="continue"/>
            <w:noWrap w:val="0"/>
            <w:vAlign w:val="center"/>
          </w:tcPr>
          <w:p>
            <w:pPr>
              <w:jc w:val="center"/>
              <w:rPr>
                <w:rFonts w:hint="eastAsia"/>
                <w:i w:val="0"/>
                <w:iCs w:val="0"/>
                <w:color w:val="000000"/>
                <w:sz w:val="21"/>
                <w:szCs w:val="21"/>
              </w:rPr>
            </w:pPr>
          </w:p>
        </w:tc>
        <w:tc>
          <w:tcPr>
            <w:tcW w:w="938" w:type="pct"/>
            <w:noWrap w:val="0"/>
            <w:vAlign w:val="center"/>
          </w:tcPr>
          <w:p>
            <w:pPr>
              <w:widowControl/>
              <w:jc w:val="center"/>
              <w:rPr>
                <w:rFonts w:hint="eastAsia"/>
                <w:i w:val="0"/>
                <w:iCs w:val="0"/>
                <w:color w:val="000000"/>
                <w:sz w:val="21"/>
                <w:szCs w:val="21"/>
              </w:rPr>
            </w:pPr>
            <w:r>
              <w:rPr>
                <w:rFonts w:hint="eastAsia"/>
                <w:i w:val="0"/>
                <w:iCs w:val="0"/>
                <w:color w:val="000000"/>
                <w:kern w:val="0"/>
                <w:sz w:val="21"/>
                <w:szCs w:val="21"/>
              </w:rPr>
              <w:t>NH</w:t>
            </w:r>
            <w:r>
              <w:rPr>
                <w:rFonts w:hint="eastAsia"/>
                <w:i w:val="0"/>
                <w:iCs w:val="0"/>
                <w:color w:val="000000"/>
                <w:kern w:val="0"/>
                <w:sz w:val="21"/>
                <w:szCs w:val="21"/>
                <w:vertAlign w:val="subscript"/>
              </w:rPr>
              <w:t>3</w:t>
            </w:r>
            <w:r>
              <w:rPr>
                <w:rFonts w:hint="eastAsia"/>
                <w:i w:val="0"/>
                <w:iCs w:val="0"/>
                <w:color w:val="000000"/>
                <w:kern w:val="0"/>
                <w:sz w:val="21"/>
                <w:szCs w:val="21"/>
              </w:rPr>
              <w:t>-N</w:t>
            </w:r>
          </w:p>
        </w:tc>
        <w:tc>
          <w:tcPr>
            <w:tcW w:w="867" w:type="pct"/>
            <w:noWrap w:val="0"/>
            <w:vAlign w:val="center"/>
          </w:tcPr>
          <w:p>
            <w:pPr>
              <w:widowControl/>
              <w:jc w:val="center"/>
              <w:rPr>
                <w:rFonts w:hint="eastAsia"/>
                <w:i w:val="0"/>
                <w:iCs w:val="0"/>
                <w:color w:val="000000"/>
                <w:sz w:val="21"/>
                <w:szCs w:val="21"/>
              </w:rPr>
            </w:pPr>
            <w:r>
              <w:rPr>
                <w:rFonts w:hint="eastAsia"/>
                <w:i w:val="0"/>
                <w:iCs w:val="0"/>
                <w:color w:val="000000"/>
                <w:kern w:val="0"/>
                <w:sz w:val="21"/>
                <w:szCs w:val="21"/>
              </w:rPr>
              <w:t>0.5</w:t>
            </w:r>
          </w:p>
        </w:tc>
        <w:tc>
          <w:tcPr>
            <w:tcW w:w="1766" w:type="dxa"/>
            <w:noWrap w:val="0"/>
            <w:vAlign w:val="center"/>
          </w:tcPr>
          <w:p>
            <w:pPr>
              <w:widowControl/>
              <w:jc w:val="center"/>
              <w:rPr>
                <w:rFonts w:hint="eastAsia" w:ascii="Times New Roman" w:hAnsi="Times New Roman" w:eastAsia="宋体" w:cs="Times New Roman"/>
                <w:i w:val="0"/>
                <w:iCs w:val="0"/>
                <w:snapToGrid w:val="0"/>
                <w:color w:val="000000"/>
                <w:kern w:val="0"/>
                <w:sz w:val="21"/>
                <w:szCs w:val="21"/>
              </w:rPr>
            </w:pPr>
            <w:r>
              <w:rPr>
                <w:rFonts w:hint="eastAsia" w:ascii="Times New Roman" w:hAnsi="Times New Roman" w:eastAsia="宋体" w:cs="Times New Roman"/>
                <w:i w:val="0"/>
                <w:iCs w:val="0"/>
                <w:snapToGrid w:val="0"/>
                <w:color w:val="000000"/>
                <w:kern w:val="0"/>
                <w:sz w:val="21"/>
                <w:szCs w:val="21"/>
                <w:lang w:val="en-US" w:eastAsia="zh-CN"/>
              </w:rPr>
              <w:t xml:space="preserve">0.012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537" w:type="pct"/>
            <w:vMerge w:val="continue"/>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p>
        </w:tc>
        <w:tc>
          <w:tcPr>
            <w:tcW w:w="913" w:type="pct"/>
            <w:vMerge w:val="restart"/>
            <w:noWrap w:val="0"/>
            <w:vAlign w:val="center"/>
          </w:tcPr>
          <w:p>
            <w:pPr>
              <w:overflowPunct w:val="0"/>
              <w:autoSpaceDE w:val="0"/>
              <w:autoSpaceDN w:val="0"/>
              <w:adjustRightInd w:val="0"/>
              <w:snapToGrid w:val="0"/>
              <w:spacing w:before="48" w:beforeLines="20" w:after="48" w:afterLines="20"/>
              <w:jc w:val="center"/>
              <w:rPr>
                <w:rFonts w:hint="eastAsia" w:eastAsia="宋体"/>
                <w:i w:val="0"/>
                <w:iCs w:val="0"/>
                <w:snapToGrid w:val="0"/>
                <w:color w:val="000000"/>
                <w:kern w:val="0"/>
                <w:sz w:val="21"/>
                <w:szCs w:val="21"/>
                <w:lang w:eastAsia="zh-CN"/>
              </w:rPr>
            </w:pPr>
            <w:r>
              <w:rPr>
                <w:rFonts w:hint="eastAsia"/>
                <w:i w:val="0"/>
                <w:iCs w:val="0"/>
                <w:snapToGrid w:val="0"/>
                <w:color w:val="000000"/>
                <w:kern w:val="0"/>
                <w:sz w:val="21"/>
                <w:szCs w:val="21"/>
                <w:lang w:val="en-US" w:eastAsia="zh-CN"/>
              </w:rPr>
              <w:t>喷淋废水</w:t>
            </w:r>
          </w:p>
        </w:tc>
        <w:tc>
          <w:tcPr>
            <w:tcW w:w="815" w:type="pct"/>
            <w:vMerge w:val="restart"/>
            <w:noWrap w:val="0"/>
            <w:vAlign w:val="center"/>
          </w:tcPr>
          <w:p>
            <w:pPr>
              <w:overflowPunct w:val="0"/>
              <w:autoSpaceDE w:val="0"/>
              <w:autoSpaceDN w:val="0"/>
              <w:adjustRightInd w:val="0"/>
              <w:snapToGrid w:val="0"/>
              <w:spacing w:before="48" w:beforeLines="20" w:after="48" w:afterLines="20"/>
              <w:jc w:val="center"/>
              <w:rPr>
                <w:rFonts w:hint="default" w:eastAsia="宋体"/>
                <w:i w:val="0"/>
                <w:iCs w:val="0"/>
                <w:snapToGrid w:val="0"/>
                <w:color w:val="000000"/>
                <w:kern w:val="0"/>
                <w:sz w:val="21"/>
                <w:szCs w:val="21"/>
                <w:lang w:val="en-US" w:eastAsia="zh-CN"/>
              </w:rPr>
            </w:pPr>
            <w:r>
              <w:rPr>
                <w:rFonts w:hint="eastAsia"/>
                <w:i w:val="0"/>
                <w:iCs w:val="0"/>
                <w:snapToGrid w:val="0"/>
                <w:color w:val="000000"/>
                <w:kern w:val="0"/>
                <w:sz w:val="21"/>
                <w:szCs w:val="21"/>
                <w:lang w:val="en-US" w:eastAsia="zh-CN"/>
              </w:rPr>
              <w:t>400</w:t>
            </w:r>
          </w:p>
        </w:tc>
        <w:tc>
          <w:tcPr>
            <w:tcW w:w="938" w:type="pct"/>
            <w:noWrap w:val="0"/>
            <w:vAlign w:val="center"/>
          </w:tcPr>
          <w:p>
            <w:pPr>
              <w:widowControl/>
              <w:jc w:val="center"/>
              <w:rPr>
                <w:rFonts w:hint="eastAsia"/>
                <w:i w:val="0"/>
                <w:iCs w:val="0"/>
                <w:color w:val="000000"/>
                <w:sz w:val="21"/>
                <w:szCs w:val="21"/>
              </w:rPr>
            </w:pPr>
            <w:r>
              <w:rPr>
                <w:rFonts w:hint="eastAsia"/>
                <w:i w:val="0"/>
                <w:iCs w:val="0"/>
                <w:color w:val="000000"/>
                <w:kern w:val="0"/>
                <w:sz w:val="21"/>
                <w:szCs w:val="21"/>
              </w:rPr>
              <w:t>COD</w:t>
            </w:r>
          </w:p>
        </w:tc>
        <w:tc>
          <w:tcPr>
            <w:tcW w:w="867" w:type="pct"/>
            <w:noWrap w:val="0"/>
            <w:vAlign w:val="center"/>
          </w:tcPr>
          <w:p>
            <w:pPr>
              <w:widowControl/>
              <w:jc w:val="center"/>
              <w:rPr>
                <w:rFonts w:hint="default" w:eastAsia="宋体"/>
                <w:i w:val="0"/>
                <w:iCs w:val="0"/>
                <w:snapToGrid w:val="0"/>
                <w:color w:val="000000"/>
                <w:kern w:val="0"/>
                <w:sz w:val="21"/>
                <w:szCs w:val="21"/>
                <w:lang w:val="en-US" w:eastAsia="zh-CN"/>
              </w:rPr>
            </w:pPr>
            <w:r>
              <w:rPr>
                <w:rFonts w:hint="eastAsia"/>
                <w:i w:val="0"/>
                <w:iCs w:val="0"/>
                <w:snapToGrid w:val="0"/>
                <w:color w:val="000000"/>
                <w:kern w:val="0"/>
                <w:sz w:val="21"/>
                <w:szCs w:val="21"/>
                <w:lang w:val="en-US" w:eastAsia="zh-CN"/>
              </w:rPr>
              <w:t>100</w:t>
            </w:r>
          </w:p>
        </w:tc>
        <w:tc>
          <w:tcPr>
            <w:tcW w:w="1766" w:type="dxa"/>
            <w:noWrap w:val="0"/>
            <w:vAlign w:val="center"/>
          </w:tcPr>
          <w:p>
            <w:pPr>
              <w:widowControl/>
              <w:jc w:val="center"/>
              <w:rPr>
                <w:rFonts w:hint="default" w:ascii="Times New Roman" w:hAnsi="Times New Roman" w:eastAsia="宋体" w:cs="Times New Roman"/>
                <w:i w:val="0"/>
                <w:iCs w:val="0"/>
                <w:snapToGrid w:val="0"/>
                <w:color w:val="000000"/>
                <w:kern w:val="0"/>
                <w:sz w:val="21"/>
                <w:szCs w:val="21"/>
                <w:lang w:val="en-US"/>
              </w:rPr>
            </w:pPr>
            <w:r>
              <w:rPr>
                <w:rFonts w:hint="eastAsia" w:ascii="Times New Roman" w:hAnsi="Times New Roman" w:eastAsia="宋体" w:cs="Times New Roman"/>
                <w:i w:val="0"/>
                <w:iCs w:val="0"/>
                <w:snapToGrid w:val="0"/>
                <w:color w:val="000000"/>
                <w:kern w:val="0"/>
                <w:sz w:val="21"/>
                <w:szCs w:val="21"/>
                <w:lang w:val="en-US" w:eastAsia="zh-CN"/>
              </w:rPr>
              <w:t xml:space="preserve">2.313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537" w:type="pct"/>
            <w:vMerge w:val="continue"/>
            <w:noWrap w:val="0"/>
            <w:vAlign w:val="center"/>
          </w:tcPr>
          <w:p>
            <w:pPr>
              <w:jc w:val="center"/>
              <w:rPr>
                <w:i w:val="0"/>
                <w:iCs w:val="0"/>
              </w:rPr>
            </w:pPr>
          </w:p>
        </w:tc>
        <w:tc>
          <w:tcPr>
            <w:tcW w:w="913" w:type="pct"/>
            <w:vMerge w:val="continue"/>
            <w:noWrap w:val="0"/>
            <w:vAlign w:val="center"/>
          </w:tcPr>
          <w:p>
            <w:pPr>
              <w:jc w:val="center"/>
              <w:rPr>
                <w:i w:val="0"/>
                <w:iCs w:val="0"/>
              </w:rPr>
            </w:pPr>
          </w:p>
        </w:tc>
        <w:tc>
          <w:tcPr>
            <w:tcW w:w="815" w:type="pct"/>
            <w:vMerge w:val="continue"/>
            <w:noWrap w:val="0"/>
            <w:vAlign w:val="center"/>
          </w:tcPr>
          <w:p>
            <w:pPr>
              <w:jc w:val="center"/>
              <w:rPr>
                <w:i w:val="0"/>
                <w:iCs w:val="0"/>
              </w:rPr>
            </w:pPr>
          </w:p>
        </w:tc>
        <w:tc>
          <w:tcPr>
            <w:tcW w:w="938" w:type="pct"/>
            <w:noWrap w:val="0"/>
            <w:vAlign w:val="center"/>
          </w:tcPr>
          <w:p>
            <w:pPr>
              <w:widowControl/>
              <w:jc w:val="center"/>
              <w:rPr>
                <w:rFonts w:hint="eastAsia"/>
                <w:i w:val="0"/>
                <w:iCs w:val="0"/>
                <w:color w:val="000000"/>
                <w:sz w:val="21"/>
                <w:szCs w:val="21"/>
              </w:rPr>
            </w:pPr>
            <w:r>
              <w:rPr>
                <w:rFonts w:hint="eastAsia"/>
                <w:i w:val="0"/>
                <w:iCs w:val="0"/>
                <w:color w:val="000000"/>
                <w:kern w:val="0"/>
                <w:sz w:val="21"/>
                <w:szCs w:val="21"/>
              </w:rPr>
              <w:t>BOD</w:t>
            </w:r>
            <w:r>
              <w:rPr>
                <w:rFonts w:hint="eastAsia"/>
                <w:i w:val="0"/>
                <w:iCs w:val="0"/>
                <w:color w:val="000000"/>
                <w:kern w:val="0"/>
                <w:sz w:val="21"/>
                <w:szCs w:val="21"/>
                <w:vertAlign w:val="subscript"/>
              </w:rPr>
              <w:t>5</w:t>
            </w:r>
          </w:p>
        </w:tc>
        <w:tc>
          <w:tcPr>
            <w:tcW w:w="867" w:type="pct"/>
            <w:noWrap w:val="0"/>
            <w:vAlign w:val="center"/>
          </w:tcPr>
          <w:p>
            <w:pPr>
              <w:widowControl/>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50</w:t>
            </w:r>
          </w:p>
        </w:tc>
        <w:tc>
          <w:tcPr>
            <w:tcW w:w="1766" w:type="dxa"/>
            <w:noWrap w:val="0"/>
            <w:vAlign w:val="center"/>
          </w:tcPr>
          <w:p>
            <w:pPr>
              <w:widowControl/>
              <w:jc w:val="center"/>
              <w:rPr>
                <w:rFonts w:hint="eastAsia" w:ascii="Times New Roman" w:hAnsi="Times New Roman" w:eastAsia="宋体" w:cs="Times New Roman"/>
                <w:i w:val="0"/>
                <w:iCs w:val="0"/>
                <w:snapToGrid w:val="0"/>
                <w:color w:val="000000"/>
                <w:kern w:val="0"/>
                <w:sz w:val="21"/>
                <w:szCs w:val="21"/>
              </w:rPr>
            </w:pPr>
            <w:r>
              <w:rPr>
                <w:rFonts w:hint="eastAsia" w:ascii="Times New Roman" w:hAnsi="Times New Roman" w:eastAsia="宋体" w:cs="Times New Roman"/>
                <w:i w:val="0"/>
                <w:iCs w:val="0"/>
                <w:snapToGrid w:val="0"/>
                <w:color w:val="000000"/>
                <w:kern w:val="0"/>
                <w:sz w:val="21"/>
                <w:szCs w:val="21"/>
                <w:lang w:val="en-US" w:eastAsia="zh-CN"/>
              </w:rPr>
              <w:t xml:space="preserve">0.020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537" w:type="pct"/>
            <w:vMerge w:val="continue"/>
            <w:noWrap w:val="0"/>
            <w:vAlign w:val="center"/>
          </w:tcPr>
          <w:p>
            <w:pPr>
              <w:jc w:val="center"/>
              <w:rPr>
                <w:rFonts w:hint="eastAsia"/>
                <w:i w:val="0"/>
                <w:iCs w:val="0"/>
                <w:color w:val="000000"/>
                <w:sz w:val="21"/>
                <w:szCs w:val="21"/>
              </w:rPr>
            </w:pPr>
          </w:p>
        </w:tc>
        <w:tc>
          <w:tcPr>
            <w:tcW w:w="913" w:type="pct"/>
            <w:vMerge w:val="continue"/>
            <w:noWrap w:val="0"/>
            <w:vAlign w:val="center"/>
          </w:tcPr>
          <w:p>
            <w:pPr>
              <w:jc w:val="center"/>
              <w:rPr>
                <w:rFonts w:hint="eastAsia"/>
                <w:i w:val="0"/>
                <w:iCs w:val="0"/>
                <w:color w:val="000000"/>
                <w:sz w:val="21"/>
                <w:szCs w:val="21"/>
              </w:rPr>
            </w:pPr>
          </w:p>
        </w:tc>
        <w:tc>
          <w:tcPr>
            <w:tcW w:w="815" w:type="pct"/>
            <w:vMerge w:val="continue"/>
            <w:noWrap w:val="0"/>
            <w:vAlign w:val="center"/>
          </w:tcPr>
          <w:p>
            <w:pPr>
              <w:jc w:val="center"/>
              <w:rPr>
                <w:rFonts w:hint="eastAsia"/>
                <w:i w:val="0"/>
                <w:iCs w:val="0"/>
                <w:color w:val="000000"/>
                <w:sz w:val="21"/>
                <w:szCs w:val="21"/>
              </w:rPr>
            </w:pPr>
          </w:p>
        </w:tc>
        <w:tc>
          <w:tcPr>
            <w:tcW w:w="938" w:type="pct"/>
            <w:noWrap w:val="0"/>
            <w:vAlign w:val="center"/>
          </w:tcPr>
          <w:p>
            <w:pPr>
              <w:widowControl/>
              <w:jc w:val="center"/>
              <w:rPr>
                <w:rFonts w:hint="eastAsia"/>
                <w:i w:val="0"/>
                <w:iCs w:val="0"/>
                <w:color w:val="000000"/>
                <w:sz w:val="21"/>
                <w:szCs w:val="21"/>
              </w:rPr>
            </w:pPr>
            <w:r>
              <w:rPr>
                <w:rFonts w:hint="eastAsia"/>
                <w:i w:val="0"/>
                <w:iCs w:val="0"/>
                <w:color w:val="000000"/>
                <w:kern w:val="0"/>
                <w:sz w:val="21"/>
                <w:szCs w:val="21"/>
              </w:rPr>
              <w:t>SS</w:t>
            </w:r>
          </w:p>
        </w:tc>
        <w:tc>
          <w:tcPr>
            <w:tcW w:w="867" w:type="pct"/>
            <w:noWrap w:val="0"/>
            <w:vAlign w:val="center"/>
          </w:tcPr>
          <w:p>
            <w:pPr>
              <w:widowControl/>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40</w:t>
            </w:r>
          </w:p>
        </w:tc>
        <w:tc>
          <w:tcPr>
            <w:tcW w:w="1766" w:type="dxa"/>
            <w:noWrap w:val="0"/>
            <w:vAlign w:val="center"/>
          </w:tcPr>
          <w:p>
            <w:pPr>
              <w:widowControl/>
              <w:jc w:val="center"/>
              <w:rPr>
                <w:rFonts w:hint="eastAsia" w:ascii="Times New Roman" w:hAnsi="Times New Roman" w:eastAsia="宋体" w:cs="Times New Roman"/>
                <w:i w:val="0"/>
                <w:iCs w:val="0"/>
                <w:snapToGrid w:val="0"/>
                <w:color w:val="000000"/>
                <w:kern w:val="0"/>
                <w:sz w:val="21"/>
                <w:szCs w:val="21"/>
              </w:rPr>
            </w:pPr>
            <w:r>
              <w:rPr>
                <w:rFonts w:hint="eastAsia" w:ascii="Times New Roman" w:hAnsi="Times New Roman" w:eastAsia="宋体" w:cs="Times New Roman"/>
                <w:i w:val="0"/>
                <w:iCs w:val="0"/>
                <w:snapToGrid w:val="0"/>
                <w:color w:val="000000"/>
                <w:kern w:val="0"/>
                <w:sz w:val="21"/>
                <w:szCs w:val="21"/>
                <w:lang w:val="en-US" w:eastAsia="zh-CN"/>
              </w:rPr>
              <w:t xml:space="preserve">0.016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537" w:type="pct"/>
            <w:vMerge w:val="continue"/>
            <w:noWrap w:val="0"/>
            <w:vAlign w:val="center"/>
          </w:tcPr>
          <w:p>
            <w:pPr>
              <w:jc w:val="center"/>
              <w:rPr>
                <w:rFonts w:hint="eastAsia"/>
                <w:i w:val="0"/>
                <w:iCs w:val="0"/>
                <w:color w:val="000000"/>
                <w:sz w:val="21"/>
                <w:szCs w:val="21"/>
              </w:rPr>
            </w:pPr>
          </w:p>
        </w:tc>
        <w:tc>
          <w:tcPr>
            <w:tcW w:w="913" w:type="pct"/>
            <w:vMerge w:val="continue"/>
            <w:noWrap w:val="0"/>
            <w:vAlign w:val="center"/>
          </w:tcPr>
          <w:p>
            <w:pPr>
              <w:jc w:val="center"/>
              <w:rPr>
                <w:rFonts w:hint="eastAsia"/>
                <w:i w:val="0"/>
                <w:iCs w:val="0"/>
                <w:color w:val="000000"/>
                <w:sz w:val="21"/>
                <w:szCs w:val="21"/>
              </w:rPr>
            </w:pPr>
          </w:p>
        </w:tc>
        <w:tc>
          <w:tcPr>
            <w:tcW w:w="815" w:type="pct"/>
            <w:vMerge w:val="continue"/>
            <w:noWrap w:val="0"/>
            <w:vAlign w:val="center"/>
          </w:tcPr>
          <w:p>
            <w:pPr>
              <w:jc w:val="center"/>
              <w:rPr>
                <w:rFonts w:hint="eastAsia"/>
                <w:i w:val="0"/>
                <w:iCs w:val="0"/>
                <w:color w:val="000000"/>
                <w:sz w:val="21"/>
                <w:szCs w:val="21"/>
              </w:rPr>
            </w:pPr>
          </w:p>
        </w:tc>
        <w:tc>
          <w:tcPr>
            <w:tcW w:w="938" w:type="pct"/>
            <w:noWrap w:val="0"/>
            <w:vAlign w:val="center"/>
          </w:tcPr>
          <w:p>
            <w:pPr>
              <w:widowControl/>
              <w:jc w:val="center"/>
              <w:rPr>
                <w:rFonts w:hint="eastAsia"/>
                <w:i w:val="0"/>
                <w:iCs w:val="0"/>
                <w:color w:val="000000"/>
                <w:sz w:val="21"/>
                <w:szCs w:val="21"/>
              </w:rPr>
            </w:pPr>
            <w:r>
              <w:rPr>
                <w:rFonts w:hint="eastAsia"/>
                <w:i w:val="0"/>
                <w:iCs w:val="0"/>
                <w:color w:val="000000"/>
                <w:kern w:val="0"/>
                <w:sz w:val="21"/>
                <w:szCs w:val="21"/>
              </w:rPr>
              <w:t>NH</w:t>
            </w:r>
            <w:r>
              <w:rPr>
                <w:rFonts w:hint="eastAsia"/>
                <w:i w:val="0"/>
                <w:iCs w:val="0"/>
                <w:color w:val="000000"/>
                <w:kern w:val="0"/>
                <w:sz w:val="21"/>
                <w:szCs w:val="21"/>
                <w:vertAlign w:val="subscript"/>
              </w:rPr>
              <w:t>3</w:t>
            </w:r>
            <w:r>
              <w:rPr>
                <w:rFonts w:hint="eastAsia"/>
                <w:i w:val="0"/>
                <w:iCs w:val="0"/>
                <w:color w:val="000000"/>
                <w:kern w:val="0"/>
                <w:sz w:val="21"/>
                <w:szCs w:val="21"/>
              </w:rPr>
              <w:t>-N</w:t>
            </w:r>
          </w:p>
        </w:tc>
        <w:tc>
          <w:tcPr>
            <w:tcW w:w="867" w:type="pct"/>
            <w:noWrap w:val="0"/>
            <w:vAlign w:val="center"/>
          </w:tcPr>
          <w:p>
            <w:pPr>
              <w:widowControl/>
              <w:jc w:val="center"/>
              <w:rPr>
                <w:rFonts w:hint="eastAsia" w:eastAsia="宋体"/>
                <w:i w:val="0"/>
                <w:iCs w:val="0"/>
                <w:color w:val="000000"/>
                <w:sz w:val="21"/>
                <w:szCs w:val="21"/>
                <w:lang w:val="en-US" w:eastAsia="zh-CN"/>
              </w:rPr>
            </w:pPr>
            <w:r>
              <w:rPr>
                <w:rFonts w:hint="eastAsia"/>
                <w:i w:val="0"/>
                <w:iCs w:val="0"/>
                <w:color w:val="000000"/>
                <w:sz w:val="21"/>
                <w:szCs w:val="21"/>
                <w:lang w:val="en-US" w:eastAsia="zh-CN"/>
              </w:rPr>
              <w:t>5</w:t>
            </w:r>
          </w:p>
        </w:tc>
        <w:tc>
          <w:tcPr>
            <w:tcW w:w="1766" w:type="dxa"/>
            <w:noWrap w:val="0"/>
            <w:vAlign w:val="center"/>
          </w:tcPr>
          <w:p>
            <w:pPr>
              <w:widowControl/>
              <w:jc w:val="center"/>
              <w:rPr>
                <w:rFonts w:hint="eastAsia" w:ascii="Times New Roman" w:hAnsi="Times New Roman" w:eastAsia="宋体" w:cs="Times New Roman"/>
                <w:i w:val="0"/>
                <w:iCs w:val="0"/>
                <w:snapToGrid w:val="0"/>
                <w:color w:val="000000"/>
                <w:kern w:val="0"/>
                <w:sz w:val="21"/>
                <w:szCs w:val="21"/>
              </w:rPr>
            </w:pPr>
            <w:r>
              <w:rPr>
                <w:rFonts w:hint="eastAsia" w:ascii="Times New Roman" w:hAnsi="Times New Roman" w:eastAsia="宋体" w:cs="Times New Roman"/>
                <w:i w:val="0"/>
                <w:iCs w:val="0"/>
                <w:snapToGrid w:val="0"/>
                <w:color w:val="000000"/>
                <w:kern w:val="0"/>
                <w:sz w:val="21"/>
                <w:szCs w:val="21"/>
                <w:lang w:val="en-US" w:eastAsia="zh-CN"/>
              </w:rPr>
              <w:t xml:space="preserve">0.002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37" w:type="pct"/>
            <w:vMerge w:val="continue"/>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p>
        </w:tc>
        <w:tc>
          <w:tcPr>
            <w:tcW w:w="913" w:type="pct"/>
            <w:vMerge w:val="restart"/>
            <w:noWrap w:val="0"/>
            <w:vAlign w:val="center"/>
          </w:tcPr>
          <w:p>
            <w:pPr>
              <w:overflowPunct w:val="0"/>
              <w:autoSpaceDE w:val="0"/>
              <w:autoSpaceDN w:val="0"/>
              <w:adjustRightInd w:val="0"/>
              <w:snapToGrid w:val="0"/>
              <w:spacing w:before="48" w:beforeLines="20" w:after="48" w:afterLines="20"/>
              <w:jc w:val="center"/>
              <w:rPr>
                <w:rFonts w:hint="eastAsia" w:eastAsia="宋体"/>
                <w:i w:val="0"/>
                <w:iCs w:val="0"/>
                <w:snapToGrid w:val="0"/>
                <w:color w:val="000000"/>
                <w:kern w:val="0"/>
                <w:sz w:val="21"/>
                <w:szCs w:val="21"/>
                <w:lang w:eastAsia="zh-CN"/>
              </w:rPr>
            </w:pPr>
            <w:r>
              <w:rPr>
                <w:rFonts w:hint="eastAsia"/>
                <w:i w:val="0"/>
                <w:iCs w:val="0"/>
                <w:snapToGrid w:val="0"/>
                <w:color w:val="000000"/>
                <w:kern w:val="0"/>
                <w:sz w:val="21"/>
                <w:szCs w:val="21"/>
                <w:lang w:val="en-US" w:eastAsia="zh-CN"/>
              </w:rPr>
              <w:t>化验废水</w:t>
            </w:r>
          </w:p>
        </w:tc>
        <w:tc>
          <w:tcPr>
            <w:tcW w:w="815" w:type="pct"/>
            <w:vMerge w:val="restart"/>
            <w:noWrap w:val="0"/>
            <w:vAlign w:val="center"/>
          </w:tcPr>
          <w:p>
            <w:pPr>
              <w:overflowPunct w:val="0"/>
              <w:autoSpaceDE w:val="0"/>
              <w:autoSpaceDN w:val="0"/>
              <w:adjustRightInd w:val="0"/>
              <w:snapToGrid w:val="0"/>
              <w:spacing w:before="48" w:beforeLines="20" w:after="48" w:afterLines="20"/>
              <w:jc w:val="center"/>
              <w:rPr>
                <w:rFonts w:hint="default" w:eastAsia="宋体"/>
                <w:i w:val="0"/>
                <w:iCs w:val="0"/>
                <w:snapToGrid w:val="0"/>
                <w:color w:val="000000"/>
                <w:kern w:val="0"/>
                <w:sz w:val="21"/>
                <w:szCs w:val="21"/>
                <w:lang w:val="en-US" w:eastAsia="zh-CN"/>
              </w:rPr>
            </w:pPr>
            <w:r>
              <w:rPr>
                <w:rFonts w:hint="eastAsia"/>
                <w:i w:val="0"/>
                <w:iCs w:val="0"/>
                <w:snapToGrid w:val="0"/>
                <w:color w:val="000000"/>
                <w:kern w:val="0"/>
                <w:sz w:val="21"/>
                <w:szCs w:val="21"/>
                <w:lang w:val="en-US" w:eastAsia="zh-CN"/>
              </w:rPr>
              <w:t>877.5</w:t>
            </w:r>
          </w:p>
        </w:tc>
        <w:tc>
          <w:tcPr>
            <w:tcW w:w="938" w:type="pct"/>
            <w:noWrap w:val="0"/>
            <w:vAlign w:val="center"/>
          </w:tcPr>
          <w:p>
            <w:pPr>
              <w:widowControl/>
              <w:jc w:val="center"/>
              <w:rPr>
                <w:rFonts w:hint="eastAsia"/>
                <w:i w:val="0"/>
                <w:iCs w:val="0"/>
                <w:color w:val="000000"/>
                <w:sz w:val="21"/>
                <w:szCs w:val="21"/>
              </w:rPr>
            </w:pPr>
            <w:r>
              <w:rPr>
                <w:rFonts w:hint="eastAsia"/>
                <w:i w:val="0"/>
                <w:iCs w:val="0"/>
                <w:color w:val="000000"/>
                <w:kern w:val="0"/>
                <w:sz w:val="21"/>
                <w:szCs w:val="21"/>
              </w:rPr>
              <w:t>COD</w:t>
            </w:r>
          </w:p>
        </w:tc>
        <w:tc>
          <w:tcPr>
            <w:tcW w:w="867" w:type="pct"/>
            <w:noWrap w:val="0"/>
            <w:vAlign w:val="center"/>
          </w:tcPr>
          <w:p>
            <w:pPr>
              <w:widowControl/>
              <w:jc w:val="center"/>
              <w:rPr>
                <w:rFonts w:hint="default" w:eastAsia="宋体"/>
                <w:i w:val="0"/>
                <w:iCs w:val="0"/>
                <w:snapToGrid w:val="0"/>
                <w:color w:val="000000"/>
                <w:kern w:val="0"/>
                <w:sz w:val="21"/>
                <w:szCs w:val="21"/>
                <w:lang w:val="en-US" w:eastAsia="zh-CN"/>
              </w:rPr>
            </w:pPr>
            <w:r>
              <w:rPr>
                <w:rFonts w:hint="eastAsia"/>
                <w:i w:val="0"/>
                <w:iCs w:val="0"/>
                <w:snapToGrid w:val="0"/>
                <w:color w:val="000000"/>
                <w:kern w:val="0"/>
                <w:sz w:val="21"/>
                <w:szCs w:val="21"/>
                <w:lang w:val="en-US" w:eastAsia="zh-CN"/>
              </w:rPr>
              <w:t>100</w:t>
            </w:r>
          </w:p>
        </w:tc>
        <w:tc>
          <w:tcPr>
            <w:tcW w:w="1766" w:type="dxa"/>
            <w:noWrap w:val="0"/>
            <w:vAlign w:val="center"/>
          </w:tcPr>
          <w:p>
            <w:pPr>
              <w:widowControl/>
              <w:jc w:val="center"/>
              <w:rPr>
                <w:rFonts w:hint="eastAsia" w:ascii="Times New Roman" w:hAnsi="Times New Roman" w:eastAsia="宋体" w:cs="Times New Roman"/>
                <w:i w:val="0"/>
                <w:iCs w:val="0"/>
                <w:snapToGrid w:val="0"/>
                <w:color w:val="000000"/>
                <w:kern w:val="0"/>
                <w:sz w:val="21"/>
                <w:szCs w:val="21"/>
              </w:rPr>
            </w:pPr>
            <w:r>
              <w:rPr>
                <w:rFonts w:hint="eastAsia" w:ascii="Times New Roman" w:hAnsi="Times New Roman" w:eastAsia="宋体" w:cs="Times New Roman"/>
                <w:i w:val="0"/>
                <w:iCs w:val="0"/>
                <w:snapToGrid w:val="0"/>
                <w:color w:val="000000"/>
                <w:kern w:val="0"/>
                <w:sz w:val="21"/>
                <w:szCs w:val="21"/>
                <w:lang w:val="en-US" w:eastAsia="zh-CN"/>
              </w:rPr>
              <w:t xml:space="preserve">0.088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37" w:type="pct"/>
            <w:vMerge w:val="continue"/>
            <w:noWrap w:val="0"/>
            <w:vAlign w:val="center"/>
          </w:tcPr>
          <w:p>
            <w:pPr>
              <w:jc w:val="center"/>
              <w:rPr>
                <w:i w:val="0"/>
                <w:iCs w:val="0"/>
              </w:rPr>
            </w:pPr>
          </w:p>
        </w:tc>
        <w:tc>
          <w:tcPr>
            <w:tcW w:w="913" w:type="pct"/>
            <w:vMerge w:val="continue"/>
            <w:noWrap w:val="0"/>
            <w:vAlign w:val="center"/>
          </w:tcPr>
          <w:p>
            <w:pPr>
              <w:jc w:val="center"/>
              <w:rPr>
                <w:i w:val="0"/>
                <w:iCs w:val="0"/>
              </w:rPr>
            </w:pPr>
          </w:p>
        </w:tc>
        <w:tc>
          <w:tcPr>
            <w:tcW w:w="815" w:type="pct"/>
            <w:vMerge w:val="continue"/>
            <w:noWrap w:val="0"/>
            <w:vAlign w:val="center"/>
          </w:tcPr>
          <w:p>
            <w:pPr>
              <w:jc w:val="center"/>
              <w:rPr>
                <w:i w:val="0"/>
                <w:iCs w:val="0"/>
              </w:rPr>
            </w:pPr>
          </w:p>
        </w:tc>
        <w:tc>
          <w:tcPr>
            <w:tcW w:w="938" w:type="pct"/>
            <w:noWrap w:val="0"/>
            <w:vAlign w:val="center"/>
          </w:tcPr>
          <w:p>
            <w:pPr>
              <w:widowControl/>
              <w:jc w:val="center"/>
              <w:rPr>
                <w:rFonts w:hint="eastAsia"/>
                <w:i w:val="0"/>
                <w:iCs w:val="0"/>
                <w:color w:val="000000"/>
                <w:sz w:val="21"/>
                <w:szCs w:val="21"/>
              </w:rPr>
            </w:pPr>
            <w:r>
              <w:rPr>
                <w:rFonts w:hint="eastAsia"/>
                <w:i w:val="0"/>
                <w:iCs w:val="0"/>
                <w:color w:val="000000"/>
                <w:kern w:val="0"/>
                <w:sz w:val="21"/>
                <w:szCs w:val="21"/>
              </w:rPr>
              <w:t>BOD</w:t>
            </w:r>
            <w:r>
              <w:rPr>
                <w:rFonts w:hint="eastAsia"/>
                <w:i w:val="0"/>
                <w:iCs w:val="0"/>
                <w:color w:val="000000"/>
                <w:kern w:val="0"/>
                <w:sz w:val="21"/>
                <w:szCs w:val="21"/>
                <w:vertAlign w:val="subscript"/>
              </w:rPr>
              <w:t>5</w:t>
            </w:r>
          </w:p>
        </w:tc>
        <w:tc>
          <w:tcPr>
            <w:tcW w:w="867" w:type="pct"/>
            <w:noWrap w:val="0"/>
            <w:vAlign w:val="center"/>
          </w:tcPr>
          <w:p>
            <w:pPr>
              <w:widowControl/>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40</w:t>
            </w:r>
          </w:p>
        </w:tc>
        <w:tc>
          <w:tcPr>
            <w:tcW w:w="1766" w:type="dxa"/>
            <w:noWrap w:val="0"/>
            <w:vAlign w:val="center"/>
          </w:tcPr>
          <w:p>
            <w:pPr>
              <w:widowControl/>
              <w:jc w:val="center"/>
              <w:rPr>
                <w:rFonts w:hint="eastAsia" w:ascii="Times New Roman" w:hAnsi="Times New Roman" w:eastAsia="宋体" w:cs="Times New Roman"/>
                <w:i w:val="0"/>
                <w:iCs w:val="0"/>
                <w:snapToGrid w:val="0"/>
                <w:color w:val="000000"/>
                <w:kern w:val="0"/>
                <w:sz w:val="21"/>
                <w:szCs w:val="21"/>
              </w:rPr>
            </w:pPr>
            <w:r>
              <w:rPr>
                <w:rFonts w:hint="eastAsia" w:ascii="Times New Roman" w:hAnsi="Times New Roman" w:eastAsia="宋体" w:cs="Times New Roman"/>
                <w:i w:val="0"/>
                <w:iCs w:val="0"/>
                <w:snapToGrid w:val="0"/>
                <w:color w:val="000000"/>
                <w:kern w:val="0"/>
                <w:sz w:val="21"/>
                <w:szCs w:val="21"/>
                <w:lang w:val="en-US" w:eastAsia="zh-CN"/>
              </w:rPr>
              <w:t xml:space="preserve">0.035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37" w:type="pct"/>
            <w:vMerge w:val="continue"/>
            <w:noWrap w:val="0"/>
            <w:vAlign w:val="center"/>
          </w:tcPr>
          <w:p>
            <w:pPr>
              <w:jc w:val="center"/>
              <w:rPr>
                <w:rFonts w:hint="eastAsia"/>
                <w:i w:val="0"/>
                <w:iCs w:val="0"/>
                <w:color w:val="000000"/>
                <w:sz w:val="21"/>
                <w:szCs w:val="21"/>
              </w:rPr>
            </w:pPr>
          </w:p>
        </w:tc>
        <w:tc>
          <w:tcPr>
            <w:tcW w:w="913" w:type="pct"/>
            <w:vMerge w:val="continue"/>
            <w:noWrap w:val="0"/>
            <w:vAlign w:val="center"/>
          </w:tcPr>
          <w:p>
            <w:pPr>
              <w:jc w:val="center"/>
              <w:rPr>
                <w:rFonts w:hint="eastAsia"/>
                <w:i w:val="0"/>
                <w:iCs w:val="0"/>
                <w:color w:val="000000"/>
                <w:sz w:val="21"/>
                <w:szCs w:val="21"/>
              </w:rPr>
            </w:pPr>
          </w:p>
        </w:tc>
        <w:tc>
          <w:tcPr>
            <w:tcW w:w="815" w:type="pct"/>
            <w:vMerge w:val="continue"/>
            <w:noWrap w:val="0"/>
            <w:vAlign w:val="center"/>
          </w:tcPr>
          <w:p>
            <w:pPr>
              <w:jc w:val="center"/>
              <w:rPr>
                <w:rFonts w:hint="eastAsia"/>
                <w:i w:val="0"/>
                <w:iCs w:val="0"/>
                <w:color w:val="000000"/>
                <w:sz w:val="21"/>
                <w:szCs w:val="21"/>
              </w:rPr>
            </w:pPr>
          </w:p>
        </w:tc>
        <w:tc>
          <w:tcPr>
            <w:tcW w:w="938" w:type="pct"/>
            <w:noWrap w:val="0"/>
            <w:vAlign w:val="center"/>
          </w:tcPr>
          <w:p>
            <w:pPr>
              <w:widowControl/>
              <w:jc w:val="center"/>
              <w:rPr>
                <w:rFonts w:hint="eastAsia"/>
                <w:i w:val="0"/>
                <w:iCs w:val="0"/>
                <w:color w:val="000000"/>
                <w:sz w:val="21"/>
                <w:szCs w:val="21"/>
              </w:rPr>
            </w:pPr>
            <w:r>
              <w:rPr>
                <w:rFonts w:hint="eastAsia"/>
                <w:i w:val="0"/>
                <w:iCs w:val="0"/>
                <w:color w:val="000000"/>
                <w:kern w:val="0"/>
                <w:sz w:val="21"/>
                <w:szCs w:val="21"/>
              </w:rPr>
              <w:t>SS</w:t>
            </w:r>
          </w:p>
        </w:tc>
        <w:tc>
          <w:tcPr>
            <w:tcW w:w="867" w:type="pct"/>
            <w:noWrap w:val="0"/>
            <w:vAlign w:val="center"/>
          </w:tcPr>
          <w:p>
            <w:pPr>
              <w:widowControl/>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50</w:t>
            </w:r>
          </w:p>
        </w:tc>
        <w:tc>
          <w:tcPr>
            <w:tcW w:w="1766" w:type="dxa"/>
            <w:noWrap w:val="0"/>
            <w:vAlign w:val="center"/>
          </w:tcPr>
          <w:p>
            <w:pPr>
              <w:widowControl/>
              <w:jc w:val="center"/>
              <w:rPr>
                <w:rFonts w:hint="eastAsia" w:ascii="Times New Roman" w:hAnsi="Times New Roman" w:eastAsia="宋体" w:cs="Times New Roman"/>
                <w:i w:val="0"/>
                <w:iCs w:val="0"/>
                <w:snapToGrid w:val="0"/>
                <w:color w:val="000000"/>
                <w:kern w:val="0"/>
                <w:sz w:val="21"/>
                <w:szCs w:val="21"/>
              </w:rPr>
            </w:pPr>
            <w:r>
              <w:rPr>
                <w:rFonts w:hint="eastAsia" w:ascii="Times New Roman" w:hAnsi="Times New Roman" w:eastAsia="宋体" w:cs="Times New Roman"/>
                <w:i w:val="0"/>
                <w:iCs w:val="0"/>
                <w:snapToGrid w:val="0"/>
                <w:color w:val="000000"/>
                <w:kern w:val="0"/>
                <w:sz w:val="21"/>
                <w:szCs w:val="21"/>
                <w:lang w:val="en-US" w:eastAsia="zh-CN"/>
              </w:rPr>
              <w:t xml:space="preserve">0.044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7" w:type="pct"/>
            <w:vMerge w:val="continue"/>
            <w:noWrap w:val="0"/>
            <w:vAlign w:val="center"/>
          </w:tcPr>
          <w:p>
            <w:pPr>
              <w:jc w:val="center"/>
              <w:rPr>
                <w:rFonts w:hint="eastAsia"/>
                <w:i w:val="0"/>
                <w:iCs w:val="0"/>
                <w:color w:val="000000"/>
                <w:sz w:val="21"/>
                <w:szCs w:val="21"/>
              </w:rPr>
            </w:pPr>
          </w:p>
        </w:tc>
        <w:tc>
          <w:tcPr>
            <w:tcW w:w="913" w:type="pct"/>
            <w:vMerge w:val="continue"/>
            <w:noWrap w:val="0"/>
            <w:vAlign w:val="center"/>
          </w:tcPr>
          <w:p>
            <w:pPr>
              <w:jc w:val="center"/>
              <w:rPr>
                <w:rFonts w:hint="eastAsia"/>
                <w:i w:val="0"/>
                <w:iCs w:val="0"/>
                <w:color w:val="000000"/>
                <w:sz w:val="21"/>
                <w:szCs w:val="21"/>
              </w:rPr>
            </w:pPr>
          </w:p>
        </w:tc>
        <w:tc>
          <w:tcPr>
            <w:tcW w:w="815" w:type="pct"/>
            <w:vMerge w:val="continue"/>
            <w:noWrap w:val="0"/>
            <w:vAlign w:val="center"/>
          </w:tcPr>
          <w:p>
            <w:pPr>
              <w:jc w:val="center"/>
              <w:rPr>
                <w:rFonts w:hint="eastAsia"/>
                <w:i w:val="0"/>
                <w:iCs w:val="0"/>
                <w:color w:val="000000"/>
                <w:sz w:val="21"/>
                <w:szCs w:val="21"/>
              </w:rPr>
            </w:pPr>
          </w:p>
        </w:tc>
        <w:tc>
          <w:tcPr>
            <w:tcW w:w="938" w:type="pct"/>
            <w:noWrap w:val="0"/>
            <w:vAlign w:val="center"/>
          </w:tcPr>
          <w:p>
            <w:pPr>
              <w:widowControl/>
              <w:jc w:val="center"/>
              <w:rPr>
                <w:rFonts w:hint="eastAsia"/>
                <w:i w:val="0"/>
                <w:iCs w:val="0"/>
                <w:color w:val="000000"/>
                <w:sz w:val="21"/>
                <w:szCs w:val="21"/>
              </w:rPr>
            </w:pPr>
            <w:r>
              <w:rPr>
                <w:rFonts w:hint="eastAsia"/>
                <w:i w:val="0"/>
                <w:iCs w:val="0"/>
                <w:color w:val="000000"/>
                <w:kern w:val="0"/>
                <w:sz w:val="21"/>
                <w:szCs w:val="21"/>
              </w:rPr>
              <w:t>NH</w:t>
            </w:r>
            <w:r>
              <w:rPr>
                <w:rFonts w:hint="eastAsia"/>
                <w:i w:val="0"/>
                <w:iCs w:val="0"/>
                <w:color w:val="000000"/>
                <w:kern w:val="0"/>
                <w:sz w:val="21"/>
                <w:szCs w:val="21"/>
                <w:vertAlign w:val="subscript"/>
              </w:rPr>
              <w:t>3</w:t>
            </w:r>
            <w:r>
              <w:rPr>
                <w:rFonts w:hint="eastAsia"/>
                <w:i w:val="0"/>
                <w:iCs w:val="0"/>
                <w:color w:val="000000"/>
                <w:kern w:val="0"/>
                <w:sz w:val="21"/>
                <w:szCs w:val="21"/>
              </w:rPr>
              <w:t>-N</w:t>
            </w:r>
          </w:p>
        </w:tc>
        <w:tc>
          <w:tcPr>
            <w:tcW w:w="867" w:type="pct"/>
            <w:noWrap w:val="0"/>
            <w:vAlign w:val="center"/>
          </w:tcPr>
          <w:p>
            <w:pPr>
              <w:widowControl/>
              <w:jc w:val="center"/>
              <w:rPr>
                <w:rFonts w:hint="eastAsia" w:eastAsia="宋体"/>
                <w:i w:val="0"/>
                <w:iCs w:val="0"/>
                <w:color w:val="000000"/>
                <w:sz w:val="21"/>
                <w:szCs w:val="21"/>
                <w:lang w:val="en-US" w:eastAsia="zh-CN"/>
              </w:rPr>
            </w:pPr>
            <w:r>
              <w:rPr>
                <w:rFonts w:hint="eastAsia"/>
                <w:i w:val="0"/>
                <w:iCs w:val="0"/>
                <w:color w:val="000000"/>
                <w:sz w:val="21"/>
                <w:szCs w:val="21"/>
                <w:lang w:val="en-US" w:eastAsia="zh-CN"/>
              </w:rPr>
              <w:t>5</w:t>
            </w:r>
          </w:p>
        </w:tc>
        <w:tc>
          <w:tcPr>
            <w:tcW w:w="1766" w:type="dxa"/>
            <w:noWrap w:val="0"/>
            <w:vAlign w:val="center"/>
          </w:tcPr>
          <w:p>
            <w:pPr>
              <w:widowControl/>
              <w:jc w:val="center"/>
              <w:rPr>
                <w:rFonts w:hint="eastAsia" w:ascii="Times New Roman" w:hAnsi="Times New Roman" w:eastAsia="宋体" w:cs="Times New Roman"/>
                <w:i w:val="0"/>
                <w:iCs w:val="0"/>
                <w:snapToGrid w:val="0"/>
                <w:color w:val="000000"/>
                <w:kern w:val="0"/>
                <w:sz w:val="21"/>
                <w:szCs w:val="21"/>
              </w:rPr>
            </w:pPr>
            <w:r>
              <w:rPr>
                <w:rFonts w:hint="eastAsia" w:ascii="Times New Roman" w:hAnsi="Times New Roman" w:eastAsia="宋体" w:cs="Times New Roman"/>
                <w:i w:val="0"/>
                <w:iCs w:val="0"/>
                <w:snapToGrid w:val="0"/>
                <w:color w:val="000000"/>
                <w:kern w:val="0"/>
                <w:sz w:val="21"/>
                <w:szCs w:val="21"/>
                <w:lang w:val="en-US" w:eastAsia="zh-CN"/>
              </w:rPr>
              <w:t xml:space="preserve">0.004 </w:t>
            </w:r>
          </w:p>
        </w:tc>
      </w:tr>
    </w:tbl>
    <w:p>
      <w:pPr>
        <w:spacing w:line="360" w:lineRule="auto"/>
        <w:ind w:firstLine="480" w:firstLineChars="200"/>
        <w:rPr>
          <w:i w:val="0"/>
          <w:iCs w:val="0"/>
          <w:color w:val="000000"/>
        </w:rPr>
      </w:pPr>
      <w:r>
        <w:rPr>
          <w:rFonts w:hint="eastAsia" w:ascii="宋体" w:hAnsi="宋体"/>
          <w:i w:val="0"/>
          <w:iCs w:val="0"/>
          <w:color w:val="000000"/>
        </w:rPr>
        <w:t>②</w:t>
      </w:r>
      <w:r>
        <w:rPr>
          <w:rFonts w:hAnsi="宋体"/>
          <w:i w:val="0"/>
          <w:iCs w:val="0"/>
          <w:color w:val="000000"/>
        </w:rPr>
        <w:t>生活污水</w:t>
      </w:r>
    </w:p>
    <w:p>
      <w:pPr>
        <w:autoSpaceDE w:val="0"/>
        <w:autoSpaceDN w:val="0"/>
        <w:spacing w:line="360" w:lineRule="auto"/>
        <w:ind w:firstLine="480" w:firstLineChars="200"/>
        <w:rPr>
          <w:rFonts w:hint="eastAsia"/>
          <w:i w:val="0"/>
          <w:iCs w:val="0"/>
          <w:color w:val="000000"/>
        </w:rPr>
      </w:pPr>
      <w:r>
        <w:rPr>
          <w:rFonts w:hint="eastAsia"/>
          <w:i w:val="0"/>
          <w:iCs w:val="0"/>
          <w:color w:val="000000"/>
        </w:rPr>
        <w:t>项目</w:t>
      </w:r>
      <w:r>
        <w:rPr>
          <w:i w:val="0"/>
          <w:iCs w:val="0"/>
          <w:color w:val="000000"/>
        </w:rPr>
        <w:t>职工生活污水排水量按用水量的80%计，则生活污水产生量约为</w:t>
      </w:r>
      <w:r>
        <w:rPr>
          <w:rFonts w:hint="eastAsia"/>
          <w:i w:val="0"/>
          <w:iCs w:val="0"/>
          <w:color w:val="000000"/>
        </w:rPr>
        <w:t>一期工程</w:t>
      </w:r>
      <w:r>
        <w:rPr>
          <w:rFonts w:hint="eastAsia"/>
          <w:i w:val="0"/>
          <w:iCs w:val="0"/>
          <w:color w:val="000000"/>
          <w:lang w:val="en-US" w:eastAsia="zh-CN"/>
        </w:rPr>
        <w:t>2</w:t>
      </w:r>
      <w:r>
        <w:rPr>
          <w:rFonts w:hint="eastAsia"/>
          <w:i w:val="0"/>
          <w:iCs w:val="0"/>
          <w:color w:val="000000"/>
        </w:rPr>
        <w:t>9</w:t>
      </w:r>
      <w:r>
        <w:rPr>
          <w:rFonts w:hint="eastAsia"/>
          <w:i w:val="0"/>
          <w:iCs w:val="0"/>
          <w:color w:val="000000"/>
          <w:lang w:val="en-US" w:eastAsia="zh-CN"/>
        </w:rPr>
        <w:t>12</w:t>
      </w:r>
      <w:r>
        <w:rPr>
          <w:i w:val="0"/>
          <w:iCs w:val="0"/>
          <w:color w:val="000000"/>
        </w:rPr>
        <w:t>t/a。依据《环境统计手册》并参照</w:t>
      </w:r>
      <w:r>
        <w:rPr>
          <w:rFonts w:hint="eastAsia"/>
          <w:i w:val="0"/>
          <w:iCs w:val="0"/>
          <w:color w:val="000000"/>
          <w:lang w:eastAsia="zh-CN"/>
        </w:rPr>
        <w:t>白山</w:t>
      </w:r>
      <w:r>
        <w:rPr>
          <w:i w:val="0"/>
          <w:iCs w:val="0"/>
          <w:color w:val="000000"/>
        </w:rPr>
        <w:t>市多年来生活污水的监测情况分析，拟建项目生活污水经化粪池处理后水质为pH6.5~7.5、COD400mg/L、BOD</w:t>
      </w:r>
      <w:r>
        <w:rPr>
          <w:i w:val="0"/>
          <w:iCs w:val="0"/>
          <w:color w:val="000000"/>
          <w:vertAlign w:val="subscript"/>
        </w:rPr>
        <w:t>5</w:t>
      </w:r>
      <w:r>
        <w:rPr>
          <w:i w:val="0"/>
          <w:iCs w:val="0"/>
          <w:color w:val="000000"/>
        </w:rPr>
        <w:t>180mg/L、氨氮30mg/L、SS200mg/L。</w:t>
      </w:r>
    </w:p>
    <w:p>
      <w:pPr>
        <w:pStyle w:val="36"/>
        <w:ind w:left="0" w:leftChars="0"/>
        <w:jc w:val="center"/>
        <w:rPr>
          <w:rFonts w:hint="eastAsia" w:ascii="Times New Roman" w:hAnsi="Times New Roman"/>
          <w:b/>
          <w:i w:val="0"/>
          <w:iCs w:val="0"/>
        </w:rPr>
      </w:pPr>
      <w:r>
        <w:rPr>
          <w:rFonts w:hint="eastAsia" w:ascii="Times New Roman" w:hAnsi="Times New Roman"/>
          <w:b/>
          <w:i w:val="0"/>
          <w:iCs w:val="0"/>
        </w:rPr>
        <w:t>表3-2</w:t>
      </w:r>
      <w:r>
        <w:rPr>
          <w:rFonts w:hint="eastAsia" w:ascii="Times New Roman" w:hAnsi="Times New Roman"/>
          <w:b/>
          <w:i w:val="0"/>
          <w:iCs w:val="0"/>
          <w:lang w:val="en-US" w:eastAsia="zh-CN"/>
        </w:rPr>
        <w:t>7</w:t>
      </w:r>
      <w:r>
        <w:rPr>
          <w:rFonts w:hint="eastAsia" w:ascii="Times New Roman" w:hAnsi="Times New Roman"/>
          <w:b/>
          <w:i w:val="0"/>
          <w:iCs w:val="0"/>
        </w:rPr>
        <w:t xml:space="preserve"> 项目生活污水主要污染情况</w:t>
      </w:r>
    </w:p>
    <w:tbl>
      <w:tblPr>
        <w:tblStyle w:val="5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1459"/>
        <w:gridCol w:w="1499"/>
        <w:gridCol w:w="1723"/>
        <w:gridCol w:w="1594"/>
        <w:gridCol w:w="16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13" w:type="pct"/>
            <w:vMerge w:val="restart"/>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r>
              <w:rPr>
                <w:i w:val="0"/>
                <w:iCs w:val="0"/>
                <w:snapToGrid w:val="0"/>
                <w:color w:val="000000"/>
                <w:kern w:val="0"/>
                <w:sz w:val="21"/>
                <w:szCs w:val="21"/>
              </w:rPr>
              <w:t>种类</w:t>
            </w:r>
          </w:p>
        </w:tc>
        <w:tc>
          <w:tcPr>
            <w:tcW w:w="767" w:type="pct"/>
            <w:vMerge w:val="restart"/>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r>
              <w:rPr>
                <w:i w:val="0"/>
                <w:iCs w:val="0"/>
                <w:snapToGrid w:val="0"/>
                <w:color w:val="000000"/>
                <w:kern w:val="0"/>
                <w:sz w:val="21"/>
                <w:szCs w:val="21"/>
              </w:rPr>
              <w:t>废水名称</w:t>
            </w:r>
          </w:p>
        </w:tc>
        <w:tc>
          <w:tcPr>
            <w:tcW w:w="788" w:type="pct"/>
            <w:vMerge w:val="restart"/>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r>
              <w:rPr>
                <w:i w:val="0"/>
                <w:iCs w:val="0"/>
                <w:snapToGrid w:val="0"/>
                <w:color w:val="000000"/>
                <w:kern w:val="0"/>
                <w:sz w:val="21"/>
                <w:szCs w:val="21"/>
              </w:rPr>
              <w:t>废水量t/a</w:t>
            </w:r>
          </w:p>
        </w:tc>
        <w:tc>
          <w:tcPr>
            <w:tcW w:w="2631" w:type="pct"/>
            <w:gridSpan w:val="3"/>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r>
              <w:rPr>
                <w:i w:val="0"/>
                <w:iCs w:val="0"/>
                <w:snapToGrid w:val="0"/>
                <w:color w:val="000000"/>
                <w:kern w:val="0"/>
                <w:sz w:val="21"/>
                <w:szCs w:val="21"/>
              </w:rPr>
              <w:t>污染物产生情况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tblHeader/>
          <w:jc w:val="center"/>
        </w:trPr>
        <w:tc>
          <w:tcPr>
            <w:tcW w:w="813" w:type="pct"/>
            <w:vMerge w:val="continue"/>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p>
        </w:tc>
        <w:tc>
          <w:tcPr>
            <w:tcW w:w="767" w:type="pct"/>
            <w:vMerge w:val="continue"/>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p>
        </w:tc>
        <w:tc>
          <w:tcPr>
            <w:tcW w:w="788" w:type="pct"/>
            <w:vMerge w:val="continue"/>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p>
        </w:tc>
        <w:tc>
          <w:tcPr>
            <w:tcW w:w="906" w:type="pct"/>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r>
              <w:rPr>
                <w:i w:val="0"/>
                <w:iCs w:val="0"/>
                <w:snapToGrid w:val="0"/>
                <w:color w:val="000000"/>
                <w:kern w:val="0"/>
                <w:sz w:val="21"/>
                <w:szCs w:val="21"/>
              </w:rPr>
              <w:t>污染物</w:t>
            </w:r>
          </w:p>
        </w:tc>
        <w:tc>
          <w:tcPr>
            <w:tcW w:w="838" w:type="pct"/>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r>
              <w:rPr>
                <w:i w:val="0"/>
                <w:iCs w:val="0"/>
                <w:snapToGrid w:val="0"/>
                <w:color w:val="000000"/>
                <w:kern w:val="0"/>
                <w:sz w:val="21"/>
                <w:szCs w:val="21"/>
              </w:rPr>
              <w:t>浓度mg/L</w:t>
            </w:r>
          </w:p>
        </w:tc>
        <w:tc>
          <w:tcPr>
            <w:tcW w:w="886" w:type="pct"/>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r>
              <w:rPr>
                <w:i w:val="0"/>
                <w:iCs w:val="0"/>
                <w:snapToGrid w:val="0"/>
                <w:color w:val="000000"/>
                <w:kern w:val="0"/>
                <w:sz w:val="21"/>
                <w:szCs w:val="21"/>
              </w:rPr>
              <w:t>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813" w:type="pct"/>
            <w:vMerge w:val="restart"/>
            <w:noWrap w:val="0"/>
            <w:vAlign w:val="center"/>
          </w:tcPr>
          <w:p>
            <w:pPr>
              <w:overflowPunct w:val="0"/>
              <w:autoSpaceDE w:val="0"/>
              <w:autoSpaceDN w:val="0"/>
              <w:adjustRightInd w:val="0"/>
              <w:snapToGrid w:val="0"/>
              <w:spacing w:before="48" w:beforeLines="20" w:after="48" w:afterLines="20"/>
              <w:jc w:val="center"/>
              <w:rPr>
                <w:rFonts w:hint="eastAsia"/>
                <w:i w:val="0"/>
                <w:iCs w:val="0"/>
                <w:snapToGrid w:val="0"/>
                <w:color w:val="000000"/>
                <w:kern w:val="0"/>
                <w:sz w:val="21"/>
                <w:szCs w:val="21"/>
              </w:rPr>
            </w:pPr>
            <w:r>
              <w:rPr>
                <w:rFonts w:hint="eastAsia"/>
                <w:i w:val="0"/>
                <w:iCs w:val="0"/>
                <w:snapToGrid w:val="0"/>
                <w:color w:val="000000"/>
                <w:kern w:val="0"/>
                <w:sz w:val="21"/>
                <w:szCs w:val="21"/>
              </w:rPr>
              <w:t>一期工程</w:t>
            </w:r>
          </w:p>
        </w:tc>
        <w:tc>
          <w:tcPr>
            <w:tcW w:w="767" w:type="pct"/>
            <w:vMerge w:val="restart"/>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r>
              <w:rPr>
                <w:i w:val="0"/>
                <w:iCs w:val="0"/>
                <w:snapToGrid w:val="0"/>
                <w:color w:val="000000"/>
                <w:kern w:val="0"/>
                <w:sz w:val="21"/>
                <w:szCs w:val="21"/>
              </w:rPr>
              <w:t>生活污水</w:t>
            </w:r>
          </w:p>
        </w:tc>
        <w:tc>
          <w:tcPr>
            <w:tcW w:w="788" w:type="pct"/>
            <w:vMerge w:val="restart"/>
            <w:noWrap w:val="0"/>
            <w:vAlign w:val="center"/>
          </w:tcPr>
          <w:p>
            <w:pPr>
              <w:overflowPunct w:val="0"/>
              <w:autoSpaceDE w:val="0"/>
              <w:autoSpaceDN w:val="0"/>
              <w:adjustRightInd w:val="0"/>
              <w:snapToGrid w:val="0"/>
              <w:spacing w:before="48" w:beforeLines="20" w:after="48" w:afterLines="20"/>
              <w:jc w:val="center"/>
              <w:rPr>
                <w:rFonts w:hint="default" w:eastAsia="宋体"/>
                <w:i w:val="0"/>
                <w:iCs w:val="0"/>
                <w:snapToGrid w:val="0"/>
                <w:color w:val="000000"/>
                <w:kern w:val="0"/>
                <w:sz w:val="21"/>
                <w:szCs w:val="21"/>
                <w:lang w:val="en-US" w:eastAsia="zh-CN"/>
              </w:rPr>
            </w:pPr>
            <w:r>
              <w:rPr>
                <w:rFonts w:hint="eastAsia"/>
                <w:i w:val="0"/>
                <w:iCs w:val="0"/>
                <w:snapToGrid w:val="0"/>
                <w:color w:val="000000"/>
                <w:kern w:val="0"/>
                <w:sz w:val="21"/>
                <w:szCs w:val="21"/>
                <w:lang w:val="en-US" w:eastAsia="zh-CN"/>
              </w:rPr>
              <w:t>2912</w:t>
            </w:r>
          </w:p>
        </w:tc>
        <w:tc>
          <w:tcPr>
            <w:tcW w:w="906" w:type="pct"/>
            <w:noWrap w:val="0"/>
            <w:vAlign w:val="center"/>
          </w:tcPr>
          <w:p>
            <w:pPr>
              <w:jc w:val="center"/>
              <w:rPr>
                <w:i w:val="0"/>
                <w:iCs w:val="0"/>
                <w:color w:val="000000"/>
                <w:sz w:val="21"/>
                <w:szCs w:val="21"/>
              </w:rPr>
            </w:pPr>
            <w:r>
              <w:rPr>
                <w:i w:val="0"/>
                <w:iCs w:val="0"/>
                <w:color w:val="000000"/>
                <w:sz w:val="21"/>
                <w:szCs w:val="21"/>
              </w:rPr>
              <w:t>COD</w:t>
            </w:r>
          </w:p>
        </w:tc>
        <w:tc>
          <w:tcPr>
            <w:tcW w:w="838" w:type="pct"/>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r>
              <w:rPr>
                <w:i w:val="0"/>
                <w:iCs w:val="0"/>
                <w:snapToGrid w:val="0"/>
                <w:color w:val="000000"/>
                <w:kern w:val="0"/>
                <w:sz w:val="21"/>
                <w:szCs w:val="21"/>
              </w:rPr>
              <w:t>400</w:t>
            </w:r>
          </w:p>
        </w:tc>
        <w:tc>
          <w:tcPr>
            <w:tcW w:w="1687" w:type="dxa"/>
            <w:noWrap w:val="0"/>
            <w:vAlign w:val="center"/>
          </w:tcPr>
          <w:p>
            <w:pPr>
              <w:overflowPunct w:val="0"/>
              <w:autoSpaceDE w:val="0"/>
              <w:autoSpaceDN w:val="0"/>
              <w:adjustRightInd w:val="0"/>
              <w:snapToGrid w:val="0"/>
              <w:spacing w:before="48" w:beforeLines="20" w:after="48" w:afterLines="20"/>
              <w:jc w:val="center"/>
              <w:rPr>
                <w:rFonts w:ascii="Times New Roman" w:hAnsi="Times New Roman" w:eastAsia="宋体" w:cs="Times New Roman"/>
                <w:i w:val="0"/>
                <w:iCs w:val="0"/>
                <w:snapToGrid w:val="0"/>
                <w:color w:val="000000"/>
                <w:kern w:val="0"/>
                <w:sz w:val="21"/>
                <w:szCs w:val="21"/>
              </w:rPr>
            </w:pPr>
            <w:r>
              <w:rPr>
                <w:rFonts w:hint="eastAsia" w:ascii="Times New Roman" w:hAnsi="Times New Roman" w:eastAsia="宋体" w:cs="Times New Roman"/>
                <w:i w:val="0"/>
                <w:iCs w:val="0"/>
                <w:snapToGrid w:val="0"/>
                <w:color w:val="000000"/>
                <w:kern w:val="0"/>
                <w:sz w:val="21"/>
                <w:szCs w:val="21"/>
                <w:lang w:val="en-US" w:eastAsia="zh-CN"/>
              </w:rPr>
              <w:t xml:space="preserve">1.165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813" w:type="pct"/>
            <w:vMerge w:val="continue"/>
            <w:noWrap w:val="0"/>
            <w:vAlign w:val="center"/>
          </w:tcPr>
          <w:p>
            <w:pPr>
              <w:overflowPunct w:val="0"/>
              <w:autoSpaceDE w:val="0"/>
              <w:autoSpaceDN w:val="0"/>
              <w:adjustRightInd w:val="0"/>
              <w:snapToGrid w:val="0"/>
              <w:spacing w:before="48" w:beforeLines="20" w:after="48" w:afterLines="20"/>
              <w:jc w:val="center"/>
              <w:rPr>
                <w:rFonts w:hint="eastAsia"/>
                <w:i w:val="0"/>
                <w:iCs w:val="0"/>
                <w:snapToGrid w:val="0"/>
                <w:color w:val="000000"/>
                <w:kern w:val="0"/>
                <w:sz w:val="21"/>
                <w:szCs w:val="21"/>
              </w:rPr>
            </w:pPr>
          </w:p>
        </w:tc>
        <w:tc>
          <w:tcPr>
            <w:tcW w:w="767" w:type="pct"/>
            <w:vMerge w:val="continue"/>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p>
        </w:tc>
        <w:tc>
          <w:tcPr>
            <w:tcW w:w="788" w:type="pct"/>
            <w:vMerge w:val="continue"/>
            <w:noWrap w:val="0"/>
            <w:vAlign w:val="center"/>
          </w:tcPr>
          <w:p>
            <w:pPr>
              <w:overflowPunct w:val="0"/>
              <w:autoSpaceDE w:val="0"/>
              <w:autoSpaceDN w:val="0"/>
              <w:adjustRightInd w:val="0"/>
              <w:snapToGrid w:val="0"/>
              <w:spacing w:before="48" w:beforeLines="20" w:after="48" w:afterLines="20"/>
              <w:jc w:val="center"/>
              <w:rPr>
                <w:rFonts w:hint="eastAsia"/>
                <w:i w:val="0"/>
                <w:iCs w:val="0"/>
                <w:snapToGrid w:val="0"/>
                <w:color w:val="000000"/>
                <w:kern w:val="0"/>
                <w:sz w:val="21"/>
                <w:szCs w:val="21"/>
              </w:rPr>
            </w:pPr>
          </w:p>
        </w:tc>
        <w:tc>
          <w:tcPr>
            <w:tcW w:w="906" w:type="pct"/>
            <w:noWrap w:val="0"/>
            <w:vAlign w:val="center"/>
          </w:tcPr>
          <w:p>
            <w:pPr>
              <w:jc w:val="center"/>
              <w:rPr>
                <w:i w:val="0"/>
                <w:iCs w:val="0"/>
                <w:color w:val="000000"/>
                <w:sz w:val="21"/>
                <w:szCs w:val="21"/>
              </w:rPr>
            </w:pPr>
            <w:r>
              <w:rPr>
                <w:i w:val="0"/>
                <w:iCs w:val="0"/>
                <w:color w:val="000000"/>
                <w:sz w:val="21"/>
                <w:szCs w:val="21"/>
              </w:rPr>
              <w:t>BOD</w:t>
            </w:r>
            <w:r>
              <w:rPr>
                <w:rFonts w:hint="eastAsia"/>
                <w:i w:val="0"/>
                <w:iCs w:val="0"/>
                <w:color w:val="000000"/>
                <w:sz w:val="21"/>
                <w:szCs w:val="21"/>
                <w:vertAlign w:val="subscript"/>
              </w:rPr>
              <w:t>5</w:t>
            </w:r>
          </w:p>
        </w:tc>
        <w:tc>
          <w:tcPr>
            <w:tcW w:w="838" w:type="pct"/>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r>
              <w:rPr>
                <w:i w:val="0"/>
                <w:iCs w:val="0"/>
                <w:snapToGrid w:val="0"/>
                <w:color w:val="000000"/>
                <w:kern w:val="0"/>
                <w:sz w:val="21"/>
                <w:szCs w:val="21"/>
              </w:rPr>
              <w:t>180</w:t>
            </w:r>
          </w:p>
        </w:tc>
        <w:tc>
          <w:tcPr>
            <w:tcW w:w="1687" w:type="dxa"/>
            <w:noWrap w:val="0"/>
            <w:vAlign w:val="center"/>
          </w:tcPr>
          <w:p>
            <w:pPr>
              <w:overflowPunct w:val="0"/>
              <w:autoSpaceDE w:val="0"/>
              <w:autoSpaceDN w:val="0"/>
              <w:adjustRightInd w:val="0"/>
              <w:snapToGrid w:val="0"/>
              <w:spacing w:before="48" w:beforeLines="20" w:after="48" w:afterLines="20"/>
              <w:jc w:val="center"/>
              <w:rPr>
                <w:rFonts w:hint="eastAsia" w:ascii="Times New Roman" w:hAnsi="Times New Roman" w:eastAsia="宋体" w:cs="Times New Roman"/>
                <w:i w:val="0"/>
                <w:iCs w:val="0"/>
                <w:snapToGrid w:val="0"/>
                <w:color w:val="000000"/>
                <w:kern w:val="0"/>
                <w:sz w:val="21"/>
                <w:szCs w:val="21"/>
              </w:rPr>
            </w:pPr>
            <w:r>
              <w:rPr>
                <w:rFonts w:hint="eastAsia" w:ascii="Times New Roman" w:hAnsi="Times New Roman" w:eastAsia="宋体" w:cs="Times New Roman"/>
                <w:i w:val="0"/>
                <w:iCs w:val="0"/>
                <w:snapToGrid w:val="0"/>
                <w:color w:val="000000"/>
                <w:kern w:val="0"/>
                <w:sz w:val="21"/>
                <w:szCs w:val="21"/>
                <w:lang w:val="en-US" w:eastAsia="zh-CN"/>
              </w:rPr>
              <w:t xml:space="preserve">0.524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3" w:type="pct"/>
            <w:vMerge w:val="continue"/>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p>
        </w:tc>
        <w:tc>
          <w:tcPr>
            <w:tcW w:w="767" w:type="pct"/>
            <w:vMerge w:val="continue"/>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p>
        </w:tc>
        <w:tc>
          <w:tcPr>
            <w:tcW w:w="788" w:type="pct"/>
            <w:vMerge w:val="continue"/>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p>
        </w:tc>
        <w:tc>
          <w:tcPr>
            <w:tcW w:w="906" w:type="pct"/>
            <w:noWrap w:val="0"/>
            <w:vAlign w:val="center"/>
          </w:tcPr>
          <w:p>
            <w:pPr>
              <w:jc w:val="center"/>
              <w:rPr>
                <w:i w:val="0"/>
                <w:iCs w:val="0"/>
                <w:color w:val="000000"/>
                <w:sz w:val="21"/>
                <w:szCs w:val="21"/>
              </w:rPr>
            </w:pPr>
            <w:r>
              <w:rPr>
                <w:i w:val="0"/>
                <w:iCs w:val="0"/>
                <w:color w:val="000000"/>
                <w:sz w:val="21"/>
                <w:szCs w:val="21"/>
              </w:rPr>
              <w:t>SS</w:t>
            </w:r>
          </w:p>
        </w:tc>
        <w:tc>
          <w:tcPr>
            <w:tcW w:w="838" w:type="pct"/>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r>
              <w:rPr>
                <w:i w:val="0"/>
                <w:iCs w:val="0"/>
                <w:snapToGrid w:val="0"/>
                <w:color w:val="000000"/>
                <w:kern w:val="0"/>
                <w:sz w:val="21"/>
                <w:szCs w:val="21"/>
              </w:rPr>
              <w:t>200</w:t>
            </w:r>
          </w:p>
        </w:tc>
        <w:tc>
          <w:tcPr>
            <w:tcW w:w="1687" w:type="dxa"/>
            <w:noWrap w:val="0"/>
            <w:vAlign w:val="center"/>
          </w:tcPr>
          <w:p>
            <w:pPr>
              <w:overflowPunct w:val="0"/>
              <w:autoSpaceDE w:val="0"/>
              <w:autoSpaceDN w:val="0"/>
              <w:adjustRightInd w:val="0"/>
              <w:snapToGrid w:val="0"/>
              <w:spacing w:before="48" w:beforeLines="20" w:after="48" w:afterLines="20"/>
              <w:jc w:val="center"/>
              <w:rPr>
                <w:rFonts w:ascii="Times New Roman" w:hAnsi="Times New Roman" w:eastAsia="宋体" w:cs="Times New Roman"/>
                <w:i w:val="0"/>
                <w:iCs w:val="0"/>
                <w:snapToGrid w:val="0"/>
                <w:color w:val="000000"/>
                <w:kern w:val="0"/>
                <w:sz w:val="21"/>
                <w:szCs w:val="21"/>
              </w:rPr>
            </w:pPr>
            <w:r>
              <w:rPr>
                <w:rFonts w:hint="eastAsia" w:ascii="Times New Roman" w:hAnsi="Times New Roman" w:eastAsia="宋体" w:cs="Times New Roman"/>
                <w:i w:val="0"/>
                <w:iCs w:val="0"/>
                <w:snapToGrid w:val="0"/>
                <w:color w:val="000000"/>
                <w:kern w:val="0"/>
                <w:sz w:val="21"/>
                <w:szCs w:val="21"/>
                <w:lang w:val="en-US" w:eastAsia="zh-CN"/>
              </w:rPr>
              <w:t xml:space="preserve">0.582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3" w:type="pct"/>
            <w:vMerge w:val="continue"/>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p>
        </w:tc>
        <w:tc>
          <w:tcPr>
            <w:tcW w:w="767" w:type="pct"/>
            <w:vMerge w:val="continue"/>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p>
        </w:tc>
        <w:tc>
          <w:tcPr>
            <w:tcW w:w="788" w:type="pct"/>
            <w:vMerge w:val="continue"/>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p>
        </w:tc>
        <w:tc>
          <w:tcPr>
            <w:tcW w:w="906" w:type="pct"/>
            <w:noWrap w:val="0"/>
            <w:vAlign w:val="center"/>
          </w:tcPr>
          <w:p>
            <w:pPr>
              <w:jc w:val="center"/>
              <w:rPr>
                <w:i w:val="0"/>
                <w:iCs w:val="0"/>
                <w:color w:val="000000"/>
                <w:sz w:val="21"/>
                <w:szCs w:val="21"/>
              </w:rPr>
            </w:pPr>
            <w:r>
              <w:rPr>
                <w:i w:val="0"/>
                <w:iCs w:val="0"/>
                <w:color w:val="000000"/>
                <w:sz w:val="21"/>
                <w:szCs w:val="21"/>
              </w:rPr>
              <w:t>氨氮</w:t>
            </w:r>
          </w:p>
        </w:tc>
        <w:tc>
          <w:tcPr>
            <w:tcW w:w="838" w:type="pct"/>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r>
              <w:rPr>
                <w:i w:val="0"/>
                <w:iCs w:val="0"/>
                <w:snapToGrid w:val="0"/>
                <w:color w:val="000000"/>
                <w:kern w:val="0"/>
                <w:sz w:val="21"/>
                <w:szCs w:val="21"/>
              </w:rPr>
              <w:t>30</w:t>
            </w:r>
          </w:p>
        </w:tc>
        <w:tc>
          <w:tcPr>
            <w:tcW w:w="1687" w:type="dxa"/>
            <w:noWrap w:val="0"/>
            <w:vAlign w:val="center"/>
          </w:tcPr>
          <w:p>
            <w:pPr>
              <w:overflowPunct w:val="0"/>
              <w:autoSpaceDE w:val="0"/>
              <w:autoSpaceDN w:val="0"/>
              <w:adjustRightInd w:val="0"/>
              <w:snapToGrid w:val="0"/>
              <w:spacing w:before="48" w:beforeLines="20" w:after="48" w:afterLines="20"/>
              <w:jc w:val="center"/>
              <w:rPr>
                <w:rFonts w:ascii="Times New Roman" w:hAnsi="Times New Roman" w:eastAsia="宋体" w:cs="Times New Roman"/>
                <w:i w:val="0"/>
                <w:iCs w:val="0"/>
                <w:snapToGrid w:val="0"/>
                <w:color w:val="000000"/>
                <w:kern w:val="0"/>
                <w:sz w:val="21"/>
                <w:szCs w:val="21"/>
              </w:rPr>
            </w:pPr>
            <w:r>
              <w:rPr>
                <w:rFonts w:hint="eastAsia" w:ascii="Times New Roman" w:hAnsi="Times New Roman" w:eastAsia="宋体" w:cs="Times New Roman"/>
                <w:i w:val="0"/>
                <w:iCs w:val="0"/>
                <w:snapToGrid w:val="0"/>
                <w:color w:val="000000"/>
                <w:kern w:val="0"/>
                <w:sz w:val="21"/>
                <w:szCs w:val="21"/>
                <w:lang w:val="en-US" w:eastAsia="zh-CN"/>
              </w:rPr>
              <w:t xml:space="preserve">0.087 </w:t>
            </w:r>
          </w:p>
        </w:tc>
      </w:tr>
    </w:tbl>
    <w:p>
      <w:pPr>
        <w:spacing w:line="360" w:lineRule="auto"/>
        <w:ind w:firstLine="480" w:firstLineChars="200"/>
        <w:rPr>
          <w:rFonts w:hint="eastAsia"/>
          <w:i w:val="0"/>
          <w:iCs w:val="0"/>
          <w:color w:val="000000"/>
        </w:rPr>
      </w:pPr>
      <w:r>
        <w:rPr>
          <w:rFonts w:hint="eastAsia" w:ascii="宋体" w:hAnsi="宋体"/>
          <w:i w:val="0"/>
          <w:iCs w:val="0"/>
          <w:color w:val="000000"/>
        </w:rPr>
        <w:t>③</w:t>
      </w:r>
      <w:r>
        <w:rPr>
          <w:rFonts w:hint="eastAsia" w:hAnsi="宋体"/>
          <w:i w:val="0"/>
          <w:iCs w:val="0"/>
          <w:color w:val="000000"/>
        </w:rPr>
        <w:t>综合废水</w:t>
      </w:r>
    </w:p>
    <w:p>
      <w:pPr>
        <w:autoSpaceDE w:val="0"/>
        <w:autoSpaceDN w:val="0"/>
        <w:spacing w:line="360" w:lineRule="auto"/>
        <w:ind w:firstLine="480" w:firstLineChars="200"/>
        <w:rPr>
          <w:rFonts w:hint="eastAsia"/>
          <w:i w:val="0"/>
          <w:iCs w:val="0"/>
          <w:color w:val="000000"/>
        </w:rPr>
      </w:pPr>
      <w:r>
        <w:rPr>
          <w:rFonts w:hint="eastAsia"/>
          <w:i w:val="0"/>
          <w:iCs w:val="0"/>
          <w:color w:val="000000"/>
        </w:rPr>
        <w:t>由各期工程生产废水及生活污水污染物情况，汇总得各工期综合废水混合情况见表3-2</w:t>
      </w:r>
      <w:r>
        <w:rPr>
          <w:rFonts w:hint="eastAsia"/>
          <w:i w:val="0"/>
          <w:iCs w:val="0"/>
          <w:color w:val="000000"/>
          <w:lang w:val="en-US" w:eastAsia="zh-CN"/>
        </w:rPr>
        <w:t>8</w:t>
      </w:r>
      <w:r>
        <w:rPr>
          <w:i w:val="0"/>
          <w:iCs w:val="0"/>
          <w:color w:val="000000"/>
        </w:rPr>
        <w:t>。</w:t>
      </w:r>
    </w:p>
    <w:p>
      <w:pPr>
        <w:pStyle w:val="36"/>
        <w:ind w:left="0" w:leftChars="0"/>
        <w:jc w:val="center"/>
        <w:rPr>
          <w:rFonts w:hint="eastAsia" w:ascii="Times New Roman" w:hAnsi="Times New Roman"/>
          <w:b/>
          <w:i w:val="0"/>
          <w:iCs w:val="0"/>
        </w:rPr>
      </w:pPr>
      <w:r>
        <w:rPr>
          <w:rFonts w:hint="eastAsia" w:ascii="Times New Roman" w:hAnsi="Times New Roman"/>
          <w:b/>
          <w:i w:val="0"/>
          <w:iCs w:val="0"/>
        </w:rPr>
        <w:t>表3-2</w:t>
      </w:r>
      <w:r>
        <w:rPr>
          <w:rFonts w:hint="eastAsia" w:ascii="Times New Roman" w:hAnsi="Times New Roman"/>
          <w:b/>
          <w:i w:val="0"/>
          <w:iCs w:val="0"/>
          <w:lang w:val="en-US" w:eastAsia="zh-CN"/>
        </w:rPr>
        <w:t>8</w:t>
      </w:r>
      <w:r>
        <w:rPr>
          <w:rFonts w:hint="eastAsia" w:ascii="Times New Roman" w:hAnsi="Times New Roman"/>
          <w:b/>
          <w:i w:val="0"/>
          <w:iCs w:val="0"/>
        </w:rPr>
        <w:t xml:space="preserve">  各工期综合废水主要污染物情况</w:t>
      </w:r>
    </w:p>
    <w:tbl>
      <w:tblPr>
        <w:tblStyle w:val="5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98"/>
        <w:gridCol w:w="1418"/>
        <w:gridCol w:w="1996"/>
        <w:gridCol w:w="1861"/>
        <w:gridCol w:w="18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61" w:type="pct"/>
            <w:vMerge w:val="restart"/>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r>
              <w:rPr>
                <w:i w:val="0"/>
                <w:iCs w:val="0"/>
                <w:snapToGrid w:val="0"/>
                <w:color w:val="000000"/>
                <w:kern w:val="0"/>
                <w:sz w:val="21"/>
                <w:szCs w:val="21"/>
              </w:rPr>
              <w:t>种类</w:t>
            </w:r>
          </w:p>
        </w:tc>
        <w:tc>
          <w:tcPr>
            <w:tcW w:w="746" w:type="pct"/>
            <w:vMerge w:val="restart"/>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r>
              <w:rPr>
                <w:i w:val="0"/>
                <w:iCs w:val="0"/>
                <w:snapToGrid w:val="0"/>
                <w:color w:val="000000"/>
                <w:kern w:val="0"/>
                <w:sz w:val="21"/>
                <w:szCs w:val="21"/>
              </w:rPr>
              <w:t>废水量t/a</w:t>
            </w:r>
          </w:p>
        </w:tc>
        <w:tc>
          <w:tcPr>
            <w:tcW w:w="2992" w:type="pct"/>
            <w:gridSpan w:val="3"/>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r>
              <w:rPr>
                <w:i w:val="0"/>
                <w:iCs w:val="0"/>
                <w:snapToGrid w:val="0"/>
                <w:color w:val="000000"/>
                <w:kern w:val="0"/>
                <w:sz w:val="21"/>
                <w:szCs w:val="21"/>
              </w:rPr>
              <w:t>污染物产生情况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tblHeader/>
          <w:jc w:val="center"/>
        </w:trPr>
        <w:tc>
          <w:tcPr>
            <w:tcW w:w="1261" w:type="pct"/>
            <w:vMerge w:val="continue"/>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p>
        </w:tc>
        <w:tc>
          <w:tcPr>
            <w:tcW w:w="746" w:type="pct"/>
            <w:vMerge w:val="continue"/>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p>
        </w:tc>
        <w:tc>
          <w:tcPr>
            <w:tcW w:w="1050" w:type="pct"/>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r>
              <w:rPr>
                <w:i w:val="0"/>
                <w:iCs w:val="0"/>
                <w:snapToGrid w:val="0"/>
                <w:color w:val="000000"/>
                <w:kern w:val="0"/>
                <w:sz w:val="21"/>
                <w:szCs w:val="21"/>
              </w:rPr>
              <w:t>污染物</w:t>
            </w:r>
          </w:p>
        </w:tc>
        <w:tc>
          <w:tcPr>
            <w:tcW w:w="979" w:type="pct"/>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r>
              <w:rPr>
                <w:i w:val="0"/>
                <w:iCs w:val="0"/>
                <w:snapToGrid w:val="0"/>
                <w:color w:val="000000"/>
                <w:kern w:val="0"/>
                <w:sz w:val="21"/>
                <w:szCs w:val="21"/>
              </w:rPr>
              <w:t>浓度mg/L</w:t>
            </w:r>
          </w:p>
        </w:tc>
        <w:tc>
          <w:tcPr>
            <w:tcW w:w="962" w:type="pct"/>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r>
              <w:rPr>
                <w:i w:val="0"/>
                <w:iCs w:val="0"/>
                <w:snapToGrid w:val="0"/>
                <w:color w:val="000000"/>
                <w:kern w:val="0"/>
                <w:sz w:val="21"/>
                <w:szCs w:val="21"/>
              </w:rPr>
              <w:t>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261" w:type="pct"/>
            <w:vMerge w:val="restart"/>
            <w:noWrap w:val="0"/>
            <w:vAlign w:val="center"/>
          </w:tcPr>
          <w:p>
            <w:pPr>
              <w:jc w:val="center"/>
              <w:rPr>
                <w:rFonts w:hint="eastAsia"/>
                <w:i w:val="0"/>
                <w:iCs w:val="0"/>
                <w:color w:val="000000"/>
                <w:sz w:val="21"/>
                <w:szCs w:val="21"/>
              </w:rPr>
            </w:pPr>
            <w:r>
              <w:rPr>
                <w:rFonts w:hint="eastAsia"/>
                <w:i w:val="0"/>
                <w:iCs w:val="0"/>
                <w:color w:val="000000"/>
                <w:sz w:val="21"/>
                <w:szCs w:val="21"/>
              </w:rPr>
              <w:t>一期工程</w:t>
            </w:r>
          </w:p>
        </w:tc>
        <w:tc>
          <w:tcPr>
            <w:tcW w:w="746" w:type="pct"/>
            <w:vMerge w:val="restart"/>
            <w:noWrap w:val="0"/>
            <w:vAlign w:val="center"/>
          </w:tcPr>
          <w:p>
            <w:pPr>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35568.02</w:t>
            </w:r>
          </w:p>
        </w:tc>
        <w:tc>
          <w:tcPr>
            <w:tcW w:w="1050" w:type="pct"/>
            <w:noWrap w:val="0"/>
            <w:vAlign w:val="center"/>
          </w:tcPr>
          <w:p>
            <w:pPr>
              <w:jc w:val="center"/>
              <w:rPr>
                <w:rFonts w:hint="eastAsia"/>
                <w:i w:val="0"/>
                <w:iCs w:val="0"/>
                <w:color w:val="000000"/>
                <w:sz w:val="21"/>
                <w:szCs w:val="21"/>
              </w:rPr>
            </w:pPr>
            <w:r>
              <w:rPr>
                <w:rFonts w:hint="eastAsia"/>
                <w:i w:val="0"/>
                <w:iCs w:val="0"/>
                <w:color w:val="000000"/>
                <w:sz w:val="21"/>
                <w:szCs w:val="21"/>
              </w:rPr>
              <w:t>COD</w:t>
            </w:r>
          </w:p>
        </w:tc>
        <w:tc>
          <w:tcPr>
            <w:tcW w:w="1861" w:type="dxa"/>
            <w:noWrap w:val="0"/>
            <w:vAlign w:val="center"/>
          </w:tcPr>
          <w:p>
            <w:pPr>
              <w:jc w:val="center"/>
              <w:rPr>
                <w:rFonts w:hint="default" w:ascii="Times New Roman" w:hAnsi="Times New Roman" w:eastAsia="宋体" w:cs="Times New Roman"/>
                <w:i w:val="0"/>
                <w:iCs w:val="0"/>
                <w:color w:val="000000"/>
                <w:sz w:val="21"/>
                <w:szCs w:val="21"/>
                <w:lang w:val="en-US" w:eastAsia="zh-CN"/>
              </w:rPr>
            </w:pPr>
            <w:r>
              <w:rPr>
                <w:rFonts w:hint="eastAsia" w:ascii="Times New Roman" w:hAnsi="Times New Roman" w:eastAsia="宋体" w:cs="Times New Roman"/>
                <w:i w:val="0"/>
                <w:iCs w:val="0"/>
                <w:color w:val="000000"/>
                <w:sz w:val="21"/>
                <w:szCs w:val="21"/>
                <w:lang w:val="en-US" w:eastAsia="zh-CN"/>
              </w:rPr>
              <w:t>3479</w:t>
            </w:r>
          </w:p>
        </w:tc>
        <w:tc>
          <w:tcPr>
            <w:tcW w:w="962" w:type="pct"/>
            <w:noWrap w:val="0"/>
            <w:vAlign w:val="center"/>
          </w:tcPr>
          <w:p>
            <w:pPr>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123.751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61" w:type="pct"/>
            <w:vMerge w:val="continue"/>
            <w:noWrap w:val="0"/>
            <w:vAlign w:val="center"/>
          </w:tcPr>
          <w:p>
            <w:pPr>
              <w:jc w:val="center"/>
              <w:rPr>
                <w:rFonts w:hint="eastAsia"/>
                <w:i w:val="0"/>
                <w:iCs w:val="0"/>
                <w:color w:val="000000"/>
                <w:sz w:val="21"/>
                <w:szCs w:val="21"/>
              </w:rPr>
            </w:pPr>
          </w:p>
        </w:tc>
        <w:tc>
          <w:tcPr>
            <w:tcW w:w="746" w:type="pct"/>
            <w:vMerge w:val="continue"/>
            <w:noWrap w:val="0"/>
            <w:vAlign w:val="center"/>
          </w:tcPr>
          <w:p>
            <w:pPr>
              <w:jc w:val="center"/>
              <w:rPr>
                <w:rFonts w:hint="eastAsia"/>
                <w:i w:val="0"/>
                <w:iCs w:val="0"/>
                <w:color w:val="000000"/>
                <w:sz w:val="21"/>
                <w:szCs w:val="21"/>
              </w:rPr>
            </w:pPr>
          </w:p>
        </w:tc>
        <w:tc>
          <w:tcPr>
            <w:tcW w:w="1050" w:type="pct"/>
            <w:noWrap w:val="0"/>
            <w:vAlign w:val="center"/>
          </w:tcPr>
          <w:p>
            <w:pPr>
              <w:jc w:val="center"/>
              <w:rPr>
                <w:rFonts w:hint="eastAsia"/>
                <w:i w:val="0"/>
                <w:iCs w:val="0"/>
                <w:color w:val="000000"/>
                <w:sz w:val="21"/>
                <w:szCs w:val="21"/>
              </w:rPr>
            </w:pPr>
            <w:r>
              <w:rPr>
                <w:rFonts w:hint="eastAsia"/>
                <w:i w:val="0"/>
                <w:iCs w:val="0"/>
                <w:color w:val="000000"/>
                <w:sz w:val="21"/>
                <w:szCs w:val="21"/>
              </w:rPr>
              <w:t>SS</w:t>
            </w:r>
          </w:p>
        </w:tc>
        <w:tc>
          <w:tcPr>
            <w:tcW w:w="1861" w:type="dxa"/>
            <w:noWrap w:val="0"/>
            <w:vAlign w:val="center"/>
          </w:tcPr>
          <w:p>
            <w:pPr>
              <w:jc w:val="center"/>
              <w:rPr>
                <w:rFonts w:hint="default" w:ascii="Times New Roman" w:hAnsi="Times New Roman" w:eastAsia="宋体" w:cs="Times New Roman"/>
                <w:i w:val="0"/>
                <w:iCs w:val="0"/>
                <w:color w:val="000000"/>
                <w:sz w:val="21"/>
                <w:szCs w:val="21"/>
                <w:lang w:val="en-US" w:eastAsia="zh-CN"/>
              </w:rPr>
            </w:pPr>
            <w:r>
              <w:rPr>
                <w:rFonts w:hint="eastAsia" w:ascii="Times New Roman" w:hAnsi="Times New Roman" w:eastAsia="宋体" w:cs="Times New Roman"/>
                <w:i w:val="0"/>
                <w:iCs w:val="0"/>
                <w:color w:val="000000"/>
                <w:sz w:val="21"/>
                <w:szCs w:val="21"/>
                <w:lang w:val="en-US" w:eastAsia="zh-CN"/>
              </w:rPr>
              <w:t>169</w:t>
            </w:r>
          </w:p>
        </w:tc>
        <w:tc>
          <w:tcPr>
            <w:tcW w:w="962" w:type="pct"/>
            <w:noWrap w:val="0"/>
            <w:vAlign w:val="center"/>
          </w:tcPr>
          <w:p>
            <w:pPr>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6.031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61" w:type="pct"/>
            <w:vMerge w:val="continue"/>
            <w:noWrap w:val="0"/>
            <w:vAlign w:val="center"/>
          </w:tcPr>
          <w:p>
            <w:pPr>
              <w:jc w:val="center"/>
              <w:rPr>
                <w:rFonts w:hint="eastAsia"/>
                <w:i w:val="0"/>
                <w:iCs w:val="0"/>
                <w:color w:val="000000"/>
                <w:sz w:val="21"/>
                <w:szCs w:val="21"/>
              </w:rPr>
            </w:pPr>
          </w:p>
        </w:tc>
        <w:tc>
          <w:tcPr>
            <w:tcW w:w="746" w:type="pct"/>
            <w:vMerge w:val="continue"/>
            <w:noWrap w:val="0"/>
            <w:vAlign w:val="center"/>
          </w:tcPr>
          <w:p>
            <w:pPr>
              <w:jc w:val="center"/>
              <w:rPr>
                <w:rFonts w:hint="eastAsia"/>
                <w:i w:val="0"/>
                <w:iCs w:val="0"/>
                <w:color w:val="000000"/>
                <w:sz w:val="21"/>
                <w:szCs w:val="21"/>
              </w:rPr>
            </w:pPr>
          </w:p>
        </w:tc>
        <w:tc>
          <w:tcPr>
            <w:tcW w:w="1050" w:type="pct"/>
            <w:noWrap w:val="0"/>
            <w:vAlign w:val="center"/>
          </w:tcPr>
          <w:p>
            <w:pPr>
              <w:jc w:val="center"/>
              <w:rPr>
                <w:rFonts w:hint="eastAsia"/>
                <w:i w:val="0"/>
                <w:iCs w:val="0"/>
                <w:color w:val="000000"/>
                <w:sz w:val="21"/>
                <w:szCs w:val="21"/>
              </w:rPr>
            </w:pPr>
            <w:r>
              <w:rPr>
                <w:rFonts w:hint="eastAsia"/>
                <w:i w:val="0"/>
                <w:iCs w:val="0"/>
                <w:color w:val="000000"/>
                <w:sz w:val="21"/>
                <w:szCs w:val="21"/>
              </w:rPr>
              <w:t>BOD</w:t>
            </w:r>
            <w:r>
              <w:rPr>
                <w:rFonts w:hint="eastAsia"/>
                <w:i w:val="0"/>
                <w:iCs w:val="0"/>
                <w:color w:val="000000"/>
                <w:sz w:val="21"/>
                <w:szCs w:val="21"/>
                <w:vertAlign w:val="subscript"/>
              </w:rPr>
              <w:t>5</w:t>
            </w:r>
          </w:p>
        </w:tc>
        <w:tc>
          <w:tcPr>
            <w:tcW w:w="1861" w:type="dxa"/>
            <w:noWrap w:val="0"/>
            <w:vAlign w:val="center"/>
          </w:tcPr>
          <w:p>
            <w:pPr>
              <w:jc w:val="center"/>
              <w:rPr>
                <w:rFonts w:hint="default" w:ascii="Times New Roman" w:hAnsi="Times New Roman" w:eastAsia="宋体" w:cs="Times New Roman"/>
                <w:i w:val="0"/>
                <w:iCs w:val="0"/>
                <w:color w:val="000000"/>
                <w:sz w:val="21"/>
                <w:szCs w:val="21"/>
                <w:lang w:val="en-US" w:eastAsia="zh-CN"/>
              </w:rPr>
            </w:pPr>
            <w:r>
              <w:rPr>
                <w:rFonts w:hint="eastAsia" w:ascii="Times New Roman" w:hAnsi="Times New Roman" w:eastAsia="宋体" w:cs="Times New Roman"/>
                <w:i w:val="0"/>
                <w:iCs w:val="0"/>
                <w:color w:val="000000"/>
                <w:sz w:val="21"/>
                <w:szCs w:val="21"/>
                <w:lang w:val="en-US" w:eastAsia="zh-CN"/>
              </w:rPr>
              <w:t>1184</w:t>
            </w:r>
          </w:p>
        </w:tc>
        <w:tc>
          <w:tcPr>
            <w:tcW w:w="962" w:type="pct"/>
            <w:noWrap w:val="0"/>
            <w:vAlign w:val="center"/>
          </w:tcPr>
          <w:p>
            <w:pPr>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42.1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61" w:type="pct"/>
            <w:vMerge w:val="continue"/>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p>
        </w:tc>
        <w:tc>
          <w:tcPr>
            <w:tcW w:w="746" w:type="pct"/>
            <w:vMerge w:val="continue"/>
            <w:noWrap w:val="0"/>
            <w:vAlign w:val="center"/>
          </w:tcPr>
          <w:p>
            <w:pPr>
              <w:overflowPunct w:val="0"/>
              <w:autoSpaceDE w:val="0"/>
              <w:autoSpaceDN w:val="0"/>
              <w:adjustRightInd w:val="0"/>
              <w:snapToGrid w:val="0"/>
              <w:spacing w:before="48" w:beforeLines="20" w:after="48" w:afterLines="20"/>
              <w:jc w:val="center"/>
              <w:rPr>
                <w:i w:val="0"/>
                <w:iCs w:val="0"/>
                <w:snapToGrid w:val="0"/>
                <w:color w:val="000000"/>
                <w:kern w:val="0"/>
                <w:sz w:val="21"/>
                <w:szCs w:val="21"/>
              </w:rPr>
            </w:pPr>
          </w:p>
        </w:tc>
        <w:tc>
          <w:tcPr>
            <w:tcW w:w="1050" w:type="pct"/>
            <w:noWrap w:val="0"/>
            <w:vAlign w:val="center"/>
          </w:tcPr>
          <w:p>
            <w:pPr>
              <w:jc w:val="center"/>
              <w:rPr>
                <w:i w:val="0"/>
                <w:iCs w:val="0"/>
                <w:color w:val="000000"/>
                <w:sz w:val="21"/>
                <w:szCs w:val="21"/>
              </w:rPr>
            </w:pPr>
            <w:r>
              <w:rPr>
                <w:i w:val="0"/>
                <w:iCs w:val="0"/>
                <w:color w:val="000000"/>
                <w:sz w:val="21"/>
                <w:szCs w:val="21"/>
              </w:rPr>
              <w:t>氨氮</w:t>
            </w:r>
          </w:p>
        </w:tc>
        <w:tc>
          <w:tcPr>
            <w:tcW w:w="1861" w:type="dxa"/>
            <w:noWrap w:val="0"/>
            <w:vAlign w:val="center"/>
          </w:tcPr>
          <w:p>
            <w:pPr>
              <w:jc w:val="center"/>
              <w:rPr>
                <w:rFonts w:hint="default" w:ascii="Times New Roman" w:hAnsi="Times New Roman" w:eastAsia="宋体" w:cs="Times New Roman"/>
                <w:i w:val="0"/>
                <w:iCs w:val="0"/>
                <w:color w:val="000000"/>
                <w:sz w:val="21"/>
                <w:szCs w:val="21"/>
                <w:lang w:val="en-US" w:eastAsia="zh-CN"/>
              </w:rPr>
            </w:pPr>
            <w:r>
              <w:rPr>
                <w:rFonts w:hint="eastAsia" w:ascii="Times New Roman" w:hAnsi="Times New Roman" w:eastAsia="宋体" w:cs="Times New Roman"/>
                <w:i w:val="0"/>
                <w:iCs w:val="0"/>
                <w:color w:val="000000"/>
                <w:sz w:val="21"/>
                <w:szCs w:val="21"/>
                <w:lang w:val="en-US" w:eastAsia="zh-CN"/>
              </w:rPr>
              <w:t>10</w:t>
            </w:r>
          </w:p>
        </w:tc>
        <w:tc>
          <w:tcPr>
            <w:tcW w:w="962" w:type="pct"/>
            <w:noWrap w:val="0"/>
            <w:vAlign w:val="center"/>
          </w:tcPr>
          <w:p>
            <w:pPr>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0.362</w:t>
            </w:r>
          </w:p>
        </w:tc>
      </w:tr>
    </w:tbl>
    <w:p>
      <w:pPr>
        <w:spacing w:line="360" w:lineRule="auto"/>
        <w:ind w:firstLine="480" w:firstLineChars="200"/>
        <w:rPr>
          <w:rFonts w:hint="eastAsia" w:ascii="Times New Roman" w:hAnsi="Times New Roman" w:eastAsia="宋体" w:cs="Times New Roman"/>
          <w:i w:val="0"/>
          <w:iCs w:val="0"/>
          <w:color w:val="000000"/>
        </w:rPr>
      </w:pPr>
      <w:r>
        <w:rPr>
          <w:rFonts w:hint="eastAsia"/>
          <w:i w:val="0"/>
          <w:iCs w:val="0"/>
          <w:color w:val="000000"/>
        </w:rPr>
        <w:t>由上表可见，项目废水中COD浓度较高，根据废水产</w:t>
      </w:r>
      <w:r>
        <w:rPr>
          <w:rFonts w:hint="eastAsia" w:ascii="Times New Roman" w:hAnsi="Times New Roman" w:eastAsia="宋体" w:cs="Times New Roman"/>
          <w:i w:val="0"/>
          <w:iCs w:val="0"/>
          <w:color w:val="000000"/>
        </w:rPr>
        <w:t>生情况拟采用“水解+UASB+A/O”工艺处理综合废水。</w:t>
      </w:r>
    </w:p>
    <w:p>
      <w:pPr>
        <w:autoSpaceDE w:val="0"/>
        <w:autoSpaceDN w:val="0"/>
        <w:spacing w:line="360" w:lineRule="auto"/>
        <w:ind w:firstLine="480" w:firstLineChars="200"/>
        <w:rPr>
          <w:i w:val="0"/>
          <w:iCs w:val="0"/>
          <w:color w:val="000000"/>
        </w:rPr>
      </w:pPr>
      <w:r>
        <w:rPr>
          <w:rFonts w:hint="eastAsia"/>
          <w:i w:val="0"/>
          <w:iCs w:val="0"/>
          <w:color w:val="000000"/>
          <w:lang w:val="zh-CN"/>
        </w:rPr>
        <w:t>（2）</w:t>
      </w:r>
      <w:r>
        <w:rPr>
          <w:i w:val="0"/>
          <w:iCs w:val="0"/>
          <w:color w:val="000000"/>
          <w:lang w:val="zh-CN"/>
        </w:rPr>
        <w:t>处理措施</w:t>
      </w:r>
    </w:p>
    <w:p>
      <w:pPr>
        <w:spacing w:line="460" w:lineRule="exact"/>
        <w:ind w:firstLine="480" w:firstLineChars="200"/>
        <w:rPr>
          <w:rFonts w:hint="eastAsia" w:hAnsi="宋体"/>
          <w:i/>
          <w:iCs/>
          <w:color w:val="000000"/>
          <w:u w:val="single"/>
        </w:rPr>
      </w:pPr>
      <w:r>
        <w:rPr>
          <w:rFonts w:hAnsi="宋体"/>
          <w:i/>
          <w:iCs/>
          <w:color w:val="000000"/>
          <w:u w:val="single"/>
        </w:rPr>
        <w:t>废水处理工艺见图</w:t>
      </w:r>
      <w:r>
        <w:rPr>
          <w:i/>
          <w:iCs/>
          <w:color w:val="000000"/>
          <w:u w:val="single"/>
        </w:rPr>
        <w:t>3</w:t>
      </w:r>
      <w:r>
        <w:rPr>
          <w:rFonts w:hint="eastAsia"/>
          <w:i/>
          <w:iCs/>
          <w:color w:val="000000"/>
          <w:u w:val="single"/>
        </w:rPr>
        <w:t>-</w:t>
      </w:r>
      <w:r>
        <w:rPr>
          <w:rFonts w:hint="eastAsia"/>
          <w:i/>
          <w:iCs/>
          <w:color w:val="000000"/>
          <w:u w:val="single"/>
          <w:lang w:val="en-US" w:eastAsia="zh-CN"/>
        </w:rPr>
        <w:t>6</w:t>
      </w:r>
      <w:r>
        <w:rPr>
          <w:rFonts w:hAnsi="宋体"/>
          <w:i/>
          <w:iCs/>
          <w:color w:val="000000"/>
          <w:u w:val="single"/>
        </w:rPr>
        <w:t>。</w:t>
      </w:r>
    </w:p>
    <w:p>
      <w:pPr>
        <w:spacing w:line="460" w:lineRule="exact"/>
        <w:ind w:firstLine="480" w:firstLineChars="200"/>
        <w:rPr>
          <w:rFonts w:hint="eastAsia"/>
          <w:i/>
          <w:iCs/>
          <w:color w:val="000000"/>
          <w:u w:val="single"/>
        </w:rPr>
      </w:pPr>
    </w:p>
    <w:p>
      <w:pPr>
        <w:spacing w:line="480" w:lineRule="auto"/>
        <w:jc w:val="center"/>
        <w:rPr>
          <w:rFonts w:hint="eastAsia" w:ascii="宋体" w:hAnsi="宋体" w:cs="Arial"/>
          <w:i/>
          <w:iCs/>
          <w:color w:val="000000"/>
          <w:u w:val="single"/>
        </w:rPr>
      </w:pPr>
      <w:r>
        <w:rPr>
          <w:rFonts w:hint="eastAsia" w:eastAsia="宋体"/>
          <w:i/>
          <w:iCs/>
          <w:sz w:val="24"/>
          <w:szCs w:val="24"/>
          <w:u w:val="single"/>
          <w:lang w:val="en-US" w:eastAsia="zh-CN"/>
        </w:rPr>
        <w:drawing>
          <wp:inline distT="0" distB="0" distL="114300" distR="114300">
            <wp:extent cx="4109085" cy="5281295"/>
            <wp:effectExtent l="0" t="0" r="5715" b="14605"/>
            <wp:docPr id="41"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descr="图片1"/>
                    <pic:cNvPicPr>
                      <a:picLocks noChangeAspect="1"/>
                    </pic:cNvPicPr>
                  </pic:nvPicPr>
                  <pic:blipFill>
                    <a:blip r:embed="rId31"/>
                    <a:stretch>
                      <a:fillRect/>
                    </a:stretch>
                  </pic:blipFill>
                  <pic:spPr>
                    <a:xfrm>
                      <a:off x="0" y="0"/>
                      <a:ext cx="4109085" cy="5281295"/>
                    </a:xfrm>
                    <a:prstGeom prst="rect">
                      <a:avLst/>
                    </a:prstGeom>
                    <a:noFill/>
                    <a:ln>
                      <a:noFill/>
                    </a:ln>
                  </pic:spPr>
                </pic:pic>
              </a:graphicData>
            </a:graphic>
          </wp:inline>
        </w:drawing>
      </w:r>
    </w:p>
    <w:p>
      <w:pPr>
        <w:spacing w:line="480" w:lineRule="auto"/>
        <w:jc w:val="center"/>
        <w:rPr>
          <w:rFonts w:hint="eastAsia" w:ascii="宋体" w:hAnsi="宋体" w:cs="Arial"/>
          <w:i/>
          <w:iCs/>
          <w:color w:val="000000"/>
          <w:u w:val="single"/>
        </w:rPr>
      </w:pPr>
      <w:r>
        <w:rPr>
          <w:rFonts w:eastAsia="黑体"/>
          <w:i/>
          <w:iCs/>
          <w:color w:val="000000"/>
          <w:u w:val="single"/>
        </w:rPr>
        <w:t>图</w:t>
      </w:r>
      <w:r>
        <w:rPr>
          <w:rFonts w:hint="eastAsia" w:eastAsia="黑体"/>
          <w:i/>
          <w:iCs/>
          <w:color w:val="000000"/>
          <w:u w:val="single"/>
        </w:rPr>
        <w:t>3-</w:t>
      </w:r>
      <w:r>
        <w:rPr>
          <w:rFonts w:hint="eastAsia" w:eastAsia="黑体"/>
          <w:i/>
          <w:iCs/>
          <w:color w:val="000000"/>
          <w:u w:val="single"/>
          <w:lang w:val="en-US" w:eastAsia="zh-CN"/>
        </w:rPr>
        <w:t>6</w:t>
      </w:r>
      <w:r>
        <w:rPr>
          <w:rFonts w:hint="eastAsia" w:eastAsia="黑体"/>
          <w:i/>
          <w:iCs/>
          <w:color w:val="000000"/>
          <w:u w:val="single"/>
        </w:rPr>
        <w:t xml:space="preserve"> </w:t>
      </w:r>
      <w:r>
        <w:rPr>
          <w:rFonts w:eastAsia="黑体"/>
          <w:i/>
          <w:iCs/>
          <w:color w:val="000000"/>
          <w:u w:val="single"/>
        </w:rPr>
        <w:t xml:space="preserve"> </w:t>
      </w:r>
      <w:r>
        <w:rPr>
          <w:rFonts w:hint="eastAsia" w:eastAsia="黑体"/>
          <w:i/>
          <w:iCs/>
          <w:color w:val="000000"/>
          <w:u w:val="single"/>
        </w:rPr>
        <w:t>废水处理工艺流程示意</w:t>
      </w:r>
      <w:r>
        <w:rPr>
          <w:rFonts w:eastAsia="黑体"/>
          <w:i/>
          <w:iCs/>
          <w:color w:val="000000"/>
          <w:u w:val="single"/>
        </w:rPr>
        <w:t>图</w:t>
      </w:r>
    </w:p>
    <w:p>
      <w:pPr>
        <w:spacing w:line="460" w:lineRule="exact"/>
        <w:ind w:firstLine="480" w:firstLineChars="200"/>
        <w:rPr>
          <w:rFonts w:hint="eastAsia" w:hAnsi="宋体"/>
          <w:i/>
          <w:iCs/>
          <w:color w:val="000000"/>
          <w:u w:val="single"/>
        </w:rPr>
      </w:pPr>
      <w:r>
        <w:rPr>
          <w:rFonts w:hint="eastAsia" w:hAnsi="宋体"/>
          <w:i/>
          <w:iCs/>
          <w:color w:val="000000"/>
          <w:u w:val="single"/>
        </w:rPr>
        <w:t>各工艺阶段的处理效果分析见表3-2</w:t>
      </w:r>
      <w:r>
        <w:rPr>
          <w:rFonts w:hint="eastAsia" w:hAnsi="宋体"/>
          <w:i/>
          <w:iCs/>
          <w:color w:val="000000"/>
          <w:u w:val="single"/>
          <w:lang w:val="en-US" w:eastAsia="zh-CN"/>
        </w:rPr>
        <w:t>9</w:t>
      </w:r>
      <w:r>
        <w:rPr>
          <w:rFonts w:hint="eastAsia" w:hAnsi="宋体"/>
          <w:i/>
          <w:iCs/>
          <w:color w:val="000000"/>
          <w:u w:val="single"/>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i/>
          <w:iCs/>
          <w:color w:val="000000"/>
          <w:u w:val="single"/>
        </w:rPr>
      </w:pPr>
      <w:r>
        <w:rPr>
          <w:rFonts w:hint="eastAsia"/>
          <w:b/>
          <w:i/>
          <w:iCs/>
          <w:color w:val="000000"/>
          <w:u w:val="single"/>
        </w:rPr>
        <w:t>表</w:t>
      </w:r>
      <w:r>
        <w:rPr>
          <w:rFonts w:hint="eastAsia"/>
          <w:i/>
          <w:iCs/>
          <w:color w:val="000000"/>
          <w:u w:val="single"/>
        </w:rPr>
        <w:t>3-2</w:t>
      </w:r>
      <w:r>
        <w:rPr>
          <w:rFonts w:hint="eastAsia"/>
          <w:i/>
          <w:iCs/>
          <w:color w:val="000000"/>
          <w:u w:val="single"/>
          <w:lang w:val="en-US" w:eastAsia="zh-CN"/>
        </w:rPr>
        <w:t>9</w:t>
      </w:r>
      <w:r>
        <w:rPr>
          <w:rFonts w:hint="eastAsia"/>
          <w:b/>
          <w:i/>
          <w:iCs/>
          <w:color w:val="000000"/>
          <w:u w:val="single"/>
        </w:rPr>
        <w:t>污水处理效果分析表</w:t>
      </w:r>
    </w:p>
    <w:tbl>
      <w:tblPr>
        <w:tblStyle w:val="5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2159"/>
        <w:gridCol w:w="1618"/>
        <w:gridCol w:w="1436"/>
        <w:gridCol w:w="1259"/>
        <w:gridCol w:w="1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 w:type="pct"/>
            <w:vMerge w:val="restart"/>
            <w:tcBorders>
              <w:top w:val="single" w:color="auto" w:sz="12" w:space="0"/>
              <w:left w:val="nil"/>
            </w:tcBorders>
            <w:noWrap w:val="0"/>
            <w:vAlign w:val="center"/>
          </w:tcPr>
          <w:p>
            <w:pPr>
              <w:jc w:val="center"/>
              <w:rPr>
                <w:rFonts w:hint="eastAsia"/>
                <w:i/>
                <w:iCs/>
                <w:color w:val="000000"/>
                <w:sz w:val="21"/>
                <w:szCs w:val="21"/>
                <w:u w:val="single"/>
              </w:rPr>
            </w:pPr>
            <w:r>
              <w:rPr>
                <w:rFonts w:hint="eastAsia"/>
                <w:i/>
                <w:iCs/>
                <w:color w:val="000000"/>
                <w:sz w:val="21"/>
                <w:szCs w:val="21"/>
                <w:u w:val="single"/>
              </w:rPr>
              <w:t>工 艺 段</w:t>
            </w:r>
          </w:p>
        </w:tc>
        <w:tc>
          <w:tcPr>
            <w:tcW w:w="1135" w:type="pct"/>
            <w:vMerge w:val="restart"/>
            <w:tcBorders>
              <w:top w:val="single" w:color="auto" w:sz="12" w:space="0"/>
            </w:tcBorders>
            <w:noWrap w:val="0"/>
            <w:vAlign w:val="center"/>
          </w:tcPr>
          <w:p>
            <w:pPr>
              <w:jc w:val="center"/>
              <w:rPr>
                <w:rFonts w:hint="eastAsia"/>
                <w:i/>
                <w:iCs/>
                <w:color w:val="000000"/>
                <w:sz w:val="21"/>
                <w:szCs w:val="21"/>
                <w:u w:val="single"/>
              </w:rPr>
            </w:pPr>
            <w:r>
              <w:rPr>
                <w:rFonts w:hint="eastAsia"/>
                <w:i/>
                <w:iCs/>
                <w:color w:val="000000"/>
                <w:sz w:val="21"/>
                <w:szCs w:val="21"/>
                <w:u w:val="single"/>
              </w:rPr>
              <w:t>项    目</w:t>
            </w:r>
          </w:p>
        </w:tc>
        <w:tc>
          <w:tcPr>
            <w:tcW w:w="851" w:type="pct"/>
            <w:tcBorders>
              <w:top w:val="single" w:color="auto" w:sz="12" w:space="0"/>
            </w:tcBorders>
            <w:noWrap w:val="0"/>
            <w:vAlign w:val="center"/>
          </w:tcPr>
          <w:p>
            <w:pPr>
              <w:jc w:val="center"/>
              <w:rPr>
                <w:rFonts w:hint="eastAsia"/>
                <w:i/>
                <w:iCs/>
                <w:color w:val="000000"/>
                <w:sz w:val="21"/>
                <w:szCs w:val="21"/>
                <w:u w:val="single"/>
              </w:rPr>
            </w:pPr>
            <w:r>
              <w:rPr>
                <w:rFonts w:hint="eastAsia"/>
                <w:i/>
                <w:iCs/>
                <w:color w:val="000000"/>
                <w:sz w:val="21"/>
                <w:szCs w:val="21"/>
                <w:u w:val="single"/>
              </w:rPr>
              <w:t>COD</w:t>
            </w:r>
          </w:p>
        </w:tc>
        <w:tc>
          <w:tcPr>
            <w:tcW w:w="755" w:type="pct"/>
            <w:tcBorders>
              <w:top w:val="single" w:color="auto" w:sz="12" w:space="0"/>
            </w:tcBorders>
            <w:noWrap w:val="0"/>
            <w:vAlign w:val="center"/>
          </w:tcPr>
          <w:p>
            <w:pPr>
              <w:jc w:val="center"/>
              <w:rPr>
                <w:rFonts w:hint="eastAsia"/>
                <w:i/>
                <w:iCs/>
                <w:color w:val="000000"/>
                <w:sz w:val="21"/>
                <w:szCs w:val="21"/>
                <w:u w:val="single"/>
              </w:rPr>
            </w:pPr>
            <w:r>
              <w:rPr>
                <w:rFonts w:hint="eastAsia"/>
                <w:i/>
                <w:iCs/>
                <w:color w:val="000000"/>
                <w:sz w:val="21"/>
                <w:szCs w:val="21"/>
                <w:u w:val="single"/>
              </w:rPr>
              <w:t>BOD</w:t>
            </w:r>
            <w:r>
              <w:rPr>
                <w:rFonts w:hint="eastAsia"/>
                <w:i/>
                <w:iCs/>
                <w:color w:val="000000"/>
                <w:sz w:val="21"/>
                <w:szCs w:val="21"/>
                <w:u w:val="single"/>
                <w:vertAlign w:val="subscript"/>
              </w:rPr>
              <w:t>5</w:t>
            </w:r>
          </w:p>
        </w:tc>
        <w:tc>
          <w:tcPr>
            <w:tcW w:w="662" w:type="pct"/>
            <w:tcBorders>
              <w:top w:val="single" w:color="auto" w:sz="12" w:space="0"/>
            </w:tcBorders>
            <w:noWrap w:val="0"/>
            <w:vAlign w:val="center"/>
          </w:tcPr>
          <w:p>
            <w:pPr>
              <w:jc w:val="center"/>
              <w:rPr>
                <w:rFonts w:hint="eastAsia"/>
                <w:i/>
                <w:iCs/>
                <w:color w:val="000000"/>
                <w:sz w:val="21"/>
                <w:szCs w:val="21"/>
                <w:u w:val="single"/>
              </w:rPr>
            </w:pPr>
            <w:r>
              <w:rPr>
                <w:rFonts w:hint="eastAsia"/>
                <w:i/>
                <w:iCs/>
                <w:color w:val="000000"/>
                <w:sz w:val="21"/>
                <w:szCs w:val="21"/>
                <w:u w:val="single"/>
              </w:rPr>
              <w:t>SS</w:t>
            </w:r>
          </w:p>
        </w:tc>
        <w:tc>
          <w:tcPr>
            <w:tcW w:w="767" w:type="pct"/>
            <w:vMerge w:val="restart"/>
            <w:tcBorders>
              <w:top w:val="single" w:color="auto" w:sz="12" w:space="0"/>
            </w:tcBorders>
            <w:noWrap w:val="0"/>
            <w:vAlign w:val="center"/>
          </w:tcPr>
          <w:p>
            <w:pPr>
              <w:jc w:val="center"/>
              <w:rPr>
                <w:rFonts w:hint="eastAsia"/>
                <w:i/>
                <w:iCs/>
                <w:color w:val="000000"/>
                <w:sz w:val="21"/>
                <w:szCs w:val="21"/>
                <w:u w:val="single"/>
              </w:rPr>
            </w:pPr>
            <w:r>
              <w:rPr>
                <w:rFonts w:hint="eastAsia"/>
                <w:i/>
                <w:iCs/>
                <w:color w:val="000000"/>
                <w:sz w:val="21"/>
                <w:szCs w:val="21"/>
                <w:u w:val="single"/>
              </w:rPr>
              <w:t>NH</w:t>
            </w:r>
            <w:r>
              <w:rPr>
                <w:rFonts w:hint="eastAsia"/>
                <w:i/>
                <w:iCs/>
                <w:color w:val="000000"/>
                <w:sz w:val="21"/>
                <w:szCs w:val="21"/>
                <w:u w:val="single"/>
                <w:vertAlign w:val="subscript"/>
              </w:rPr>
              <w:t>3</w:t>
            </w:r>
            <w:r>
              <w:rPr>
                <w:rFonts w:hint="eastAsia"/>
                <w:i/>
                <w:iCs/>
                <w:color w:val="000000"/>
                <w:sz w:val="21"/>
                <w:szCs w:val="21"/>
                <w:u w:val="single"/>
              </w:rPr>
              <w:t>/N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 w:type="pct"/>
            <w:vMerge w:val="continue"/>
            <w:tcBorders>
              <w:left w:val="nil"/>
            </w:tcBorders>
            <w:noWrap w:val="0"/>
            <w:vAlign w:val="center"/>
          </w:tcPr>
          <w:p>
            <w:pPr>
              <w:jc w:val="center"/>
              <w:rPr>
                <w:rFonts w:hint="eastAsia"/>
                <w:i/>
                <w:iCs/>
                <w:color w:val="000000"/>
                <w:sz w:val="21"/>
                <w:szCs w:val="21"/>
                <w:u w:val="single"/>
              </w:rPr>
            </w:pPr>
          </w:p>
        </w:tc>
        <w:tc>
          <w:tcPr>
            <w:tcW w:w="1135" w:type="pct"/>
            <w:vMerge w:val="continue"/>
            <w:noWrap w:val="0"/>
            <w:vAlign w:val="center"/>
          </w:tcPr>
          <w:p>
            <w:pPr>
              <w:jc w:val="center"/>
              <w:rPr>
                <w:rFonts w:hint="eastAsia"/>
                <w:i/>
                <w:iCs/>
                <w:color w:val="000000"/>
                <w:sz w:val="21"/>
                <w:szCs w:val="21"/>
                <w:u w:val="single"/>
              </w:rPr>
            </w:pPr>
          </w:p>
        </w:tc>
        <w:tc>
          <w:tcPr>
            <w:tcW w:w="851" w:type="pct"/>
            <w:noWrap w:val="0"/>
            <w:vAlign w:val="center"/>
          </w:tcPr>
          <w:p>
            <w:pPr>
              <w:jc w:val="center"/>
              <w:rPr>
                <w:rFonts w:hint="eastAsia"/>
                <w:i/>
                <w:iCs/>
                <w:color w:val="000000"/>
                <w:sz w:val="21"/>
                <w:szCs w:val="21"/>
                <w:u w:val="single"/>
              </w:rPr>
            </w:pPr>
            <w:r>
              <w:rPr>
                <w:rFonts w:hint="eastAsia"/>
                <w:i/>
                <w:iCs/>
                <w:color w:val="000000"/>
                <w:sz w:val="21"/>
                <w:szCs w:val="21"/>
                <w:u w:val="single"/>
              </w:rPr>
              <w:t>(mg/L)</w:t>
            </w:r>
          </w:p>
        </w:tc>
        <w:tc>
          <w:tcPr>
            <w:tcW w:w="755" w:type="pct"/>
            <w:noWrap w:val="0"/>
            <w:vAlign w:val="center"/>
          </w:tcPr>
          <w:p>
            <w:pPr>
              <w:jc w:val="center"/>
              <w:rPr>
                <w:rFonts w:hint="eastAsia"/>
                <w:i/>
                <w:iCs/>
                <w:color w:val="000000"/>
                <w:sz w:val="21"/>
                <w:szCs w:val="21"/>
                <w:u w:val="single"/>
              </w:rPr>
            </w:pPr>
            <w:r>
              <w:rPr>
                <w:rFonts w:hint="eastAsia"/>
                <w:i/>
                <w:iCs/>
                <w:color w:val="000000"/>
                <w:sz w:val="21"/>
                <w:szCs w:val="21"/>
                <w:u w:val="single"/>
              </w:rPr>
              <w:t>(mg/L)</w:t>
            </w:r>
          </w:p>
        </w:tc>
        <w:tc>
          <w:tcPr>
            <w:tcW w:w="662" w:type="pct"/>
            <w:noWrap w:val="0"/>
            <w:vAlign w:val="center"/>
          </w:tcPr>
          <w:p>
            <w:pPr>
              <w:jc w:val="center"/>
              <w:rPr>
                <w:rFonts w:hint="eastAsia"/>
                <w:i/>
                <w:iCs/>
                <w:color w:val="000000"/>
                <w:sz w:val="21"/>
                <w:szCs w:val="21"/>
                <w:u w:val="single"/>
              </w:rPr>
            </w:pPr>
            <w:r>
              <w:rPr>
                <w:rFonts w:hint="eastAsia"/>
                <w:i/>
                <w:iCs/>
                <w:color w:val="000000"/>
                <w:sz w:val="21"/>
                <w:szCs w:val="21"/>
                <w:u w:val="single"/>
              </w:rPr>
              <w:t>(mg/L)</w:t>
            </w:r>
          </w:p>
        </w:tc>
        <w:tc>
          <w:tcPr>
            <w:tcW w:w="767" w:type="pct"/>
            <w:vMerge w:val="continue"/>
            <w:noWrap w:val="0"/>
            <w:vAlign w:val="center"/>
          </w:tcPr>
          <w:p>
            <w:pPr>
              <w:jc w:val="center"/>
              <w:rPr>
                <w:rFonts w:hint="eastAsia"/>
                <w:i/>
                <w:iCs/>
                <w:color w:val="00000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 w:type="pct"/>
            <w:vMerge w:val="restart"/>
            <w:tcBorders>
              <w:left w:val="nil"/>
            </w:tcBorders>
            <w:noWrap w:val="0"/>
            <w:vAlign w:val="center"/>
          </w:tcPr>
          <w:p>
            <w:pPr>
              <w:jc w:val="center"/>
              <w:rPr>
                <w:rFonts w:hint="eastAsia"/>
                <w:i/>
                <w:iCs/>
                <w:color w:val="000000"/>
                <w:sz w:val="21"/>
                <w:szCs w:val="21"/>
                <w:u w:val="single"/>
              </w:rPr>
            </w:pPr>
            <w:r>
              <w:rPr>
                <w:rFonts w:hint="eastAsia"/>
                <w:i/>
                <w:iCs/>
                <w:color w:val="000000"/>
                <w:sz w:val="21"/>
                <w:szCs w:val="21"/>
                <w:u w:val="single"/>
              </w:rPr>
              <w:t>调节池</w:t>
            </w:r>
          </w:p>
        </w:tc>
        <w:tc>
          <w:tcPr>
            <w:tcW w:w="1135" w:type="pct"/>
            <w:noWrap w:val="0"/>
            <w:vAlign w:val="center"/>
          </w:tcPr>
          <w:p>
            <w:pPr>
              <w:jc w:val="center"/>
              <w:rPr>
                <w:rFonts w:hint="eastAsia"/>
                <w:i/>
                <w:iCs/>
                <w:color w:val="000000"/>
                <w:sz w:val="21"/>
                <w:szCs w:val="21"/>
                <w:u w:val="single"/>
              </w:rPr>
            </w:pPr>
            <w:r>
              <w:rPr>
                <w:rFonts w:hint="eastAsia"/>
                <w:i/>
                <w:iCs/>
                <w:color w:val="000000"/>
                <w:sz w:val="21"/>
                <w:szCs w:val="21"/>
                <w:u w:val="single"/>
              </w:rPr>
              <w:t>高浓度进水</w:t>
            </w:r>
          </w:p>
        </w:tc>
        <w:tc>
          <w:tcPr>
            <w:tcW w:w="851" w:type="pct"/>
            <w:noWrap w:val="0"/>
            <w:vAlign w:val="center"/>
          </w:tcPr>
          <w:p>
            <w:pPr>
              <w:jc w:val="center"/>
              <w:rPr>
                <w:i/>
                <w:iCs/>
                <w:color w:val="000000"/>
                <w:sz w:val="21"/>
                <w:szCs w:val="21"/>
                <w:u w:val="single"/>
              </w:rPr>
            </w:pPr>
            <w:r>
              <w:rPr>
                <w:rFonts w:hint="eastAsia" w:ascii="Times New Roman" w:hAnsi="Times New Roman" w:eastAsia="宋体" w:cs="Times New Roman"/>
                <w:i/>
                <w:iCs/>
                <w:color w:val="000000"/>
                <w:sz w:val="21"/>
                <w:szCs w:val="21"/>
                <w:u w:val="single"/>
                <w:lang w:val="en-US" w:eastAsia="zh-CN"/>
              </w:rPr>
              <w:t>3479</w:t>
            </w:r>
          </w:p>
        </w:tc>
        <w:tc>
          <w:tcPr>
            <w:tcW w:w="755" w:type="pct"/>
            <w:noWrap w:val="0"/>
            <w:vAlign w:val="center"/>
          </w:tcPr>
          <w:p>
            <w:pPr>
              <w:jc w:val="center"/>
              <w:rPr>
                <w:rFonts w:hint="default" w:eastAsia="宋体"/>
                <w:i/>
                <w:iCs/>
                <w:color w:val="000000"/>
                <w:sz w:val="21"/>
                <w:szCs w:val="21"/>
                <w:u w:val="single"/>
                <w:lang w:val="en-US" w:eastAsia="zh-CN"/>
              </w:rPr>
            </w:pPr>
            <w:r>
              <w:rPr>
                <w:rFonts w:hint="eastAsia" w:ascii="Times New Roman" w:hAnsi="Times New Roman" w:eastAsia="宋体" w:cs="Times New Roman"/>
                <w:i/>
                <w:iCs/>
                <w:color w:val="000000"/>
                <w:sz w:val="21"/>
                <w:szCs w:val="21"/>
                <w:u w:val="single"/>
                <w:lang w:val="en-US" w:eastAsia="zh-CN"/>
              </w:rPr>
              <w:t>1184</w:t>
            </w:r>
          </w:p>
        </w:tc>
        <w:tc>
          <w:tcPr>
            <w:tcW w:w="662" w:type="pct"/>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169</w:t>
            </w:r>
          </w:p>
        </w:tc>
        <w:tc>
          <w:tcPr>
            <w:tcW w:w="767" w:type="pct"/>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 w:type="pct"/>
            <w:vMerge w:val="continue"/>
            <w:tcBorders>
              <w:left w:val="nil"/>
            </w:tcBorders>
            <w:noWrap w:val="0"/>
            <w:vAlign w:val="center"/>
          </w:tcPr>
          <w:p>
            <w:pPr>
              <w:jc w:val="center"/>
              <w:rPr>
                <w:rFonts w:hint="eastAsia"/>
                <w:i/>
                <w:iCs/>
                <w:color w:val="000000"/>
                <w:sz w:val="21"/>
                <w:szCs w:val="21"/>
                <w:u w:val="single"/>
              </w:rPr>
            </w:pPr>
          </w:p>
        </w:tc>
        <w:tc>
          <w:tcPr>
            <w:tcW w:w="1135" w:type="pct"/>
            <w:noWrap w:val="0"/>
            <w:vAlign w:val="center"/>
          </w:tcPr>
          <w:p>
            <w:pPr>
              <w:jc w:val="center"/>
              <w:rPr>
                <w:rFonts w:hint="eastAsia"/>
                <w:i/>
                <w:iCs/>
                <w:color w:val="000000"/>
                <w:sz w:val="21"/>
                <w:szCs w:val="21"/>
                <w:u w:val="single"/>
              </w:rPr>
            </w:pPr>
            <w:r>
              <w:rPr>
                <w:rFonts w:hint="eastAsia"/>
                <w:i/>
                <w:iCs/>
                <w:color w:val="000000"/>
                <w:sz w:val="21"/>
                <w:szCs w:val="21"/>
                <w:u w:val="single"/>
              </w:rPr>
              <w:t>高浓度出水</w:t>
            </w:r>
          </w:p>
        </w:tc>
        <w:tc>
          <w:tcPr>
            <w:tcW w:w="1618" w:type="dxa"/>
            <w:noWrap w:val="0"/>
            <w:vAlign w:val="center"/>
          </w:tcPr>
          <w:p>
            <w:pPr>
              <w:jc w:val="center"/>
              <w:rPr>
                <w:rFonts w:hint="eastAsia"/>
                <w:i/>
                <w:iCs/>
                <w:color w:val="000000"/>
                <w:sz w:val="21"/>
                <w:szCs w:val="21"/>
                <w:u w:val="single"/>
              </w:rPr>
            </w:pPr>
            <w:r>
              <w:rPr>
                <w:rFonts w:hint="eastAsia" w:ascii="Times New Roman" w:hAnsi="Times New Roman" w:eastAsia="宋体" w:cs="Times New Roman"/>
                <w:i/>
                <w:iCs/>
                <w:color w:val="000000"/>
                <w:sz w:val="21"/>
                <w:szCs w:val="21"/>
                <w:u w:val="single"/>
                <w:lang w:val="en-US" w:eastAsia="zh-CN"/>
              </w:rPr>
              <w:t>3479</w:t>
            </w:r>
          </w:p>
        </w:tc>
        <w:tc>
          <w:tcPr>
            <w:tcW w:w="1436" w:type="dxa"/>
            <w:noWrap w:val="0"/>
            <w:vAlign w:val="center"/>
          </w:tcPr>
          <w:p>
            <w:pPr>
              <w:jc w:val="center"/>
              <w:rPr>
                <w:rFonts w:hint="eastAsia"/>
                <w:i/>
                <w:iCs/>
                <w:color w:val="000000"/>
                <w:sz w:val="21"/>
                <w:szCs w:val="21"/>
                <w:u w:val="single"/>
              </w:rPr>
            </w:pPr>
            <w:r>
              <w:rPr>
                <w:rFonts w:hint="eastAsia" w:ascii="Times New Roman" w:hAnsi="Times New Roman" w:eastAsia="宋体" w:cs="Times New Roman"/>
                <w:i/>
                <w:iCs/>
                <w:color w:val="000000"/>
                <w:sz w:val="21"/>
                <w:szCs w:val="21"/>
                <w:u w:val="single"/>
                <w:lang w:val="en-US" w:eastAsia="zh-CN"/>
              </w:rPr>
              <w:t>1184</w:t>
            </w:r>
          </w:p>
        </w:tc>
        <w:tc>
          <w:tcPr>
            <w:tcW w:w="1259" w:type="dxa"/>
            <w:noWrap w:val="0"/>
            <w:vAlign w:val="center"/>
          </w:tcPr>
          <w:p>
            <w:pPr>
              <w:jc w:val="center"/>
              <w:rPr>
                <w:rFonts w:hint="eastAsia"/>
                <w:i/>
                <w:iCs/>
                <w:color w:val="000000"/>
                <w:sz w:val="21"/>
                <w:szCs w:val="21"/>
                <w:u w:val="single"/>
              </w:rPr>
            </w:pPr>
            <w:r>
              <w:rPr>
                <w:rFonts w:hint="eastAsia"/>
                <w:i/>
                <w:iCs/>
                <w:color w:val="000000"/>
                <w:sz w:val="21"/>
                <w:szCs w:val="21"/>
                <w:u w:val="single"/>
                <w:lang w:val="en-US" w:eastAsia="zh-CN"/>
              </w:rPr>
              <w:t>169</w:t>
            </w:r>
          </w:p>
        </w:tc>
        <w:tc>
          <w:tcPr>
            <w:tcW w:w="1459" w:type="dxa"/>
            <w:noWrap w:val="0"/>
            <w:vAlign w:val="center"/>
          </w:tcPr>
          <w:p>
            <w:pPr>
              <w:jc w:val="center"/>
              <w:rPr>
                <w:rFonts w:hint="eastAsia"/>
                <w:i/>
                <w:iCs/>
                <w:color w:val="000000"/>
                <w:sz w:val="21"/>
                <w:szCs w:val="21"/>
                <w:u w:val="single"/>
              </w:rPr>
            </w:pPr>
            <w:r>
              <w:rPr>
                <w:rFonts w:hint="eastAsia"/>
                <w:i/>
                <w:iCs/>
                <w:color w:val="000000"/>
                <w:sz w:val="21"/>
                <w:szCs w:val="21"/>
                <w:u w:val="singl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 w:type="pct"/>
            <w:vMerge w:val="continue"/>
            <w:tcBorders>
              <w:left w:val="nil"/>
            </w:tcBorders>
            <w:noWrap w:val="0"/>
            <w:vAlign w:val="center"/>
          </w:tcPr>
          <w:p>
            <w:pPr>
              <w:jc w:val="center"/>
              <w:rPr>
                <w:rFonts w:hint="eastAsia"/>
                <w:i/>
                <w:iCs/>
                <w:color w:val="000000"/>
                <w:sz w:val="21"/>
                <w:szCs w:val="21"/>
                <w:u w:val="single"/>
              </w:rPr>
            </w:pPr>
          </w:p>
        </w:tc>
        <w:tc>
          <w:tcPr>
            <w:tcW w:w="1135" w:type="pct"/>
            <w:noWrap w:val="0"/>
            <w:vAlign w:val="center"/>
          </w:tcPr>
          <w:p>
            <w:pPr>
              <w:jc w:val="center"/>
              <w:rPr>
                <w:rFonts w:hint="eastAsia"/>
                <w:i/>
                <w:iCs/>
                <w:color w:val="000000"/>
                <w:sz w:val="21"/>
                <w:szCs w:val="21"/>
                <w:u w:val="single"/>
              </w:rPr>
            </w:pPr>
            <w:r>
              <w:rPr>
                <w:rFonts w:hint="eastAsia"/>
                <w:i/>
                <w:iCs/>
                <w:color w:val="000000"/>
                <w:sz w:val="21"/>
                <w:szCs w:val="21"/>
                <w:u w:val="single"/>
              </w:rPr>
              <w:t>去除率（%）</w:t>
            </w:r>
          </w:p>
        </w:tc>
        <w:tc>
          <w:tcPr>
            <w:tcW w:w="851" w:type="pct"/>
            <w:noWrap w:val="0"/>
            <w:vAlign w:val="center"/>
          </w:tcPr>
          <w:p>
            <w:pPr>
              <w:jc w:val="center"/>
              <w:rPr>
                <w:rFonts w:hint="eastAsia" w:eastAsia="宋体"/>
                <w:b/>
                <w:bCs/>
                <w:i/>
                <w:iCs/>
                <w:color w:val="000000"/>
                <w:sz w:val="21"/>
                <w:szCs w:val="21"/>
                <w:u w:val="single"/>
                <w:lang w:val="en-US" w:eastAsia="zh-CN"/>
              </w:rPr>
            </w:pPr>
            <w:r>
              <w:rPr>
                <w:rFonts w:hint="eastAsia"/>
                <w:b/>
                <w:bCs/>
                <w:i/>
                <w:iCs/>
                <w:color w:val="000000"/>
                <w:sz w:val="21"/>
                <w:szCs w:val="21"/>
                <w:u w:val="single"/>
                <w:lang w:val="en-US" w:eastAsia="zh-CN"/>
              </w:rPr>
              <w:t>0</w:t>
            </w:r>
          </w:p>
        </w:tc>
        <w:tc>
          <w:tcPr>
            <w:tcW w:w="755" w:type="pct"/>
            <w:noWrap w:val="0"/>
            <w:vAlign w:val="center"/>
          </w:tcPr>
          <w:p>
            <w:pPr>
              <w:jc w:val="center"/>
              <w:rPr>
                <w:rFonts w:hint="eastAsia" w:eastAsia="宋体"/>
                <w:b/>
                <w:bCs/>
                <w:i/>
                <w:iCs/>
                <w:color w:val="000000"/>
                <w:sz w:val="21"/>
                <w:szCs w:val="21"/>
                <w:u w:val="single"/>
                <w:lang w:val="en-US" w:eastAsia="zh-CN"/>
              </w:rPr>
            </w:pPr>
            <w:r>
              <w:rPr>
                <w:rFonts w:hint="eastAsia"/>
                <w:b/>
                <w:bCs/>
                <w:i/>
                <w:iCs/>
                <w:color w:val="000000"/>
                <w:sz w:val="21"/>
                <w:szCs w:val="21"/>
                <w:u w:val="single"/>
                <w:lang w:val="en-US" w:eastAsia="zh-CN"/>
              </w:rPr>
              <w:t>0</w:t>
            </w:r>
          </w:p>
        </w:tc>
        <w:tc>
          <w:tcPr>
            <w:tcW w:w="662" w:type="pct"/>
            <w:noWrap w:val="0"/>
            <w:vAlign w:val="center"/>
          </w:tcPr>
          <w:p>
            <w:pPr>
              <w:jc w:val="center"/>
              <w:rPr>
                <w:rFonts w:hint="eastAsia" w:eastAsia="宋体"/>
                <w:b/>
                <w:bCs/>
                <w:i/>
                <w:iCs/>
                <w:color w:val="000000"/>
                <w:sz w:val="21"/>
                <w:szCs w:val="21"/>
                <w:u w:val="single"/>
                <w:lang w:val="en-US" w:eastAsia="zh-CN"/>
              </w:rPr>
            </w:pPr>
            <w:r>
              <w:rPr>
                <w:rFonts w:hint="eastAsia"/>
                <w:b/>
                <w:bCs/>
                <w:i/>
                <w:iCs/>
                <w:color w:val="000000"/>
                <w:sz w:val="21"/>
                <w:szCs w:val="21"/>
                <w:u w:val="single"/>
                <w:lang w:val="en-US" w:eastAsia="zh-CN"/>
              </w:rPr>
              <w:t>0</w:t>
            </w:r>
          </w:p>
        </w:tc>
        <w:tc>
          <w:tcPr>
            <w:tcW w:w="767" w:type="pct"/>
            <w:noWrap w:val="0"/>
            <w:vAlign w:val="center"/>
          </w:tcPr>
          <w:p>
            <w:pPr>
              <w:jc w:val="center"/>
              <w:rPr>
                <w:rFonts w:hint="eastAsia" w:eastAsia="宋体"/>
                <w:b/>
                <w:bCs/>
                <w:i/>
                <w:iCs/>
                <w:color w:val="000000"/>
                <w:sz w:val="21"/>
                <w:szCs w:val="21"/>
                <w:u w:val="single"/>
                <w:lang w:val="en-US" w:eastAsia="zh-CN"/>
              </w:rPr>
            </w:pPr>
            <w:r>
              <w:rPr>
                <w:rFonts w:hint="eastAsia"/>
                <w:b/>
                <w:bCs/>
                <w:i/>
                <w:iCs/>
                <w:color w:val="000000"/>
                <w:sz w:val="21"/>
                <w:szCs w:val="21"/>
                <w:u w:val="singl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 w:type="pct"/>
            <w:vMerge w:val="restart"/>
            <w:tcBorders>
              <w:left w:val="nil"/>
            </w:tcBorders>
            <w:noWrap w:val="0"/>
            <w:vAlign w:val="center"/>
          </w:tcPr>
          <w:p>
            <w:pPr>
              <w:jc w:val="center"/>
              <w:rPr>
                <w:rFonts w:hint="eastAsia"/>
                <w:i/>
                <w:iCs/>
                <w:color w:val="000000"/>
                <w:sz w:val="21"/>
                <w:szCs w:val="21"/>
                <w:u w:val="single"/>
              </w:rPr>
            </w:pPr>
            <w:r>
              <w:rPr>
                <w:rFonts w:hint="eastAsia"/>
                <w:i/>
                <w:iCs/>
                <w:color w:val="000000"/>
                <w:sz w:val="21"/>
                <w:szCs w:val="21"/>
                <w:u w:val="single"/>
                <w:lang w:val="en-US" w:eastAsia="zh-CN"/>
              </w:rPr>
              <w:t>两级</w:t>
            </w:r>
            <w:r>
              <w:rPr>
                <w:rFonts w:hint="eastAsia"/>
                <w:i/>
                <w:iCs/>
                <w:color w:val="000000"/>
                <w:sz w:val="21"/>
                <w:szCs w:val="21"/>
                <w:u w:val="single"/>
              </w:rPr>
              <w:t>气浮</w:t>
            </w:r>
          </w:p>
        </w:tc>
        <w:tc>
          <w:tcPr>
            <w:tcW w:w="1135" w:type="pct"/>
            <w:noWrap w:val="0"/>
            <w:vAlign w:val="center"/>
          </w:tcPr>
          <w:p>
            <w:pPr>
              <w:jc w:val="center"/>
              <w:rPr>
                <w:rFonts w:hint="eastAsia"/>
                <w:i/>
                <w:iCs/>
                <w:color w:val="000000"/>
                <w:sz w:val="21"/>
                <w:szCs w:val="21"/>
                <w:u w:val="single"/>
              </w:rPr>
            </w:pPr>
            <w:r>
              <w:rPr>
                <w:rFonts w:hint="eastAsia"/>
                <w:i/>
                <w:iCs/>
                <w:color w:val="000000"/>
                <w:sz w:val="21"/>
                <w:szCs w:val="21"/>
                <w:u w:val="single"/>
              </w:rPr>
              <w:t>高浓度进水</w:t>
            </w:r>
          </w:p>
        </w:tc>
        <w:tc>
          <w:tcPr>
            <w:tcW w:w="1618" w:type="dxa"/>
            <w:noWrap w:val="0"/>
            <w:vAlign w:val="center"/>
          </w:tcPr>
          <w:p>
            <w:pPr>
              <w:jc w:val="center"/>
              <w:rPr>
                <w:rFonts w:hint="eastAsia"/>
                <w:i/>
                <w:iCs/>
                <w:color w:val="000000"/>
                <w:sz w:val="21"/>
                <w:szCs w:val="21"/>
                <w:u w:val="single"/>
              </w:rPr>
            </w:pPr>
            <w:r>
              <w:rPr>
                <w:rFonts w:hint="eastAsia" w:ascii="Times New Roman" w:hAnsi="Times New Roman" w:eastAsia="宋体" w:cs="Times New Roman"/>
                <w:i/>
                <w:iCs/>
                <w:color w:val="000000"/>
                <w:sz w:val="21"/>
                <w:szCs w:val="21"/>
                <w:u w:val="single"/>
                <w:lang w:val="en-US" w:eastAsia="zh-CN"/>
              </w:rPr>
              <w:t>3479</w:t>
            </w:r>
          </w:p>
        </w:tc>
        <w:tc>
          <w:tcPr>
            <w:tcW w:w="1436" w:type="dxa"/>
            <w:noWrap w:val="0"/>
            <w:vAlign w:val="center"/>
          </w:tcPr>
          <w:p>
            <w:pPr>
              <w:jc w:val="center"/>
              <w:rPr>
                <w:rFonts w:hint="eastAsia"/>
                <w:i/>
                <w:iCs/>
                <w:color w:val="000000"/>
                <w:sz w:val="21"/>
                <w:szCs w:val="21"/>
                <w:u w:val="single"/>
              </w:rPr>
            </w:pPr>
            <w:r>
              <w:rPr>
                <w:rFonts w:hint="eastAsia" w:ascii="Times New Roman" w:hAnsi="Times New Roman" w:eastAsia="宋体" w:cs="Times New Roman"/>
                <w:i/>
                <w:iCs/>
                <w:color w:val="000000"/>
                <w:sz w:val="21"/>
                <w:szCs w:val="21"/>
                <w:u w:val="single"/>
                <w:lang w:val="en-US" w:eastAsia="zh-CN"/>
              </w:rPr>
              <w:t>1184</w:t>
            </w:r>
          </w:p>
        </w:tc>
        <w:tc>
          <w:tcPr>
            <w:tcW w:w="1259" w:type="dxa"/>
            <w:noWrap w:val="0"/>
            <w:vAlign w:val="center"/>
          </w:tcPr>
          <w:p>
            <w:pPr>
              <w:jc w:val="center"/>
              <w:rPr>
                <w:rFonts w:hint="eastAsia"/>
                <w:i/>
                <w:iCs/>
                <w:color w:val="000000"/>
                <w:sz w:val="21"/>
                <w:szCs w:val="21"/>
                <w:u w:val="single"/>
              </w:rPr>
            </w:pPr>
            <w:r>
              <w:rPr>
                <w:rFonts w:hint="eastAsia"/>
                <w:i/>
                <w:iCs/>
                <w:color w:val="000000"/>
                <w:sz w:val="21"/>
                <w:szCs w:val="21"/>
                <w:u w:val="single"/>
                <w:lang w:val="en-US" w:eastAsia="zh-CN"/>
              </w:rPr>
              <w:t>169</w:t>
            </w:r>
          </w:p>
        </w:tc>
        <w:tc>
          <w:tcPr>
            <w:tcW w:w="1459" w:type="dxa"/>
            <w:noWrap w:val="0"/>
            <w:vAlign w:val="center"/>
          </w:tcPr>
          <w:p>
            <w:pPr>
              <w:jc w:val="center"/>
              <w:rPr>
                <w:rFonts w:hint="eastAsia"/>
                <w:i/>
                <w:iCs/>
                <w:color w:val="000000"/>
                <w:sz w:val="21"/>
                <w:szCs w:val="21"/>
                <w:u w:val="single"/>
              </w:rPr>
            </w:pPr>
            <w:r>
              <w:rPr>
                <w:rFonts w:hint="eastAsia"/>
                <w:i/>
                <w:iCs/>
                <w:color w:val="000000"/>
                <w:sz w:val="21"/>
                <w:szCs w:val="21"/>
                <w:u w:val="singl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 w:type="pct"/>
            <w:vMerge w:val="continue"/>
            <w:tcBorders>
              <w:left w:val="nil"/>
            </w:tcBorders>
            <w:noWrap w:val="0"/>
            <w:vAlign w:val="center"/>
          </w:tcPr>
          <w:p>
            <w:pPr>
              <w:jc w:val="center"/>
              <w:rPr>
                <w:rFonts w:hint="eastAsia"/>
                <w:i/>
                <w:iCs/>
                <w:color w:val="000000"/>
                <w:sz w:val="21"/>
                <w:szCs w:val="21"/>
                <w:u w:val="single"/>
              </w:rPr>
            </w:pPr>
          </w:p>
        </w:tc>
        <w:tc>
          <w:tcPr>
            <w:tcW w:w="1135" w:type="pct"/>
            <w:noWrap w:val="0"/>
            <w:vAlign w:val="center"/>
          </w:tcPr>
          <w:p>
            <w:pPr>
              <w:jc w:val="center"/>
              <w:rPr>
                <w:rFonts w:hint="eastAsia"/>
                <w:i/>
                <w:iCs/>
                <w:color w:val="000000"/>
                <w:sz w:val="21"/>
                <w:szCs w:val="21"/>
                <w:u w:val="single"/>
              </w:rPr>
            </w:pPr>
            <w:r>
              <w:rPr>
                <w:rFonts w:hint="eastAsia"/>
                <w:i/>
                <w:iCs/>
                <w:color w:val="000000"/>
                <w:sz w:val="21"/>
                <w:szCs w:val="21"/>
                <w:u w:val="single"/>
              </w:rPr>
              <w:t>高浓度出水</w:t>
            </w:r>
          </w:p>
        </w:tc>
        <w:tc>
          <w:tcPr>
            <w:tcW w:w="851" w:type="pct"/>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3131.1</w:t>
            </w:r>
          </w:p>
        </w:tc>
        <w:tc>
          <w:tcPr>
            <w:tcW w:w="755" w:type="pct"/>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1124.8</w:t>
            </w:r>
          </w:p>
        </w:tc>
        <w:tc>
          <w:tcPr>
            <w:tcW w:w="662" w:type="pct"/>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25.35</w:t>
            </w:r>
          </w:p>
        </w:tc>
        <w:tc>
          <w:tcPr>
            <w:tcW w:w="767" w:type="pct"/>
            <w:noWrap w:val="0"/>
            <w:vAlign w:val="center"/>
          </w:tcPr>
          <w:p>
            <w:pPr>
              <w:jc w:val="center"/>
              <w:rPr>
                <w:rFonts w:hint="eastAsia" w:eastAsia="宋体"/>
                <w:i/>
                <w:iCs/>
                <w:color w:val="000000"/>
                <w:sz w:val="21"/>
                <w:szCs w:val="21"/>
                <w:u w:val="single"/>
                <w:lang w:val="en-US" w:eastAsia="zh-CN"/>
              </w:rPr>
            </w:pPr>
            <w:r>
              <w:rPr>
                <w:rFonts w:hint="eastAsia"/>
                <w:i/>
                <w:iCs/>
                <w:color w:val="000000"/>
                <w:sz w:val="21"/>
                <w:szCs w:val="21"/>
                <w:u w:val="singl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 w:type="pct"/>
            <w:vMerge w:val="continue"/>
            <w:tcBorders>
              <w:left w:val="nil"/>
            </w:tcBorders>
            <w:noWrap w:val="0"/>
            <w:vAlign w:val="center"/>
          </w:tcPr>
          <w:p>
            <w:pPr>
              <w:jc w:val="center"/>
              <w:rPr>
                <w:rFonts w:hint="eastAsia"/>
                <w:i/>
                <w:iCs/>
                <w:color w:val="000000"/>
                <w:sz w:val="21"/>
                <w:szCs w:val="21"/>
                <w:u w:val="single"/>
              </w:rPr>
            </w:pPr>
          </w:p>
        </w:tc>
        <w:tc>
          <w:tcPr>
            <w:tcW w:w="1135" w:type="pct"/>
            <w:noWrap w:val="0"/>
            <w:vAlign w:val="center"/>
          </w:tcPr>
          <w:p>
            <w:pPr>
              <w:jc w:val="center"/>
              <w:rPr>
                <w:rFonts w:hint="eastAsia"/>
                <w:i/>
                <w:iCs/>
                <w:color w:val="000000"/>
                <w:sz w:val="21"/>
                <w:szCs w:val="21"/>
                <w:u w:val="single"/>
              </w:rPr>
            </w:pPr>
            <w:r>
              <w:rPr>
                <w:rFonts w:hint="eastAsia"/>
                <w:i/>
                <w:iCs/>
                <w:color w:val="000000"/>
                <w:sz w:val="21"/>
                <w:szCs w:val="21"/>
                <w:u w:val="single"/>
              </w:rPr>
              <w:t>去除率（%）</w:t>
            </w:r>
          </w:p>
        </w:tc>
        <w:tc>
          <w:tcPr>
            <w:tcW w:w="851" w:type="pct"/>
            <w:noWrap w:val="0"/>
            <w:vAlign w:val="center"/>
          </w:tcPr>
          <w:p>
            <w:pPr>
              <w:jc w:val="center"/>
              <w:rPr>
                <w:rFonts w:hint="default" w:eastAsia="宋体"/>
                <w:b/>
                <w:bCs/>
                <w:i/>
                <w:iCs/>
                <w:color w:val="000000"/>
                <w:sz w:val="21"/>
                <w:szCs w:val="21"/>
                <w:u w:val="single"/>
                <w:lang w:val="en-US" w:eastAsia="zh-CN"/>
              </w:rPr>
            </w:pPr>
            <w:r>
              <w:rPr>
                <w:rFonts w:hint="eastAsia"/>
                <w:b/>
                <w:bCs/>
                <w:i/>
                <w:iCs/>
                <w:color w:val="000000"/>
                <w:sz w:val="21"/>
                <w:szCs w:val="21"/>
                <w:u w:val="single"/>
                <w:lang w:val="en-US" w:eastAsia="zh-CN"/>
              </w:rPr>
              <w:t>10</w:t>
            </w:r>
          </w:p>
        </w:tc>
        <w:tc>
          <w:tcPr>
            <w:tcW w:w="755" w:type="pct"/>
            <w:noWrap w:val="0"/>
            <w:vAlign w:val="center"/>
          </w:tcPr>
          <w:p>
            <w:pPr>
              <w:jc w:val="center"/>
              <w:rPr>
                <w:rFonts w:hint="eastAsia" w:eastAsia="宋体"/>
                <w:b/>
                <w:bCs/>
                <w:i/>
                <w:iCs/>
                <w:color w:val="000000"/>
                <w:sz w:val="21"/>
                <w:szCs w:val="21"/>
                <w:u w:val="single"/>
                <w:lang w:val="en-US" w:eastAsia="zh-CN"/>
              </w:rPr>
            </w:pPr>
            <w:r>
              <w:rPr>
                <w:rFonts w:hint="eastAsia"/>
                <w:b/>
                <w:bCs/>
                <w:i/>
                <w:iCs/>
                <w:color w:val="000000"/>
                <w:sz w:val="21"/>
                <w:szCs w:val="21"/>
                <w:u w:val="single"/>
                <w:lang w:val="en-US" w:eastAsia="zh-CN"/>
              </w:rPr>
              <w:t>5</w:t>
            </w:r>
          </w:p>
        </w:tc>
        <w:tc>
          <w:tcPr>
            <w:tcW w:w="662" w:type="pct"/>
            <w:noWrap w:val="0"/>
            <w:vAlign w:val="center"/>
          </w:tcPr>
          <w:p>
            <w:pPr>
              <w:jc w:val="center"/>
              <w:rPr>
                <w:rFonts w:hint="default" w:eastAsia="宋体"/>
                <w:b/>
                <w:bCs/>
                <w:i/>
                <w:iCs/>
                <w:color w:val="000000"/>
                <w:sz w:val="21"/>
                <w:szCs w:val="21"/>
                <w:u w:val="single"/>
                <w:lang w:val="en-US" w:eastAsia="zh-CN"/>
              </w:rPr>
            </w:pPr>
            <w:r>
              <w:rPr>
                <w:rFonts w:hint="eastAsia"/>
                <w:b/>
                <w:bCs/>
                <w:i/>
                <w:iCs/>
                <w:color w:val="000000"/>
                <w:sz w:val="21"/>
                <w:szCs w:val="21"/>
                <w:u w:val="single"/>
                <w:lang w:val="en-US" w:eastAsia="zh-CN"/>
              </w:rPr>
              <w:t>85</w:t>
            </w:r>
          </w:p>
        </w:tc>
        <w:tc>
          <w:tcPr>
            <w:tcW w:w="767" w:type="pct"/>
            <w:noWrap w:val="0"/>
            <w:vAlign w:val="center"/>
          </w:tcPr>
          <w:p>
            <w:pPr>
              <w:jc w:val="center"/>
              <w:rPr>
                <w:rFonts w:hint="eastAsia" w:eastAsia="宋体"/>
                <w:b/>
                <w:bCs/>
                <w:i/>
                <w:iCs/>
                <w:color w:val="000000"/>
                <w:sz w:val="21"/>
                <w:szCs w:val="21"/>
                <w:u w:val="single"/>
                <w:lang w:val="en-US" w:eastAsia="zh-CN"/>
              </w:rPr>
            </w:pPr>
            <w:r>
              <w:rPr>
                <w:rFonts w:hint="eastAsia"/>
                <w:b/>
                <w:bCs/>
                <w:i/>
                <w:iCs/>
                <w:color w:val="000000"/>
                <w:sz w:val="21"/>
                <w:szCs w:val="21"/>
                <w:u w:val="singl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 w:type="pct"/>
            <w:vMerge w:val="restart"/>
            <w:tcBorders>
              <w:left w:val="nil"/>
            </w:tcBorders>
            <w:noWrap w:val="0"/>
            <w:vAlign w:val="center"/>
          </w:tcPr>
          <w:p>
            <w:pPr>
              <w:jc w:val="center"/>
              <w:rPr>
                <w:rFonts w:hint="eastAsia"/>
                <w:i/>
                <w:iCs/>
                <w:color w:val="000000"/>
                <w:sz w:val="21"/>
                <w:szCs w:val="21"/>
                <w:u w:val="single"/>
              </w:rPr>
            </w:pPr>
            <w:r>
              <w:rPr>
                <w:rFonts w:hint="eastAsia"/>
                <w:i/>
                <w:iCs/>
                <w:color w:val="000000"/>
                <w:sz w:val="21"/>
                <w:szCs w:val="21"/>
                <w:u w:val="single"/>
              </w:rPr>
              <w:t>水解酸化池</w:t>
            </w:r>
          </w:p>
        </w:tc>
        <w:tc>
          <w:tcPr>
            <w:tcW w:w="1135" w:type="pct"/>
            <w:noWrap w:val="0"/>
            <w:vAlign w:val="center"/>
          </w:tcPr>
          <w:p>
            <w:pPr>
              <w:jc w:val="center"/>
              <w:rPr>
                <w:rFonts w:hint="eastAsia"/>
                <w:i/>
                <w:iCs/>
                <w:color w:val="000000"/>
                <w:sz w:val="21"/>
                <w:szCs w:val="21"/>
                <w:u w:val="single"/>
              </w:rPr>
            </w:pPr>
            <w:r>
              <w:rPr>
                <w:rFonts w:hint="eastAsia"/>
                <w:i/>
                <w:iCs/>
                <w:color w:val="000000"/>
                <w:sz w:val="21"/>
                <w:szCs w:val="21"/>
                <w:u w:val="single"/>
              </w:rPr>
              <w:t>高浓度进水</w:t>
            </w:r>
          </w:p>
        </w:tc>
        <w:tc>
          <w:tcPr>
            <w:tcW w:w="1618" w:type="dxa"/>
            <w:noWrap w:val="0"/>
            <w:vAlign w:val="center"/>
          </w:tcPr>
          <w:p>
            <w:pPr>
              <w:jc w:val="center"/>
              <w:rPr>
                <w:rFonts w:hint="eastAsia"/>
                <w:i/>
                <w:iCs/>
                <w:color w:val="000000"/>
                <w:sz w:val="21"/>
                <w:szCs w:val="21"/>
                <w:u w:val="single"/>
              </w:rPr>
            </w:pPr>
            <w:r>
              <w:rPr>
                <w:rFonts w:hint="eastAsia"/>
                <w:i/>
                <w:iCs/>
                <w:color w:val="000000"/>
                <w:sz w:val="21"/>
                <w:szCs w:val="21"/>
                <w:u w:val="single"/>
                <w:lang w:val="en-US" w:eastAsia="zh-CN"/>
              </w:rPr>
              <w:t>3131.1</w:t>
            </w:r>
          </w:p>
        </w:tc>
        <w:tc>
          <w:tcPr>
            <w:tcW w:w="1436" w:type="dxa"/>
            <w:noWrap w:val="0"/>
            <w:vAlign w:val="center"/>
          </w:tcPr>
          <w:p>
            <w:pPr>
              <w:jc w:val="center"/>
              <w:rPr>
                <w:rFonts w:hint="eastAsia"/>
                <w:i/>
                <w:iCs/>
                <w:color w:val="000000"/>
                <w:sz w:val="21"/>
                <w:szCs w:val="21"/>
                <w:u w:val="single"/>
              </w:rPr>
            </w:pPr>
            <w:r>
              <w:rPr>
                <w:rFonts w:hint="eastAsia"/>
                <w:i/>
                <w:iCs/>
                <w:color w:val="000000"/>
                <w:sz w:val="21"/>
                <w:szCs w:val="21"/>
                <w:u w:val="single"/>
                <w:lang w:val="en-US" w:eastAsia="zh-CN"/>
              </w:rPr>
              <w:t>1124.8</w:t>
            </w:r>
          </w:p>
        </w:tc>
        <w:tc>
          <w:tcPr>
            <w:tcW w:w="1259" w:type="dxa"/>
            <w:noWrap w:val="0"/>
            <w:vAlign w:val="center"/>
          </w:tcPr>
          <w:p>
            <w:pPr>
              <w:jc w:val="center"/>
              <w:rPr>
                <w:rFonts w:hint="eastAsia"/>
                <w:i/>
                <w:iCs/>
                <w:color w:val="000000"/>
                <w:sz w:val="21"/>
                <w:szCs w:val="21"/>
                <w:u w:val="single"/>
              </w:rPr>
            </w:pPr>
            <w:r>
              <w:rPr>
                <w:rFonts w:hint="eastAsia"/>
                <w:i/>
                <w:iCs/>
                <w:color w:val="000000"/>
                <w:sz w:val="21"/>
                <w:szCs w:val="21"/>
                <w:u w:val="single"/>
                <w:lang w:val="en-US" w:eastAsia="zh-CN"/>
              </w:rPr>
              <w:t>25.35</w:t>
            </w:r>
          </w:p>
        </w:tc>
        <w:tc>
          <w:tcPr>
            <w:tcW w:w="1459" w:type="dxa"/>
            <w:noWrap w:val="0"/>
            <w:vAlign w:val="center"/>
          </w:tcPr>
          <w:p>
            <w:pPr>
              <w:jc w:val="center"/>
              <w:rPr>
                <w:rFonts w:hint="default"/>
                <w:i/>
                <w:iCs/>
                <w:color w:val="000000"/>
                <w:sz w:val="21"/>
                <w:szCs w:val="21"/>
                <w:u w:val="single"/>
                <w:lang w:val="en-US"/>
              </w:rPr>
            </w:pPr>
            <w:r>
              <w:rPr>
                <w:rFonts w:hint="eastAsia"/>
                <w:i/>
                <w:iCs/>
                <w:color w:val="000000"/>
                <w:sz w:val="21"/>
                <w:szCs w:val="21"/>
                <w:u w:val="singl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828" w:type="pct"/>
            <w:vMerge w:val="continue"/>
            <w:tcBorders>
              <w:left w:val="nil"/>
            </w:tcBorders>
            <w:noWrap w:val="0"/>
            <w:vAlign w:val="center"/>
          </w:tcPr>
          <w:p>
            <w:pPr>
              <w:jc w:val="center"/>
              <w:rPr>
                <w:rFonts w:hint="eastAsia"/>
                <w:i/>
                <w:iCs/>
                <w:color w:val="000000"/>
                <w:sz w:val="21"/>
                <w:szCs w:val="21"/>
                <w:u w:val="single"/>
              </w:rPr>
            </w:pPr>
          </w:p>
        </w:tc>
        <w:tc>
          <w:tcPr>
            <w:tcW w:w="1135" w:type="pct"/>
            <w:noWrap w:val="0"/>
            <w:vAlign w:val="center"/>
          </w:tcPr>
          <w:p>
            <w:pPr>
              <w:jc w:val="center"/>
              <w:rPr>
                <w:rFonts w:hint="eastAsia"/>
                <w:i/>
                <w:iCs/>
                <w:color w:val="000000"/>
                <w:sz w:val="21"/>
                <w:szCs w:val="21"/>
                <w:u w:val="single"/>
              </w:rPr>
            </w:pPr>
            <w:r>
              <w:rPr>
                <w:rFonts w:hint="eastAsia"/>
                <w:i/>
                <w:iCs/>
                <w:color w:val="000000"/>
                <w:sz w:val="21"/>
                <w:szCs w:val="21"/>
                <w:u w:val="single"/>
              </w:rPr>
              <w:t>高浓度出水</w:t>
            </w:r>
          </w:p>
        </w:tc>
        <w:tc>
          <w:tcPr>
            <w:tcW w:w="851" w:type="pct"/>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2348.3</w:t>
            </w:r>
          </w:p>
        </w:tc>
        <w:tc>
          <w:tcPr>
            <w:tcW w:w="755" w:type="pct"/>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1012.3</w:t>
            </w:r>
          </w:p>
        </w:tc>
        <w:tc>
          <w:tcPr>
            <w:tcW w:w="662" w:type="pct"/>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17.7</w:t>
            </w:r>
          </w:p>
        </w:tc>
        <w:tc>
          <w:tcPr>
            <w:tcW w:w="767" w:type="pct"/>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 w:type="pct"/>
            <w:vMerge w:val="continue"/>
            <w:tcBorders>
              <w:left w:val="nil"/>
            </w:tcBorders>
            <w:noWrap w:val="0"/>
            <w:vAlign w:val="center"/>
          </w:tcPr>
          <w:p>
            <w:pPr>
              <w:jc w:val="center"/>
              <w:rPr>
                <w:rFonts w:hint="eastAsia"/>
                <w:i/>
                <w:iCs/>
                <w:color w:val="000000"/>
                <w:sz w:val="21"/>
                <w:szCs w:val="21"/>
                <w:u w:val="single"/>
              </w:rPr>
            </w:pPr>
          </w:p>
        </w:tc>
        <w:tc>
          <w:tcPr>
            <w:tcW w:w="1135" w:type="pct"/>
            <w:noWrap w:val="0"/>
            <w:vAlign w:val="center"/>
          </w:tcPr>
          <w:p>
            <w:pPr>
              <w:jc w:val="center"/>
              <w:rPr>
                <w:rFonts w:hint="eastAsia"/>
                <w:i/>
                <w:iCs/>
                <w:color w:val="000000"/>
                <w:sz w:val="21"/>
                <w:szCs w:val="21"/>
                <w:u w:val="single"/>
              </w:rPr>
            </w:pPr>
            <w:r>
              <w:rPr>
                <w:rFonts w:hint="eastAsia"/>
                <w:i/>
                <w:iCs/>
                <w:color w:val="000000"/>
                <w:sz w:val="21"/>
                <w:szCs w:val="21"/>
                <w:u w:val="single"/>
              </w:rPr>
              <w:t>去除率（%）</w:t>
            </w:r>
          </w:p>
        </w:tc>
        <w:tc>
          <w:tcPr>
            <w:tcW w:w="851" w:type="pct"/>
            <w:noWrap w:val="0"/>
            <w:vAlign w:val="center"/>
          </w:tcPr>
          <w:p>
            <w:pPr>
              <w:jc w:val="center"/>
              <w:rPr>
                <w:rFonts w:hint="default" w:eastAsia="宋体"/>
                <w:b/>
                <w:bCs/>
                <w:i/>
                <w:iCs/>
                <w:color w:val="000000"/>
                <w:sz w:val="21"/>
                <w:szCs w:val="21"/>
                <w:u w:val="single"/>
                <w:lang w:val="en-US" w:eastAsia="zh-CN"/>
              </w:rPr>
            </w:pPr>
            <w:r>
              <w:rPr>
                <w:rFonts w:hint="eastAsia"/>
                <w:b/>
                <w:bCs/>
                <w:i/>
                <w:iCs/>
                <w:color w:val="000000"/>
                <w:sz w:val="21"/>
                <w:szCs w:val="21"/>
                <w:u w:val="single"/>
                <w:lang w:val="en-US" w:eastAsia="zh-CN"/>
              </w:rPr>
              <w:t>25</w:t>
            </w:r>
          </w:p>
        </w:tc>
        <w:tc>
          <w:tcPr>
            <w:tcW w:w="755" w:type="pct"/>
            <w:noWrap w:val="0"/>
            <w:vAlign w:val="center"/>
          </w:tcPr>
          <w:p>
            <w:pPr>
              <w:jc w:val="center"/>
              <w:rPr>
                <w:rFonts w:hint="default" w:eastAsia="宋体"/>
                <w:b/>
                <w:bCs/>
                <w:i/>
                <w:iCs/>
                <w:color w:val="000000"/>
                <w:sz w:val="21"/>
                <w:szCs w:val="21"/>
                <w:u w:val="single"/>
                <w:lang w:val="en-US" w:eastAsia="zh-CN"/>
              </w:rPr>
            </w:pPr>
            <w:r>
              <w:rPr>
                <w:rFonts w:hint="eastAsia"/>
                <w:b/>
                <w:bCs/>
                <w:i/>
                <w:iCs/>
                <w:color w:val="000000"/>
                <w:sz w:val="21"/>
                <w:szCs w:val="21"/>
                <w:u w:val="single"/>
                <w:lang w:val="en-US" w:eastAsia="zh-CN"/>
              </w:rPr>
              <w:t>10</w:t>
            </w:r>
          </w:p>
        </w:tc>
        <w:tc>
          <w:tcPr>
            <w:tcW w:w="662" w:type="pct"/>
            <w:noWrap w:val="0"/>
            <w:vAlign w:val="center"/>
          </w:tcPr>
          <w:p>
            <w:pPr>
              <w:jc w:val="center"/>
              <w:rPr>
                <w:rFonts w:hint="default" w:eastAsia="宋体"/>
                <w:b/>
                <w:bCs/>
                <w:i/>
                <w:iCs/>
                <w:color w:val="000000"/>
                <w:sz w:val="21"/>
                <w:szCs w:val="21"/>
                <w:u w:val="single"/>
                <w:lang w:val="en-US" w:eastAsia="zh-CN"/>
              </w:rPr>
            </w:pPr>
            <w:r>
              <w:rPr>
                <w:rFonts w:hint="eastAsia"/>
                <w:b/>
                <w:bCs/>
                <w:i/>
                <w:iCs/>
                <w:color w:val="000000"/>
                <w:sz w:val="21"/>
                <w:szCs w:val="21"/>
                <w:u w:val="single"/>
                <w:lang w:val="en-US" w:eastAsia="zh-CN"/>
              </w:rPr>
              <w:t>30</w:t>
            </w:r>
          </w:p>
        </w:tc>
        <w:tc>
          <w:tcPr>
            <w:tcW w:w="767" w:type="pct"/>
            <w:noWrap w:val="0"/>
            <w:vAlign w:val="center"/>
          </w:tcPr>
          <w:p>
            <w:pPr>
              <w:jc w:val="center"/>
              <w:rPr>
                <w:rFonts w:hint="eastAsia" w:eastAsia="宋体"/>
                <w:b/>
                <w:bCs/>
                <w:i/>
                <w:iCs/>
                <w:color w:val="000000"/>
                <w:sz w:val="21"/>
                <w:szCs w:val="21"/>
                <w:u w:val="single"/>
                <w:lang w:val="en-US" w:eastAsia="zh-CN"/>
              </w:rPr>
            </w:pPr>
            <w:r>
              <w:rPr>
                <w:rFonts w:hint="eastAsia"/>
                <w:b/>
                <w:bCs/>
                <w:i/>
                <w:iCs/>
                <w:color w:val="000000"/>
                <w:sz w:val="21"/>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 w:type="pct"/>
            <w:vMerge w:val="restart"/>
            <w:tcBorders>
              <w:left w:val="nil"/>
            </w:tcBorders>
            <w:noWrap w:val="0"/>
            <w:vAlign w:val="center"/>
          </w:tcPr>
          <w:p>
            <w:pPr>
              <w:jc w:val="center"/>
              <w:rPr>
                <w:rFonts w:hint="eastAsia"/>
                <w:i/>
                <w:iCs/>
                <w:color w:val="000000"/>
                <w:sz w:val="21"/>
                <w:szCs w:val="21"/>
                <w:u w:val="single"/>
              </w:rPr>
            </w:pPr>
            <w:r>
              <w:rPr>
                <w:rFonts w:hint="eastAsia"/>
                <w:i/>
                <w:iCs/>
                <w:color w:val="000000"/>
                <w:sz w:val="21"/>
                <w:szCs w:val="21"/>
                <w:u w:val="single"/>
              </w:rPr>
              <w:t>UASB厌氧反应器</w:t>
            </w:r>
          </w:p>
        </w:tc>
        <w:tc>
          <w:tcPr>
            <w:tcW w:w="1135" w:type="pct"/>
            <w:noWrap w:val="0"/>
            <w:vAlign w:val="center"/>
          </w:tcPr>
          <w:p>
            <w:pPr>
              <w:jc w:val="center"/>
              <w:rPr>
                <w:rFonts w:hint="eastAsia"/>
                <w:i/>
                <w:iCs/>
                <w:color w:val="000000"/>
                <w:sz w:val="21"/>
                <w:szCs w:val="21"/>
                <w:u w:val="single"/>
              </w:rPr>
            </w:pPr>
            <w:r>
              <w:rPr>
                <w:rFonts w:hint="eastAsia"/>
                <w:i/>
                <w:iCs/>
                <w:color w:val="000000"/>
                <w:sz w:val="21"/>
                <w:szCs w:val="21"/>
                <w:u w:val="single"/>
              </w:rPr>
              <w:t>综合进水</w:t>
            </w:r>
          </w:p>
        </w:tc>
        <w:tc>
          <w:tcPr>
            <w:tcW w:w="1618" w:type="dxa"/>
            <w:noWrap w:val="0"/>
            <w:vAlign w:val="center"/>
          </w:tcPr>
          <w:p>
            <w:pPr>
              <w:jc w:val="center"/>
              <w:rPr>
                <w:rFonts w:hint="eastAsia"/>
                <w:i/>
                <w:iCs/>
                <w:color w:val="000000"/>
                <w:sz w:val="21"/>
                <w:szCs w:val="21"/>
                <w:u w:val="single"/>
              </w:rPr>
            </w:pPr>
            <w:r>
              <w:rPr>
                <w:rFonts w:hint="eastAsia"/>
                <w:i/>
                <w:iCs/>
                <w:color w:val="000000"/>
                <w:sz w:val="21"/>
                <w:szCs w:val="21"/>
                <w:u w:val="single"/>
                <w:lang w:val="en-US" w:eastAsia="zh-CN"/>
              </w:rPr>
              <w:t>2348.3</w:t>
            </w:r>
          </w:p>
        </w:tc>
        <w:tc>
          <w:tcPr>
            <w:tcW w:w="1436" w:type="dxa"/>
            <w:noWrap w:val="0"/>
            <w:vAlign w:val="center"/>
          </w:tcPr>
          <w:p>
            <w:pPr>
              <w:jc w:val="center"/>
              <w:rPr>
                <w:rFonts w:hint="eastAsia"/>
                <w:i/>
                <w:iCs/>
                <w:color w:val="000000"/>
                <w:sz w:val="21"/>
                <w:szCs w:val="21"/>
                <w:u w:val="single"/>
              </w:rPr>
            </w:pPr>
            <w:r>
              <w:rPr>
                <w:rFonts w:hint="eastAsia"/>
                <w:i/>
                <w:iCs/>
                <w:color w:val="000000"/>
                <w:sz w:val="21"/>
                <w:szCs w:val="21"/>
                <w:u w:val="single"/>
                <w:lang w:val="en-US" w:eastAsia="zh-CN"/>
              </w:rPr>
              <w:t>1012.3</w:t>
            </w:r>
          </w:p>
        </w:tc>
        <w:tc>
          <w:tcPr>
            <w:tcW w:w="1259" w:type="dxa"/>
            <w:noWrap w:val="0"/>
            <w:vAlign w:val="center"/>
          </w:tcPr>
          <w:p>
            <w:pPr>
              <w:jc w:val="center"/>
              <w:rPr>
                <w:rFonts w:hint="eastAsia"/>
                <w:i/>
                <w:iCs/>
                <w:color w:val="000000"/>
                <w:sz w:val="21"/>
                <w:szCs w:val="21"/>
                <w:u w:val="single"/>
              </w:rPr>
            </w:pPr>
            <w:r>
              <w:rPr>
                <w:rFonts w:hint="eastAsia"/>
                <w:i/>
                <w:iCs/>
                <w:color w:val="000000"/>
                <w:sz w:val="21"/>
                <w:szCs w:val="21"/>
                <w:u w:val="single"/>
                <w:lang w:val="en-US" w:eastAsia="zh-CN"/>
              </w:rPr>
              <w:t>17.7</w:t>
            </w:r>
          </w:p>
        </w:tc>
        <w:tc>
          <w:tcPr>
            <w:tcW w:w="1459" w:type="dxa"/>
            <w:noWrap w:val="0"/>
            <w:vAlign w:val="center"/>
          </w:tcPr>
          <w:p>
            <w:pPr>
              <w:jc w:val="center"/>
              <w:rPr>
                <w:rFonts w:hint="eastAsia"/>
                <w:i/>
                <w:iCs/>
                <w:color w:val="000000"/>
                <w:sz w:val="21"/>
                <w:szCs w:val="21"/>
                <w:u w:val="single"/>
              </w:rPr>
            </w:pPr>
            <w:r>
              <w:rPr>
                <w:rFonts w:hint="eastAsia"/>
                <w:i/>
                <w:iCs/>
                <w:color w:val="000000"/>
                <w:sz w:val="21"/>
                <w:szCs w:val="21"/>
                <w:u w:val="single"/>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 w:type="pct"/>
            <w:vMerge w:val="continue"/>
            <w:tcBorders>
              <w:left w:val="nil"/>
            </w:tcBorders>
            <w:noWrap w:val="0"/>
            <w:vAlign w:val="center"/>
          </w:tcPr>
          <w:p>
            <w:pPr>
              <w:jc w:val="center"/>
              <w:rPr>
                <w:rFonts w:hint="eastAsia"/>
                <w:i/>
                <w:iCs/>
                <w:color w:val="000000"/>
                <w:sz w:val="21"/>
                <w:szCs w:val="21"/>
                <w:u w:val="single"/>
              </w:rPr>
            </w:pPr>
          </w:p>
        </w:tc>
        <w:tc>
          <w:tcPr>
            <w:tcW w:w="1135" w:type="pct"/>
            <w:noWrap w:val="0"/>
            <w:vAlign w:val="center"/>
          </w:tcPr>
          <w:p>
            <w:pPr>
              <w:jc w:val="center"/>
              <w:rPr>
                <w:rFonts w:hint="eastAsia"/>
                <w:i/>
                <w:iCs/>
                <w:color w:val="000000"/>
                <w:sz w:val="21"/>
                <w:szCs w:val="21"/>
                <w:u w:val="single"/>
              </w:rPr>
            </w:pPr>
            <w:r>
              <w:rPr>
                <w:rFonts w:hint="eastAsia"/>
                <w:i/>
                <w:iCs/>
                <w:color w:val="000000"/>
                <w:sz w:val="21"/>
                <w:szCs w:val="21"/>
                <w:u w:val="single"/>
              </w:rPr>
              <w:t>综合出水</w:t>
            </w:r>
          </w:p>
        </w:tc>
        <w:tc>
          <w:tcPr>
            <w:tcW w:w="851" w:type="pct"/>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469.66</w:t>
            </w:r>
          </w:p>
        </w:tc>
        <w:tc>
          <w:tcPr>
            <w:tcW w:w="755" w:type="pct"/>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101.2</w:t>
            </w:r>
          </w:p>
        </w:tc>
        <w:tc>
          <w:tcPr>
            <w:tcW w:w="662" w:type="pct"/>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15.9</w:t>
            </w:r>
          </w:p>
        </w:tc>
        <w:tc>
          <w:tcPr>
            <w:tcW w:w="767" w:type="pct"/>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28" w:type="pct"/>
            <w:vMerge w:val="continue"/>
            <w:tcBorders>
              <w:left w:val="nil"/>
            </w:tcBorders>
            <w:noWrap w:val="0"/>
            <w:vAlign w:val="center"/>
          </w:tcPr>
          <w:p>
            <w:pPr>
              <w:jc w:val="center"/>
              <w:rPr>
                <w:rFonts w:hint="eastAsia"/>
                <w:i/>
                <w:iCs/>
                <w:color w:val="000000"/>
                <w:sz w:val="21"/>
                <w:szCs w:val="21"/>
                <w:u w:val="single"/>
              </w:rPr>
            </w:pPr>
          </w:p>
        </w:tc>
        <w:tc>
          <w:tcPr>
            <w:tcW w:w="1135" w:type="pct"/>
            <w:noWrap w:val="0"/>
            <w:vAlign w:val="center"/>
          </w:tcPr>
          <w:p>
            <w:pPr>
              <w:jc w:val="center"/>
              <w:rPr>
                <w:rFonts w:hint="eastAsia"/>
                <w:i/>
                <w:iCs/>
                <w:color w:val="000000"/>
                <w:sz w:val="21"/>
                <w:szCs w:val="21"/>
                <w:u w:val="single"/>
              </w:rPr>
            </w:pPr>
            <w:r>
              <w:rPr>
                <w:rFonts w:hint="eastAsia"/>
                <w:i/>
                <w:iCs/>
                <w:color w:val="000000"/>
                <w:sz w:val="21"/>
                <w:szCs w:val="21"/>
                <w:u w:val="single"/>
              </w:rPr>
              <w:t>去除率（%）</w:t>
            </w:r>
          </w:p>
        </w:tc>
        <w:tc>
          <w:tcPr>
            <w:tcW w:w="851" w:type="pct"/>
            <w:noWrap w:val="0"/>
            <w:vAlign w:val="center"/>
          </w:tcPr>
          <w:p>
            <w:pPr>
              <w:jc w:val="center"/>
              <w:rPr>
                <w:rFonts w:hint="default" w:eastAsia="宋体"/>
                <w:b/>
                <w:bCs/>
                <w:i/>
                <w:iCs/>
                <w:color w:val="000000"/>
                <w:sz w:val="21"/>
                <w:szCs w:val="21"/>
                <w:u w:val="single"/>
                <w:lang w:val="en-US" w:eastAsia="zh-CN"/>
              </w:rPr>
            </w:pPr>
            <w:r>
              <w:rPr>
                <w:rFonts w:hint="eastAsia"/>
                <w:b/>
                <w:bCs/>
                <w:i/>
                <w:iCs/>
                <w:color w:val="000000"/>
                <w:sz w:val="21"/>
                <w:szCs w:val="21"/>
                <w:u w:val="single"/>
                <w:lang w:val="en-US" w:eastAsia="zh-CN"/>
              </w:rPr>
              <w:t>80</w:t>
            </w:r>
          </w:p>
        </w:tc>
        <w:tc>
          <w:tcPr>
            <w:tcW w:w="755" w:type="pct"/>
            <w:noWrap w:val="0"/>
            <w:vAlign w:val="center"/>
          </w:tcPr>
          <w:p>
            <w:pPr>
              <w:jc w:val="center"/>
              <w:rPr>
                <w:rFonts w:hint="default" w:eastAsia="宋体"/>
                <w:b/>
                <w:bCs/>
                <w:i/>
                <w:iCs/>
                <w:color w:val="000000"/>
                <w:sz w:val="21"/>
                <w:szCs w:val="21"/>
                <w:u w:val="single"/>
                <w:lang w:val="en-US" w:eastAsia="zh-CN"/>
              </w:rPr>
            </w:pPr>
            <w:r>
              <w:rPr>
                <w:rFonts w:hint="eastAsia"/>
                <w:b/>
                <w:bCs/>
                <w:i/>
                <w:iCs/>
                <w:color w:val="000000"/>
                <w:sz w:val="21"/>
                <w:szCs w:val="21"/>
                <w:u w:val="single"/>
                <w:lang w:val="en-US" w:eastAsia="zh-CN"/>
              </w:rPr>
              <w:t>90</w:t>
            </w:r>
          </w:p>
        </w:tc>
        <w:tc>
          <w:tcPr>
            <w:tcW w:w="662" w:type="pct"/>
            <w:noWrap w:val="0"/>
            <w:vAlign w:val="center"/>
          </w:tcPr>
          <w:p>
            <w:pPr>
              <w:jc w:val="center"/>
              <w:rPr>
                <w:rFonts w:hint="default" w:eastAsia="宋体"/>
                <w:b/>
                <w:bCs/>
                <w:i/>
                <w:iCs/>
                <w:color w:val="000000"/>
                <w:sz w:val="21"/>
                <w:szCs w:val="21"/>
                <w:u w:val="single"/>
                <w:lang w:val="en-US" w:eastAsia="zh-CN"/>
              </w:rPr>
            </w:pPr>
            <w:r>
              <w:rPr>
                <w:rFonts w:hint="eastAsia"/>
                <w:b/>
                <w:bCs/>
                <w:i/>
                <w:iCs/>
                <w:color w:val="000000"/>
                <w:sz w:val="21"/>
                <w:szCs w:val="21"/>
                <w:u w:val="single"/>
                <w:lang w:val="en-US" w:eastAsia="zh-CN"/>
              </w:rPr>
              <w:t>10</w:t>
            </w:r>
          </w:p>
        </w:tc>
        <w:tc>
          <w:tcPr>
            <w:tcW w:w="767" w:type="pct"/>
            <w:noWrap w:val="0"/>
            <w:vAlign w:val="center"/>
          </w:tcPr>
          <w:p>
            <w:pPr>
              <w:jc w:val="center"/>
              <w:rPr>
                <w:rFonts w:hint="default" w:eastAsia="宋体"/>
                <w:b/>
                <w:bCs/>
                <w:i/>
                <w:iCs/>
                <w:color w:val="000000"/>
                <w:sz w:val="21"/>
                <w:szCs w:val="21"/>
                <w:u w:val="single"/>
                <w:lang w:val="en-US" w:eastAsia="zh-CN"/>
              </w:rPr>
            </w:pPr>
            <w:r>
              <w:rPr>
                <w:rFonts w:hint="eastAsia"/>
                <w:b/>
                <w:bCs/>
                <w:i/>
                <w:iCs/>
                <w:color w:val="000000"/>
                <w:sz w:val="21"/>
                <w:szCs w:val="21"/>
                <w:u w:val="singl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 w:type="pct"/>
            <w:vMerge w:val="restart"/>
            <w:tcBorders>
              <w:left w:val="nil"/>
            </w:tcBorders>
            <w:noWrap w:val="0"/>
            <w:vAlign w:val="center"/>
          </w:tcPr>
          <w:p>
            <w:pPr>
              <w:jc w:val="center"/>
              <w:rPr>
                <w:rFonts w:hint="eastAsia" w:eastAsia="宋体"/>
                <w:i/>
                <w:iCs/>
                <w:color w:val="000000"/>
                <w:sz w:val="21"/>
                <w:szCs w:val="21"/>
                <w:u w:val="single"/>
                <w:lang w:val="en-US" w:eastAsia="zh-CN"/>
              </w:rPr>
            </w:pPr>
            <w:r>
              <w:rPr>
                <w:rFonts w:hint="eastAsia"/>
                <w:i/>
                <w:iCs/>
                <w:color w:val="000000"/>
                <w:sz w:val="21"/>
                <w:szCs w:val="21"/>
                <w:u w:val="single"/>
                <w:lang w:val="en-US" w:eastAsia="zh-CN"/>
              </w:rPr>
              <w:t>好氧</w:t>
            </w:r>
          </w:p>
        </w:tc>
        <w:tc>
          <w:tcPr>
            <w:tcW w:w="2159" w:type="dxa"/>
            <w:noWrap w:val="0"/>
            <w:vAlign w:val="center"/>
          </w:tcPr>
          <w:p>
            <w:pPr>
              <w:jc w:val="center"/>
              <w:rPr>
                <w:rFonts w:hint="eastAsia"/>
                <w:i/>
                <w:iCs/>
                <w:color w:val="000000"/>
                <w:sz w:val="21"/>
                <w:szCs w:val="21"/>
                <w:u w:val="single"/>
              </w:rPr>
            </w:pPr>
            <w:r>
              <w:rPr>
                <w:rFonts w:hint="eastAsia"/>
                <w:i/>
                <w:iCs/>
                <w:color w:val="000000"/>
                <w:sz w:val="21"/>
                <w:szCs w:val="21"/>
                <w:u w:val="single"/>
              </w:rPr>
              <w:t>进水</w:t>
            </w:r>
          </w:p>
        </w:tc>
        <w:tc>
          <w:tcPr>
            <w:tcW w:w="1618" w:type="dxa"/>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469.66</w:t>
            </w:r>
          </w:p>
        </w:tc>
        <w:tc>
          <w:tcPr>
            <w:tcW w:w="1436" w:type="dxa"/>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101.2</w:t>
            </w:r>
          </w:p>
        </w:tc>
        <w:tc>
          <w:tcPr>
            <w:tcW w:w="1259" w:type="dxa"/>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15.9</w:t>
            </w:r>
          </w:p>
        </w:tc>
        <w:tc>
          <w:tcPr>
            <w:tcW w:w="1459" w:type="dxa"/>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 w:type="pct"/>
            <w:vMerge w:val="continue"/>
            <w:tcBorders>
              <w:left w:val="nil"/>
            </w:tcBorders>
            <w:noWrap w:val="0"/>
            <w:vAlign w:val="center"/>
          </w:tcPr>
          <w:p>
            <w:pPr>
              <w:jc w:val="center"/>
              <w:rPr>
                <w:rFonts w:hint="eastAsia"/>
                <w:i/>
                <w:iCs/>
                <w:color w:val="000000"/>
                <w:sz w:val="21"/>
                <w:szCs w:val="21"/>
                <w:u w:val="single"/>
              </w:rPr>
            </w:pPr>
          </w:p>
        </w:tc>
        <w:tc>
          <w:tcPr>
            <w:tcW w:w="2159" w:type="dxa"/>
            <w:noWrap w:val="0"/>
            <w:vAlign w:val="center"/>
          </w:tcPr>
          <w:p>
            <w:pPr>
              <w:jc w:val="center"/>
              <w:rPr>
                <w:rFonts w:hint="eastAsia"/>
                <w:i/>
                <w:iCs/>
                <w:color w:val="000000"/>
                <w:sz w:val="21"/>
                <w:szCs w:val="21"/>
                <w:u w:val="single"/>
              </w:rPr>
            </w:pPr>
            <w:r>
              <w:rPr>
                <w:rFonts w:hint="eastAsia"/>
                <w:i/>
                <w:iCs/>
                <w:color w:val="000000"/>
                <w:sz w:val="21"/>
                <w:szCs w:val="21"/>
                <w:u w:val="single"/>
              </w:rPr>
              <w:t>出水</w:t>
            </w:r>
          </w:p>
        </w:tc>
        <w:tc>
          <w:tcPr>
            <w:tcW w:w="1618" w:type="dxa"/>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47</w:t>
            </w:r>
          </w:p>
        </w:tc>
        <w:tc>
          <w:tcPr>
            <w:tcW w:w="1436" w:type="dxa"/>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5.06</w:t>
            </w:r>
          </w:p>
        </w:tc>
        <w:tc>
          <w:tcPr>
            <w:tcW w:w="1259" w:type="dxa"/>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11.9</w:t>
            </w:r>
          </w:p>
        </w:tc>
        <w:tc>
          <w:tcPr>
            <w:tcW w:w="1459" w:type="dxa"/>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 w:type="pct"/>
            <w:vMerge w:val="continue"/>
            <w:tcBorders>
              <w:left w:val="nil"/>
            </w:tcBorders>
            <w:noWrap w:val="0"/>
            <w:vAlign w:val="center"/>
          </w:tcPr>
          <w:p>
            <w:pPr>
              <w:jc w:val="center"/>
              <w:rPr>
                <w:rFonts w:hint="eastAsia"/>
                <w:i/>
                <w:iCs/>
                <w:color w:val="000000"/>
                <w:sz w:val="21"/>
                <w:szCs w:val="21"/>
                <w:u w:val="single"/>
              </w:rPr>
            </w:pPr>
          </w:p>
        </w:tc>
        <w:tc>
          <w:tcPr>
            <w:tcW w:w="2159" w:type="dxa"/>
            <w:noWrap w:val="0"/>
            <w:vAlign w:val="center"/>
          </w:tcPr>
          <w:p>
            <w:pPr>
              <w:jc w:val="center"/>
              <w:rPr>
                <w:rFonts w:hint="eastAsia"/>
                <w:i/>
                <w:iCs/>
                <w:color w:val="000000"/>
                <w:sz w:val="21"/>
                <w:szCs w:val="21"/>
                <w:u w:val="single"/>
              </w:rPr>
            </w:pPr>
            <w:r>
              <w:rPr>
                <w:rFonts w:hint="eastAsia"/>
                <w:i/>
                <w:iCs/>
                <w:color w:val="000000"/>
                <w:sz w:val="21"/>
                <w:szCs w:val="21"/>
                <w:u w:val="single"/>
              </w:rPr>
              <w:t>去除率（%）</w:t>
            </w:r>
          </w:p>
        </w:tc>
        <w:tc>
          <w:tcPr>
            <w:tcW w:w="1618" w:type="dxa"/>
            <w:noWrap w:val="0"/>
            <w:vAlign w:val="center"/>
          </w:tcPr>
          <w:p>
            <w:pPr>
              <w:jc w:val="center"/>
              <w:rPr>
                <w:rFonts w:hint="default" w:eastAsia="宋体"/>
                <w:b/>
                <w:bCs/>
                <w:i/>
                <w:iCs/>
                <w:color w:val="000000"/>
                <w:sz w:val="21"/>
                <w:szCs w:val="21"/>
                <w:u w:val="single"/>
                <w:lang w:val="en-US" w:eastAsia="zh-CN"/>
              </w:rPr>
            </w:pPr>
            <w:r>
              <w:rPr>
                <w:rFonts w:hint="eastAsia"/>
                <w:b/>
                <w:bCs/>
                <w:i/>
                <w:iCs/>
                <w:color w:val="000000"/>
                <w:sz w:val="21"/>
                <w:szCs w:val="21"/>
                <w:u w:val="single"/>
                <w:lang w:val="en-US" w:eastAsia="zh-CN"/>
              </w:rPr>
              <w:t>90</w:t>
            </w:r>
          </w:p>
        </w:tc>
        <w:tc>
          <w:tcPr>
            <w:tcW w:w="1436" w:type="dxa"/>
            <w:noWrap w:val="0"/>
            <w:vAlign w:val="center"/>
          </w:tcPr>
          <w:p>
            <w:pPr>
              <w:jc w:val="center"/>
              <w:rPr>
                <w:rFonts w:hint="default" w:eastAsia="宋体"/>
                <w:b/>
                <w:bCs/>
                <w:i/>
                <w:iCs/>
                <w:color w:val="000000"/>
                <w:sz w:val="21"/>
                <w:szCs w:val="21"/>
                <w:u w:val="single"/>
                <w:lang w:val="en-US" w:eastAsia="zh-CN"/>
              </w:rPr>
            </w:pPr>
            <w:r>
              <w:rPr>
                <w:rFonts w:hint="eastAsia"/>
                <w:b/>
                <w:bCs/>
                <w:i/>
                <w:iCs/>
                <w:color w:val="000000"/>
                <w:sz w:val="21"/>
                <w:szCs w:val="21"/>
                <w:u w:val="single"/>
                <w:lang w:val="en-US" w:eastAsia="zh-CN"/>
              </w:rPr>
              <w:t>95</w:t>
            </w:r>
          </w:p>
        </w:tc>
        <w:tc>
          <w:tcPr>
            <w:tcW w:w="1259" w:type="dxa"/>
            <w:noWrap w:val="0"/>
            <w:vAlign w:val="center"/>
          </w:tcPr>
          <w:p>
            <w:pPr>
              <w:jc w:val="center"/>
              <w:rPr>
                <w:rFonts w:hint="default" w:eastAsia="宋体"/>
                <w:b/>
                <w:bCs/>
                <w:i/>
                <w:iCs/>
                <w:color w:val="000000"/>
                <w:sz w:val="21"/>
                <w:szCs w:val="21"/>
                <w:u w:val="single"/>
                <w:lang w:val="en-US" w:eastAsia="zh-CN"/>
              </w:rPr>
            </w:pPr>
            <w:r>
              <w:rPr>
                <w:rFonts w:hint="eastAsia"/>
                <w:b/>
                <w:bCs/>
                <w:i/>
                <w:iCs/>
                <w:color w:val="000000"/>
                <w:sz w:val="21"/>
                <w:szCs w:val="21"/>
                <w:u w:val="single"/>
                <w:lang w:val="en-US" w:eastAsia="zh-CN"/>
              </w:rPr>
              <w:t>25</w:t>
            </w:r>
          </w:p>
        </w:tc>
        <w:tc>
          <w:tcPr>
            <w:tcW w:w="1459" w:type="dxa"/>
            <w:noWrap w:val="0"/>
            <w:vAlign w:val="center"/>
          </w:tcPr>
          <w:p>
            <w:pPr>
              <w:jc w:val="center"/>
              <w:rPr>
                <w:rFonts w:hint="default" w:eastAsia="宋体"/>
                <w:b/>
                <w:bCs/>
                <w:i/>
                <w:iCs/>
                <w:color w:val="000000"/>
                <w:sz w:val="21"/>
                <w:szCs w:val="21"/>
                <w:u w:val="single"/>
                <w:lang w:val="en-US" w:eastAsia="zh-CN"/>
              </w:rPr>
            </w:pPr>
            <w:r>
              <w:rPr>
                <w:rFonts w:hint="eastAsia"/>
                <w:b/>
                <w:bCs/>
                <w:i/>
                <w:iCs/>
                <w:color w:val="000000"/>
                <w:sz w:val="21"/>
                <w:szCs w:val="21"/>
                <w:u w:val="singl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 w:type="pct"/>
            <w:vMerge w:val="restart"/>
            <w:tcBorders>
              <w:left w:val="nil"/>
            </w:tcBorders>
            <w:noWrap w:val="0"/>
            <w:vAlign w:val="center"/>
          </w:tcPr>
          <w:p>
            <w:pPr>
              <w:jc w:val="center"/>
              <w:rPr>
                <w:rFonts w:hint="eastAsia" w:eastAsia="宋体"/>
                <w:i/>
                <w:iCs/>
                <w:color w:val="000000"/>
                <w:sz w:val="21"/>
                <w:szCs w:val="21"/>
                <w:u w:val="single"/>
                <w:lang w:eastAsia="zh-CN"/>
              </w:rPr>
            </w:pPr>
            <w:r>
              <w:rPr>
                <w:rFonts w:hint="eastAsia"/>
                <w:i/>
                <w:iCs/>
                <w:color w:val="000000"/>
                <w:sz w:val="21"/>
                <w:szCs w:val="21"/>
                <w:u w:val="single"/>
                <w:lang w:val="en-US" w:eastAsia="zh-CN"/>
              </w:rPr>
              <w:t>混凝沉淀</w:t>
            </w:r>
          </w:p>
        </w:tc>
        <w:tc>
          <w:tcPr>
            <w:tcW w:w="1135" w:type="pct"/>
            <w:noWrap w:val="0"/>
            <w:vAlign w:val="center"/>
          </w:tcPr>
          <w:p>
            <w:pPr>
              <w:jc w:val="center"/>
              <w:rPr>
                <w:rFonts w:hint="eastAsia"/>
                <w:i/>
                <w:iCs/>
                <w:color w:val="000000"/>
                <w:sz w:val="21"/>
                <w:szCs w:val="21"/>
                <w:u w:val="single"/>
              </w:rPr>
            </w:pPr>
            <w:r>
              <w:rPr>
                <w:rFonts w:hint="eastAsia"/>
                <w:i/>
                <w:iCs/>
                <w:color w:val="000000"/>
                <w:sz w:val="21"/>
                <w:szCs w:val="21"/>
                <w:u w:val="single"/>
              </w:rPr>
              <w:t>进水</w:t>
            </w:r>
          </w:p>
        </w:tc>
        <w:tc>
          <w:tcPr>
            <w:tcW w:w="851" w:type="pct"/>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47</w:t>
            </w:r>
          </w:p>
        </w:tc>
        <w:tc>
          <w:tcPr>
            <w:tcW w:w="755" w:type="pct"/>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5.06</w:t>
            </w:r>
          </w:p>
        </w:tc>
        <w:tc>
          <w:tcPr>
            <w:tcW w:w="662" w:type="pct"/>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11.9</w:t>
            </w:r>
          </w:p>
        </w:tc>
        <w:tc>
          <w:tcPr>
            <w:tcW w:w="767" w:type="pct"/>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 w:type="pct"/>
            <w:vMerge w:val="continue"/>
            <w:tcBorders>
              <w:left w:val="nil"/>
            </w:tcBorders>
            <w:noWrap w:val="0"/>
            <w:vAlign w:val="center"/>
          </w:tcPr>
          <w:p>
            <w:pPr>
              <w:jc w:val="center"/>
              <w:rPr>
                <w:rFonts w:hint="eastAsia"/>
                <w:i/>
                <w:iCs/>
                <w:color w:val="000000"/>
                <w:sz w:val="21"/>
                <w:szCs w:val="21"/>
                <w:u w:val="single"/>
              </w:rPr>
            </w:pPr>
          </w:p>
        </w:tc>
        <w:tc>
          <w:tcPr>
            <w:tcW w:w="1135" w:type="pct"/>
            <w:noWrap w:val="0"/>
            <w:vAlign w:val="center"/>
          </w:tcPr>
          <w:p>
            <w:pPr>
              <w:jc w:val="center"/>
              <w:rPr>
                <w:rFonts w:hint="eastAsia"/>
                <w:i/>
                <w:iCs/>
                <w:color w:val="000000"/>
                <w:sz w:val="21"/>
                <w:szCs w:val="21"/>
                <w:u w:val="single"/>
              </w:rPr>
            </w:pPr>
            <w:r>
              <w:rPr>
                <w:rFonts w:hint="eastAsia"/>
                <w:i/>
                <w:iCs/>
                <w:color w:val="000000"/>
                <w:sz w:val="21"/>
                <w:szCs w:val="21"/>
                <w:u w:val="single"/>
              </w:rPr>
              <w:t>出水</w:t>
            </w:r>
          </w:p>
        </w:tc>
        <w:tc>
          <w:tcPr>
            <w:tcW w:w="851" w:type="pct"/>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42.3</w:t>
            </w:r>
          </w:p>
        </w:tc>
        <w:tc>
          <w:tcPr>
            <w:tcW w:w="755" w:type="pct"/>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4.81</w:t>
            </w:r>
          </w:p>
        </w:tc>
        <w:tc>
          <w:tcPr>
            <w:tcW w:w="662" w:type="pct"/>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3.6</w:t>
            </w:r>
          </w:p>
        </w:tc>
        <w:tc>
          <w:tcPr>
            <w:tcW w:w="767" w:type="pct"/>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 w:type="pct"/>
            <w:vMerge w:val="continue"/>
            <w:tcBorders>
              <w:left w:val="nil"/>
              <w:bottom w:val="single" w:color="auto" w:sz="12" w:space="0"/>
            </w:tcBorders>
            <w:noWrap w:val="0"/>
            <w:vAlign w:val="center"/>
          </w:tcPr>
          <w:p>
            <w:pPr>
              <w:jc w:val="center"/>
              <w:rPr>
                <w:rFonts w:hint="eastAsia"/>
                <w:i/>
                <w:iCs/>
                <w:color w:val="000000"/>
                <w:sz w:val="21"/>
                <w:szCs w:val="21"/>
                <w:u w:val="single"/>
              </w:rPr>
            </w:pPr>
          </w:p>
        </w:tc>
        <w:tc>
          <w:tcPr>
            <w:tcW w:w="1135" w:type="pct"/>
            <w:tcBorders>
              <w:bottom w:val="single" w:color="auto" w:sz="12" w:space="0"/>
            </w:tcBorders>
            <w:noWrap w:val="0"/>
            <w:vAlign w:val="center"/>
          </w:tcPr>
          <w:p>
            <w:pPr>
              <w:jc w:val="center"/>
              <w:rPr>
                <w:rFonts w:hint="eastAsia"/>
                <w:i/>
                <w:iCs/>
                <w:color w:val="000000"/>
                <w:sz w:val="21"/>
                <w:szCs w:val="21"/>
                <w:u w:val="single"/>
              </w:rPr>
            </w:pPr>
            <w:r>
              <w:rPr>
                <w:rFonts w:hint="eastAsia"/>
                <w:i/>
                <w:iCs/>
                <w:color w:val="000000"/>
                <w:sz w:val="21"/>
                <w:szCs w:val="21"/>
                <w:u w:val="single"/>
              </w:rPr>
              <w:t>去除率（%）</w:t>
            </w:r>
          </w:p>
        </w:tc>
        <w:tc>
          <w:tcPr>
            <w:tcW w:w="851" w:type="pct"/>
            <w:tcBorders>
              <w:bottom w:val="single" w:color="auto" w:sz="12" w:space="0"/>
            </w:tcBorders>
            <w:noWrap w:val="0"/>
            <w:vAlign w:val="center"/>
          </w:tcPr>
          <w:p>
            <w:pPr>
              <w:jc w:val="center"/>
              <w:rPr>
                <w:rFonts w:hint="default" w:eastAsia="宋体"/>
                <w:b/>
                <w:bCs/>
                <w:i/>
                <w:iCs/>
                <w:color w:val="000000"/>
                <w:sz w:val="21"/>
                <w:szCs w:val="21"/>
                <w:u w:val="single"/>
                <w:lang w:val="en-US" w:eastAsia="zh-CN"/>
              </w:rPr>
            </w:pPr>
            <w:r>
              <w:rPr>
                <w:rFonts w:hint="eastAsia"/>
                <w:b/>
                <w:bCs/>
                <w:i/>
                <w:iCs/>
                <w:color w:val="000000"/>
                <w:sz w:val="21"/>
                <w:szCs w:val="21"/>
                <w:u w:val="single"/>
                <w:lang w:val="en-US" w:eastAsia="zh-CN"/>
              </w:rPr>
              <w:t>10</w:t>
            </w:r>
          </w:p>
        </w:tc>
        <w:tc>
          <w:tcPr>
            <w:tcW w:w="755" w:type="pct"/>
            <w:tcBorders>
              <w:bottom w:val="single" w:color="auto" w:sz="12" w:space="0"/>
            </w:tcBorders>
            <w:noWrap w:val="0"/>
            <w:vAlign w:val="center"/>
          </w:tcPr>
          <w:p>
            <w:pPr>
              <w:jc w:val="center"/>
              <w:rPr>
                <w:rFonts w:hint="eastAsia" w:eastAsia="宋体"/>
                <w:b/>
                <w:bCs/>
                <w:i/>
                <w:iCs/>
                <w:color w:val="000000"/>
                <w:sz w:val="21"/>
                <w:szCs w:val="21"/>
                <w:u w:val="single"/>
                <w:lang w:val="en-US" w:eastAsia="zh-CN"/>
              </w:rPr>
            </w:pPr>
            <w:r>
              <w:rPr>
                <w:rFonts w:hint="eastAsia"/>
                <w:b/>
                <w:bCs/>
                <w:i/>
                <w:iCs/>
                <w:color w:val="000000"/>
                <w:sz w:val="21"/>
                <w:szCs w:val="21"/>
                <w:u w:val="single"/>
                <w:lang w:val="en-US" w:eastAsia="zh-CN"/>
              </w:rPr>
              <w:t>5</w:t>
            </w:r>
          </w:p>
        </w:tc>
        <w:tc>
          <w:tcPr>
            <w:tcW w:w="662" w:type="pct"/>
            <w:tcBorders>
              <w:bottom w:val="single" w:color="auto" w:sz="12" w:space="0"/>
            </w:tcBorders>
            <w:noWrap w:val="0"/>
            <w:vAlign w:val="center"/>
          </w:tcPr>
          <w:p>
            <w:pPr>
              <w:jc w:val="center"/>
              <w:rPr>
                <w:rFonts w:hint="default" w:eastAsia="宋体"/>
                <w:b/>
                <w:bCs/>
                <w:i/>
                <w:iCs/>
                <w:color w:val="000000"/>
                <w:sz w:val="21"/>
                <w:szCs w:val="21"/>
                <w:u w:val="single"/>
                <w:lang w:val="en-US" w:eastAsia="zh-CN"/>
              </w:rPr>
            </w:pPr>
            <w:r>
              <w:rPr>
                <w:rFonts w:hint="eastAsia"/>
                <w:b/>
                <w:bCs/>
                <w:i/>
                <w:iCs/>
                <w:color w:val="000000"/>
                <w:sz w:val="21"/>
                <w:szCs w:val="21"/>
                <w:u w:val="single"/>
                <w:lang w:val="en-US" w:eastAsia="zh-CN"/>
              </w:rPr>
              <w:t>70</w:t>
            </w:r>
          </w:p>
        </w:tc>
        <w:tc>
          <w:tcPr>
            <w:tcW w:w="767" w:type="pct"/>
            <w:tcBorders>
              <w:bottom w:val="single" w:color="auto" w:sz="12" w:space="0"/>
            </w:tcBorders>
            <w:noWrap w:val="0"/>
            <w:vAlign w:val="center"/>
          </w:tcPr>
          <w:p>
            <w:pPr>
              <w:jc w:val="center"/>
              <w:rPr>
                <w:rFonts w:hint="default" w:eastAsia="宋体"/>
                <w:b/>
                <w:bCs/>
                <w:i/>
                <w:iCs/>
                <w:color w:val="000000"/>
                <w:sz w:val="21"/>
                <w:szCs w:val="21"/>
                <w:u w:val="single"/>
                <w:lang w:val="en-US" w:eastAsia="zh-CN"/>
              </w:rPr>
            </w:pPr>
            <w:r>
              <w:rPr>
                <w:rFonts w:hint="eastAsia"/>
                <w:b/>
                <w:bCs/>
                <w:i/>
                <w:iCs/>
                <w:color w:val="000000"/>
                <w:sz w:val="21"/>
                <w:szCs w:val="21"/>
                <w:u w:val="single"/>
                <w:lang w:val="en-US" w:eastAsia="zh-CN"/>
              </w:rPr>
              <w:t>10</w:t>
            </w:r>
          </w:p>
        </w:tc>
      </w:tr>
    </w:tbl>
    <w:p>
      <w:pPr>
        <w:pStyle w:val="402"/>
        <w:rPr>
          <w:rFonts w:hint="eastAsia" w:hAnsi="Times New Roman"/>
          <w:i/>
          <w:iCs/>
          <w:u w:val="single"/>
        </w:rPr>
      </w:pPr>
      <w:r>
        <w:rPr>
          <w:rFonts w:hint="eastAsia"/>
          <w:i/>
          <w:iCs/>
          <w:color w:val="000000"/>
          <w:u w:val="single"/>
        </w:rPr>
        <w:t>本项目产生的食堂废水由油水分离器处理后与生活污水、生产废水经厂内污水管道收集，经过厂内污水处理站采用“水解+UASB+A/O”工艺处理，处理后废水达到《污水综合排放标准》GB8978-1996表2三级标准排放限值及园区污水处理厂进水指标后排入污水管网内，进入园区污水处理厂处理后排放。</w:t>
      </w:r>
    </w:p>
    <w:p>
      <w:pPr>
        <w:pStyle w:val="26"/>
        <w:spacing w:line="360" w:lineRule="auto"/>
        <w:ind w:firstLine="482"/>
        <w:rPr>
          <w:rFonts w:ascii="Times New Roman" w:hAnsi="Times New Roman"/>
          <w:b/>
          <w:i w:val="0"/>
          <w:iCs w:val="0"/>
          <w:u w:val="single"/>
        </w:rPr>
      </w:pPr>
      <w:r>
        <w:rPr>
          <w:rFonts w:hint="eastAsia" w:ascii="Times New Roman" w:hAnsi="Times New Roman"/>
          <w:b/>
          <w:i w:val="0"/>
          <w:iCs w:val="0"/>
          <w:u w:val="single"/>
        </w:rPr>
        <w:t>3</w:t>
      </w:r>
      <w:r>
        <w:rPr>
          <w:rFonts w:ascii="Times New Roman" w:hAnsi="Times New Roman"/>
          <w:b/>
          <w:i w:val="0"/>
          <w:iCs w:val="0"/>
          <w:u w:val="single"/>
        </w:rPr>
        <w:t>.</w:t>
      </w:r>
      <w:r>
        <w:rPr>
          <w:rFonts w:hint="eastAsia" w:ascii="Times New Roman" w:hAnsi="Times New Roman"/>
          <w:b/>
          <w:i w:val="0"/>
          <w:iCs w:val="0"/>
          <w:u w:val="single"/>
        </w:rPr>
        <w:t>7</w:t>
      </w:r>
      <w:r>
        <w:rPr>
          <w:rFonts w:ascii="Times New Roman" w:hAnsi="Times New Roman"/>
          <w:b/>
          <w:i w:val="0"/>
          <w:iCs w:val="0"/>
          <w:u w:val="single"/>
        </w:rPr>
        <w:t>.2废气</w:t>
      </w:r>
    </w:p>
    <w:p>
      <w:pPr>
        <w:spacing w:line="360" w:lineRule="auto"/>
        <w:ind w:firstLine="480" w:firstLineChars="200"/>
        <w:rPr>
          <w:rFonts w:hint="eastAsia"/>
          <w:i w:val="0"/>
          <w:iCs w:val="0"/>
          <w:u w:val="single"/>
        </w:rPr>
      </w:pPr>
      <w:r>
        <w:rPr>
          <w:rFonts w:hint="eastAsia"/>
          <w:i w:val="0"/>
          <w:iCs w:val="0"/>
          <w:u w:val="single"/>
        </w:rPr>
        <w:t>本项目生产过程中</w:t>
      </w:r>
      <w:r>
        <w:rPr>
          <w:rFonts w:hint="eastAsia"/>
          <w:i w:val="0"/>
          <w:iCs w:val="0"/>
          <w:u w:val="single"/>
          <w:lang w:eastAsia="zh-CN"/>
        </w:rPr>
        <w:t>上料采用无尘投料站进行投料，无粉尘产生；灌区氨气及乙醇储罐采用氮气作为保护气，无呼吸阀废气，生产过程中</w:t>
      </w:r>
      <w:r>
        <w:rPr>
          <w:rFonts w:hint="eastAsia"/>
          <w:i w:val="0"/>
          <w:iCs w:val="0"/>
          <w:u w:val="single"/>
        </w:rPr>
        <w:t>产生的废气主要为污水站产生的恶臭气体，发酵过程产生的发酵废气，</w:t>
      </w:r>
      <w:r>
        <w:rPr>
          <w:rFonts w:hint="eastAsia"/>
          <w:i w:val="0"/>
          <w:iCs w:val="0"/>
          <w:u w:val="single"/>
          <w:lang w:val="en-US" w:eastAsia="zh-CN"/>
        </w:rPr>
        <w:t>热风炉烟气及</w:t>
      </w:r>
      <w:r>
        <w:rPr>
          <w:rFonts w:hint="eastAsia"/>
          <w:i w:val="0"/>
          <w:iCs w:val="0"/>
          <w:color w:val="000000"/>
          <w:u w:val="single"/>
        </w:rPr>
        <w:t>喷雾干燥过程产生的干燥废气</w:t>
      </w:r>
      <w:r>
        <w:rPr>
          <w:rFonts w:hint="eastAsia"/>
          <w:i w:val="0"/>
          <w:iCs w:val="0"/>
          <w:u w:val="single"/>
        </w:rPr>
        <w:t>，食堂产生的食堂油烟，化验室、研发室实验过程产生的实验废气</w:t>
      </w:r>
      <w:r>
        <w:rPr>
          <w:rFonts w:hint="eastAsia"/>
          <w:i w:val="0"/>
          <w:iCs w:val="0"/>
          <w:u w:val="single"/>
          <w:lang w:eastAsia="zh-CN"/>
        </w:rPr>
        <w:t>，沼气燃烧</w:t>
      </w:r>
      <w:r>
        <w:rPr>
          <w:rFonts w:hint="eastAsia"/>
          <w:i w:val="0"/>
          <w:iCs w:val="0"/>
          <w:u w:val="single"/>
          <w:lang w:val="en-US" w:eastAsia="zh-CN"/>
        </w:rPr>
        <w:t>产生的</w:t>
      </w:r>
      <w:r>
        <w:rPr>
          <w:rFonts w:hint="eastAsia"/>
          <w:i w:val="0"/>
          <w:iCs w:val="0"/>
          <w:u w:val="single"/>
          <w:lang w:eastAsia="zh-CN"/>
        </w:rPr>
        <w:t>废气</w:t>
      </w:r>
      <w:r>
        <w:rPr>
          <w:rFonts w:hint="eastAsia"/>
          <w:i w:val="0"/>
          <w:iCs w:val="0"/>
          <w:u w:val="single"/>
        </w:rPr>
        <w:t>。</w:t>
      </w:r>
    </w:p>
    <w:p>
      <w:pPr>
        <w:spacing w:line="360" w:lineRule="auto"/>
        <w:ind w:firstLine="480" w:firstLineChars="200"/>
        <w:rPr>
          <w:rFonts w:hint="eastAsia"/>
          <w:i w:val="0"/>
          <w:iCs w:val="0"/>
          <w:u w:val="single"/>
        </w:rPr>
      </w:pPr>
      <w:r>
        <w:rPr>
          <w:rFonts w:hint="eastAsia"/>
          <w:i w:val="0"/>
          <w:iCs w:val="0"/>
          <w:u w:val="single"/>
        </w:rPr>
        <w:t>1</w:t>
      </w:r>
      <w:r>
        <w:rPr>
          <w:i w:val="0"/>
          <w:iCs w:val="0"/>
          <w:u w:val="single"/>
        </w:rPr>
        <w:t>、</w:t>
      </w:r>
      <w:r>
        <w:rPr>
          <w:rFonts w:hint="eastAsia"/>
          <w:i w:val="0"/>
          <w:iCs w:val="0"/>
          <w:u w:val="single"/>
        </w:rPr>
        <w:t>污水站恶臭气体</w:t>
      </w:r>
    </w:p>
    <w:p>
      <w:pPr>
        <w:pStyle w:val="48"/>
        <w:wordWrap w:val="0"/>
        <w:spacing w:line="360" w:lineRule="auto"/>
        <w:ind w:left="0" w:firstLine="480" w:firstLineChars="200"/>
        <w:rPr>
          <w:rFonts w:hint="eastAsia"/>
          <w:i w:val="0"/>
          <w:iCs w:val="0"/>
          <w:smallCaps w:val="0"/>
          <w:sz w:val="24"/>
          <w:szCs w:val="24"/>
          <w:u w:val="single"/>
        </w:rPr>
      </w:pPr>
      <w:r>
        <w:rPr>
          <w:rFonts w:hint="eastAsia"/>
          <w:i w:val="0"/>
          <w:iCs w:val="0"/>
          <w:sz w:val="24"/>
          <w:szCs w:val="24"/>
          <w:u w:val="single"/>
        </w:rPr>
        <w:t>污水</w:t>
      </w:r>
      <w:r>
        <w:rPr>
          <w:rFonts w:hint="eastAsia"/>
          <w:i w:val="0"/>
          <w:iCs w:val="0"/>
          <w:smallCaps w:val="0"/>
          <w:sz w:val="24"/>
          <w:szCs w:val="24"/>
          <w:u w:val="single"/>
        </w:rPr>
        <w:t>处理站运行使用时会产生恶臭气体，主要产生于污水收集、污水曝气处理阶段，主要污染物为NH</w:t>
      </w:r>
      <w:r>
        <w:rPr>
          <w:rFonts w:hint="eastAsia"/>
          <w:i w:val="0"/>
          <w:iCs w:val="0"/>
          <w:smallCaps w:val="0"/>
          <w:sz w:val="24"/>
          <w:szCs w:val="24"/>
          <w:u w:val="single"/>
          <w:vertAlign w:val="subscript"/>
        </w:rPr>
        <w:t>3</w:t>
      </w:r>
      <w:r>
        <w:rPr>
          <w:rFonts w:hint="eastAsia"/>
          <w:i w:val="0"/>
          <w:iCs w:val="0"/>
          <w:smallCaps w:val="0"/>
          <w:sz w:val="24"/>
          <w:szCs w:val="24"/>
          <w:u w:val="single"/>
        </w:rPr>
        <w:t>、H</w:t>
      </w:r>
      <w:r>
        <w:rPr>
          <w:rFonts w:hint="eastAsia"/>
          <w:i w:val="0"/>
          <w:iCs w:val="0"/>
          <w:smallCaps w:val="0"/>
          <w:sz w:val="24"/>
          <w:szCs w:val="24"/>
          <w:u w:val="single"/>
          <w:vertAlign w:val="subscript"/>
        </w:rPr>
        <w:t>2</w:t>
      </w:r>
      <w:r>
        <w:rPr>
          <w:rFonts w:hint="eastAsia"/>
          <w:i w:val="0"/>
          <w:iCs w:val="0"/>
          <w:smallCaps w:val="0"/>
          <w:sz w:val="24"/>
          <w:szCs w:val="24"/>
          <w:u w:val="single"/>
        </w:rPr>
        <w:t>S，根据美国EPA（环境保护署）对污水处理厂恶臭污染物产生情况的研究，每去除1g的BOD</w:t>
      </w:r>
      <w:r>
        <w:rPr>
          <w:rFonts w:hint="eastAsia"/>
          <w:i w:val="0"/>
          <w:iCs w:val="0"/>
          <w:smallCaps w:val="0"/>
          <w:sz w:val="24"/>
          <w:szCs w:val="24"/>
          <w:u w:val="single"/>
          <w:vertAlign w:val="subscript"/>
        </w:rPr>
        <w:t>5</w:t>
      </w:r>
      <w:r>
        <w:rPr>
          <w:rFonts w:hint="eastAsia"/>
          <w:i w:val="0"/>
          <w:iCs w:val="0"/>
          <w:smallCaps w:val="0"/>
          <w:sz w:val="24"/>
          <w:szCs w:val="24"/>
          <w:u w:val="single"/>
        </w:rPr>
        <w:t>可产生0.0031g的NH</w:t>
      </w:r>
      <w:r>
        <w:rPr>
          <w:rFonts w:hint="eastAsia"/>
          <w:i w:val="0"/>
          <w:iCs w:val="0"/>
          <w:smallCaps w:val="0"/>
          <w:sz w:val="24"/>
          <w:szCs w:val="24"/>
          <w:u w:val="single"/>
          <w:vertAlign w:val="subscript"/>
        </w:rPr>
        <w:t>3</w:t>
      </w:r>
      <w:r>
        <w:rPr>
          <w:rFonts w:hint="eastAsia"/>
          <w:i w:val="0"/>
          <w:iCs w:val="0"/>
          <w:smallCaps w:val="0"/>
          <w:sz w:val="24"/>
          <w:szCs w:val="24"/>
          <w:u w:val="single"/>
        </w:rPr>
        <w:t>、0.00012g的H</w:t>
      </w:r>
      <w:r>
        <w:rPr>
          <w:rFonts w:hint="eastAsia"/>
          <w:i w:val="0"/>
          <w:iCs w:val="0"/>
          <w:smallCaps w:val="0"/>
          <w:sz w:val="24"/>
          <w:szCs w:val="24"/>
          <w:u w:val="single"/>
          <w:vertAlign w:val="subscript"/>
        </w:rPr>
        <w:t>2</w:t>
      </w:r>
      <w:r>
        <w:rPr>
          <w:rFonts w:hint="eastAsia"/>
          <w:i w:val="0"/>
          <w:iCs w:val="0"/>
          <w:smallCaps w:val="0"/>
          <w:sz w:val="24"/>
          <w:szCs w:val="24"/>
          <w:u w:val="single"/>
        </w:rPr>
        <w:t>S，本项目处理COD的量为</w:t>
      </w:r>
      <w:r>
        <w:rPr>
          <w:rFonts w:hint="eastAsia"/>
          <w:i w:val="0"/>
          <w:iCs w:val="0"/>
          <w:smallCaps w:val="0"/>
          <w:sz w:val="24"/>
          <w:szCs w:val="24"/>
          <w:u w:val="single"/>
          <w:lang w:val="en-US" w:eastAsia="zh-CN"/>
        </w:rPr>
        <w:t>122.23</w:t>
      </w:r>
      <w:r>
        <w:rPr>
          <w:rFonts w:hint="eastAsia"/>
          <w:i w:val="0"/>
          <w:iCs w:val="0"/>
          <w:smallCaps w:val="0"/>
          <w:sz w:val="24"/>
          <w:szCs w:val="24"/>
          <w:u w:val="single"/>
        </w:rPr>
        <w:t>t/a，经核算污水站恶臭气体产生量为NH</w:t>
      </w:r>
      <w:r>
        <w:rPr>
          <w:rFonts w:hint="eastAsia"/>
          <w:i w:val="0"/>
          <w:iCs w:val="0"/>
          <w:smallCaps w:val="0"/>
          <w:sz w:val="24"/>
          <w:szCs w:val="24"/>
          <w:u w:val="single"/>
          <w:vertAlign w:val="subscript"/>
        </w:rPr>
        <w:t>3</w:t>
      </w:r>
      <w:r>
        <w:rPr>
          <w:rFonts w:hint="eastAsia"/>
          <w:i w:val="0"/>
          <w:iCs w:val="0"/>
          <w:smallCaps w:val="0"/>
          <w:sz w:val="24"/>
          <w:szCs w:val="24"/>
          <w:u w:val="single"/>
        </w:rPr>
        <w:t>：</w:t>
      </w:r>
      <w:r>
        <w:rPr>
          <w:rFonts w:hint="eastAsia"/>
          <w:i w:val="0"/>
          <w:iCs w:val="0"/>
          <w:smallCaps w:val="0"/>
          <w:sz w:val="24"/>
          <w:szCs w:val="24"/>
          <w:u w:val="single"/>
          <w:lang w:val="en-US" w:eastAsia="zh-CN"/>
        </w:rPr>
        <w:t>0.379</w:t>
      </w:r>
      <w:r>
        <w:rPr>
          <w:rFonts w:hint="eastAsia"/>
          <w:i w:val="0"/>
          <w:iCs w:val="0"/>
          <w:smallCaps w:val="0"/>
          <w:sz w:val="24"/>
          <w:szCs w:val="24"/>
          <w:u w:val="single"/>
        </w:rPr>
        <w:t>t/a（0.0</w:t>
      </w:r>
      <w:r>
        <w:rPr>
          <w:rFonts w:hint="eastAsia"/>
          <w:i w:val="0"/>
          <w:iCs w:val="0"/>
          <w:smallCaps w:val="0"/>
          <w:sz w:val="24"/>
          <w:szCs w:val="24"/>
          <w:u w:val="single"/>
          <w:lang w:val="en-US" w:eastAsia="zh-CN"/>
        </w:rPr>
        <w:t>48</w:t>
      </w:r>
      <w:r>
        <w:rPr>
          <w:rFonts w:hint="eastAsia"/>
          <w:i w:val="0"/>
          <w:iCs w:val="0"/>
          <w:smallCaps w:val="0"/>
          <w:sz w:val="24"/>
          <w:szCs w:val="24"/>
          <w:u w:val="single"/>
        </w:rPr>
        <w:t>kg/h）、H</w:t>
      </w:r>
      <w:r>
        <w:rPr>
          <w:rFonts w:hint="eastAsia"/>
          <w:i w:val="0"/>
          <w:iCs w:val="0"/>
          <w:smallCaps w:val="0"/>
          <w:sz w:val="24"/>
          <w:szCs w:val="24"/>
          <w:u w:val="single"/>
          <w:vertAlign w:val="subscript"/>
        </w:rPr>
        <w:t>2</w:t>
      </w:r>
      <w:r>
        <w:rPr>
          <w:rFonts w:hint="eastAsia"/>
          <w:i w:val="0"/>
          <w:iCs w:val="0"/>
          <w:smallCaps w:val="0"/>
          <w:sz w:val="24"/>
          <w:szCs w:val="24"/>
          <w:u w:val="single"/>
        </w:rPr>
        <w:t>S：0.0</w:t>
      </w:r>
      <w:r>
        <w:rPr>
          <w:rFonts w:hint="eastAsia"/>
          <w:i w:val="0"/>
          <w:iCs w:val="0"/>
          <w:smallCaps w:val="0"/>
          <w:sz w:val="24"/>
          <w:szCs w:val="24"/>
          <w:u w:val="single"/>
          <w:lang w:val="en-US" w:eastAsia="zh-CN"/>
        </w:rPr>
        <w:t>15</w:t>
      </w:r>
      <w:r>
        <w:rPr>
          <w:rFonts w:hint="eastAsia"/>
          <w:i w:val="0"/>
          <w:iCs w:val="0"/>
          <w:smallCaps w:val="0"/>
          <w:sz w:val="24"/>
          <w:szCs w:val="24"/>
          <w:u w:val="single"/>
        </w:rPr>
        <w:t>t/a（0.00</w:t>
      </w:r>
      <w:r>
        <w:rPr>
          <w:rFonts w:hint="eastAsia"/>
          <w:i w:val="0"/>
          <w:iCs w:val="0"/>
          <w:smallCaps w:val="0"/>
          <w:sz w:val="24"/>
          <w:szCs w:val="24"/>
          <w:u w:val="single"/>
          <w:lang w:val="en-US" w:eastAsia="zh-CN"/>
        </w:rPr>
        <w:t>19</w:t>
      </w:r>
      <w:r>
        <w:rPr>
          <w:rFonts w:hint="eastAsia"/>
          <w:i w:val="0"/>
          <w:iCs w:val="0"/>
          <w:smallCaps w:val="0"/>
          <w:sz w:val="24"/>
          <w:szCs w:val="24"/>
          <w:u w:val="single"/>
        </w:rPr>
        <w:t>kg/h），采用化学洗涤+生物滤池+活性炭吸附”进行处理（收集效率为90%，去除效率为90%，），风机风量为2000m</w:t>
      </w:r>
      <w:r>
        <w:rPr>
          <w:rFonts w:hint="eastAsia"/>
          <w:i w:val="0"/>
          <w:iCs w:val="0"/>
          <w:smallCaps w:val="0"/>
          <w:sz w:val="24"/>
          <w:szCs w:val="24"/>
          <w:u w:val="single"/>
          <w:vertAlign w:val="superscript"/>
        </w:rPr>
        <w:t>3</w:t>
      </w:r>
      <w:r>
        <w:rPr>
          <w:rFonts w:hint="eastAsia"/>
          <w:i w:val="0"/>
          <w:iCs w:val="0"/>
          <w:smallCaps w:val="0"/>
          <w:sz w:val="24"/>
          <w:szCs w:val="24"/>
          <w:u w:val="single"/>
        </w:rPr>
        <w:t>/h，处理后的恶臭气体中各污染物排放量分别为NH</w:t>
      </w:r>
      <w:r>
        <w:rPr>
          <w:rFonts w:hint="eastAsia"/>
          <w:i w:val="0"/>
          <w:iCs w:val="0"/>
          <w:smallCaps w:val="0"/>
          <w:sz w:val="24"/>
          <w:szCs w:val="24"/>
          <w:u w:val="single"/>
          <w:vertAlign w:val="subscript"/>
        </w:rPr>
        <w:t>3</w:t>
      </w:r>
      <w:r>
        <w:rPr>
          <w:rFonts w:hint="eastAsia"/>
          <w:i w:val="0"/>
          <w:iCs w:val="0"/>
          <w:smallCaps w:val="0"/>
          <w:sz w:val="24"/>
          <w:szCs w:val="24"/>
          <w:u w:val="single"/>
        </w:rPr>
        <w:t>：0.0</w:t>
      </w:r>
      <w:r>
        <w:rPr>
          <w:rFonts w:hint="eastAsia"/>
          <w:i w:val="0"/>
          <w:iCs w:val="0"/>
          <w:smallCaps w:val="0"/>
          <w:sz w:val="24"/>
          <w:szCs w:val="24"/>
          <w:u w:val="single"/>
          <w:lang w:val="en-US" w:eastAsia="zh-CN"/>
        </w:rPr>
        <w:t>34</w:t>
      </w:r>
      <w:r>
        <w:rPr>
          <w:rFonts w:hint="eastAsia"/>
          <w:i w:val="0"/>
          <w:iCs w:val="0"/>
          <w:smallCaps w:val="0"/>
          <w:sz w:val="24"/>
          <w:szCs w:val="24"/>
          <w:u w:val="single"/>
        </w:rPr>
        <w:t>t/a（0.00</w:t>
      </w:r>
      <w:r>
        <w:rPr>
          <w:rFonts w:hint="eastAsia"/>
          <w:i w:val="0"/>
          <w:iCs w:val="0"/>
          <w:smallCaps w:val="0"/>
          <w:sz w:val="24"/>
          <w:szCs w:val="24"/>
          <w:u w:val="single"/>
          <w:lang w:val="en-US" w:eastAsia="zh-CN"/>
        </w:rPr>
        <w:t>4</w:t>
      </w:r>
      <w:r>
        <w:rPr>
          <w:rFonts w:hint="eastAsia"/>
          <w:i w:val="0"/>
          <w:iCs w:val="0"/>
          <w:smallCaps w:val="0"/>
          <w:sz w:val="24"/>
          <w:szCs w:val="24"/>
          <w:u w:val="single"/>
        </w:rPr>
        <w:t>kg/h）、H</w:t>
      </w:r>
      <w:r>
        <w:rPr>
          <w:rFonts w:hint="eastAsia"/>
          <w:i w:val="0"/>
          <w:iCs w:val="0"/>
          <w:smallCaps w:val="0"/>
          <w:sz w:val="24"/>
          <w:szCs w:val="24"/>
          <w:u w:val="single"/>
          <w:vertAlign w:val="subscript"/>
        </w:rPr>
        <w:t>2</w:t>
      </w:r>
      <w:r>
        <w:rPr>
          <w:rFonts w:hint="eastAsia"/>
          <w:i w:val="0"/>
          <w:iCs w:val="0"/>
          <w:smallCaps w:val="0"/>
          <w:sz w:val="24"/>
          <w:szCs w:val="24"/>
          <w:u w:val="single"/>
        </w:rPr>
        <w:t>S：0.00</w:t>
      </w:r>
      <w:r>
        <w:rPr>
          <w:rFonts w:hint="eastAsia"/>
          <w:i w:val="0"/>
          <w:iCs w:val="0"/>
          <w:smallCaps w:val="0"/>
          <w:sz w:val="24"/>
          <w:szCs w:val="24"/>
          <w:u w:val="single"/>
          <w:lang w:val="en-US" w:eastAsia="zh-CN"/>
        </w:rPr>
        <w:t>14</w:t>
      </w:r>
      <w:r>
        <w:rPr>
          <w:rFonts w:hint="eastAsia"/>
          <w:i w:val="0"/>
          <w:iCs w:val="0"/>
          <w:smallCaps w:val="0"/>
          <w:sz w:val="24"/>
          <w:szCs w:val="24"/>
          <w:u w:val="single"/>
        </w:rPr>
        <w:t>t/a（0.000</w:t>
      </w:r>
      <w:r>
        <w:rPr>
          <w:rFonts w:hint="eastAsia"/>
          <w:i w:val="0"/>
          <w:iCs w:val="0"/>
          <w:smallCaps w:val="0"/>
          <w:sz w:val="24"/>
          <w:szCs w:val="24"/>
          <w:u w:val="single"/>
          <w:lang w:val="en-US" w:eastAsia="zh-CN"/>
        </w:rPr>
        <w:t>18</w:t>
      </w:r>
      <w:r>
        <w:rPr>
          <w:rFonts w:hint="eastAsia"/>
          <w:i w:val="0"/>
          <w:iCs w:val="0"/>
          <w:smallCaps w:val="0"/>
          <w:sz w:val="24"/>
          <w:szCs w:val="24"/>
          <w:u w:val="single"/>
        </w:rPr>
        <w:t>kg/h），能够满足《恶臭污染物排放标准》GB14554-93中表2标准要求（NH</w:t>
      </w:r>
      <w:r>
        <w:rPr>
          <w:rFonts w:hint="eastAsia"/>
          <w:i w:val="0"/>
          <w:iCs w:val="0"/>
          <w:smallCaps w:val="0"/>
          <w:sz w:val="24"/>
          <w:szCs w:val="24"/>
          <w:u w:val="single"/>
          <w:vertAlign w:val="subscript"/>
        </w:rPr>
        <w:t>3</w:t>
      </w:r>
      <w:r>
        <w:rPr>
          <w:rFonts w:hint="eastAsia"/>
          <w:i w:val="0"/>
          <w:iCs w:val="0"/>
          <w:smallCaps w:val="0"/>
          <w:sz w:val="24"/>
          <w:szCs w:val="24"/>
          <w:u w:val="single"/>
        </w:rPr>
        <w:t>：4.9kg/h、H</w:t>
      </w:r>
      <w:r>
        <w:rPr>
          <w:rFonts w:hint="eastAsia"/>
          <w:i w:val="0"/>
          <w:iCs w:val="0"/>
          <w:smallCaps w:val="0"/>
          <w:sz w:val="24"/>
          <w:szCs w:val="24"/>
          <w:u w:val="single"/>
          <w:vertAlign w:val="subscript"/>
        </w:rPr>
        <w:t>2</w:t>
      </w:r>
      <w:r>
        <w:rPr>
          <w:rFonts w:hint="eastAsia"/>
          <w:i w:val="0"/>
          <w:iCs w:val="0"/>
          <w:smallCaps w:val="0"/>
          <w:sz w:val="24"/>
          <w:szCs w:val="24"/>
          <w:u w:val="single"/>
        </w:rPr>
        <w:t>S：0.33kg/h），处理后臭气通过15m高的排气筒（DA001）外排。</w:t>
      </w:r>
    </w:p>
    <w:p>
      <w:pPr>
        <w:pStyle w:val="48"/>
        <w:spacing w:line="360" w:lineRule="auto"/>
        <w:ind w:left="0" w:firstLine="480" w:firstLineChars="200"/>
        <w:rPr>
          <w:rFonts w:hint="eastAsia"/>
          <w:i w:val="0"/>
          <w:iCs w:val="0"/>
          <w:smallCaps w:val="0"/>
          <w:sz w:val="24"/>
          <w:szCs w:val="24"/>
          <w:u w:val="single"/>
        </w:rPr>
      </w:pPr>
      <w:r>
        <w:rPr>
          <w:rFonts w:hint="eastAsia"/>
          <w:i w:val="0"/>
          <w:iCs w:val="0"/>
          <w:smallCaps w:val="0"/>
          <w:sz w:val="24"/>
          <w:szCs w:val="24"/>
          <w:u w:val="single"/>
        </w:rPr>
        <w:t>污水处理站恶臭气体采用化学洗涤+生物滤池+活性炭吸附”进行处理，同时采取投加除臭剂，加强绿化等措施，可有效减少恶臭气体的产生，但仍有一部分恶臭气体以无组织形式排放，无组织排放量为NH</w:t>
      </w:r>
      <w:r>
        <w:rPr>
          <w:rFonts w:hint="eastAsia"/>
          <w:i w:val="0"/>
          <w:iCs w:val="0"/>
          <w:smallCaps w:val="0"/>
          <w:sz w:val="24"/>
          <w:szCs w:val="24"/>
          <w:u w:val="single"/>
          <w:vertAlign w:val="subscript"/>
        </w:rPr>
        <w:t>3</w:t>
      </w:r>
      <w:r>
        <w:rPr>
          <w:rFonts w:hint="eastAsia"/>
          <w:i w:val="0"/>
          <w:iCs w:val="0"/>
          <w:smallCaps w:val="0"/>
          <w:sz w:val="24"/>
          <w:szCs w:val="24"/>
          <w:u w:val="single"/>
        </w:rPr>
        <w:t>：0.0</w:t>
      </w:r>
      <w:r>
        <w:rPr>
          <w:rFonts w:hint="eastAsia"/>
          <w:i w:val="0"/>
          <w:iCs w:val="0"/>
          <w:smallCaps w:val="0"/>
          <w:sz w:val="24"/>
          <w:szCs w:val="24"/>
          <w:u w:val="single"/>
          <w:lang w:val="en-US" w:eastAsia="zh-CN"/>
        </w:rPr>
        <w:t>38</w:t>
      </w:r>
      <w:r>
        <w:rPr>
          <w:rFonts w:hint="eastAsia"/>
          <w:i w:val="0"/>
          <w:iCs w:val="0"/>
          <w:smallCaps w:val="0"/>
          <w:sz w:val="24"/>
          <w:szCs w:val="24"/>
          <w:u w:val="single"/>
        </w:rPr>
        <w:t>t/a（0.0</w:t>
      </w:r>
      <w:r>
        <w:rPr>
          <w:rFonts w:hint="eastAsia"/>
          <w:i w:val="0"/>
          <w:iCs w:val="0"/>
          <w:smallCaps w:val="0"/>
          <w:sz w:val="24"/>
          <w:szCs w:val="24"/>
          <w:u w:val="single"/>
          <w:lang w:val="en-US" w:eastAsia="zh-CN"/>
        </w:rPr>
        <w:t>05</w:t>
      </w:r>
      <w:r>
        <w:rPr>
          <w:rFonts w:hint="eastAsia"/>
          <w:i w:val="0"/>
          <w:iCs w:val="0"/>
          <w:smallCaps w:val="0"/>
          <w:sz w:val="24"/>
          <w:szCs w:val="24"/>
          <w:u w:val="single"/>
        </w:rPr>
        <w:t>kg/h）、H</w:t>
      </w:r>
      <w:r>
        <w:rPr>
          <w:rFonts w:hint="eastAsia"/>
          <w:i w:val="0"/>
          <w:iCs w:val="0"/>
          <w:smallCaps w:val="0"/>
          <w:sz w:val="24"/>
          <w:szCs w:val="24"/>
          <w:u w:val="single"/>
          <w:vertAlign w:val="subscript"/>
        </w:rPr>
        <w:t>2</w:t>
      </w:r>
      <w:r>
        <w:rPr>
          <w:rFonts w:hint="eastAsia"/>
          <w:i w:val="0"/>
          <w:iCs w:val="0"/>
          <w:smallCaps w:val="0"/>
          <w:sz w:val="24"/>
          <w:szCs w:val="24"/>
          <w:u w:val="single"/>
        </w:rPr>
        <w:t>S：0.00</w:t>
      </w:r>
      <w:r>
        <w:rPr>
          <w:rFonts w:hint="eastAsia"/>
          <w:i w:val="0"/>
          <w:iCs w:val="0"/>
          <w:smallCaps w:val="0"/>
          <w:sz w:val="24"/>
          <w:szCs w:val="24"/>
          <w:u w:val="single"/>
          <w:lang w:val="en-US" w:eastAsia="zh-CN"/>
        </w:rPr>
        <w:t>15</w:t>
      </w:r>
      <w:r>
        <w:rPr>
          <w:rFonts w:hint="eastAsia"/>
          <w:i w:val="0"/>
          <w:iCs w:val="0"/>
          <w:smallCaps w:val="0"/>
          <w:sz w:val="24"/>
          <w:szCs w:val="24"/>
          <w:u w:val="single"/>
        </w:rPr>
        <w:t>t/a（0.000</w:t>
      </w:r>
      <w:r>
        <w:rPr>
          <w:rFonts w:hint="eastAsia"/>
          <w:i w:val="0"/>
          <w:iCs w:val="0"/>
          <w:smallCaps w:val="0"/>
          <w:sz w:val="24"/>
          <w:szCs w:val="24"/>
          <w:u w:val="single"/>
          <w:lang w:val="en-US" w:eastAsia="zh-CN"/>
        </w:rPr>
        <w:t>19</w:t>
      </w:r>
      <w:r>
        <w:rPr>
          <w:rFonts w:hint="eastAsia"/>
          <w:i w:val="0"/>
          <w:iCs w:val="0"/>
          <w:smallCaps w:val="0"/>
          <w:sz w:val="24"/>
          <w:szCs w:val="24"/>
          <w:u w:val="single"/>
        </w:rPr>
        <w:t>kg/h），能够满足《恶臭污染物排放标准》GB14554-93中厂界二级标准要求。</w:t>
      </w:r>
    </w:p>
    <w:p>
      <w:pPr>
        <w:spacing w:line="360" w:lineRule="auto"/>
        <w:ind w:firstLine="480" w:firstLineChars="200"/>
        <w:rPr>
          <w:rFonts w:hint="eastAsia" w:hAnsi="宋体"/>
          <w:i w:val="0"/>
          <w:iCs w:val="0"/>
          <w:color w:val="000000"/>
          <w:u w:val="single"/>
        </w:rPr>
      </w:pPr>
      <w:r>
        <w:rPr>
          <w:rFonts w:hint="eastAsia"/>
          <w:i w:val="0"/>
          <w:iCs w:val="0"/>
          <w:u w:val="single"/>
        </w:rPr>
        <w:t>2、</w:t>
      </w:r>
      <w:r>
        <w:rPr>
          <w:rFonts w:hint="eastAsia" w:hAnsi="宋体"/>
          <w:i w:val="0"/>
          <w:iCs w:val="0"/>
          <w:color w:val="000000"/>
          <w:u w:val="single"/>
        </w:rPr>
        <w:t>发酵废气</w:t>
      </w:r>
    </w:p>
    <w:p>
      <w:pPr>
        <w:spacing w:line="360" w:lineRule="auto"/>
        <w:ind w:firstLine="480" w:firstLineChars="200"/>
        <w:rPr>
          <w:rFonts w:hint="eastAsia" w:hAnsi="宋体"/>
          <w:i w:val="0"/>
          <w:iCs w:val="0"/>
          <w:color w:val="000000"/>
          <w:u w:val="single"/>
        </w:rPr>
      </w:pPr>
      <w:r>
        <w:rPr>
          <w:rFonts w:hint="eastAsia" w:hAnsi="宋体"/>
          <w:i w:val="0"/>
          <w:iCs w:val="0"/>
          <w:color w:val="000000"/>
          <w:u w:val="single"/>
        </w:rPr>
        <w:t>种子液发酵过程中，由于培养基蛋白胨等营养物质的分解，会释放一定量的异味废气，发酵废气包括 CO</w:t>
      </w:r>
      <w:r>
        <w:rPr>
          <w:rFonts w:hint="eastAsia" w:hAnsi="宋体"/>
          <w:i w:val="0"/>
          <w:iCs w:val="0"/>
          <w:color w:val="000000"/>
          <w:u w:val="single"/>
          <w:vertAlign w:val="subscript"/>
        </w:rPr>
        <w:t>2</w:t>
      </w:r>
      <w:r>
        <w:rPr>
          <w:rFonts w:hint="eastAsia" w:hAnsi="宋体"/>
          <w:i w:val="0"/>
          <w:iCs w:val="0"/>
          <w:color w:val="000000"/>
          <w:u w:val="single"/>
        </w:rPr>
        <w:t>、水蒸汽、氨、非甲烷总烃。</w:t>
      </w:r>
    </w:p>
    <w:p>
      <w:pPr>
        <w:spacing w:line="360" w:lineRule="auto"/>
        <w:ind w:firstLine="480" w:firstLineChars="200"/>
        <w:jc w:val="left"/>
        <w:rPr>
          <w:rFonts w:hint="eastAsia"/>
          <w:i w:val="0"/>
          <w:iCs w:val="0"/>
          <w:color w:val="000000"/>
          <w:u w:val="single"/>
        </w:rPr>
      </w:pPr>
      <w:r>
        <w:rPr>
          <w:rFonts w:hint="eastAsia"/>
          <w:i w:val="0"/>
          <w:iCs w:val="0"/>
          <w:color w:val="000000"/>
          <w:u w:val="single"/>
        </w:rPr>
        <w:t>（1）非甲烷总烃</w:t>
      </w:r>
    </w:p>
    <w:p>
      <w:pPr>
        <w:spacing w:line="360" w:lineRule="auto"/>
        <w:ind w:firstLine="480" w:firstLineChars="200"/>
        <w:rPr>
          <w:rFonts w:hint="eastAsia"/>
          <w:bCs/>
          <w:i w:val="0"/>
          <w:iCs w:val="0"/>
          <w:color w:val="000000"/>
          <w:u w:val="single"/>
        </w:rPr>
      </w:pPr>
      <w:r>
        <w:rPr>
          <w:bCs/>
          <w:i w:val="0"/>
          <w:iCs w:val="0"/>
          <w:color w:val="000000"/>
          <w:u w:val="single"/>
        </w:rPr>
        <w:t>根据</w:t>
      </w:r>
      <w:r>
        <w:rPr>
          <w:rFonts w:hint="eastAsia"/>
          <w:bCs/>
          <w:i w:val="0"/>
          <w:iCs w:val="0"/>
          <w:color w:val="000000"/>
          <w:u w:val="single"/>
        </w:rPr>
        <w:t>物料</w:t>
      </w:r>
      <w:r>
        <w:rPr>
          <w:bCs/>
          <w:i w:val="0"/>
          <w:iCs w:val="0"/>
          <w:color w:val="000000"/>
          <w:u w:val="single"/>
        </w:rPr>
        <w:t>平衡计算得出，</w:t>
      </w:r>
      <w:r>
        <w:rPr>
          <w:rFonts w:hint="eastAsia"/>
          <w:bCs/>
          <w:i w:val="0"/>
          <w:iCs w:val="0"/>
          <w:color w:val="000000"/>
          <w:u w:val="single"/>
        </w:rPr>
        <w:t>非甲烷总烃年产生量为</w:t>
      </w:r>
      <w:r>
        <w:rPr>
          <w:rFonts w:hint="eastAsia"/>
          <w:bCs/>
          <w:i w:val="0"/>
          <w:iCs w:val="0"/>
          <w:color w:val="000000"/>
          <w:u w:val="single"/>
          <w:lang w:val="en-US" w:eastAsia="zh-CN"/>
        </w:rPr>
        <w:t>0.59375</w:t>
      </w:r>
      <w:r>
        <w:rPr>
          <w:rFonts w:hint="eastAsia"/>
          <w:bCs/>
          <w:i w:val="0"/>
          <w:iCs w:val="0"/>
          <w:color w:val="000000"/>
          <w:u w:val="single"/>
        </w:rPr>
        <w:t>t/a，年生产时数</w:t>
      </w:r>
      <w:r>
        <w:rPr>
          <w:rFonts w:hint="eastAsia"/>
          <w:bCs/>
          <w:i w:val="0"/>
          <w:iCs w:val="0"/>
          <w:color w:val="000000"/>
          <w:u w:val="single"/>
          <w:lang w:val="en-US" w:eastAsia="zh-CN"/>
        </w:rPr>
        <w:t>7632</w:t>
      </w:r>
      <w:r>
        <w:rPr>
          <w:rFonts w:hint="eastAsia"/>
          <w:bCs/>
          <w:i w:val="0"/>
          <w:iCs w:val="0"/>
          <w:color w:val="000000"/>
          <w:u w:val="single"/>
        </w:rPr>
        <w:t>h，非甲烷总烃产生</w:t>
      </w:r>
      <w:r>
        <w:rPr>
          <w:bCs/>
          <w:i w:val="0"/>
          <w:iCs w:val="0"/>
          <w:color w:val="000000"/>
          <w:u w:val="single"/>
        </w:rPr>
        <w:t>速率为</w:t>
      </w:r>
      <w:r>
        <w:rPr>
          <w:rFonts w:hint="eastAsia"/>
          <w:bCs/>
          <w:i w:val="0"/>
          <w:iCs w:val="0"/>
          <w:color w:val="000000"/>
          <w:u w:val="single"/>
          <w:lang w:val="en-US" w:eastAsia="zh-CN"/>
        </w:rPr>
        <w:t>0.078</w:t>
      </w:r>
      <w:r>
        <w:rPr>
          <w:bCs/>
          <w:i w:val="0"/>
          <w:iCs w:val="0"/>
          <w:color w:val="000000"/>
          <w:u w:val="single"/>
        </w:rPr>
        <w:t>kg/h</w:t>
      </w:r>
      <w:r>
        <w:rPr>
          <w:rFonts w:hint="eastAsia"/>
          <w:bCs/>
          <w:i w:val="0"/>
          <w:iCs w:val="0"/>
          <w:color w:val="000000"/>
          <w:u w:val="single"/>
          <w:lang w:eastAsia="zh-CN"/>
        </w:rPr>
        <w:t>，</w:t>
      </w:r>
      <w:r>
        <w:rPr>
          <w:rFonts w:hint="eastAsia"/>
          <w:bCs/>
          <w:i w:val="0"/>
          <w:iCs w:val="0"/>
          <w:color w:val="000000"/>
          <w:u w:val="single"/>
        </w:rPr>
        <w:t>非甲烷总烃</w:t>
      </w:r>
      <w:r>
        <w:rPr>
          <w:rFonts w:hint="eastAsia"/>
          <w:bCs/>
          <w:i w:val="0"/>
          <w:iCs w:val="0"/>
          <w:color w:val="000000"/>
          <w:u w:val="single"/>
          <w:lang w:val="en-US" w:eastAsia="zh-CN"/>
        </w:rPr>
        <w:t>最大</w:t>
      </w:r>
      <w:r>
        <w:rPr>
          <w:rFonts w:hint="eastAsia"/>
          <w:bCs/>
          <w:i w:val="0"/>
          <w:iCs w:val="0"/>
          <w:color w:val="000000"/>
          <w:u w:val="single"/>
        </w:rPr>
        <w:t>产生</w:t>
      </w:r>
      <w:r>
        <w:rPr>
          <w:bCs/>
          <w:i w:val="0"/>
          <w:iCs w:val="0"/>
          <w:color w:val="000000"/>
          <w:u w:val="single"/>
        </w:rPr>
        <w:t>速率</w:t>
      </w:r>
      <w:r>
        <w:rPr>
          <w:rFonts w:hint="eastAsia"/>
          <w:bCs/>
          <w:i w:val="0"/>
          <w:iCs w:val="0"/>
          <w:color w:val="000000"/>
          <w:u w:val="single"/>
          <w:lang w:eastAsia="zh-CN"/>
        </w:rPr>
        <w:t>（</w:t>
      </w:r>
      <w:r>
        <w:rPr>
          <w:rFonts w:hint="eastAsia"/>
          <w:bCs/>
          <w:i w:val="0"/>
          <w:iCs w:val="0"/>
          <w:color w:val="000000"/>
          <w:u w:val="single"/>
          <w:lang w:val="en-US" w:eastAsia="zh-CN"/>
        </w:rPr>
        <w:t>四个发酵罐同时发酵时</w:t>
      </w:r>
      <w:r>
        <w:rPr>
          <w:rFonts w:hint="eastAsia"/>
          <w:bCs/>
          <w:i w:val="0"/>
          <w:iCs w:val="0"/>
          <w:color w:val="000000"/>
          <w:u w:val="single"/>
          <w:lang w:eastAsia="zh-CN"/>
        </w:rPr>
        <w:t>）</w:t>
      </w:r>
      <w:r>
        <w:rPr>
          <w:bCs/>
          <w:i w:val="0"/>
          <w:iCs w:val="0"/>
          <w:color w:val="000000"/>
          <w:u w:val="single"/>
        </w:rPr>
        <w:t>为</w:t>
      </w:r>
      <w:r>
        <w:rPr>
          <w:rFonts w:hint="eastAsia"/>
          <w:bCs/>
          <w:i w:val="0"/>
          <w:iCs w:val="0"/>
          <w:color w:val="000000"/>
          <w:u w:val="single"/>
          <w:lang w:val="en-US" w:eastAsia="zh-CN"/>
        </w:rPr>
        <w:t>0.099</w:t>
      </w:r>
      <w:r>
        <w:rPr>
          <w:bCs/>
          <w:i w:val="0"/>
          <w:iCs w:val="0"/>
          <w:color w:val="000000"/>
          <w:u w:val="single"/>
        </w:rPr>
        <w:t>kg/h</w:t>
      </w:r>
      <w:r>
        <w:rPr>
          <w:rFonts w:hint="eastAsia"/>
          <w:bCs/>
          <w:i w:val="0"/>
          <w:iCs w:val="0"/>
          <w:color w:val="000000"/>
          <w:u w:val="single"/>
        </w:rPr>
        <w:t>，</w:t>
      </w:r>
      <w:r>
        <w:rPr>
          <w:bCs/>
          <w:i w:val="0"/>
          <w:iCs w:val="0"/>
          <w:color w:val="000000"/>
          <w:u w:val="single"/>
        </w:rPr>
        <w:t>风机</w:t>
      </w:r>
      <w:r>
        <w:rPr>
          <w:rFonts w:hint="eastAsia"/>
          <w:bCs/>
          <w:i w:val="0"/>
          <w:iCs w:val="0"/>
          <w:color w:val="000000"/>
          <w:u w:val="single"/>
        </w:rPr>
        <w:t>风量为60</w:t>
      </w:r>
      <w:r>
        <w:rPr>
          <w:bCs/>
          <w:i w:val="0"/>
          <w:iCs w:val="0"/>
          <w:color w:val="000000"/>
          <w:u w:val="single"/>
        </w:rPr>
        <w:t>00m</w:t>
      </w:r>
      <w:r>
        <w:rPr>
          <w:bCs/>
          <w:i w:val="0"/>
          <w:iCs w:val="0"/>
          <w:color w:val="000000"/>
          <w:u w:val="single"/>
          <w:vertAlign w:val="superscript"/>
        </w:rPr>
        <w:t>3</w:t>
      </w:r>
      <w:r>
        <w:rPr>
          <w:bCs/>
          <w:i w:val="0"/>
          <w:iCs w:val="0"/>
          <w:color w:val="000000"/>
          <w:u w:val="single"/>
        </w:rPr>
        <w:t>/h</w:t>
      </w:r>
      <w:r>
        <w:rPr>
          <w:rFonts w:hint="eastAsia"/>
          <w:bCs/>
          <w:i w:val="0"/>
          <w:iCs w:val="0"/>
          <w:color w:val="000000"/>
          <w:u w:val="single"/>
        </w:rPr>
        <w:t>，产生浓度为</w:t>
      </w:r>
      <w:r>
        <w:rPr>
          <w:rFonts w:hint="eastAsia"/>
          <w:bCs/>
          <w:i w:val="0"/>
          <w:iCs w:val="0"/>
          <w:color w:val="000000"/>
          <w:u w:val="single"/>
          <w:lang w:val="en-US" w:eastAsia="zh-CN"/>
        </w:rPr>
        <w:t>13</w:t>
      </w:r>
      <w:r>
        <w:rPr>
          <w:rFonts w:hint="eastAsia"/>
          <w:bCs/>
          <w:i w:val="0"/>
          <w:iCs w:val="0"/>
          <w:color w:val="000000"/>
          <w:u w:val="single"/>
        </w:rPr>
        <w:t>mg/m</w:t>
      </w:r>
      <w:r>
        <w:rPr>
          <w:rFonts w:hint="eastAsia"/>
          <w:bCs/>
          <w:i w:val="0"/>
          <w:iCs w:val="0"/>
          <w:color w:val="000000"/>
          <w:u w:val="single"/>
          <w:vertAlign w:val="superscript"/>
        </w:rPr>
        <w:t>3</w:t>
      </w:r>
      <w:r>
        <w:rPr>
          <w:rFonts w:hint="eastAsia"/>
          <w:bCs/>
          <w:i w:val="0"/>
          <w:iCs w:val="0"/>
          <w:color w:val="000000"/>
          <w:u w:val="single"/>
        </w:rPr>
        <w:t>，</w:t>
      </w:r>
      <w:r>
        <w:rPr>
          <w:rFonts w:hint="eastAsia"/>
          <w:bCs/>
          <w:i w:val="0"/>
          <w:iCs w:val="0"/>
          <w:color w:val="000000"/>
          <w:u w:val="single"/>
          <w:lang w:val="en-US" w:eastAsia="zh-CN"/>
        </w:rPr>
        <w:t>最大</w:t>
      </w:r>
      <w:r>
        <w:rPr>
          <w:rFonts w:hint="eastAsia"/>
          <w:bCs/>
          <w:i w:val="0"/>
          <w:iCs w:val="0"/>
          <w:color w:val="000000"/>
          <w:u w:val="single"/>
        </w:rPr>
        <w:t>产生浓度为</w:t>
      </w:r>
      <w:r>
        <w:rPr>
          <w:rFonts w:hint="eastAsia"/>
          <w:bCs/>
          <w:i w:val="0"/>
          <w:iCs w:val="0"/>
          <w:color w:val="000000"/>
          <w:u w:val="single"/>
          <w:lang w:val="en-US" w:eastAsia="zh-CN"/>
        </w:rPr>
        <w:t>16.5</w:t>
      </w:r>
      <w:r>
        <w:rPr>
          <w:rFonts w:hint="eastAsia"/>
          <w:bCs/>
          <w:i w:val="0"/>
          <w:iCs w:val="0"/>
          <w:color w:val="000000"/>
          <w:u w:val="single"/>
        </w:rPr>
        <w:t>mg/m</w:t>
      </w:r>
      <w:r>
        <w:rPr>
          <w:rFonts w:hint="eastAsia"/>
          <w:bCs/>
          <w:i w:val="0"/>
          <w:iCs w:val="0"/>
          <w:color w:val="000000"/>
          <w:u w:val="single"/>
          <w:vertAlign w:val="superscript"/>
        </w:rPr>
        <w:t>3</w:t>
      </w:r>
      <w:r>
        <w:rPr>
          <w:rFonts w:hint="eastAsia"/>
          <w:bCs/>
          <w:i w:val="0"/>
          <w:iCs w:val="0"/>
          <w:color w:val="000000"/>
          <w:u w:val="single"/>
          <w:lang w:eastAsia="zh-CN"/>
        </w:rPr>
        <w:t>，</w:t>
      </w:r>
      <w:r>
        <w:rPr>
          <w:rFonts w:hint="eastAsia"/>
          <w:bCs/>
          <w:i w:val="0"/>
          <w:iCs w:val="0"/>
          <w:color w:val="000000"/>
          <w:u w:val="single"/>
        </w:rPr>
        <w:t>由</w:t>
      </w:r>
      <w:r>
        <w:rPr>
          <w:bCs/>
          <w:i w:val="0"/>
          <w:iCs w:val="0"/>
          <w:color w:val="000000"/>
          <w:u w:val="single"/>
        </w:rPr>
        <w:t>车间集气系统收集</w:t>
      </w:r>
      <w:r>
        <w:rPr>
          <w:rFonts w:hint="eastAsia"/>
          <w:bCs/>
          <w:i w:val="0"/>
          <w:iCs w:val="0"/>
          <w:color w:val="000000"/>
          <w:u w:val="single"/>
        </w:rPr>
        <w:t>后（收集效率为90%）</w:t>
      </w:r>
      <w:r>
        <w:rPr>
          <w:bCs/>
          <w:i w:val="0"/>
          <w:iCs w:val="0"/>
          <w:color w:val="000000"/>
          <w:u w:val="single"/>
        </w:rPr>
        <w:t>经</w:t>
      </w:r>
      <w:r>
        <w:rPr>
          <w:rFonts w:hint="eastAsia"/>
          <w:bCs/>
          <w:i w:val="0"/>
          <w:iCs w:val="0"/>
          <w:color w:val="000000"/>
          <w:u w:val="single"/>
        </w:rPr>
        <w:t>过水喷淋（去除</w:t>
      </w:r>
      <w:r>
        <w:rPr>
          <w:bCs/>
          <w:i w:val="0"/>
          <w:iCs w:val="0"/>
          <w:color w:val="000000"/>
          <w:u w:val="single"/>
        </w:rPr>
        <w:t>效率</w:t>
      </w:r>
      <w:r>
        <w:rPr>
          <w:rFonts w:hint="eastAsia"/>
          <w:bCs/>
          <w:i w:val="0"/>
          <w:iCs w:val="0"/>
          <w:color w:val="000000"/>
          <w:u w:val="single"/>
        </w:rPr>
        <w:t>60</w:t>
      </w:r>
      <w:r>
        <w:rPr>
          <w:bCs/>
          <w:i w:val="0"/>
          <w:iCs w:val="0"/>
          <w:color w:val="000000"/>
          <w:u w:val="single"/>
        </w:rPr>
        <w:t>%</w:t>
      </w:r>
      <w:r>
        <w:rPr>
          <w:rFonts w:hint="eastAsia"/>
          <w:bCs/>
          <w:i w:val="0"/>
          <w:iCs w:val="0"/>
          <w:color w:val="000000"/>
          <w:u w:val="single"/>
        </w:rPr>
        <w:t>）处理，排放量为</w:t>
      </w:r>
      <w:r>
        <w:rPr>
          <w:rFonts w:hint="eastAsia"/>
          <w:bCs/>
          <w:i w:val="0"/>
          <w:iCs w:val="0"/>
          <w:color w:val="000000"/>
          <w:u w:val="single"/>
          <w:lang w:val="en-US" w:eastAsia="zh-CN"/>
        </w:rPr>
        <w:t>0.21375</w:t>
      </w:r>
      <w:r>
        <w:rPr>
          <w:rFonts w:hint="eastAsia"/>
          <w:bCs/>
          <w:i w:val="0"/>
          <w:iCs w:val="0"/>
          <w:color w:val="000000"/>
          <w:u w:val="single"/>
        </w:rPr>
        <w:t>t</w:t>
      </w:r>
      <w:r>
        <w:rPr>
          <w:bCs/>
          <w:i w:val="0"/>
          <w:iCs w:val="0"/>
          <w:color w:val="000000"/>
          <w:u w:val="single"/>
        </w:rPr>
        <w:t>/a，</w:t>
      </w:r>
      <w:r>
        <w:rPr>
          <w:rFonts w:hint="eastAsia"/>
          <w:bCs/>
          <w:i w:val="0"/>
          <w:iCs w:val="0"/>
          <w:color w:val="000000"/>
          <w:u w:val="single"/>
        </w:rPr>
        <w:t>排放速率为</w:t>
      </w:r>
      <w:r>
        <w:rPr>
          <w:rFonts w:hint="eastAsia"/>
          <w:bCs/>
          <w:i w:val="0"/>
          <w:iCs w:val="0"/>
          <w:color w:val="000000"/>
          <w:u w:val="single"/>
          <w:lang w:val="en-US" w:eastAsia="zh-CN"/>
        </w:rPr>
        <w:t>0.028</w:t>
      </w:r>
      <w:r>
        <w:rPr>
          <w:rFonts w:hint="eastAsia"/>
          <w:bCs/>
          <w:i w:val="0"/>
          <w:iCs w:val="0"/>
          <w:color w:val="000000"/>
          <w:u w:val="single"/>
        </w:rPr>
        <w:t>k</w:t>
      </w:r>
      <w:r>
        <w:rPr>
          <w:bCs/>
          <w:i w:val="0"/>
          <w:iCs w:val="0"/>
          <w:color w:val="000000"/>
          <w:u w:val="single"/>
        </w:rPr>
        <w:t>g/h</w:t>
      </w:r>
      <w:r>
        <w:rPr>
          <w:rFonts w:hint="eastAsia"/>
          <w:bCs/>
          <w:i w:val="0"/>
          <w:iCs w:val="0"/>
          <w:color w:val="000000"/>
          <w:u w:val="single"/>
          <w:lang w:eastAsia="zh-CN"/>
        </w:rPr>
        <w:t>，</w:t>
      </w:r>
      <w:r>
        <w:rPr>
          <w:rFonts w:hint="eastAsia"/>
          <w:bCs/>
          <w:i w:val="0"/>
          <w:iCs w:val="0"/>
          <w:color w:val="000000"/>
          <w:u w:val="single"/>
        </w:rPr>
        <w:t>排放浓度为</w:t>
      </w:r>
      <w:r>
        <w:rPr>
          <w:rFonts w:hint="eastAsia"/>
          <w:bCs/>
          <w:i w:val="0"/>
          <w:iCs w:val="0"/>
          <w:color w:val="000000"/>
          <w:u w:val="single"/>
          <w:lang w:val="en-US" w:eastAsia="zh-CN"/>
        </w:rPr>
        <w:t>4.67</w:t>
      </w:r>
      <w:r>
        <w:rPr>
          <w:rFonts w:hint="eastAsia"/>
          <w:bCs/>
          <w:i w:val="0"/>
          <w:iCs w:val="0"/>
          <w:color w:val="000000"/>
          <w:u w:val="single"/>
        </w:rPr>
        <w:t>mg/m</w:t>
      </w:r>
      <w:r>
        <w:rPr>
          <w:rFonts w:hint="eastAsia"/>
          <w:bCs/>
          <w:i w:val="0"/>
          <w:iCs w:val="0"/>
          <w:color w:val="000000"/>
          <w:u w:val="single"/>
          <w:vertAlign w:val="superscript"/>
        </w:rPr>
        <w:t>3</w:t>
      </w:r>
      <w:r>
        <w:rPr>
          <w:bCs/>
          <w:i w:val="0"/>
          <w:iCs w:val="0"/>
          <w:color w:val="000000"/>
          <w:u w:val="single"/>
        </w:rPr>
        <w:t>，</w:t>
      </w:r>
      <w:r>
        <w:rPr>
          <w:rFonts w:hint="eastAsia"/>
          <w:bCs/>
          <w:i w:val="0"/>
          <w:iCs w:val="0"/>
          <w:color w:val="000000"/>
          <w:u w:val="single"/>
          <w:lang w:val="en-US" w:eastAsia="zh-CN"/>
        </w:rPr>
        <w:t>最大</w:t>
      </w:r>
      <w:r>
        <w:rPr>
          <w:rFonts w:hint="eastAsia"/>
          <w:bCs/>
          <w:i w:val="0"/>
          <w:iCs w:val="0"/>
          <w:color w:val="000000"/>
          <w:u w:val="single"/>
        </w:rPr>
        <w:t>排放速率为</w:t>
      </w:r>
      <w:r>
        <w:rPr>
          <w:rFonts w:hint="eastAsia"/>
          <w:bCs/>
          <w:i w:val="0"/>
          <w:iCs w:val="0"/>
          <w:color w:val="000000"/>
          <w:u w:val="single"/>
          <w:lang w:val="en-US" w:eastAsia="zh-CN"/>
        </w:rPr>
        <w:t>0.036</w:t>
      </w:r>
      <w:r>
        <w:rPr>
          <w:rFonts w:hint="eastAsia"/>
          <w:bCs/>
          <w:i w:val="0"/>
          <w:iCs w:val="0"/>
          <w:color w:val="000000"/>
          <w:u w:val="single"/>
        </w:rPr>
        <w:t>k</w:t>
      </w:r>
      <w:r>
        <w:rPr>
          <w:bCs/>
          <w:i w:val="0"/>
          <w:iCs w:val="0"/>
          <w:color w:val="000000"/>
          <w:u w:val="single"/>
        </w:rPr>
        <w:t>g/h</w:t>
      </w:r>
      <w:r>
        <w:rPr>
          <w:rFonts w:hint="eastAsia"/>
          <w:bCs/>
          <w:i w:val="0"/>
          <w:iCs w:val="0"/>
          <w:color w:val="000000"/>
          <w:u w:val="single"/>
          <w:lang w:eastAsia="zh-CN"/>
        </w:rPr>
        <w:t>，</w:t>
      </w:r>
      <w:r>
        <w:rPr>
          <w:rFonts w:hint="eastAsia"/>
          <w:bCs/>
          <w:i w:val="0"/>
          <w:iCs w:val="0"/>
          <w:color w:val="000000"/>
          <w:u w:val="single"/>
          <w:lang w:val="en-US" w:eastAsia="zh-CN"/>
        </w:rPr>
        <w:t>最大</w:t>
      </w:r>
      <w:r>
        <w:rPr>
          <w:rFonts w:hint="eastAsia"/>
          <w:bCs/>
          <w:i w:val="0"/>
          <w:iCs w:val="0"/>
          <w:color w:val="000000"/>
          <w:u w:val="single"/>
        </w:rPr>
        <w:t>排放浓度为</w:t>
      </w:r>
      <w:r>
        <w:rPr>
          <w:rFonts w:hint="eastAsia"/>
          <w:bCs/>
          <w:i w:val="0"/>
          <w:iCs w:val="0"/>
          <w:color w:val="000000"/>
          <w:u w:val="single"/>
          <w:lang w:val="en-US" w:eastAsia="zh-CN"/>
        </w:rPr>
        <w:t>6</w:t>
      </w:r>
      <w:r>
        <w:rPr>
          <w:rFonts w:hint="eastAsia"/>
          <w:bCs/>
          <w:i w:val="0"/>
          <w:iCs w:val="0"/>
          <w:color w:val="000000"/>
          <w:u w:val="single"/>
        </w:rPr>
        <w:t>mg/m</w:t>
      </w:r>
      <w:r>
        <w:rPr>
          <w:rFonts w:hint="eastAsia"/>
          <w:bCs/>
          <w:i w:val="0"/>
          <w:iCs w:val="0"/>
          <w:color w:val="000000"/>
          <w:u w:val="single"/>
          <w:vertAlign w:val="superscript"/>
        </w:rPr>
        <w:t>3</w:t>
      </w:r>
      <w:r>
        <w:rPr>
          <w:bCs/>
          <w:i w:val="0"/>
          <w:iCs w:val="0"/>
          <w:color w:val="000000"/>
          <w:u w:val="single"/>
        </w:rPr>
        <w:t>，</w:t>
      </w:r>
      <w:r>
        <w:rPr>
          <w:rFonts w:hint="eastAsia"/>
          <w:bCs/>
          <w:i w:val="0"/>
          <w:iCs w:val="0"/>
          <w:color w:val="000000"/>
          <w:u w:val="single"/>
        </w:rPr>
        <w:t>经</w:t>
      </w:r>
      <w:r>
        <w:rPr>
          <w:rFonts w:hint="eastAsia"/>
          <w:bCs/>
          <w:i w:val="0"/>
          <w:iCs w:val="0"/>
          <w:color w:val="000000"/>
          <w:u w:val="single"/>
          <w:lang w:eastAsia="zh-CN"/>
        </w:rPr>
        <w:t>24</w:t>
      </w:r>
      <w:r>
        <w:rPr>
          <w:bCs/>
          <w:i w:val="0"/>
          <w:iCs w:val="0"/>
          <w:color w:val="000000"/>
          <w:u w:val="single"/>
        </w:rPr>
        <w:t>m排气筒</w:t>
      </w:r>
      <w:r>
        <w:rPr>
          <w:rFonts w:hint="eastAsia"/>
          <w:bCs/>
          <w:i w:val="0"/>
          <w:iCs w:val="0"/>
          <w:color w:val="000000"/>
          <w:u w:val="single"/>
        </w:rPr>
        <w:t>（DA002）</w:t>
      </w:r>
      <w:r>
        <w:rPr>
          <w:bCs/>
          <w:i w:val="0"/>
          <w:iCs w:val="0"/>
          <w:color w:val="000000"/>
          <w:u w:val="single"/>
        </w:rPr>
        <w:t>集中</w:t>
      </w:r>
      <w:r>
        <w:rPr>
          <w:i w:val="0"/>
          <w:iCs w:val="0"/>
          <w:color w:val="000000"/>
          <w:u w:val="single"/>
        </w:rPr>
        <w:t>排放</w:t>
      </w:r>
      <w:r>
        <w:rPr>
          <w:rFonts w:hint="eastAsia"/>
          <w:i w:val="0"/>
          <w:iCs w:val="0"/>
          <w:color w:val="000000"/>
          <w:u w:val="single"/>
        </w:rPr>
        <w:t>。</w:t>
      </w:r>
    </w:p>
    <w:p>
      <w:pPr>
        <w:snapToGrid w:val="0"/>
        <w:spacing w:line="360" w:lineRule="auto"/>
        <w:ind w:firstLine="480" w:firstLineChars="200"/>
        <w:rPr>
          <w:rFonts w:hint="eastAsia"/>
          <w:i w:val="0"/>
          <w:iCs w:val="0"/>
          <w:u w:val="single"/>
        </w:rPr>
      </w:pPr>
      <w:r>
        <w:rPr>
          <w:rFonts w:hint="eastAsia"/>
          <w:i w:val="0"/>
          <w:iCs w:val="0"/>
          <w:u w:val="single"/>
        </w:rPr>
        <w:t>未收集废气以无组织排放，</w:t>
      </w:r>
      <w:r>
        <w:rPr>
          <w:rFonts w:hint="eastAsia"/>
          <w:i w:val="0"/>
          <w:iCs w:val="0"/>
          <w:color w:val="000000"/>
          <w:u w:val="single"/>
        </w:rPr>
        <w:t>非甲烷总烃</w:t>
      </w:r>
      <w:r>
        <w:rPr>
          <w:rFonts w:hint="eastAsia"/>
          <w:i w:val="0"/>
          <w:iCs w:val="0"/>
          <w:u w:val="single"/>
        </w:rPr>
        <w:t>无组织排放量为0.</w:t>
      </w:r>
      <w:r>
        <w:rPr>
          <w:rFonts w:hint="eastAsia"/>
          <w:i w:val="0"/>
          <w:iCs w:val="0"/>
          <w:u w:val="single"/>
          <w:lang w:val="en-US" w:eastAsia="zh-CN"/>
        </w:rPr>
        <w:t>059</w:t>
      </w:r>
      <w:r>
        <w:rPr>
          <w:rFonts w:hint="eastAsia"/>
          <w:i w:val="0"/>
          <w:iCs w:val="0"/>
          <w:u w:val="single"/>
        </w:rPr>
        <w:t>t/a（</w:t>
      </w:r>
      <w:r>
        <w:rPr>
          <w:rFonts w:hint="eastAsia"/>
          <w:i w:val="0"/>
          <w:iCs w:val="0"/>
          <w:u w:val="single"/>
          <w:lang w:val="en-US" w:eastAsia="zh-CN"/>
        </w:rPr>
        <w:t>0.008</w:t>
      </w:r>
      <w:r>
        <w:rPr>
          <w:rFonts w:hint="eastAsia"/>
          <w:i w:val="0"/>
          <w:iCs w:val="0"/>
          <w:u w:val="single"/>
        </w:rPr>
        <w:t>kg/h）。</w:t>
      </w:r>
    </w:p>
    <w:p>
      <w:pPr>
        <w:spacing w:line="360" w:lineRule="auto"/>
        <w:ind w:firstLine="480" w:firstLineChars="200"/>
        <w:jc w:val="left"/>
        <w:rPr>
          <w:rFonts w:hint="eastAsia"/>
          <w:i w:val="0"/>
          <w:iCs w:val="0"/>
          <w:color w:val="000000"/>
          <w:u w:val="single"/>
        </w:rPr>
      </w:pPr>
      <w:r>
        <w:rPr>
          <w:rFonts w:hint="eastAsia"/>
          <w:i w:val="0"/>
          <w:iCs w:val="0"/>
          <w:color w:val="000000"/>
          <w:u w:val="single"/>
        </w:rPr>
        <w:t>（2）氨气</w:t>
      </w:r>
    </w:p>
    <w:p>
      <w:pPr>
        <w:spacing w:line="360" w:lineRule="auto"/>
        <w:ind w:firstLine="480" w:firstLineChars="200"/>
        <w:rPr>
          <w:rFonts w:hint="eastAsia"/>
          <w:bCs/>
          <w:i w:val="0"/>
          <w:iCs w:val="0"/>
          <w:color w:val="000000"/>
          <w:u w:val="single"/>
        </w:rPr>
      </w:pPr>
      <w:r>
        <w:rPr>
          <w:bCs/>
          <w:i w:val="0"/>
          <w:iCs w:val="0"/>
          <w:color w:val="000000"/>
          <w:u w:val="single"/>
        </w:rPr>
        <w:t>根据</w:t>
      </w:r>
      <w:r>
        <w:rPr>
          <w:rFonts w:hint="eastAsia"/>
          <w:bCs/>
          <w:i w:val="0"/>
          <w:iCs w:val="0"/>
          <w:color w:val="000000"/>
          <w:u w:val="single"/>
        </w:rPr>
        <w:t>物料</w:t>
      </w:r>
      <w:r>
        <w:rPr>
          <w:bCs/>
          <w:i w:val="0"/>
          <w:iCs w:val="0"/>
          <w:color w:val="000000"/>
          <w:u w:val="single"/>
        </w:rPr>
        <w:t>平衡计算得出，</w:t>
      </w:r>
      <w:r>
        <w:rPr>
          <w:rFonts w:hint="eastAsia"/>
          <w:bCs/>
          <w:i w:val="0"/>
          <w:iCs w:val="0"/>
          <w:color w:val="000000"/>
          <w:u w:val="single"/>
          <w:lang w:val="en-US" w:eastAsia="zh-CN"/>
        </w:rPr>
        <w:t>氨气</w:t>
      </w:r>
      <w:r>
        <w:rPr>
          <w:rFonts w:hint="eastAsia"/>
          <w:bCs/>
          <w:i w:val="0"/>
          <w:iCs w:val="0"/>
          <w:color w:val="000000"/>
          <w:u w:val="single"/>
        </w:rPr>
        <w:t>年产生量为</w:t>
      </w:r>
      <w:r>
        <w:rPr>
          <w:rFonts w:hint="eastAsia"/>
          <w:bCs/>
          <w:i w:val="0"/>
          <w:iCs w:val="0"/>
          <w:color w:val="000000"/>
          <w:u w:val="single"/>
          <w:lang w:val="en-US" w:eastAsia="zh-CN"/>
        </w:rPr>
        <w:t>1.875</w:t>
      </w:r>
      <w:r>
        <w:rPr>
          <w:rFonts w:hint="eastAsia"/>
          <w:bCs/>
          <w:i w:val="0"/>
          <w:iCs w:val="0"/>
          <w:color w:val="000000"/>
          <w:u w:val="single"/>
        </w:rPr>
        <w:t>t/a，年生产时数</w:t>
      </w:r>
      <w:r>
        <w:rPr>
          <w:rFonts w:hint="eastAsia"/>
          <w:bCs/>
          <w:i w:val="0"/>
          <w:iCs w:val="0"/>
          <w:color w:val="000000"/>
          <w:u w:val="single"/>
          <w:lang w:val="en-US" w:eastAsia="zh-CN"/>
        </w:rPr>
        <w:t>7632</w:t>
      </w:r>
      <w:r>
        <w:rPr>
          <w:rFonts w:hint="eastAsia"/>
          <w:bCs/>
          <w:i w:val="0"/>
          <w:iCs w:val="0"/>
          <w:color w:val="000000"/>
          <w:u w:val="single"/>
        </w:rPr>
        <w:t>h，</w:t>
      </w:r>
      <w:r>
        <w:rPr>
          <w:rFonts w:hint="eastAsia"/>
          <w:bCs/>
          <w:i w:val="0"/>
          <w:iCs w:val="0"/>
          <w:color w:val="000000"/>
          <w:u w:val="single"/>
          <w:lang w:val="en-US" w:eastAsia="zh-CN"/>
        </w:rPr>
        <w:t>氨气</w:t>
      </w:r>
      <w:r>
        <w:rPr>
          <w:rFonts w:hint="eastAsia"/>
          <w:bCs/>
          <w:i w:val="0"/>
          <w:iCs w:val="0"/>
          <w:color w:val="000000"/>
          <w:u w:val="single"/>
        </w:rPr>
        <w:t>产生</w:t>
      </w:r>
      <w:r>
        <w:rPr>
          <w:bCs/>
          <w:i w:val="0"/>
          <w:iCs w:val="0"/>
          <w:color w:val="000000"/>
          <w:u w:val="single"/>
        </w:rPr>
        <w:t>速率为</w:t>
      </w:r>
      <w:r>
        <w:rPr>
          <w:rFonts w:hint="eastAsia"/>
          <w:bCs/>
          <w:i w:val="0"/>
          <w:iCs w:val="0"/>
          <w:color w:val="000000"/>
          <w:u w:val="single"/>
          <w:lang w:val="en-US" w:eastAsia="zh-CN"/>
        </w:rPr>
        <w:t>0.245</w:t>
      </w:r>
      <w:r>
        <w:rPr>
          <w:bCs/>
          <w:i w:val="0"/>
          <w:iCs w:val="0"/>
          <w:color w:val="000000"/>
          <w:u w:val="single"/>
        </w:rPr>
        <w:t>kg/h</w:t>
      </w:r>
      <w:r>
        <w:rPr>
          <w:rFonts w:hint="eastAsia"/>
          <w:bCs/>
          <w:i w:val="0"/>
          <w:iCs w:val="0"/>
          <w:color w:val="000000"/>
          <w:u w:val="single"/>
          <w:lang w:eastAsia="zh-CN"/>
        </w:rPr>
        <w:t>，</w:t>
      </w:r>
      <w:r>
        <w:rPr>
          <w:rFonts w:hint="eastAsia"/>
          <w:bCs/>
          <w:i w:val="0"/>
          <w:iCs w:val="0"/>
          <w:color w:val="000000"/>
          <w:u w:val="single"/>
          <w:lang w:val="en-US" w:eastAsia="zh-CN"/>
        </w:rPr>
        <w:t>氨气最大</w:t>
      </w:r>
      <w:r>
        <w:rPr>
          <w:rFonts w:hint="eastAsia"/>
          <w:bCs/>
          <w:i w:val="0"/>
          <w:iCs w:val="0"/>
          <w:color w:val="000000"/>
          <w:u w:val="single"/>
        </w:rPr>
        <w:t>产生</w:t>
      </w:r>
      <w:r>
        <w:rPr>
          <w:bCs/>
          <w:i w:val="0"/>
          <w:iCs w:val="0"/>
          <w:color w:val="000000"/>
          <w:u w:val="single"/>
        </w:rPr>
        <w:t>速率</w:t>
      </w:r>
      <w:r>
        <w:rPr>
          <w:rFonts w:hint="eastAsia"/>
          <w:bCs/>
          <w:i w:val="0"/>
          <w:iCs w:val="0"/>
          <w:color w:val="000000"/>
          <w:u w:val="single"/>
          <w:lang w:eastAsia="zh-CN"/>
        </w:rPr>
        <w:t>（</w:t>
      </w:r>
      <w:r>
        <w:rPr>
          <w:rFonts w:hint="eastAsia"/>
          <w:bCs/>
          <w:i w:val="0"/>
          <w:iCs w:val="0"/>
          <w:color w:val="000000"/>
          <w:u w:val="single"/>
          <w:lang w:val="en-US" w:eastAsia="zh-CN"/>
        </w:rPr>
        <w:t>四个发酵罐同时发酵时</w:t>
      </w:r>
      <w:r>
        <w:rPr>
          <w:rFonts w:hint="eastAsia"/>
          <w:bCs/>
          <w:i w:val="0"/>
          <w:iCs w:val="0"/>
          <w:color w:val="000000"/>
          <w:u w:val="single"/>
          <w:lang w:eastAsia="zh-CN"/>
        </w:rPr>
        <w:t>）</w:t>
      </w:r>
      <w:r>
        <w:rPr>
          <w:bCs/>
          <w:i w:val="0"/>
          <w:iCs w:val="0"/>
          <w:color w:val="000000"/>
          <w:u w:val="single"/>
        </w:rPr>
        <w:t>为</w:t>
      </w:r>
      <w:r>
        <w:rPr>
          <w:rFonts w:hint="eastAsia"/>
          <w:bCs/>
          <w:i w:val="0"/>
          <w:iCs w:val="0"/>
          <w:color w:val="000000"/>
          <w:u w:val="single"/>
          <w:lang w:val="en-US" w:eastAsia="zh-CN"/>
        </w:rPr>
        <w:t>0.312k</w:t>
      </w:r>
      <w:r>
        <w:rPr>
          <w:bCs/>
          <w:i w:val="0"/>
          <w:iCs w:val="0"/>
          <w:color w:val="000000"/>
          <w:u w:val="single"/>
        </w:rPr>
        <w:t>g/h</w:t>
      </w:r>
      <w:r>
        <w:rPr>
          <w:rFonts w:hint="eastAsia"/>
          <w:bCs/>
          <w:i w:val="0"/>
          <w:iCs w:val="0"/>
          <w:color w:val="000000"/>
          <w:u w:val="single"/>
        </w:rPr>
        <w:t>，</w:t>
      </w:r>
      <w:r>
        <w:rPr>
          <w:bCs/>
          <w:i w:val="0"/>
          <w:iCs w:val="0"/>
          <w:color w:val="000000"/>
          <w:u w:val="single"/>
        </w:rPr>
        <w:t>风机</w:t>
      </w:r>
      <w:r>
        <w:rPr>
          <w:rFonts w:hint="eastAsia"/>
          <w:bCs/>
          <w:i w:val="0"/>
          <w:iCs w:val="0"/>
          <w:color w:val="000000"/>
          <w:u w:val="single"/>
        </w:rPr>
        <w:t>风量为60</w:t>
      </w:r>
      <w:r>
        <w:rPr>
          <w:bCs/>
          <w:i w:val="0"/>
          <w:iCs w:val="0"/>
          <w:color w:val="000000"/>
          <w:u w:val="single"/>
        </w:rPr>
        <w:t>00m</w:t>
      </w:r>
      <w:r>
        <w:rPr>
          <w:bCs/>
          <w:i w:val="0"/>
          <w:iCs w:val="0"/>
          <w:color w:val="000000"/>
          <w:u w:val="single"/>
          <w:vertAlign w:val="superscript"/>
        </w:rPr>
        <w:t>3</w:t>
      </w:r>
      <w:r>
        <w:rPr>
          <w:bCs/>
          <w:i w:val="0"/>
          <w:iCs w:val="0"/>
          <w:color w:val="000000"/>
          <w:u w:val="single"/>
        </w:rPr>
        <w:t>/h</w:t>
      </w:r>
      <w:r>
        <w:rPr>
          <w:rFonts w:hint="eastAsia"/>
          <w:bCs/>
          <w:i w:val="0"/>
          <w:iCs w:val="0"/>
          <w:color w:val="000000"/>
          <w:u w:val="single"/>
        </w:rPr>
        <w:t>，产生浓度为</w:t>
      </w:r>
      <w:r>
        <w:rPr>
          <w:rFonts w:hint="eastAsia"/>
          <w:bCs/>
          <w:i w:val="0"/>
          <w:iCs w:val="0"/>
          <w:color w:val="000000"/>
          <w:u w:val="single"/>
          <w:lang w:val="en-US" w:eastAsia="zh-CN"/>
        </w:rPr>
        <w:t>40.83</w:t>
      </w:r>
      <w:r>
        <w:rPr>
          <w:rFonts w:hint="eastAsia"/>
          <w:bCs/>
          <w:i w:val="0"/>
          <w:iCs w:val="0"/>
          <w:color w:val="000000"/>
          <w:u w:val="single"/>
        </w:rPr>
        <w:t>mg/m</w:t>
      </w:r>
      <w:r>
        <w:rPr>
          <w:rFonts w:hint="eastAsia"/>
          <w:bCs/>
          <w:i w:val="0"/>
          <w:iCs w:val="0"/>
          <w:color w:val="000000"/>
          <w:u w:val="single"/>
          <w:vertAlign w:val="superscript"/>
        </w:rPr>
        <w:t>3</w:t>
      </w:r>
      <w:r>
        <w:rPr>
          <w:rFonts w:hint="eastAsia"/>
          <w:bCs/>
          <w:i w:val="0"/>
          <w:iCs w:val="0"/>
          <w:color w:val="000000"/>
          <w:u w:val="single"/>
        </w:rPr>
        <w:t>，</w:t>
      </w:r>
      <w:r>
        <w:rPr>
          <w:rFonts w:hint="eastAsia"/>
          <w:bCs/>
          <w:i w:val="0"/>
          <w:iCs w:val="0"/>
          <w:color w:val="000000"/>
          <w:u w:val="single"/>
          <w:lang w:val="en-US" w:eastAsia="zh-CN"/>
        </w:rPr>
        <w:t>最大</w:t>
      </w:r>
      <w:r>
        <w:rPr>
          <w:rFonts w:hint="eastAsia"/>
          <w:bCs/>
          <w:i w:val="0"/>
          <w:iCs w:val="0"/>
          <w:color w:val="000000"/>
          <w:u w:val="single"/>
        </w:rPr>
        <w:t>产生浓度为</w:t>
      </w:r>
      <w:r>
        <w:rPr>
          <w:rFonts w:hint="eastAsia"/>
          <w:bCs/>
          <w:i w:val="0"/>
          <w:iCs w:val="0"/>
          <w:color w:val="000000"/>
          <w:u w:val="single"/>
          <w:lang w:val="en-US" w:eastAsia="zh-CN"/>
        </w:rPr>
        <w:t>52</w:t>
      </w:r>
      <w:r>
        <w:rPr>
          <w:rFonts w:hint="eastAsia"/>
          <w:bCs/>
          <w:i w:val="0"/>
          <w:iCs w:val="0"/>
          <w:color w:val="000000"/>
          <w:u w:val="single"/>
        </w:rPr>
        <w:t>mg/m</w:t>
      </w:r>
      <w:r>
        <w:rPr>
          <w:rFonts w:hint="eastAsia"/>
          <w:bCs/>
          <w:i w:val="0"/>
          <w:iCs w:val="0"/>
          <w:color w:val="000000"/>
          <w:u w:val="single"/>
          <w:vertAlign w:val="superscript"/>
        </w:rPr>
        <w:t>3</w:t>
      </w:r>
      <w:r>
        <w:rPr>
          <w:rFonts w:hint="eastAsia"/>
          <w:bCs/>
          <w:i w:val="0"/>
          <w:iCs w:val="0"/>
          <w:color w:val="000000"/>
          <w:u w:val="single"/>
          <w:lang w:eastAsia="zh-CN"/>
        </w:rPr>
        <w:t>，</w:t>
      </w:r>
      <w:r>
        <w:rPr>
          <w:rFonts w:hint="eastAsia"/>
          <w:bCs/>
          <w:i w:val="0"/>
          <w:iCs w:val="0"/>
          <w:color w:val="000000"/>
          <w:u w:val="single"/>
        </w:rPr>
        <w:t>由</w:t>
      </w:r>
      <w:r>
        <w:rPr>
          <w:bCs/>
          <w:i w:val="0"/>
          <w:iCs w:val="0"/>
          <w:color w:val="000000"/>
          <w:u w:val="single"/>
        </w:rPr>
        <w:t>车间集气系统收集</w:t>
      </w:r>
      <w:r>
        <w:rPr>
          <w:rFonts w:hint="eastAsia"/>
          <w:bCs/>
          <w:i w:val="0"/>
          <w:iCs w:val="0"/>
          <w:color w:val="000000"/>
          <w:u w:val="single"/>
        </w:rPr>
        <w:t>后（收集效率为90%）</w:t>
      </w:r>
      <w:r>
        <w:rPr>
          <w:bCs/>
          <w:i w:val="0"/>
          <w:iCs w:val="0"/>
          <w:color w:val="000000"/>
          <w:u w:val="single"/>
        </w:rPr>
        <w:t>经</w:t>
      </w:r>
      <w:r>
        <w:rPr>
          <w:rFonts w:hint="eastAsia"/>
          <w:bCs/>
          <w:i w:val="0"/>
          <w:iCs w:val="0"/>
          <w:color w:val="000000"/>
          <w:u w:val="single"/>
        </w:rPr>
        <w:t>过水喷淋（去除</w:t>
      </w:r>
      <w:r>
        <w:rPr>
          <w:bCs/>
          <w:i w:val="0"/>
          <w:iCs w:val="0"/>
          <w:color w:val="000000"/>
          <w:u w:val="single"/>
        </w:rPr>
        <w:t>效率</w:t>
      </w:r>
      <w:r>
        <w:rPr>
          <w:rFonts w:hint="eastAsia"/>
          <w:bCs/>
          <w:i w:val="0"/>
          <w:iCs w:val="0"/>
          <w:color w:val="000000"/>
          <w:u w:val="single"/>
          <w:lang w:val="en-US" w:eastAsia="zh-CN"/>
        </w:rPr>
        <w:t>9</w:t>
      </w:r>
      <w:r>
        <w:rPr>
          <w:rFonts w:hint="eastAsia"/>
          <w:bCs/>
          <w:i w:val="0"/>
          <w:iCs w:val="0"/>
          <w:color w:val="000000"/>
          <w:u w:val="single"/>
        </w:rPr>
        <w:t>0</w:t>
      </w:r>
      <w:r>
        <w:rPr>
          <w:bCs/>
          <w:i w:val="0"/>
          <w:iCs w:val="0"/>
          <w:color w:val="000000"/>
          <w:u w:val="single"/>
        </w:rPr>
        <w:t>%</w:t>
      </w:r>
      <w:r>
        <w:rPr>
          <w:rFonts w:hint="eastAsia"/>
          <w:bCs/>
          <w:i w:val="0"/>
          <w:iCs w:val="0"/>
          <w:color w:val="000000"/>
          <w:u w:val="single"/>
        </w:rPr>
        <w:t>）处理，排放量为</w:t>
      </w:r>
      <w:r>
        <w:rPr>
          <w:rFonts w:hint="eastAsia"/>
          <w:bCs/>
          <w:i w:val="0"/>
          <w:iCs w:val="0"/>
          <w:color w:val="000000"/>
          <w:u w:val="single"/>
          <w:lang w:val="en-US" w:eastAsia="zh-CN"/>
        </w:rPr>
        <w:t>0.169</w:t>
      </w:r>
      <w:r>
        <w:rPr>
          <w:rFonts w:hint="eastAsia"/>
          <w:bCs/>
          <w:i w:val="0"/>
          <w:iCs w:val="0"/>
          <w:color w:val="000000"/>
          <w:u w:val="single"/>
        </w:rPr>
        <w:t>t</w:t>
      </w:r>
      <w:r>
        <w:rPr>
          <w:bCs/>
          <w:i w:val="0"/>
          <w:iCs w:val="0"/>
          <w:color w:val="000000"/>
          <w:u w:val="single"/>
        </w:rPr>
        <w:t>/a，</w:t>
      </w:r>
      <w:r>
        <w:rPr>
          <w:rFonts w:hint="eastAsia"/>
          <w:bCs/>
          <w:i w:val="0"/>
          <w:iCs w:val="0"/>
          <w:color w:val="000000"/>
          <w:u w:val="single"/>
        </w:rPr>
        <w:t>排放速率为</w:t>
      </w:r>
      <w:r>
        <w:rPr>
          <w:rFonts w:hint="eastAsia"/>
          <w:bCs/>
          <w:i w:val="0"/>
          <w:iCs w:val="0"/>
          <w:color w:val="000000"/>
          <w:u w:val="single"/>
          <w:lang w:val="en-US" w:eastAsia="zh-CN"/>
        </w:rPr>
        <w:t>0.022</w:t>
      </w:r>
      <w:r>
        <w:rPr>
          <w:rFonts w:hint="eastAsia"/>
          <w:bCs/>
          <w:i w:val="0"/>
          <w:iCs w:val="0"/>
          <w:color w:val="000000"/>
          <w:u w:val="single"/>
        </w:rPr>
        <w:t>k</w:t>
      </w:r>
      <w:r>
        <w:rPr>
          <w:bCs/>
          <w:i w:val="0"/>
          <w:iCs w:val="0"/>
          <w:color w:val="000000"/>
          <w:u w:val="single"/>
        </w:rPr>
        <w:t>g/h</w:t>
      </w:r>
      <w:r>
        <w:rPr>
          <w:rFonts w:hint="eastAsia"/>
          <w:bCs/>
          <w:i w:val="0"/>
          <w:iCs w:val="0"/>
          <w:color w:val="000000"/>
          <w:u w:val="single"/>
          <w:lang w:eastAsia="zh-CN"/>
        </w:rPr>
        <w:t>，</w:t>
      </w:r>
      <w:r>
        <w:rPr>
          <w:rFonts w:hint="eastAsia"/>
          <w:bCs/>
          <w:i w:val="0"/>
          <w:iCs w:val="0"/>
          <w:color w:val="000000"/>
          <w:u w:val="single"/>
        </w:rPr>
        <w:t>排放浓度为</w:t>
      </w:r>
      <w:r>
        <w:rPr>
          <w:rFonts w:hint="eastAsia"/>
          <w:bCs/>
          <w:i w:val="0"/>
          <w:iCs w:val="0"/>
          <w:color w:val="000000"/>
          <w:u w:val="single"/>
          <w:lang w:val="en-US" w:eastAsia="zh-CN"/>
        </w:rPr>
        <w:t>3.67</w:t>
      </w:r>
      <w:r>
        <w:rPr>
          <w:rFonts w:hint="eastAsia"/>
          <w:bCs/>
          <w:i w:val="0"/>
          <w:iCs w:val="0"/>
          <w:color w:val="000000"/>
          <w:u w:val="single"/>
        </w:rPr>
        <w:t>mg/m</w:t>
      </w:r>
      <w:r>
        <w:rPr>
          <w:rFonts w:hint="eastAsia"/>
          <w:bCs/>
          <w:i w:val="0"/>
          <w:iCs w:val="0"/>
          <w:color w:val="000000"/>
          <w:u w:val="single"/>
          <w:vertAlign w:val="superscript"/>
        </w:rPr>
        <w:t>3</w:t>
      </w:r>
      <w:r>
        <w:rPr>
          <w:bCs/>
          <w:i w:val="0"/>
          <w:iCs w:val="0"/>
          <w:color w:val="000000"/>
          <w:u w:val="single"/>
        </w:rPr>
        <w:t>，</w:t>
      </w:r>
      <w:r>
        <w:rPr>
          <w:rFonts w:hint="eastAsia"/>
          <w:bCs/>
          <w:i w:val="0"/>
          <w:iCs w:val="0"/>
          <w:color w:val="000000"/>
          <w:u w:val="single"/>
          <w:lang w:val="en-US" w:eastAsia="zh-CN"/>
        </w:rPr>
        <w:t>最大</w:t>
      </w:r>
      <w:r>
        <w:rPr>
          <w:rFonts w:hint="eastAsia"/>
          <w:bCs/>
          <w:i w:val="0"/>
          <w:iCs w:val="0"/>
          <w:color w:val="000000"/>
          <w:u w:val="single"/>
        </w:rPr>
        <w:t>排放速率为</w:t>
      </w:r>
      <w:r>
        <w:rPr>
          <w:rFonts w:hint="eastAsia"/>
          <w:bCs/>
          <w:i w:val="0"/>
          <w:iCs w:val="0"/>
          <w:color w:val="000000"/>
          <w:u w:val="single"/>
          <w:lang w:val="en-US" w:eastAsia="zh-CN"/>
        </w:rPr>
        <w:t>0.028</w:t>
      </w:r>
      <w:r>
        <w:rPr>
          <w:rFonts w:hint="eastAsia"/>
          <w:bCs/>
          <w:i w:val="0"/>
          <w:iCs w:val="0"/>
          <w:color w:val="000000"/>
          <w:u w:val="single"/>
        </w:rPr>
        <w:t>k</w:t>
      </w:r>
      <w:r>
        <w:rPr>
          <w:bCs/>
          <w:i w:val="0"/>
          <w:iCs w:val="0"/>
          <w:color w:val="000000"/>
          <w:u w:val="single"/>
        </w:rPr>
        <w:t>g/h</w:t>
      </w:r>
      <w:r>
        <w:rPr>
          <w:rFonts w:hint="eastAsia"/>
          <w:bCs/>
          <w:i w:val="0"/>
          <w:iCs w:val="0"/>
          <w:color w:val="000000"/>
          <w:u w:val="single"/>
          <w:lang w:eastAsia="zh-CN"/>
        </w:rPr>
        <w:t>，</w:t>
      </w:r>
      <w:r>
        <w:rPr>
          <w:rFonts w:hint="eastAsia"/>
          <w:bCs/>
          <w:i w:val="0"/>
          <w:iCs w:val="0"/>
          <w:color w:val="000000"/>
          <w:u w:val="single"/>
          <w:lang w:val="en-US" w:eastAsia="zh-CN"/>
        </w:rPr>
        <w:t>最大</w:t>
      </w:r>
      <w:r>
        <w:rPr>
          <w:rFonts w:hint="eastAsia"/>
          <w:bCs/>
          <w:i w:val="0"/>
          <w:iCs w:val="0"/>
          <w:color w:val="000000"/>
          <w:u w:val="single"/>
        </w:rPr>
        <w:t>排放浓度为</w:t>
      </w:r>
      <w:r>
        <w:rPr>
          <w:rFonts w:hint="eastAsia"/>
          <w:bCs/>
          <w:i w:val="0"/>
          <w:iCs w:val="0"/>
          <w:color w:val="000000"/>
          <w:u w:val="single"/>
          <w:lang w:val="en-US" w:eastAsia="zh-CN"/>
        </w:rPr>
        <w:t>4.67</w:t>
      </w:r>
      <w:r>
        <w:rPr>
          <w:rFonts w:hint="eastAsia"/>
          <w:bCs/>
          <w:i w:val="0"/>
          <w:iCs w:val="0"/>
          <w:color w:val="000000"/>
          <w:u w:val="single"/>
        </w:rPr>
        <w:t>mg/m</w:t>
      </w:r>
      <w:r>
        <w:rPr>
          <w:rFonts w:hint="eastAsia"/>
          <w:bCs/>
          <w:i w:val="0"/>
          <w:iCs w:val="0"/>
          <w:color w:val="000000"/>
          <w:u w:val="single"/>
          <w:vertAlign w:val="superscript"/>
        </w:rPr>
        <w:t>3</w:t>
      </w:r>
      <w:r>
        <w:rPr>
          <w:bCs/>
          <w:i w:val="0"/>
          <w:iCs w:val="0"/>
          <w:color w:val="000000"/>
          <w:u w:val="single"/>
        </w:rPr>
        <w:t>，</w:t>
      </w:r>
      <w:r>
        <w:rPr>
          <w:rFonts w:hint="eastAsia"/>
          <w:bCs/>
          <w:i w:val="0"/>
          <w:iCs w:val="0"/>
          <w:color w:val="000000"/>
          <w:u w:val="single"/>
        </w:rPr>
        <w:t>经</w:t>
      </w:r>
      <w:r>
        <w:rPr>
          <w:rFonts w:hint="eastAsia"/>
          <w:bCs/>
          <w:i w:val="0"/>
          <w:iCs w:val="0"/>
          <w:color w:val="000000"/>
          <w:u w:val="single"/>
          <w:lang w:eastAsia="zh-CN"/>
        </w:rPr>
        <w:t>24</w:t>
      </w:r>
      <w:r>
        <w:rPr>
          <w:bCs/>
          <w:i w:val="0"/>
          <w:iCs w:val="0"/>
          <w:color w:val="000000"/>
          <w:u w:val="single"/>
        </w:rPr>
        <w:t>m排气筒</w:t>
      </w:r>
      <w:r>
        <w:rPr>
          <w:rFonts w:hint="eastAsia"/>
          <w:bCs/>
          <w:i w:val="0"/>
          <w:iCs w:val="0"/>
          <w:color w:val="000000"/>
          <w:u w:val="single"/>
        </w:rPr>
        <w:t>（DA002）</w:t>
      </w:r>
      <w:r>
        <w:rPr>
          <w:bCs/>
          <w:i w:val="0"/>
          <w:iCs w:val="0"/>
          <w:color w:val="000000"/>
          <w:u w:val="single"/>
        </w:rPr>
        <w:t>集中</w:t>
      </w:r>
      <w:r>
        <w:rPr>
          <w:i w:val="0"/>
          <w:iCs w:val="0"/>
          <w:color w:val="000000"/>
          <w:u w:val="single"/>
        </w:rPr>
        <w:t>排放</w:t>
      </w:r>
      <w:r>
        <w:rPr>
          <w:rFonts w:hint="eastAsia"/>
          <w:i w:val="0"/>
          <w:iCs w:val="0"/>
          <w:color w:val="000000"/>
          <w:u w:val="single"/>
        </w:rPr>
        <w:t>。</w:t>
      </w:r>
    </w:p>
    <w:p>
      <w:pPr>
        <w:snapToGrid w:val="0"/>
        <w:spacing w:line="360" w:lineRule="auto"/>
        <w:ind w:firstLine="480" w:firstLineChars="200"/>
        <w:rPr>
          <w:rFonts w:hint="eastAsia"/>
          <w:i w:val="0"/>
          <w:iCs w:val="0"/>
          <w:u w:val="single"/>
        </w:rPr>
      </w:pPr>
      <w:r>
        <w:rPr>
          <w:rFonts w:hint="eastAsia"/>
          <w:i w:val="0"/>
          <w:iCs w:val="0"/>
          <w:u w:val="single"/>
        </w:rPr>
        <w:t>未收集废气以无组织排放，</w:t>
      </w:r>
      <w:r>
        <w:rPr>
          <w:rFonts w:hint="eastAsia"/>
          <w:bCs/>
          <w:i w:val="0"/>
          <w:iCs w:val="0"/>
          <w:color w:val="000000"/>
          <w:u w:val="single"/>
          <w:lang w:val="en-US" w:eastAsia="zh-CN"/>
        </w:rPr>
        <w:t>氨气</w:t>
      </w:r>
      <w:r>
        <w:rPr>
          <w:rFonts w:hint="eastAsia"/>
          <w:i w:val="0"/>
          <w:iCs w:val="0"/>
          <w:u w:val="single"/>
        </w:rPr>
        <w:t>无组织排放量为0.</w:t>
      </w:r>
      <w:r>
        <w:rPr>
          <w:rFonts w:hint="eastAsia"/>
          <w:i w:val="0"/>
          <w:iCs w:val="0"/>
          <w:u w:val="single"/>
          <w:lang w:val="en-US" w:eastAsia="zh-CN"/>
        </w:rPr>
        <w:t>188</w:t>
      </w:r>
      <w:r>
        <w:rPr>
          <w:rFonts w:hint="eastAsia"/>
          <w:i w:val="0"/>
          <w:iCs w:val="0"/>
          <w:u w:val="single"/>
        </w:rPr>
        <w:t>t/a（</w:t>
      </w:r>
      <w:r>
        <w:rPr>
          <w:rFonts w:hint="eastAsia"/>
          <w:i w:val="0"/>
          <w:iCs w:val="0"/>
          <w:u w:val="single"/>
          <w:lang w:val="en-US" w:eastAsia="zh-CN"/>
        </w:rPr>
        <w:t>0.025</w:t>
      </w:r>
      <w:r>
        <w:rPr>
          <w:rFonts w:hint="eastAsia"/>
          <w:i w:val="0"/>
          <w:iCs w:val="0"/>
          <w:u w:val="single"/>
        </w:rPr>
        <w:t>kg/h）。</w:t>
      </w:r>
    </w:p>
    <w:p>
      <w:pPr>
        <w:spacing w:line="360" w:lineRule="auto"/>
        <w:ind w:firstLine="480" w:firstLineChars="200"/>
        <w:rPr>
          <w:rFonts w:hint="eastAsia"/>
          <w:i w:val="0"/>
          <w:iCs w:val="0"/>
          <w:u w:val="single"/>
        </w:rPr>
      </w:pPr>
      <w:r>
        <w:rPr>
          <w:rFonts w:hint="eastAsia"/>
          <w:i w:val="0"/>
          <w:iCs w:val="0"/>
          <w:u w:val="single"/>
        </w:rPr>
        <w:t>3、</w:t>
      </w:r>
      <w:r>
        <w:rPr>
          <w:rFonts w:hint="eastAsia"/>
          <w:i w:val="0"/>
          <w:iCs w:val="0"/>
          <w:u w:val="single"/>
          <w:lang w:val="en-US" w:eastAsia="zh-CN"/>
        </w:rPr>
        <w:t>热风炉1烟气及</w:t>
      </w:r>
      <w:r>
        <w:rPr>
          <w:rFonts w:hint="eastAsia"/>
          <w:i w:val="0"/>
          <w:iCs w:val="0"/>
          <w:u w:val="single"/>
        </w:rPr>
        <w:t>喷雾干燥塔1喷雾干燥废气</w:t>
      </w:r>
    </w:p>
    <w:p>
      <w:pPr>
        <w:snapToGrid w:val="0"/>
        <w:spacing w:line="360" w:lineRule="auto"/>
        <w:ind w:firstLine="480" w:firstLineChars="200"/>
        <w:rPr>
          <w:rFonts w:hint="eastAsia" w:ascii="Times New Roman" w:hAnsi="Times New Roman" w:eastAsia="宋体" w:cs="Times New Roman"/>
          <w:i w:val="0"/>
          <w:iCs w:val="0"/>
          <w:u w:val="single"/>
          <w:lang w:val="en-US" w:eastAsia="zh-CN"/>
        </w:rPr>
      </w:pPr>
      <w:r>
        <w:rPr>
          <w:rFonts w:hint="eastAsia" w:ascii="Times New Roman" w:hAnsi="Times New Roman" w:eastAsia="宋体" w:cs="Times New Roman"/>
          <w:i w:val="0"/>
          <w:iCs w:val="0"/>
          <w:u w:val="single"/>
          <w:lang w:val="en-US" w:eastAsia="zh-CN"/>
        </w:rPr>
        <w:t>（1）热风炉烟气</w:t>
      </w:r>
    </w:p>
    <w:p>
      <w:pPr>
        <w:snapToGrid w:val="0"/>
        <w:spacing w:line="360" w:lineRule="auto"/>
        <w:ind w:firstLine="480" w:firstLineChars="200"/>
        <w:rPr>
          <w:rFonts w:hint="default" w:ascii="Times New Roman" w:hAnsi="Times New Roman" w:eastAsia="宋体" w:cs="Times New Roman"/>
          <w:i w:val="0"/>
          <w:iCs w:val="0"/>
          <w:u w:val="single"/>
          <w:lang w:val="en-US" w:eastAsia="zh-CN"/>
        </w:rPr>
      </w:pPr>
      <w:r>
        <w:rPr>
          <w:rFonts w:hint="eastAsia" w:ascii="Times New Roman" w:hAnsi="Times New Roman" w:eastAsia="宋体" w:cs="Times New Roman"/>
          <w:i w:val="0"/>
          <w:iCs w:val="0"/>
          <w:u w:val="single"/>
        </w:rPr>
        <w:t>参照</w:t>
      </w:r>
      <w:r>
        <w:rPr>
          <w:rFonts w:hint="eastAsia" w:ascii="Times New Roman" w:hAnsi="Times New Roman" w:eastAsia="宋体" w:cs="Times New Roman"/>
          <w:i w:val="0"/>
          <w:iCs w:val="0"/>
          <w:u w:val="single"/>
          <w:lang w:val="en-US" w:eastAsia="zh-CN"/>
        </w:rPr>
        <w:t>《</w:t>
      </w:r>
      <w:r>
        <w:rPr>
          <w:rFonts w:hint="eastAsia" w:ascii="Times New Roman" w:hAnsi="Times New Roman" w:eastAsia="宋体" w:cs="Times New Roman"/>
          <w:i w:val="0"/>
          <w:iCs w:val="0"/>
          <w:u w:val="single"/>
        </w:rPr>
        <w:t>第</w:t>
      </w:r>
      <w:r>
        <w:rPr>
          <w:rFonts w:hint="eastAsia" w:ascii="Times New Roman" w:hAnsi="Times New Roman" w:eastAsia="宋体" w:cs="Times New Roman"/>
          <w:i w:val="0"/>
          <w:iCs w:val="0"/>
          <w:u w:val="single"/>
          <w:lang w:eastAsia="zh-CN"/>
        </w:rPr>
        <w:t>二</w:t>
      </w:r>
      <w:r>
        <w:rPr>
          <w:rFonts w:hint="eastAsia" w:ascii="Times New Roman" w:hAnsi="Times New Roman" w:eastAsia="宋体" w:cs="Times New Roman"/>
          <w:i w:val="0"/>
          <w:iCs w:val="0"/>
          <w:u w:val="single"/>
        </w:rPr>
        <w:t>次全国污染源普查工业污染源产排污系数手册</w:t>
      </w:r>
      <w:r>
        <w:rPr>
          <w:rFonts w:hint="eastAsia" w:ascii="Times New Roman" w:hAnsi="Times New Roman" w:eastAsia="宋体" w:cs="Times New Roman"/>
          <w:i w:val="0"/>
          <w:iCs w:val="0"/>
          <w:u w:val="single"/>
          <w:lang w:val="en-US" w:eastAsia="zh-CN"/>
        </w:rPr>
        <w:t>》及《排污许可证申请与核发技术规范锅炉》（HJ953-2018）可知，燃气工业锅炉产排污系数表如下。</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i w:val="0"/>
          <w:iCs w:val="0"/>
          <w:u w:val="single"/>
          <w:lang w:val="en-US" w:eastAsia="zh-CN"/>
        </w:rPr>
      </w:pPr>
      <w:r>
        <w:rPr>
          <w:rFonts w:hint="eastAsia"/>
          <w:b/>
          <w:bCs/>
          <w:i w:val="0"/>
          <w:iCs w:val="0"/>
          <w:u w:val="single"/>
          <w:lang w:val="en-US" w:eastAsia="zh-CN"/>
        </w:rPr>
        <w:t>表3-30 天然气工业锅炉产排污系数表</w:t>
      </w:r>
    </w:p>
    <w:tbl>
      <w:tblPr>
        <w:tblStyle w:val="59"/>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2"/>
        <w:gridCol w:w="1308"/>
        <w:gridCol w:w="1650"/>
        <w:gridCol w:w="3308"/>
        <w:gridCol w:w="190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5" w:type="pct"/>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sz w:val="21"/>
                <w:szCs w:val="21"/>
                <w:u w:val="single"/>
                <w:lang w:val="en-US" w:eastAsia="zh-CN"/>
              </w:rPr>
            </w:pPr>
            <w:r>
              <w:rPr>
                <w:rFonts w:hint="eastAsia"/>
                <w:i w:val="0"/>
                <w:iCs w:val="0"/>
                <w:sz w:val="21"/>
                <w:szCs w:val="21"/>
                <w:u w:val="single"/>
                <w:lang w:val="en-US" w:eastAsia="zh-CN"/>
              </w:rPr>
              <w:t>原料名称</w:t>
            </w:r>
          </w:p>
        </w:tc>
        <w:tc>
          <w:tcPr>
            <w:tcW w:w="687" w:type="pct"/>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sz w:val="21"/>
                <w:szCs w:val="21"/>
                <w:u w:val="single"/>
                <w:lang w:val="en-US" w:eastAsia="zh-CN"/>
              </w:rPr>
            </w:pPr>
            <w:r>
              <w:rPr>
                <w:rFonts w:hint="eastAsia"/>
                <w:i w:val="0"/>
                <w:iCs w:val="0"/>
                <w:sz w:val="21"/>
                <w:szCs w:val="21"/>
                <w:u w:val="single"/>
                <w:lang w:val="en-US" w:eastAsia="zh-CN"/>
              </w:rPr>
              <w:t>规模等级</w:t>
            </w:r>
          </w:p>
        </w:tc>
        <w:tc>
          <w:tcPr>
            <w:tcW w:w="867" w:type="pct"/>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sz w:val="21"/>
                <w:szCs w:val="21"/>
                <w:u w:val="single"/>
                <w:lang w:val="en-US" w:eastAsia="zh-CN"/>
              </w:rPr>
            </w:pPr>
            <w:r>
              <w:rPr>
                <w:rFonts w:hint="eastAsia"/>
                <w:i w:val="0"/>
                <w:iCs w:val="0"/>
                <w:sz w:val="21"/>
                <w:szCs w:val="21"/>
                <w:u w:val="single"/>
                <w:lang w:val="en-US" w:eastAsia="zh-CN"/>
              </w:rPr>
              <w:t>污染物指标</w:t>
            </w:r>
          </w:p>
        </w:tc>
        <w:tc>
          <w:tcPr>
            <w:tcW w:w="1738" w:type="pct"/>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sz w:val="21"/>
                <w:szCs w:val="21"/>
                <w:u w:val="single"/>
                <w:lang w:val="en-US" w:eastAsia="zh-CN"/>
              </w:rPr>
            </w:pPr>
            <w:r>
              <w:rPr>
                <w:rFonts w:hint="eastAsia"/>
                <w:i w:val="0"/>
                <w:iCs w:val="0"/>
                <w:sz w:val="21"/>
                <w:szCs w:val="21"/>
                <w:u w:val="single"/>
                <w:lang w:val="en-US" w:eastAsia="zh-CN"/>
              </w:rPr>
              <w:t>单位</w:t>
            </w:r>
          </w:p>
        </w:tc>
        <w:tc>
          <w:tcPr>
            <w:tcW w:w="1000" w:type="pct"/>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sz w:val="21"/>
                <w:szCs w:val="21"/>
                <w:u w:val="single"/>
                <w:lang w:val="en-US" w:eastAsia="zh-CN"/>
              </w:rPr>
            </w:pPr>
            <w:r>
              <w:rPr>
                <w:rFonts w:hint="eastAsia"/>
                <w:i w:val="0"/>
                <w:iCs w:val="0"/>
                <w:sz w:val="21"/>
                <w:szCs w:val="21"/>
                <w:u w:val="single"/>
                <w:lang w:val="en-US" w:eastAsia="zh-CN"/>
              </w:rPr>
              <w:t>产污系数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5" w:type="pct"/>
            <w:vMerge w:val="restar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i w:val="0"/>
                <w:iCs w:val="0"/>
                <w:sz w:val="21"/>
                <w:szCs w:val="21"/>
                <w:u w:val="single"/>
                <w:lang w:val="en-US" w:eastAsia="zh-CN"/>
              </w:rPr>
            </w:pPr>
            <w:r>
              <w:rPr>
                <w:rFonts w:hint="eastAsia"/>
                <w:i w:val="0"/>
                <w:iCs w:val="0"/>
                <w:sz w:val="21"/>
                <w:szCs w:val="21"/>
                <w:u w:val="single"/>
                <w:lang w:val="en-US" w:eastAsia="zh-CN"/>
              </w:rPr>
              <w:t>天然气</w:t>
            </w:r>
          </w:p>
        </w:tc>
        <w:tc>
          <w:tcPr>
            <w:tcW w:w="687" w:type="pct"/>
            <w:vMerge w:val="restar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i w:val="0"/>
                <w:iCs w:val="0"/>
                <w:sz w:val="21"/>
                <w:szCs w:val="21"/>
                <w:u w:val="single"/>
                <w:lang w:val="en-US" w:eastAsia="zh-CN"/>
              </w:rPr>
            </w:pPr>
            <w:r>
              <w:rPr>
                <w:rFonts w:hint="eastAsia"/>
                <w:i w:val="0"/>
                <w:iCs w:val="0"/>
                <w:sz w:val="21"/>
                <w:szCs w:val="21"/>
                <w:u w:val="single"/>
                <w:lang w:val="en-US" w:eastAsia="zh-CN"/>
              </w:rPr>
              <w:t>所有规模</w:t>
            </w:r>
          </w:p>
        </w:tc>
        <w:tc>
          <w:tcPr>
            <w:tcW w:w="8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sz w:val="21"/>
                <w:szCs w:val="21"/>
                <w:u w:val="single"/>
                <w:lang w:val="en-US" w:eastAsia="zh-CN"/>
              </w:rPr>
            </w:pPr>
            <w:r>
              <w:rPr>
                <w:rFonts w:hint="eastAsia"/>
                <w:i w:val="0"/>
                <w:iCs w:val="0"/>
                <w:sz w:val="21"/>
                <w:szCs w:val="21"/>
                <w:u w:val="single"/>
                <w:lang w:val="en-US" w:eastAsia="zh-CN"/>
              </w:rPr>
              <w:t>工业废气量</w:t>
            </w:r>
          </w:p>
        </w:tc>
        <w:tc>
          <w:tcPr>
            <w:tcW w:w="17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标立方米/万立方米-原料</w:t>
            </w:r>
          </w:p>
        </w:tc>
        <w:tc>
          <w:tcPr>
            <w:tcW w:w="1000" w:type="pc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107753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sz w:val="21"/>
                <w:szCs w:val="21"/>
                <w:u w:val="single"/>
                <w:lang w:val="en-US" w:eastAsia="zh-CN"/>
              </w:rPr>
            </w:pPr>
          </w:p>
        </w:tc>
        <w:tc>
          <w:tcPr>
            <w:tcW w:w="68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sz w:val="21"/>
                <w:szCs w:val="21"/>
                <w:u w:val="single"/>
                <w:lang w:val="en-US" w:eastAsia="zh-CN"/>
              </w:rPr>
            </w:pPr>
          </w:p>
        </w:tc>
        <w:tc>
          <w:tcPr>
            <w:tcW w:w="8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sz w:val="21"/>
                <w:szCs w:val="21"/>
                <w:u w:val="single"/>
                <w:lang w:val="en-US" w:eastAsia="zh-CN"/>
              </w:rPr>
            </w:pPr>
            <w:r>
              <w:rPr>
                <w:rFonts w:hint="eastAsia"/>
                <w:i w:val="0"/>
                <w:iCs w:val="0"/>
                <w:sz w:val="21"/>
                <w:szCs w:val="21"/>
                <w:u w:val="single"/>
                <w:lang w:val="en-US" w:eastAsia="zh-CN"/>
              </w:rPr>
              <w:t>二氧化硫</w:t>
            </w:r>
          </w:p>
        </w:tc>
        <w:tc>
          <w:tcPr>
            <w:tcW w:w="17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千克/万立方米-原料</w:t>
            </w:r>
          </w:p>
        </w:tc>
        <w:tc>
          <w:tcPr>
            <w:tcW w:w="1000" w:type="pc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0.02S</w:t>
            </w:r>
            <w:r>
              <w:rPr>
                <w:b w:val="0"/>
                <w:bCs w:val="0"/>
                <w:i w:val="0"/>
                <w:iCs w:val="0"/>
                <w:sz w:val="18"/>
                <w:szCs w:val="18"/>
                <w:u w:val="single"/>
                <w:vertAlign w:val="superscript"/>
              </w:rPr>
              <w:t>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sz w:val="21"/>
                <w:szCs w:val="21"/>
                <w:u w:val="single"/>
                <w:lang w:val="en-US" w:eastAsia="zh-CN"/>
              </w:rPr>
            </w:pPr>
          </w:p>
        </w:tc>
        <w:tc>
          <w:tcPr>
            <w:tcW w:w="68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sz w:val="21"/>
                <w:szCs w:val="21"/>
                <w:u w:val="single"/>
                <w:lang w:val="en-US" w:eastAsia="zh-CN"/>
              </w:rPr>
            </w:pPr>
          </w:p>
        </w:tc>
        <w:tc>
          <w:tcPr>
            <w:tcW w:w="8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sz w:val="21"/>
                <w:szCs w:val="21"/>
                <w:u w:val="single"/>
                <w:lang w:val="en-US" w:eastAsia="zh-CN"/>
              </w:rPr>
            </w:pPr>
            <w:r>
              <w:rPr>
                <w:rFonts w:hint="eastAsia"/>
                <w:i w:val="0"/>
                <w:iCs w:val="0"/>
                <w:sz w:val="21"/>
                <w:szCs w:val="21"/>
                <w:u w:val="single"/>
                <w:lang w:val="en-US" w:eastAsia="zh-CN"/>
              </w:rPr>
              <w:t>氮氧化物</w:t>
            </w:r>
          </w:p>
        </w:tc>
        <w:tc>
          <w:tcPr>
            <w:tcW w:w="17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sz w:val="21"/>
                <w:szCs w:val="21"/>
                <w:u w:val="single"/>
                <w:lang w:val="en-US" w:eastAsia="zh-CN"/>
              </w:rPr>
            </w:pPr>
            <w:r>
              <w:rPr>
                <w:rFonts w:hint="eastAsia"/>
                <w:i w:val="0"/>
                <w:iCs w:val="0"/>
                <w:sz w:val="21"/>
                <w:szCs w:val="21"/>
                <w:u w:val="single"/>
                <w:lang w:val="en-US" w:eastAsia="zh-CN"/>
              </w:rPr>
              <w:t>千克/万立方米-原料</w:t>
            </w:r>
          </w:p>
        </w:tc>
        <w:tc>
          <w:tcPr>
            <w:tcW w:w="1000" w:type="pc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18.71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5" w:type="pct"/>
            <w:vMerge w:val="continue"/>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u w:val="single"/>
                <w:lang w:val="en-US" w:eastAsia="zh-CN"/>
              </w:rPr>
            </w:pPr>
          </w:p>
        </w:tc>
        <w:tc>
          <w:tcPr>
            <w:tcW w:w="687" w:type="pct"/>
            <w:vMerge w:val="continue"/>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u w:val="single"/>
                <w:lang w:val="en-US" w:eastAsia="zh-CN"/>
              </w:rPr>
            </w:pPr>
          </w:p>
        </w:tc>
        <w:tc>
          <w:tcPr>
            <w:tcW w:w="867"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sz w:val="21"/>
                <w:szCs w:val="21"/>
                <w:u w:val="single"/>
                <w:lang w:val="en-US" w:eastAsia="zh-CN"/>
              </w:rPr>
            </w:pPr>
            <w:r>
              <w:rPr>
                <w:rFonts w:hint="eastAsia"/>
                <w:i w:val="0"/>
                <w:iCs w:val="0"/>
                <w:sz w:val="21"/>
                <w:szCs w:val="21"/>
                <w:u w:val="single"/>
                <w:lang w:val="en-US" w:eastAsia="zh-CN"/>
              </w:rPr>
              <w:t>烟尘</w:t>
            </w:r>
          </w:p>
        </w:tc>
        <w:tc>
          <w:tcPr>
            <w:tcW w:w="1738"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sz w:val="21"/>
                <w:szCs w:val="21"/>
                <w:u w:val="single"/>
                <w:lang w:val="en-US" w:eastAsia="zh-CN"/>
              </w:rPr>
            </w:pPr>
            <w:r>
              <w:rPr>
                <w:rFonts w:hint="eastAsia"/>
                <w:i w:val="0"/>
                <w:iCs w:val="0"/>
                <w:sz w:val="21"/>
                <w:szCs w:val="21"/>
                <w:u w:val="single"/>
                <w:lang w:val="en-US" w:eastAsia="zh-CN"/>
              </w:rPr>
              <w:t>千克/万立方米吨-原料</w:t>
            </w:r>
          </w:p>
        </w:tc>
        <w:tc>
          <w:tcPr>
            <w:tcW w:w="1000"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2.86</w:t>
            </w:r>
          </w:p>
        </w:tc>
      </w:tr>
    </w:tbl>
    <w:p>
      <w:pPr>
        <w:bidi w:val="0"/>
        <w:rPr>
          <w:rFonts w:hint="default"/>
          <w:b/>
          <w:bCs/>
          <w:i w:val="0"/>
          <w:iCs w:val="0"/>
          <w:sz w:val="18"/>
          <w:szCs w:val="18"/>
          <w:u w:val="single"/>
          <w:lang w:val="en-US" w:eastAsia="zh-CN"/>
        </w:rPr>
      </w:pPr>
      <w:r>
        <w:rPr>
          <w:b/>
          <w:bCs/>
          <w:i w:val="0"/>
          <w:iCs w:val="0"/>
          <w:sz w:val="18"/>
          <w:szCs w:val="18"/>
          <w:u w:val="single"/>
        </w:rPr>
        <w:t>注：①</w:t>
      </w:r>
      <w:r>
        <w:rPr>
          <w:rFonts w:hint="eastAsia"/>
          <w:b/>
          <w:bCs/>
          <w:i w:val="0"/>
          <w:iCs w:val="0"/>
          <w:sz w:val="18"/>
          <w:szCs w:val="18"/>
          <w:u w:val="single"/>
          <w:lang w:eastAsia="zh-CN"/>
        </w:rPr>
        <w:t>产污系数表中气体燃料的二氧化硫的产污系数是以含硫量（</w:t>
      </w:r>
      <w:r>
        <w:rPr>
          <w:rFonts w:hint="eastAsia"/>
          <w:b/>
          <w:bCs/>
          <w:i w:val="0"/>
          <w:iCs w:val="0"/>
          <w:sz w:val="18"/>
          <w:szCs w:val="18"/>
          <w:u w:val="single"/>
          <w:lang w:val="en-US" w:eastAsia="zh-CN"/>
        </w:rPr>
        <w:t>S</w:t>
      </w:r>
      <w:r>
        <w:rPr>
          <w:rFonts w:hint="eastAsia"/>
          <w:b/>
          <w:bCs/>
          <w:i w:val="0"/>
          <w:iCs w:val="0"/>
          <w:sz w:val="18"/>
          <w:szCs w:val="18"/>
          <w:u w:val="single"/>
          <w:lang w:eastAsia="zh-CN"/>
        </w:rPr>
        <w:t>）的形式表示的，其中含硫量（</w:t>
      </w:r>
      <w:r>
        <w:rPr>
          <w:rFonts w:hint="eastAsia"/>
          <w:b/>
          <w:bCs/>
          <w:i w:val="0"/>
          <w:iCs w:val="0"/>
          <w:sz w:val="18"/>
          <w:szCs w:val="18"/>
          <w:u w:val="single"/>
          <w:lang w:val="en-US" w:eastAsia="zh-CN"/>
        </w:rPr>
        <w:t>S</w:t>
      </w:r>
      <w:r>
        <w:rPr>
          <w:rFonts w:hint="eastAsia"/>
          <w:b/>
          <w:bCs/>
          <w:i w:val="0"/>
          <w:iCs w:val="0"/>
          <w:sz w:val="18"/>
          <w:szCs w:val="18"/>
          <w:u w:val="single"/>
          <w:lang w:eastAsia="zh-CN"/>
        </w:rPr>
        <w:t>）是指气体燃料中的硫含量，单位毫克</w:t>
      </w:r>
      <w:r>
        <w:rPr>
          <w:rFonts w:hint="eastAsia"/>
          <w:b/>
          <w:bCs/>
          <w:i w:val="0"/>
          <w:iCs w:val="0"/>
          <w:sz w:val="18"/>
          <w:szCs w:val="18"/>
          <w:u w:val="single"/>
          <w:lang w:val="en-US" w:eastAsia="zh-CN"/>
        </w:rPr>
        <w:t>/立方米</w:t>
      </w:r>
      <w:r>
        <w:rPr>
          <w:b/>
          <w:bCs/>
          <w:i w:val="0"/>
          <w:iCs w:val="0"/>
          <w:sz w:val="18"/>
          <w:szCs w:val="18"/>
          <w:u w:val="single"/>
        </w:rPr>
        <w:t>。例如</w:t>
      </w:r>
      <w:r>
        <w:rPr>
          <w:rFonts w:hint="eastAsia"/>
          <w:b/>
          <w:bCs/>
          <w:i w:val="0"/>
          <w:iCs w:val="0"/>
          <w:sz w:val="18"/>
          <w:szCs w:val="18"/>
          <w:u w:val="single"/>
          <w:lang w:eastAsia="zh-CN"/>
        </w:rPr>
        <w:t>燃料</w:t>
      </w:r>
      <w:r>
        <w:rPr>
          <w:b/>
          <w:bCs/>
          <w:i w:val="0"/>
          <w:iCs w:val="0"/>
          <w:sz w:val="18"/>
          <w:szCs w:val="18"/>
          <w:u w:val="single"/>
        </w:rPr>
        <w:t>中含硫量（S）为</w:t>
      </w:r>
      <w:r>
        <w:rPr>
          <w:rFonts w:hint="eastAsia"/>
          <w:b/>
          <w:bCs/>
          <w:i w:val="0"/>
          <w:iCs w:val="0"/>
          <w:sz w:val="18"/>
          <w:szCs w:val="18"/>
          <w:u w:val="single"/>
          <w:lang w:val="en-US" w:eastAsia="zh-CN"/>
        </w:rPr>
        <w:t>200</w:t>
      </w:r>
      <w:r>
        <w:rPr>
          <w:rFonts w:hint="eastAsia"/>
          <w:b/>
          <w:bCs/>
          <w:i w:val="0"/>
          <w:iCs w:val="0"/>
          <w:sz w:val="18"/>
          <w:szCs w:val="18"/>
          <w:u w:val="single"/>
          <w:lang w:eastAsia="zh-CN"/>
        </w:rPr>
        <w:t>毫克</w:t>
      </w:r>
      <w:r>
        <w:rPr>
          <w:rFonts w:hint="eastAsia"/>
          <w:b/>
          <w:bCs/>
          <w:i w:val="0"/>
          <w:iCs w:val="0"/>
          <w:sz w:val="18"/>
          <w:szCs w:val="18"/>
          <w:u w:val="single"/>
          <w:lang w:val="en-US" w:eastAsia="zh-CN"/>
        </w:rPr>
        <w:t>/立方米</w:t>
      </w:r>
      <w:r>
        <w:rPr>
          <w:b/>
          <w:bCs/>
          <w:i w:val="0"/>
          <w:iCs w:val="0"/>
          <w:sz w:val="18"/>
          <w:szCs w:val="18"/>
          <w:u w:val="single"/>
        </w:rPr>
        <w:t>，则S=</w:t>
      </w:r>
      <w:r>
        <w:rPr>
          <w:rFonts w:hint="eastAsia"/>
          <w:b/>
          <w:bCs/>
          <w:i w:val="0"/>
          <w:iCs w:val="0"/>
          <w:sz w:val="18"/>
          <w:szCs w:val="18"/>
          <w:u w:val="single"/>
          <w:lang w:val="en-US" w:eastAsia="zh-CN"/>
        </w:rPr>
        <w:t>200</w:t>
      </w:r>
      <w:r>
        <w:rPr>
          <w:b/>
          <w:bCs/>
          <w:i w:val="0"/>
          <w:iCs w:val="0"/>
          <w:sz w:val="18"/>
          <w:szCs w:val="18"/>
          <w:u w:val="single"/>
        </w:rPr>
        <w:t>。</w:t>
      </w:r>
      <w:r>
        <w:rPr>
          <w:rFonts w:hint="eastAsia"/>
          <w:b/>
          <w:bCs/>
          <w:i w:val="0"/>
          <w:iCs w:val="0"/>
          <w:sz w:val="18"/>
          <w:szCs w:val="18"/>
          <w:u w:val="single"/>
          <w:lang w:eastAsia="zh-CN"/>
        </w:rPr>
        <w:t>本</w:t>
      </w:r>
      <w:r>
        <w:rPr>
          <w:rFonts w:hint="default" w:ascii="Times New Roman" w:hAnsi="Times New Roman" w:eastAsia="宋体" w:cs="Times New Roman"/>
          <w:b/>
          <w:bCs/>
          <w:i w:val="0"/>
          <w:iCs w:val="0"/>
          <w:sz w:val="18"/>
          <w:szCs w:val="18"/>
          <w:u w:val="single"/>
          <w:lang w:eastAsia="zh-CN"/>
        </w:rPr>
        <w:t>项目使用的天然气质量符合《强制性国家标准&lt;天然气&gt;》(GB17820-2012）中规定的II类天然气标准，含硫率小于200mg/m</w:t>
      </w:r>
      <w:r>
        <w:rPr>
          <w:rFonts w:hint="default" w:ascii="Times New Roman" w:hAnsi="Times New Roman" w:eastAsia="宋体" w:cs="Times New Roman"/>
          <w:b/>
          <w:bCs/>
          <w:i w:val="0"/>
          <w:iCs w:val="0"/>
          <w:sz w:val="18"/>
          <w:szCs w:val="18"/>
          <w:u w:val="single"/>
          <w:vertAlign w:val="superscript"/>
          <w:lang w:eastAsia="zh-CN"/>
        </w:rPr>
        <w:t>3</w:t>
      </w:r>
      <w:r>
        <w:rPr>
          <w:rFonts w:hint="default" w:ascii="Times New Roman" w:hAnsi="Times New Roman" w:eastAsia="宋体" w:cs="Times New Roman"/>
          <w:b/>
          <w:bCs/>
          <w:i w:val="0"/>
          <w:iCs w:val="0"/>
          <w:sz w:val="18"/>
          <w:szCs w:val="18"/>
          <w:u w:val="single"/>
          <w:lang w:eastAsia="zh-CN"/>
        </w:rPr>
        <w:t>。本项目天然气含硫率按最不利的情况200mg/m</w:t>
      </w:r>
      <w:r>
        <w:rPr>
          <w:rFonts w:hint="default" w:ascii="Times New Roman" w:hAnsi="Times New Roman" w:eastAsia="宋体" w:cs="Times New Roman"/>
          <w:b/>
          <w:bCs/>
          <w:i w:val="0"/>
          <w:iCs w:val="0"/>
          <w:sz w:val="18"/>
          <w:szCs w:val="18"/>
          <w:u w:val="single"/>
          <w:vertAlign w:val="superscript"/>
          <w:lang w:eastAsia="zh-CN"/>
        </w:rPr>
        <w:t>3</w:t>
      </w:r>
      <w:r>
        <w:rPr>
          <w:rFonts w:hint="default" w:ascii="Times New Roman" w:hAnsi="Times New Roman" w:eastAsia="宋体" w:cs="Times New Roman"/>
          <w:b/>
          <w:bCs/>
          <w:i w:val="0"/>
          <w:iCs w:val="0"/>
          <w:sz w:val="18"/>
          <w:szCs w:val="18"/>
          <w:u w:val="single"/>
          <w:lang w:eastAsia="zh-CN"/>
        </w:rPr>
        <w:t>进行核算，即S=200</w:t>
      </w:r>
      <w:r>
        <w:rPr>
          <w:rFonts w:hint="eastAsia" w:ascii="Times New Roman" w:hAnsi="Times New Roman" w:eastAsia="宋体" w:cs="Times New Roman"/>
          <w:b/>
          <w:bCs/>
          <w:i w:val="0"/>
          <w:iCs w:val="0"/>
          <w:sz w:val="18"/>
          <w:szCs w:val="18"/>
          <w:u w:val="single"/>
          <w:lang w:val="en-US" w:eastAsia="zh-CN"/>
        </w:rPr>
        <w:t>。</w:t>
      </w:r>
    </w:p>
    <w:p>
      <w:pPr>
        <w:spacing w:line="360" w:lineRule="auto"/>
        <w:ind w:firstLine="480" w:firstLineChars="200"/>
        <w:rPr>
          <w:rFonts w:hint="default" w:ascii="Times New Roman" w:hAnsi="Times New Roman" w:eastAsia="宋体" w:cs="Times New Roman"/>
          <w:bCs/>
          <w:i w:val="0"/>
          <w:iCs w:val="0"/>
          <w:color w:val="000000"/>
          <w:u w:val="single"/>
          <w:lang w:val="en-US" w:eastAsia="zh-CN"/>
        </w:rPr>
      </w:pPr>
      <w:r>
        <w:rPr>
          <w:rFonts w:hint="default" w:ascii="Times New Roman" w:hAnsi="Times New Roman" w:eastAsia="宋体" w:cs="Times New Roman"/>
          <w:bCs/>
          <w:i w:val="0"/>
          <w:iCs w:val="0"/>
          <w:color w:val="000000"/>
          <w:u w:val="single"/>
          <w:lang w:eastAsia="zh-CN"/>
        </w:rPr>
        <w:t>项目</w:t>
      </w:r>
      <w:r>
        <w:rPr>
          <w:rFonts w:hint="eastAsia"/>
          <w:i w:val="0"/>
          <w:iCs w:val="0"/>
          <w:u w:val="single"/>
          <w:lang w:val="en-US" w:eastAsia="zh-CN"/>
        </w:rPr>
        <w:t>热风炉1</w:t>
      </w:r>
      <w:r>
        <w:rPr>
          <w:rFonts w:hint="eastAsia" w:ascii="Times New Roman" w:hAnsi="Times New Roman" w:eastAsia="宋体" w:cs="Times New Roman"/>
          <w:bCs/>
          <w:i w:val="0"/>
          <w:iCs w:val="0"/>
          <w:color w:val="000000"/>
          <w:u w:val="single"/>
          <w:lang w:eastAsia="zh-CN"/>
        </w:rPr>
        <w:t>天然气</w:t>
      </w:r>
      <w:r>
        <w:rPr>
          <w:rFonts w:hint="default" w:ascii="Times New Roman" w:hAnsi="Times New Roman" w:eastAsia="宋体" w:cs="Times New Roman"/>
          <w:bCs/>
          <w:i w:val="0"/>
          <w:iCs w:val="0"/>
          <w:color w:val="000000"/>
          <w:u w:val="single"/>
          <w:lang w:eastAsia="zh-CN"/>
        </w:rPr>
        <w:t>燃使用量约</w:t>
      </w:r>
      <w:r>
        <w:rPr>
          <w:rFonts w:hint="eastAsia" w:ascii="Times New Roman" w:hAnsi="Times New Roman" w:eastAsia="宋体" w:cs="Times New Roman"/>
          <w:bCs/>
          <w:i w:val="0"/>
          <w:iCs w:val="0"/>
          <w:color w:val="000000"/>
          <w:u w:val="single"/>
          <w:lang w:val="en-US" w:eastAsia="zh-CN"/>
        </w:rPr>
        <w:t>120万m</w:t>
      </w:r>
      <w:r>
        <w:rPr>
          <w:rFonts w:hint="eastAsia" w:ascii="Times New Roman" w:hAnsi="Times New Roman" w:eastAsia="宋体" w:cs="Times New Roman"/>
          <w:bCs/>
          <w:i w:val="0"/>
          <w:iCs w:val="0"/>
          <w:color w:val="000000"/>
          <w:u w:val="single"/>
          <w:vertAlign w:val="superscript"/>
          <w:lang w:val="en-US" w:eastAsia="zh-CN"/>
        </w:rPr>
        <w:t>3</w:t>
      </w:r>
      <w:r>
        <w:rPr>
          <w:rFonts w:hint="default" w:ascii="Times New Roman" w:hAnsi="Times New Roman" w:eastAsia="宋体" w:cs="Times New Roman"/>
          <w:bCs/>
          <w:i w:val="0"/>
          <w:iCs w:val="0"/>
          <w:color w:val="000000"/>
          <w:u w:val="single"/>
          <w:lang w:val="en-US" w:eastAsia="zh-CN"/>
        </w:rPr>
        <w:t>/a，则烟气产生量为</w:t>
      </w:r>
      <w:r>
        <w:rPr>
          <w:rFonts w:hint="eastAsia" w:ascii="Times New Roman" w:hAnsi="Times New Roman" w:eastAsia="宋体" w:cs="Times New Roman"/>
          <w:bCs/>
          <w:i w:val="0"/>
          <w:iCs w:val="0"/>
          <w:color w:val="000000"/>
          <w:u w:val="single"/>
          <w:lang w:val="en-US" w:eastAsia="zh-CN"/>
        </w:rPr>
        <w:t>129304万</w:t>
      </w:r>
      <w:r>
        <w:rPr>
          <w:rFonts w:hint="default" w:ascii="Times New Roman" w:hAnsi="Times New Roman" w:eastAsia="宋体" w:cs="Times New Roman"/>
          <w:bCs/>
          <w:i w:val="0"/>
          <w:iCs w:val="0"/>
          <w:color w:val="000000"/>
          <w:u w:val="single"/>
          <w:lang w:val="en-US" w:eastAsia="zh-CN"/>
        </w:rPr>
        <w:t>m</w:t>
      </w:r>
      <w:r>
        <w:rPr>
          <w:rFonts w:hint="default" w:ascii="Times New Roman" w:hAnsi="Times New Roman" w:eastAsia="宋体" w:cs="Times New Roman"/>
          <w:bCs/>
          <w:i w:val="0"/>
          <w:iCs w:val="0"/>
          <w:color w:val="000000"/>
          <w:u w:val="single"/>
          <w:vertAlign w:val="superscript"/>
          <w:lang w:val="en-US" w:eastAsia="zh-CN"/>
        </w:rPr>
        <w:t>3</w:t>
      </w:r>
      <w:r>
        <w:rPr>
          <w:rFonts w:hint="default" w:ascii="Times New Roman" w:hAnsi="Times New Roman" w:eastAsia="宋体" w:cs="Times New Roman"/>
          <w:bCs/>
          <w:i w:val="0"/>
          <w:iCs w:val="0"/>
          <w:color w:val="000000"/>
          <w:u w:val="single"/>
          <w:lang w:val="en-US" w:eastAsia="zh-CN"/>
        </w:rPr>
        <w:t>/a</w:t>
      </w:r>
      <w:r>
        <w:rPr>
          <w:rFonts w:hint="eastAsia" w:ascii="Times New Roman" w:hAnsi="Times New Roman" w:eastAsia="宋体" w:cs="Times New Roman"/>
          <w:bCs/>
          <w:i w:val="0"/>
          <w:iCs w:val="0"/>
          <w:color w:val="000000"/>
          <w:u w:val="single"/>
          <w:lang w:val="en-US" w:eastAsia="zh-CN"/>
        </w:rPr>
        <w:t>，</w:t>
      </w:r>
      <w:r>
        <w:rPr>
          <w:rFonts w:hint="default" w:ascii="Times New Roman" w:hAnsi="Times New Roman" w:eastAsia="宋体" w:cs="Times New Roman"/>
          <w:bCs/>
          <w:i w:val="0"/>
          <w:iCs w:val="0"/>
          <w:color w:val="000000"/>
          <w:u w:val="single"/>
          <w:lang w:val="en-US" w:eastAsia="zh-CN"/>
        </w:rPr>
        <w:t>各类污染物的产生量分别为SO</w:t>
      </w:r>
      <w:r>
        <w:rPr>
          <w:rFonts w:hint="default" w:ascii="Times New Roman" w:hAnsi="Times New Roman" w:eastAsia="宋体" w:cs="Times New Roman"/>
          <w:bCs/>
          <w:i w:val="0"/>
          <w:iCs w:val="0"/>
          <w:color w:val="000000"/>
          <w:u w:val="single"/>
          <w:vertAlign w:val="subscript"/>
          <w:lang w:val="en-US" w:eastAsia="zh-CN"/>
        </w:rPr>
        <w:t>2</w:t>
      </w:r>
      <w:r>
        <w:rPr>
          <w:rFonts w:hint="default" w:ascii="Times New Roman" w:hAnsi="Times New Roman" w:eastAsia="宋体" w:cs="Times New Roman"/>
          <w:bCs/>
          <w:i w:val="0"/>
          <w:iCs w:val="0"/>
          <w:color w:val="000000"/>
          <w:u w:val="single"/>
          <w:lang w:val="en-US" w:eastAsia="zh-CN"/>
        </w:rPr>
        <w:t>：0.</w:t>
      </w:r>
      <w:r>
        <w:rPr>
          <w:rFonts w:hint="eastAsia" w:ascii="Times New Roman" w:hAnsi="Times New Roman" w:eastAsia="宋体" w:cs="Times New Roman"/>
          <w:bCs/>
          <w:i w:val="0"/>
          <w:iCs w:val="0"/>
          <w:color w:val="000000"/>
          <w:u w:val="single"/>
          <w:lang w:val="en-US" w:eastAsia="zh-CN"/>
        </w:rPr>
        <w:t>48</w:t>
      </w:r>
      <w:r>
        <w:rPr>
          <w:rFonts w:hint="default" w:ascii="Times New Roman" w:hAnsi="Times New Roman" w:eastAsia="宋体" w:cs="Times New Roman"/>
          <w:bCs/>
          <w:i w:val="0"/>
          <w:iCs w:val="0"/>
          <w:color w:val="000000"/>
          <w:u w:val="single"/>
          <w:lang w:val="en-US" w:eastAsia="zh-CN"/>
        </w:rPr>
        <w:t>t/a</w:t>
      </w:r>
      <w:r>
        <w:rPr>
          <w:rFonts w:hint="eastAsia" w:ascii="Times New Roman" w:hAnsi="Times New Roman" w:eastAsia="宋体" w:cs="Times New Roman"/>
          <w:bCs/>
          <w:i w:val="0"/>
          <w:iCs w:val="0"/>
          <w:color w:val="000000"/>
          <w:u w:val="single"/>
          <w:lang w:val="en-US" w:eastAsia="zh-CN"/>
        </w:rPr>
        <w:t>、烟尘</w:t>
      </w:r>
      <w:r>
        <w:rPr>
          <w:rFonts w:hint="default" w:ascii="Times New Roman" w:hAnsi="Times New Roman" w:eastAsia="宋体" w:cs="Times New Roman"/>
          <w:bCs/>
          <w:i w:val="0"/>
          <w:iCs w:val="0"/>
          <w:color w:val="000000"/>
          <w:u w:val="single"/>
          <w:lang w:val="en-US" w:eastAsia="zh-CN"/>
        </w:rPr>
        <w:t>：0.</w:t>
      </w:r>
      <w:r>
        <w:rPr>
          <w:rFonts w:hint="eastAsia" w:ascii="Times New Roman" w:hAnsi="Times New Roman" w:eastAsia="宋体" w:cs="Times New Roman"/>
          <w:bCs/>
          <w:i w:val="0"/>
          <w:iCs w:val="0"/>
          <w:color w:val="000000"/>
          <w:u w:val="single"/>
          <w:lang w:val="en-US" w:eastAsia="zh-CN"/>
        </w:rPr>
        <w:t>343</w:t>
      </w:r>
      <w:r>
        <w:rPr>
          <w:rFonts w:hint="default" w:ascii="Times New Roman" w:hAnsi="Times New Roman" w:eastAsia="宋体" w:cs="Times New Roman"/>
          <w:bCs/>
          <w:i w:val="0"/>
          <w:iCs w:val="0"/>
          <w:color w:val="000000"/>
          <w:u w:val="single"/>
          <w:lang w:val="en-US" w:eastAsia="zh-CN"/>
        </w:rPr>
        <w:t>t/a</w:t>
      </w:r>
      <w:r>
        <w:rPr>
          <w:rFonts w:hint="eastAsia" w:ascii="Times New Roman" w:hAnsi="Times New Roman" w:eastAsia="宋体" w:cs="Times New Roman"/>
          <w:bCs/>
          <w:i w:val="0"/>
          <w:iCs w:val="0"/>
          <w:color w:val="000000"/>
          <w:u w:val="single"/>
          <w:lang w:val="en-US" w:eastAsia="zh-CN"/>
        </w:rPr>
        <w:t>、</w:t>
      </w:r>
      <w:r>
        <w:rPr>
          <w:rFonts w:hint="default" w:ascii="Times New Roman" w:hAnsi="Times New Roman" w:eastAsia="宋体" w:cs="Times New Roman"/>
          <w:bCs/>
          <w:i w:val="0"/>
          <w:iCs w:val="0"/>
          <w:color w:val="000000"/>
          <w:u w:val="single"/>
          <w:lang w:val="en-US" w:eastAsia="zh-CN"/>
        </w:rPr>
        <w:t>NO</w:t>
      </w:r>
      <w:r>
        <w:rPr>
          <w:rFonts w:hint="default" w:ascii="Times New Roman" w:hAnsi="Times New Roman" w:eastAsia="宋体" w:cs="Times New Roman"/>
          <w:bCs/>
          <w:i w:val="0"/>
          <w:iCs w:val="0"/>
          <w:color w:val="000000"/>
          <w:u w:val="single"/>
          <w:vertAlign w:val="subscript"/>
          <w:lang w:val="en-US" w:eastAsia="zh-CN"/>
        </w:rPr>
        <w:t>X</w:t>
      </w:r>
      <w:r>
        <w:rPr>
          <w:rFonts w:hint="default" w:ascii="Times New Roman" w:hAnsi="Times New Roman" w:eastAsia="宋体" w:cs="Times New Roman"/>
          <w:bCs/>
          <w:i w:val="0"/>
          <w:iCs w:val="0"/>
          <w:color w:val="000000"/>
          <w:u w:val="single"/>
          <w:lang w:val="en-US" w:eastAsia="zh-CN"/>
        </w:rPr>
        <w:t>：</w:t>
      </w:r>
      <w:r>
        <w:rPr>
          <w:rFonts w:hint="eastAsia" w:ascii="Times New Roman" w:hAnsi="Times New Roman" w:eastAsia="宋体" w:cs="Times New Roman"/>
          <w:bCs/>
          <w:i w:val="0"/>
          <w:iCs w:val="0"/>
          <w:color w:val="000000"/>
          <w:u w:val="single"/>
          <w:lang w:val="en-US" w:eastAsia="zh-CN"/>
        </w:rPr>
        <w:t>2.245</w:t>
      </w:r>
      <w:r>
        <w:rPr>
          <w:rFonts w:hint="default" w:ascii="Times New Roman" w:hAnsi="Times New Roman" w:eastAsia="宋体" w:cs="Times New Roman"/>
          <w:bCs/>
          <w:i w:val="0"/>
          <w:iCs w:val="0"/>
          <w:color w:val="000000"/>
          <w:u w:val="single"/>
          <w:lang w:val="en-US" w:eastAsia="zh-CN"/>
        </w:rPr>
        <w:t>t/a</w:t>
      </w:r>
      <w:r>
        <w:rPr>
          <w:rFonts w:hint="eastAsia" w:ascii="Times New Roman" w:hAnsi="Times New Roman" w:eastAsia="宋体" w:cs="Times New Roman"/>
          <w:bCs/>
          <w:i w:val="0"/>
          <w:iCs w:val="0"/>
          <w:color w:val="000000"/>
          <w:u w:val="single"/>
          <w:lang w:val="en-US" w:eastAsia="zh-CN"/>
        </w:rPr>
        <w:t>，通过旋风分离器（效率90%）分离后各类污染物排放量为</w:t>
      </w:r>
      <w:r>
        <w:rPr>
          <w:rFonts w:hint="default" w:ascii="Times New Roman" w:hAnsi="Times New Roman" w:eastAsia="宋体" w:cs="Times New Roman"/>
          <w:bCs/>
          <w:i w:val="0"/>
          <w:iCs w:val="0"/>
          <w:color w:val="000000"/>
          <w:u w:val="single"/>
          <w:lang w:val="en-US" w:eastAsia="zh-CN"/>
        </w:rPr>
        <w:t>SO</w:t>
      </w:r>
      <w:r>
        <w:rPr>
          <w:rFonts w:hint="default" w:ascii="Times New Roman" w:hAnsi="Times New Roman" w:eastAsia="宋体" w:cs="Times New Roman"/>
          <w:bCs/>
          <w:i w:val="0"/>
          <w:iCs w:val="0"/>
          <w:color w:val="000000"/>
          <w:u w:val="single"/>
          <w:vertAlign w:val="subscript"/>
          <w:lang w:val="en-US" w:eastAsia="zh-CN"/>
        </w:rPr>
        <w:t>2</w:t>
      </w:r>
      <w:r>
        <w:rPr>
          <w:rFonts w:hint="default" w:ascii="Times New Roman" w:hAnsi="Times New Roman" w:eastAsia="宋体" w:cs="Times New Roman"/>
          <w:bCs/>
          <w:i w:val="0"/>
          <w:iCs w:val="0"/>
          <w:color w:val="000000"/>
          <w:u w:val="single"/>
          <w:lang w:val="en-US" w:eastAsia="zh-CN"/>
        </w:rPr>
        <w:t>：0.</w:t>
      </w:r>
      <w:r>
        <w:rPr>
          <w:rFonts w:hint="eastAsia" w:ascii="Times New Roman" w:hAnsi="Times New Roman" w:eastAsia="宋体" w:cs="Times New Roman"/>
          <w:bCs/>
          <w:i w:val="0"/>
          <w:iCs w:val="0"/>
          <w:color w:val="000000"/>
          <w:u w:val="single"/>
          <w:lang w:val="en-US" w:eastAsia="zh-CN"/>
        </w:rPr>
        <w:t>48</w:t>
      </w:r>
      <w:r>
        <w:rPr>
          <w:rFonts w:hint="default" w:ascii="Times New Roman" w:hAnsi="Times New Roman" w:eastAsia="宋体" w:cs="Times New Roman"/>
          <w:bCs/>
          <w:i w:val="0"/>
          <w:iCs w:val="0"/>
          <w:color w:val="000000"/>
          <w:u w:val="single"/>
          <w:lang w:val="en-US" w:eastAsia="zh-CN"/>
        </w:rPr>
        <w:t>t/a</w:t>
      </w:r>
      <w:r>
        <w:rPr>
          <w:rFonts w:hint="eastAsia" w:ascii="Times New Roman" w:hAnsi="Times New Roman" w:eastAsia="宋体" w:cs="Times New Roman"/>
          <w:bCs/>
          <w:i w:val="0"/>
          <w:iCs w:val="0"/>
          <w:color w:val="000000"/>
          <w:u w:val="single"/>
          <w:lang w:val="en-US" w:eastAsia="zh-CN"/>
        </w:rPr>
        <w:t>、烟尘</w:t>
      </w:r>
      <w:r>
        <w:rPr>
          <w:rFonts w:hint="default" w:ascii="Times New Roman" w:hAnsi="Times New Roman" w:eastAsia="宋体" w:cs="Times New Roman"/>
          <w:bCs/>
          <w:i w:val="0"/>
          <w:iCs w:val="0"/>
          <w:color w:val="000000"/>
          <w:u w:val="single"/>
          <w:lang w:val="en-US" w:eastAsia="zh-CN"/>
        </w:rPr>
        <w:t>：</w:t>
      </w:r>
      <w:r>
        <w:rPr>
          <w:rFonts w:hint="eastAsia" w:ascii="Times New Roman" w:hAnsi="Times New Roman" w:eastAsia="宋体" w:cs="Times New Roman"/>
          <w:bCs/>
          <w:i w:val="0"/>
          <w:iCs w:val="0"/>
          <w:color w:val="000000"/>
          <w:u w:val="single"/>
          <w:lang w:val="en-US" w:eastAsia="zh-CN"/>
        </w:rPr>
        <w:t>0.0343</w:t>
      </w:r>
      <w:r>
        <w:rPr>
          <w:rFonts w:hint="default" w:ascii="Times New Roman" w:hAnsi="Times New Roman" w:eastAsia="宋体" w:cs="Times New Roman"/>
          <w:bCs/>
          <w:i w:val="0"/>
          <w:iCs w:val="0"/>
          <w:color w:val="000000"/>
          <w:u w:val="single"/>
          <w:lang w:val="en-US" w:eastAsia="zh-CN"/>
        </w:rPr>
        <w:t>t/a</w:t>
      </w:r>
      <w:r>
        <w:rPr>
          <w:rFonts w:hint="eastAsia" w:ascii="Times New Roman" w:hAnsi="Times New Roman" w:eastAsia="宋体" w:cs="Times New Roman"/>
          <w:bCs/>
          <w:i w:val="0"/>
          <w:iCs w:val="0"/>
          <w:color w:val="000000"/>
          <w:u w:val="single"/>
          <w:lang w:val="en-US" w:eastAsia="zh-CN"/>
        </w:rPr>
        <w:t>、</w:t>
      </w:r>
      <w:r>
        <w:rPr>
          <w:rFonts w:hint="default" w:ascii="Times New Roman" w:hAnsi="Times New Roman" w:eastAsia="宋体" w:cs="Times New Roman"/>
          <w:bCs/>
          <w:i w:val="0"/>
          <w:iCs w:val="0"/>
          <w:color w:val="000000"/>
          <w:u w:val="single"/>
          <w:lang w:val="en-US" w:eastAsia="zh-CN"/>
        </w:rPr>
        <w:t>NO</w:t>
      </w:r>
      <w:r>
        <w:rPr>
          <w:rFonts w:hint="default" w:ascii="Times New Roman" w:hAnsi="Times New Roman" w:eastAsia="宋体" w:cs="Times New Roman"/>
          <w:bCs/>
          <w:i w:val="0"/>
          <w:iCs w:val="0"/>
          <w:color w:val="000000"/>
          <w:u w:val="single"/>
          <w:vertAlign w:val="subscript"/>
          <w:lang w:val="en-US" w:eastAsia="zh-CN"/>
        </w:rPr>
        <w:t>X</w:t>
      </w:r>
      <w:r>
        <w:rPr>
          <w:rFonts w:hint="default" w:ascii="Times New Roman" w:hAnsi="Times New Roman" w:eastAsia="宋体" w:cs="Times New Roman"/>
          <w:bCs/>
          <w:i w:val="0"/>
          <w:iCs w:val="0"/>
          <w:color w:val="000000"/>
          <w:u w:val="single"/>
          <w:lang w:val="en-US" w:eastAsia="zh-CN"/>
        </w:rPr>
        <w:t>：</w:t>
      </w:r>
      <w:r>
        <w:rPr>
          <w:rFonts w:hint="eastAsia" w:ascii="Times New Roman" w:hAnsi="Times New Roman" w:eastAsia="宋体" w:cs="Times New Roman"/>
          <w:bCs/>
          <w:i w:val="0"/>
          <w:iCs w:val="0"/>
          <w:color w:val="000000"/>
          <w:u w:val="single"/>
          <w:lang w:val="en-US" w:eastAsia="zh-CN"/>
        </w:rPr>
        <w:t>2.245</w:t>
      </w:r>
      <w:r>
        <w:rPr>
          <w:rFonts w:hint="default" w:ascii="Times New Roman" w:hAnsi="Times New Roman" w:eastAsia="宋体" w:cs="Times New Roman"/>
          <w:bCs/>
          <w:i w:val="0"/>
          <w:iCs w:val="0"/>
          <w:color w:val="000000"/>
          <w:u w:val="single"/>
          <w:lang w:val="en-US" w:eastAsia="zh-CN"/>
        </w:rPr>
        <w:t>t/a</w:t>
      </w:r>
      <w:r>
        <w:rPr>
          <w:rFonts w:hint="eastAsia" w:ascii="Times New Roman" w:hAnsi="Times New Roman" w:eastAsia="宋体" w:cs="Times New Roman"/>
          <w:bCs/>
          <w:i w:val="0"/>
          <w:iCs w:val="0"/>
          <w:color w:val="000000"/>
          <w:u w:val="single"/>
          <w:lang w:val="en-US" w:eastAsia="zh-CN"/>
        </w:rPr>
        <w:t>。</w:t>
      </w:r>
    </w:p>
    <w:p>
      <w:pPr>
        <w:spacing w:line="360" w:lineRule="auto"/>
        <w:ind w:firstLine="480" w:firstLineChars="200"/>
        <w:rPr>
          <w:rFonts w:hint="eastAsia" w:ascii="Times New Roman" w:hAnsi="Times New Roman" w:eastAsia="宋体" w:cs="Times New Roman"/>
          <w:bCs/>
          <w:i w:val="0"/>
          <w:iCs w:val="0"/>
          <w:color w:val="000000"/>
          <w:u w:val="single"/>
          <w:lang w:val="en-US" w:eastAsia="zh-CN"/>
        </w:rPr>
      </w:pPr>
      <w:r>
        <w:rPr>
          <w:rFonts w:hint="eastAsia" w:ascii="Times New Roman" w:hAnsi="Times New Roman" w:eastAsia="宋体" w:cs="Times New Roman"/>
          <w:bCs/>
          <w:i w:val="0"/>
          <w:iCs w:val="0"/>
          <w:color w:val="000000"/>
          <w:u w:val="single"/>
          <w:lang w:val="en-US" w:eastAsia="zh-CN"/>
        </w:rPr>
        <w:t>（2）烘干粉尘</w:t>
      </w:r>
    </w:p>
    <w:p>
      <w:pPr>
        <w:spacing w:line="360" w:lineRule="auto"/>
        <w:ind w:firstLine="480" w:firstLineChars="200"/>
        <w:rPr>
          <w:rFonts w:hint="eastAsia" w:ascii="Times New Roman" w:hAnsi="Times New Roman" w:eastAsia="宋体" w:cs="Times New Roman"/>
          <w:bCs/>
          <w:i w:val="0"/>
          <w:iCs w:val="0"/>
          <w:color w:val="000000"/>
          <w:u w:val="single"/>
          <w:lang w:val="en-US" w:eastAsia="zh-CN"/>
        </w:rPr>
      </w:pPr>
      <w:r>
        <w:rPr>
          <w:rFonts w:hint="eastAsia"/>
          <w:i w:val="0"/>
          <w:iCs w:val="0"/>
          <w:u w:val="single"/>
        </w:rPr>
        <w:t>喷雾干燥塔1</w:t>
      </w:r>
      <w:r>
        <w:rPr>
          <w:rFonts w:hint="eastAsia" w:ascii="Times New Roman" w:hAnsi="Times New Roman" w:eastAsia="宋体" w:cs="Times New Roman"/>
          <w:bCs/>
          <w:i w:val="0"/>
          <w:iCs w:val="0"/>
          <w:color w:val="000000"/>
          <w:u w:val="single"/>
          <w:lang w:val="en-US" w:eastAsia="zh-CN"/>
        </w:rPr>
        <w:t>烘干红发夫酵母虾青素共计1111.1095t/a，烘干后由旋风分离器（效率90%）分离，分离后的10%红发夫酵母虾青素通过布袋除尘器处理（除尘效率99%），粉尘排放量为1.11t/a。</w:t>
      </w:r>
    </w:p>
    <w:p>
      <w:pPr>
        <w:spacing w:line="360" w:lineRule="auto"/>
        <w:ind w:firstLine="480" w:firstLineChars="200"/>
        <w:rPr>
          <w:rFonts w:hint="eastAsia"/>
          <w:i w:val="0"/>
          <w:iCs w:val="0"/>
          <w:color w:val="000000"/>
          <w:u w:val="single"/>
        </w:rPr>
      </w:pPr>
      <w:r>
        <w:rPr>
          <w:rFonts w:hint="eastAsia"/>
          <w:i w:val="0"/>
          <w:iCs w:val="0"/>
          <w:u w:val="single"/>
          <w:lang w:val="en-US" w:eastAsia="zh-CN"/>
        </w:rPr>
        <w:t>热风炉1烟气与</w:t>
      </w:r>
      <w:r>
        <w:rPr>
          <w:rFonts w:hint="eastAsia"/>
          <w:i w:val="0"/>
          <w:iCs w:val="0"/>
          <w:u w:val="single"/>
        </w:rPr>
        <w:t>喷雾干燥塔1</w:t>
      </w:r>
      <w:r>
        <w:rPr>
          <w:rFonts w:hint="eastAsia"/>
          <w:i w:val="0"/>
          <w:iCs w:val="0"/>
          <w:u w:val="single"/>
          <w:lang w:val="en-US" w:eastAsia="zh-CN"/>
        </w:rPr>
        <w:t>烘干粉尘经过布袋除尘器</w:t>
      </w:r>
      <w:r>
        <w:rPr>
          <w:rFonts w:hint="eastAsia"/>
          <w:i w:val="0"/>
          <w:iCs w:val="0"/>
          <w:u w:val="single"/>
          <w:vertAlign w:val="baseline"/>
          <w:lang w:val="en-US" w:eastAsia="zh-CN"/>
        </w:rPr>
        <w:t>（效率99%）</w:t>
      </w:r>
      <w:r>
        <w:rPr>
          <w:rFonts w:hint="eastAsia"/>
          <w:i w:val="0"/>
          <w:iCs w:val="0"/>
          <w:u w:val="single"/>
          <w:lang w:val="en-US" w:eastAsia="zh-CN"/>
        </w:rPr>
        <w:t>处理后由同一根15m高排气筒排放（DA003），粉尘（烟尘）：1.110343</w:t>
      </w:r>
      <w:r>
        <w:rPr>
          <w:rFonts w:hint="default" w:ascii="Times New Roman" w:hAnsi="Times New Roman" w:cs="Times New Roman"/>
          <w:i w:val="0"/>
          <w:iCs w:val="0"/>
          <w:u w:val="single"/>
          <w:lang w:val="en-US" w:eastAsia="zh-CN"/>
        </w:rPr>
        <w:t>t/a</w:t>
      </w:r>
      <w:r>
        <w:rPr>
          <w:rFonts w:hint="eastAsia" w:ascii="Times New Roman" w:hAnsi="Times New Roman" w:cs="Times New Roman"/>
          <w:i w:val="0"/>
          <w:iCs w:val="0"/>
          <w:u w:val="single"/>
          <w:lang w:val="en-US" w:eastAsia="zh-CN"/>
        </w:rPr>
        <w:t>、</w:t>
      </w:r>
      <w:r>
        <w:rPr>
          <w:rFonts w:hint="default" w:ascii="Times New Roman" w:hAnsi="Times New Roman" w:cs="Times New Roman"/>
          <w:i w:val="0"/>
          <w:iCs w:val="0"/>
          <w:u w:val="single"/>
          <w:lang w:val="en-US" w:eastAsia="zh-CN"/>
        </w:rPr>
        <w:t>SO</w:t>
      </w:r>
      <w:r>
        <w:rPr>
          <w:rFonts w:hint="default" w:ascii="Times New Roman" w:hAnsi="Times New Roman" w:cs="Times New Roman"/>
          <w:i w:val="0"/>
          <w:iCs w:val="0"/>
          <w:u w:val="single"/>
          <w:vertAlign w:val="subscript"/>
          <w:lang w:val="en-US" w:eastAsia="zh-CN"/>
        </w:rPr>
        <w:t>2</w:t>
      </w:r>
      <w:r>
        <w:rPr>
          <w:rFonts w:hint="default" w:ascii="Times New Roman" w:hAnsi="Times New Roman" w:cs="Times New Roman"/>
          <w:i w:val="0"/>
          <w:iCs w:val="0"/>
          <w:u w:val="single"/>
          <w:lang w:val="en-US" w:eastAsia="zh-CN"/>
        </w:rPr>
        <w:t>：0.</w:t>
      </w:r>
      <w:r>
        <w:rPr>
          <w:rFonts w:hint="eastAsia" w:cs="Times New Roman"/>
          <w:i w:val="0"/>
          <w:iCs w:val="0"/>
          <w:u w:val="single"/>
          <w:lang w:val="en-US" w:eastAsia="zh-CN"/>
        </w:rPr>
        <w:t>48</w:t>
      </w:r>
      <w:r>
        <w:rPr>
          <w:rFonts w:hint="default" w:ascii="Times New Roman" w:hAnsi="Times New Roman" w:cs="Times New Roman"/>
          <w:i w:val="0"/>
          <w:iCs w:val="0"/>
          <w:u w:val="single"/>
          <w:lang w:val="en-US" w:eastAsia="zh-CN"/>
        </w:rPr>
        <w:t>t/a</w:t>
      </w:r>
      <w:r>
        <w:rPr>
          <w:rFonts w:hint="eastAsia" w:ascii="Times New Roman" w:hAnsi="Times New Roman" w:cs="Times New Roman"/>
          <w:i w:val="0"/>
          <w:iCs w:val="0"/>
          <w:u w:val="single"/>
          <w:lang w:val="en-US" w:eastAsia="zh-CN"/>
        </w:rPr>
        <w:t>、</w:t>
      </w:r>
      <w:r>
        <w:rPr>
          <w:rFonts w:hint="default" w:ascii="Times New Roman" w:hAnsi="Times New Roman" w:cs="Times New Roman"/>
          <w:i w:val="0"/>
          <w:iCs w:val="0"/>
          <w:u w:val="single"/>
          <w:lang w:val="en-US" w:eastAsia="zh-CN"/>
        </w:rPr>
        <w:t>NO</w:t>
      </w:r>
      <w:r>
        <w:rPr>
          <w:rFonts w:hint="default" w:ascii="Times New Roman" w:hAnsi="Times New Roman" w:cs="Times New Roman"/>
          <w:i w:val="0"/>
          <w:iCs w:val="0"/>
          <w:u w:val="single"/>
          <w:vertAlign w:val="subscript"/>
          <w:lang w:val="en-US" w:eastAsia="zh-CN"/>
        </w:rPr>
        <w:t>X</w:t>
      </w:r>
      <w:r>
        <w:rPr>
          <w:rFonts w:hint="default" w:ascii="Times New Roman" w:hAnsi="Times New Roman" w:cs="Times New Roman"/>
          <w:i w:val="0"/>
          <w:iCs w:val="0"/>
          <w:u w:val="single"/>
          <w:lang w:val="en-US" w:eastAsia="zh-CN"/>
        </w:rPr>
        <w:t>：</w:t>
      </w:r>
      <w:r>
        <w:rPr>
          <w:rFonts w:hint="eastAsia" w:cs="Times New Roman"/>
          <w:i w:val="0"/>
          <w:iCs w:val="0"/>
          <w:u w:val="single"/>
          <w:lang w:val="en-US" w:eastAsia="zh-CN"/>
        </w:rPr>
        <w:t>2.245</w:t>
      </w:r>
      <w:r>
        <w:rPr>
          <w:rFonts w:hint="default" w:ascii="Times New Roman" w:hAnsi="Times New Roman" w:cs="Times New Roman"/>
          <w:i w:val="0"/>
          <w:iCs w:val="0"/>
          <w:u w:val="single"/>
          <w:lang w:val="en-US" w:eastAsia="zh-CN"/>
        </w:rPr>
        <w:t>t/a</w:t>
      </w:r>
      <w:r>
        <w:rPr>
          <w:rFonts w:hint="eastAsia" w:ascii="Times New Roman" w:hAnsi="Times New Roman" w:cs="Times New Roman"/>
          <w:i w:val="0"/>
          <w:iCs w:val="0"/>
          <w:u w:val="single"/>
          <w:lang w:val="en-US" w:eastAsia="zh-CN"/>
        </w:rPr>
        <w:t>。</w:t>
      </w:r>
      <w:r>
        <w:rPr>
          <w:rFonts w:hint="eastAsia"/>
          <w:i w:val="0"/>
          <w:iCs w:val="0"/>
          <w:u w:val="single"/>
          <w:lang w:val="en-US" w:eastAsia="zh-CN"/>
        </w:rPr>
        <w:t>风量为20000m</w:t>
      </w:r>
      <w:r>
        <w:rPr>
          <w:rFonts w:hint="eastAsia"/>
          <w:i w:val="0"/>
          <w:iCs w:val="0"/>
          <w:u w:val="single"/>
          <w:vertAlign w:val="superscript"/>
          <w:lang w:val="en-US" w:eastAsia="zh-CN"/>
        </w:rPr>
        <w:t>3</w:t>
      </w:r>
      <w:r>
        <w:rPr>
          <w:rFonts w:hint="eastAsia"/>
          <w:i w:val="0"/>
          <w:iCs w:val="0"/>
          <w:u w:val="single"/>
          <w:lang w:val="en-US" w:eastAsia="zh-CN"/>
        </w:rPr>
        <w:t>/h，则粉尘（烟尘）排放浓度为11.1mg/m</w:t>
      </w:r>
      <w:r>
        <w:rPr>
          <w:rFonts w:hint="eastAsia"/>
          <w:i w:val="0"/>
          <w:iCs w:val="0"/>
          <w:u w:val="single"/>
          <w:vertAlign w:val="superscript"/>
          <w:lang w:val="en-US" w:eastAsia="zh-CN"/>
        </w:rPr>
        <w:t>3</w:t>
      </w:r>
      <w:r>
        <w:rPr>
          <w:rFonts w:hint="eastAsia"/>
          <w:i w:val="0"/>
          <w:iCs w:val="0"/>
          <w:u w:val="single"/>
          <w:vertAlign w:val="baseline"/>
          <w:lang w:val="en-US" w:eastAsia="zh-CN"/>
        </w:rPr>
        <w:t>，速率为0.222kg/h，满足</w:t>
      </w:r>
      <w:r>
        <w:rPr>
          <w:rFonts w:hint="eastAsia" w:ascii="Times New Roman" w:hAnsi="Times New Roman" w:eastAsia="宋体" w:cs="Times New Roman"/>
          <w:i w:val="0"/>
          <w:iCs w:val="0"/>
          <w:u w:val="single"/>
          <w:lang w:val="en-US" w:eastAsia="zh-CN"/>
        </w:rPr>
        <w:t>《大气污染物综合排放标准》（GB16297-1996）中表2颗粒物排放限值（120</w:t>
      </w:r>
      <w:r>
        <w:rPr>
          <w:rFonts w:hint="eastAsia"/>
          <w:i w:val="0"/>
          <w:iCs w:val="0"/>
          <w:u w:val="single"/>
          <w:lang w:val="en-US" w:eastAsia="zh-CN"/>
        </w:rPr>
        <w:t>mg/m</w:t>
      </w:r>
      <w:r>
        <w:rPr>
          <w:rFonts w:hint="eastAsia"/>
          <w:i w:val="0"/>
          <w:iCs w:val="0"/>
          <w:u w:val="single"/>
          <w:vertAlign w:val="superscript"/>
          <w:lang w:val="en-US" w:eastAsia="zh-CN"/>
        </w:rPr>
        <w:t>3</w:t>
      </w:r>
      <w:r>
        <w:rPr>
          <w:rFonts w:hint="eastAsia" w:ascii="Times New Roman" w:hAnsi="Times New Roman" w:eastAsia="宋体" w:cs="Times New Roman"/>
          <w:i w:val="0"/>
          <w:iCs w:val="0"/>
          <w:u w:val="single"/>
          <w:lang w:val="en-US" w:eastAsia="zh-CN"/>
        </w:rPr>
        <w:t>）；</w:t>
      </w:r>
      <w:r>
        <w:rPr>
          <w:rFonts w:hint="default" w:ascii="Times New Roman" w:hAnsi="Times New Roman" w:cs="Times New Roman"/>
          <w:i w:val="0"/>
          <w:iCs w:val="0"/>
          <w:u w:val="single"/>
          <w:lang w:val="en-US" w:eastAsia="zh-CN"/>
        </w:rPr>
        <w:t>SO</w:t>
      </w:r>
      <w:r>
        <w:rPr>
          <w:rFonts w:hint="default" w:ascii="Times New Roman" w:hAnsi="Times New Roman" w:cs="Times New Roman"/>
          <w:i w:val="0"/>
          <w:iCs w:val="0"/>
          <w:u w:val="single"/>
          <w:vertAlign w:val="subscript"/>
          <w:lang w:val="en-US" w:eastAsia="zh-CN"/>
        </w:rPr>
        <w:t>2</w:t>
      </w:r>
      <w:r>
        <w:rPr>
          <w:rFonts w:hint="eastAsia" w:ascii="Times New Roman" w:hAnsi="Times New Roman" w:cs="Times New Roman"/>
          <w:i w:val="0"/>
          <w:iCs w:val="0"/>
          <w:u w:val="single"/>
          <w:vertAlign w:val="baseline"/>
          <w:lang w:val="en-US" w:eastAsia="zh-CN"/>
        </w:rPr>
        <w:t>排放浓度为</w:t>
      </w:r>
      <w:r>
        <w:rPr>
          <w:rFonts w:hint="eastAsia" w:cs="Times New Roman"/>
          <w:i w:val="0"/>
          <w:iCs w:val="0"/>
          <w:u w:val="single"/>
          <w:vertAlign w:val="baseline"/>
          <w:lang w:val="en-US" w:eastAsia="zh-CN"/>
        </w:rPr>
        <w:t>4.8</w:t>
      </w:r>
      <w:r>
        <w:rPr>
          <w:rFonts w:hint="eastAsia"/>
          <w:i w:val="0"/>
          <w:iCs w:val="0"/>
          <w:u w:val="single"/>
          <w:lang w:val="en-US" w:eastAsia="zh-CN"/>
        </w:rPr>
        <w:t>mg/m</w:t>
      </w:r>
      <w:r>
        <w:rPr>
          <w:rFonts w:hint="eastAsia"/>
          <w:i w:val="0"/>
          <w:iCs w:val="0"/>
          <w:u w:val="single"/>
          <w:vertAlign w:val="superscript"/>
          <w:lang w:val="en-US" w:eastAsia="zh-CN"/>
        </w:rPr>
        <w:t>3</w:t>
      </w:r>
      <w:r>
        <w:rPr>
          <w:rFonts w:hint="eastAsia"/>
          <w:i w:val="0"/>
          <w:iCs w:val="0"/>
          <w:u w:val="single"/>
          <w:vertAlign w:val="baseline"/>
          <w:lang w:val="en-US" w:eastAsia="zh-CN"/>
        </w:rPr>
        <w:t>，速率为0.096kg/h，</w:t>
      </w:r>
      <w:r>
        <w:rPr>
          <w:rFonts w:hint="default" w:ascii="Times New Roman" w:hAnsi="Times New Roman" w:cs="Times New Roman"/>
          <w:i w:val="0"/>
          <w:iCs w:val="0"/>
          <w:u w:val="single"/>
          <w:lang w:val="en-US" w:eastAsia="zh-CN"/>
        </w:rPr>
        <w:t>NO</w:t>
      </w:r>
      <w:r>
        <w:rPr>
          <w:rFonts w:hint="default" w:ascii="Times New Roman" w:hAnsi="Times New Roman" w:cs="Times New Roman"/>
          <w:i w:val="0"/>
          <w:iCs w:val="0"/>
          <w:u w:val="single"/>
          <w:vertAlign w:val="subscript"/>
          <w:lang w:val="en-US" w:eastAsia="zh-CN"/>
        </w:rPr>
        <w:t>X</w:t>
      </w:r>
      <w:r>
        <w:rPr>
          <w:rFonts w:hint="eastAsia" w:ascii="Times New Roman" w:hAnsi="Times New Roman" w:cs="Times New Roman"/>
          <w:i w:val="0"/>
          <w:iCs w:val="0"/>
          <w:u w:val="single"/>
          <w:vertAlign w:val="baseline"/>
          <w:lang w:val="en-US" w:eastAsia="zh-CN"/>
        </w:rPr>
        <w:t>排放浓度为</w:t>
      </w:r>
      <w:r>
        <w:rPr>
          <w:rFonts w:hint="eastAsia" w:cs="Times New Roman"/>
          <w:i w:val="0"/>
          <w:iCs w:val="0"/>
          <w:u w:val="single"/>
          <w:vertAlign w:val="baseline"/>
          <w:lang w:val="en-US" w:eastAsia="zh-CN"/>
        </w:rPr>
        <w:t>22.45</w:t>
      </w:r>
      <w:r>
        <w:rPr>
          <w:rFonts w:hint="eastAsia"/>
          <w:i w:val="0"/>
          <w:iCs w:val="0"/>
          <w:u w:val="single"/>
          <w:lang w:val="en-US" w:eastAsia="zh-CN"/>
        </w:rPr>
        <w:t>mg/m</w:t>
      </w:r>
      <w:r>
        <w:rPr>
          <w:rFonts w:hint="eastAsia"/>
          <w:i w:val="0"/>
          <w:iCs w:val="0"/>
          <w:u w:val="single"/>
          <w:vertAlign w:val="superscript"/>
          <w:lang w:val="en-US" w:eastAsia="zh-CN"/>
        </w:rPr>
        <w:t>3</w:t>
      </w:r>
      <w:r>
        <w:rPr>
          <w:rFonts w:hint="eastAsia"/>
          <w:i w:val="0"/>
          <w:iCs w:val="0"/>
          <w:u w:val="single"/>
          <w:vertAlign w:val="baseline"/>
          <w:lang w:val="en-US" w:eastAsia="zh-CN"/>
        </w:rPr>
        <w:t>，速率为0.449kg/h。</w:t>
      </w:r>
      <w:r>
        <w:rPr>
          <w:rFonts w:hint="default" w:ascii="Times New Roman" w:hAnsi="Times New Roman" w:cs="Times New Roman"/>
          <w:i w:val="0"/>
          <w:iCs w:val="0"/>
          <w:u w:val="single"/>
          <w:lang w:val="en-US" w:eastAsia="zh-CN"/>
        </w:rPr>
        <w:t>SO</w:t>
      </w:r>
      <w:r>
        <w:rPr>
          <w:rFonts w:hint="default" w:ascii="Times New Roman" w:hAnsi="Times New Roman" w:cs="Times New Roman"/>
          <w:i w:val="0"/>
          <w:iCs w:val="0"/>
          <w:u w:val="single"/>
          <w:vertAlign w:val="subscript"/>
          <w:lang w:val="en-US" w:eastAsia="zh-CN"/>
        </w:rPr>
        <w:t>2</w:t>
      </w:r>
      <w:r>
        <w:rPr>
          <w:rFonts w:hint="eastAsia" w:ascii="Times New Roman" w:hAnsi="Times New Roman" w:cs="Times New Roman"/>
          <w:i w:val="0"/>
          <w:iCs w:val="0"/>
          <w:u w:val="single"/>
          <w:vertAlign w:val="baseline"/>
          <w:lang w:val="en-US" w:eastAsia="zh-CN"/>
        </w:rPr>
        <w:t>和</w:t>
      </w:r>
      <w:r>
        <w:rPr>
          <w:rFonts w:hint="default" w:ascii="Times New Roman" w:hAnsi="Times New Roman" w:cs="Times New Roman"/>
          <w:i w:val="0"/>
          <w:iCs w:val="0"/>
          <w:u w:val="single"/>
          <w:lang w:val="en-US" w:eastAsia="zh-CN"/>
        </w:rPr>
        <w:t>NO</w:t>
      </w:r>
      <w:r>
        <w:rPr>
          <w:rFonts w:hint="default" w:ascii="Times New Roman" w:hAnsi="Times New Roman" w:cs="Times New Roman"/>
          <w:i w:val="0"/>
          <w:iCs w:val="0"/>
          <w:u w:val="single"/>
          <w:vertAlign w:val="subscript"/>
          <w:lang w:val="en-US" w:eastAsia="zh-CN"/>
        </w:rPr>
        <w:t>X</w:t>
      </w:r>
      <w:r>
        <w:rPr>
          <w:rFonts w:hint="eastAsia"/>
          <w:i w:val="0"/>
          <w:iCs w:val="0"/>
          <w:u w:val="single"/>
          <w:vertAlign w:val="baseline"/>
          <w:lang w:val="en-US" w:eastAsia="zh-CN"/>
        </w:rPr>
        <w:t>满足</w:t>
      </w:r>
      <w:r>
        <w:rPr>
          <w:rFonts w:hint="eastAsia"/>
          <w:i w:val="0"/>
          <w:iCs w:val="0"/>
          <w:u w:val="single"/>
          <w:lang w:eastAsia="zh-CN"/>
        </w:rPr>
        <w:t>《锅炉大气污染物排放标准》（</w:t>
      </w:r>
      <w:r>
        <w:rPr>
          <w:rFonts w:hint="eastAsia"/>
          <w:i w:val="0"/>
          <w:iCs w:val="0"/>
          <w:u w:val="single"/>
          <w:lang w:val="en-US" w:eastAsia="zh-CN"/>
        </w:rPr>
        <w:t>GB13271-2014)表2新建锅炉大气污染物排放限值。</w:t>
      </w:r>
    </w:p>
    <w:p>
      <w:pPr>
        <w:spacing w:line="360" w:lineRule="auto"/>
        <w:ind w:firstLine="480" w:firstLineChars="200"/>
        <w:rPr>
          <w:rFonts w:hint="eastAsia"/>
          <w:i w:val="0"/>
          <w:iCs w:val="0"/>
          <w:u w:val="single"/>
        </w:rPr>
      </w:pPr>
      <w:r>
        <w:rPr>
          <w:rFonts w:hint="eastAsia"/>
          <w:i w:val="0"/>
          <w:iCs w:val="0"/>
          <w:u w:val="single"/>
          <w:lang w:val="en-US" w:eastAsia="zh-CN"/>
        </w:rPr>
        <w:t>4</w:t>
      </w:r>
      <w:r>
        <w:rPr>
          <w:rFonts w:hint="eastAsia"/>
          <w:i w:val="0"/>
          <w:iCs w:val="0"/>
          <w:u w:val="single"/>
        </w:rPr>
        <w:t>、</w:t>
      </w:r>
      <w:r>
        <w:rPr>
          <w:rFonts w:hint="eastAsia"/>
          <w:i w:val="0"/>
          <w:iCs w:val="0"/>
          <w:u w:val="single"/>
          <w:lang w:val="en-US" w:eastAsia="zh-CN"/>
        </w:rPr>
        <w:t>热风炉2烟气及</w:t>
      </w:r>
      <w:r>
        <w:rPr>
          <w:rFonts w:hint="eastAsia"/>
          <w:i w:val="0"/>
          <w:iCs w:val="0"/>
          <w:u w:val="single"/>
        </w:rPr>
        <w:t>喷雾干燥塔</w:t>
      </w:r>
      <w:r>
        <w:rPr>
          <w:rFonts w:hint="eastAsia"/>
          <w:i w:val="0"/>
          <w:iCs w:val="0"/>
          <w:u w:val="single"/>
          <w:lang w:val="en-US" w:eastAsia="zh-CN"/>
        </w:rPr>
        <w:t>2</w:t>
      </w:r>
      <w:r>
        <w:rPr>
          <w:rFonts w:hint="eastAsia"/>
          <w:i w:val="0"/>
          <w:iCs w:val="0"/>
          <w:u w:val="single"/>
        </w:rPr>
        <w:t>喷雾干燥废气</w:t>
      </w:r>
    </w:p>
    <w:p>
      <w:pPr>
        <w:snapToGrid w:val="0"/>
        <w:spacing w:line="360" w:lineRule="auto"/>
        <w:ind w:firstLine="480" w:firstLineChars="200"/>
        <w:rPr>
          <w:rFonts w:hint="eastAsia" w:ascii="Times New Roman" w:hAnsi="Times New Roman" w:eastAsia="宋体" w:cs="Times New Roman"/>
          <w:i w:val="0"/>
          <w:iCs w:val="0"/>
          <w:u w:val="single"/>
          <w:lang w:val="en-US" w:eastAsia="zh-CN"/>
        </w:rPr>
      </w:pPr>
      <w:r>
        <w:rPr>
          <w:rFonts w:hint="eastAsia" w:ascii="Times New Roman" w:hAnsi="Times New Roman" w:eastAsia="宋体" w:cs="Times New Roman"/>
          <w:i w:val="0"/>
          <w:iCs w:val="0"/>
          <w:u w:val="single"/>
          <w:lang w:val="en-US" w:eastAsia="zh-CN"/>
        </w:rPr>
        <w:t>（1）热风炉烟气</w:t>
      </w:r>
    </w:p>
    <w:p>
      <w:pPr>
        <w:snapToGrid w:val="0"/>
        <w:spacing w:line="360" w:lineRule="auto"/>
        <w:ind w:firstLine="480" w:firstLineChars="200"/>
        <w:rPr>
          <w:rFonts w:hint="default" w:ascii="Times New Roman" w:hAnsi="Times New Roman" w:eastAsia="宋体" w:cs="Times New Roman"/>
          <w:i w:val="0"/>
          <w:iCs w:val="0"/>
          <w:u w:val="single"/>
          <w:lang w:val="en-US" w:eastAsia="zh-CN"/>
        </w:rPr>
      </w:pPr>
      <w:r>
        <w:rPr>
          <w:rFonts w:hint="eastAsia" w:ascii="Times New Roman" w:hAnsi="Times New Roman" w:eastAsia="宋体" w:cs="Times New Roman"/>
          <w:i w:val="0"/>
          <w:iCs w:val="0"/>
          <w:u w:val="single"/>
        </w:rPr>
        <w:t>参照</w:t>
      </w:r>
      <w:r>
        <w:rPr>
          <w:rFonts w:hint="eastAsia" w:ascii="Times New Roman" w:hAnsi="Times New Roman" w:eastAsia="宋体" w:cs="Times New Roman"/>
          <w:i w:val="0"/>
          <w:iCs w:val="0"/>
          <w:u w:val="single"/>
          <w:lang w:val="en-US" w:eastAsia="zh-CN"/>
        </w:rPr>
        <w:t>《</w:t>
      </w:r>
      <w:r>
        <w:rPr>
          <w:rFonts w:hint="eastAsia" w:ascii="Times New Roman" w:hAnsi="Times New Roman" w:eastAsia="宋体" w:cs="Times New Roman"/>
          <w:i w:val="0"/>
          <w:iCs w:val="0"/>
          <w:u w:val="single"/>
        </w:rPr>
        <w:t>第</w:t>
      </w:r>
      <w:r>
        <w:rPr>
          <w:rFonts w:hint="eastAsia" w:ascii="Times New Roman" w:hAnsi="Times New Roman" w:eastAsia="宋体" w:cs="Times New Roman"/>
          <w:i w:val="0"/>
          <w:iCs w:val="0"/>
          <w:u w:val="single"/>
          <w:lang w:eastAsia="zh-CN"/>
        </w:rPr>
        <w:t>二</w:t>
      </w:r>
      <w:r>
        <w:rPr>
          <w:rFonts w:hint="eastAsia" w:ascii="Times New Roman" w:hAnsi="Times New Roman" w:eastAsia="宋体" w:cs="Times New Roman"/>
          <w:i w:val="0"/>
          <w:iCs w:val="0"/>
          <w:u w:val="single"/>
        </w:rPr>
        <w:t>次全国污染源普查工业污染源产排污系数手册</w:t>
      </w:r>
      <w:r>
        <w:rPr>
          <w:rFonts w:hint="eastAsia" w:ascii="Times New Roman" w:hAnsi="Times New Roman" w:eastAsia="宋体" w:cs="Times New Roman"/>
          <w:i w:val="0"/>
          <w:iCs w:val="0"/>
          <w:u w:val="single"/>
          <w:lang w:val="en-US" w:eastAsia="zh-CN"/>
        </w:rPr>
        <w:t>》及《排污许可证申请与核发技术规范锅炉》（HJ953-2018）可知，燃气工业锅炉产排污系数表如下。</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i w:val="0"/>
          <w:iCs w:val="0"/>
          <w:u w:val="single"/>
          <w:lang w:val="en-US" w:eastAsia="zh-CN"/>
        </w:rPr>
      </w:pPr>
      <w:r>
        <w:rPr>
          <w:rFonts w:hint="eastAsia"/>
          <w:b/>
          <w:bCs/>
          <w:i w:val="0"/>
          <w:iCs w:val="0"/>
          <w:u w:val="single"/>
          <w:lang w:val="en-US" w:eastAsia="zh-CN"/>
        </w:rPr>
        <w:t>表3-31 天然气工业锅炉产排污系数表</w:t>
      </w:r>
    </w:p>
    <w:tbl>
      <w:tblPr>
        <w:tblStyle w:val="59"/>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2"/>
        <w:gridCol w:w="1308"/>
        <w:gridCol w:w="1650"/>
        <w:gridCol w:w="3308"/>
        <w:gridCol w:w="190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5" w:type="pct"/>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sz w:val="21"/>
                <w:szCs w:val="21"/>
                <w:u w:val="single"/>
                <w:lang w:val="en-US" w:eastAsia="zh-CN"/>
              </w:rPr>
            </w:pPr>
            <w:r>
              <w:rPr>
                <w:rFonts w:hint="eastAsia"/>
                <w:i w:val="0"/>
                <w:iCs w:val="0"/>
                <w:sz w:val="21"/>
                <w:szCs w:val="21"/>
                <w:u w:val="single"/>
                <w:lang w:val="en-US" w:eastAsia="zh-CN"/>
              </w:rPr>
              <w:t>原料名称</w:t>
            </w:r>
          </w:p>
        </w:tc>
        <w:tc>
          <w:tcPr>
            <w:tcW w:w="687" w:type="pct"/>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sz w:val="21"/>
                <w:szCs w:val="21"/>
                <w:u w:val="single"/>
                <w:lang w:val="en-US" w:eastAsia="zh-CN"/>
              </w:rPr>
            </w:pPr>
            <w:r>
              <w:rPr>
                <w:rFonts w:hint="eastAsia"/>
                <w:i w:val="0"/>
                <w:iCs w:val="0"/>
                <w:sz w:val="21"/>
                <w:szCs w:val="21"/>
                <w:u w:val="single"/>
                <w:lang w:val="en-US" w:eastAsia="zh-CN"/>
              </w:rPr>
              <w:t>规模等级</w:t>
            </w:r>
          </w:p>
        </w:tc>
        <w:tc>
          <w:tcPr>
            <w:tcW w:w="867" w:type="pct"/>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sz w:val="21"/>
                <w:szCs w:val="21"/>
                <w:u w:val="single"/>
                <w:lang w:val="en-US" w:eastAsia="zh-CN"/>
              </w:rPr>
            </w:pPr>
            <w:r>
              <w:rPr>
                <w:rFonts w:hint="eastAsia"/>
                <w:i w:val="0"/>
                <w:iCs w:val="0"/>
                <w:sz w:val="21"/>
                <w:szCs w:val="21"/>
                <w:u w:val="single"/>
                <w:lang w:val="en-US" w:eastAsia="zh-CN"/>
              </w:rPr>
              <w:t>污染物指标</w:t>
            </w:r>
          </w:p>
        </w:tc>
        <w:tc>
          <w:tcPr>
            <w:tcW w:w="1738" w:type="pct"/>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sz w:val="21"/>
                <w:szCs w:val="21"/>
                <w:u w:val="single"/>
                <w:lang w:val="en-US" w:eastAsia="zh-CN"/>
              </w:rPr>
            </w:pPr>
            <w:r>
              <w:rPr>
                <w:rFonts w:hint="eastAsia"/>
                <w:i w:val="0"/>
                <w:iCs w:val="0"/>
                <w:sz w:val="21"/>
                <w:szCs w:val="21"/>
                <w:u w:val="single"/>
                <w:lang w:val="en-US" w:eastAsia="zh-CN"/>
              </w:rPr>
              <w:t>单位</w:t>
            </w:r>
          </w:p>
        </w:tc>
        <w:tc>
          <w:tcPr>
            <w:tcW w:w="1000" w:type="pct"/>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sz w:val="21"/>
                <w:szCs w:val="21"/>
                <w:u w:val="single"/>
                <w:lang w:val="en-US" w:eastAsia="zh-CN"/>
              </w:rPr>
            </w:pPr>
            <w:r>
              <w:rPr>
                <w:rFonts w:hint="eastAsia"/>
                <w:i w:val="0"/>
                <w:iCs w:val="0"/>
                <w:sz w:val="21"/>
                <w:szCs w:val="21"/>
                <w:u w:val="single"/>
                <w:lang w:val="en-US" w:eastAsia="zh-CN"/>
              </w:rPr>
              <w:t>产污系数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5" w:type="pct"/>
            <w:vMerge w:val="restar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i w:val="0"/>
                <w:iCs w:val="0"/>
                <w:sz w:val="21"/>
                <w:szCs w:val="21"/>
                <w:u w:val="single"/>
                <w:lang w:val="en-US" w:eastAsia="zh-CN"/>
              </w:rPr>
            </w:pPr>
            <w:r>
              <w:rPr>
                <w:rFonts w:hint="eastAsia"/>
                <w:i w:val="0"/>
                <w:iCs w:val="0"/>
                <w:sz w:val="21"/>
                <w:szCs w:val="21"/>
                <w:u w:val="single"/>
                <w:lang w:val="en-US" w:eastAsia="zh-CN"/>
              </w:rPr>
              <w:t>天然气</w:t>
            </w:r>
          </w:p>
        </w:tc>
        <w:tc>
          <w:tcPr>
            <w:tcW w:w="687" w:type="pct"/>
            <w:vMerge w:val="restar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i w:val="0"/>
                <w:iCs w:val="0"/>
                <w:sz w:val="21"/>
                <w:szCs w:val="21"/>
                <w:u w:val="single"/>
                <w:lang w:val="en-US" w:eastAsia="zh-CN"/>
              </w:rPr>
            </w:pPr>
            <w:r>
              <w:rPr>
                <w:rFonts w:hint="eastAsia"/>
                <w:i w:val="0"/>
                <w:iCs w:val="0"/>
                <w:sz w:val="21"/>
                <w:szCs w:val="21"/>
                <w:u w:val="single"/>
                <w:lang w:val="en-US" w:eastAsia="zh-CN"/>
              </w:rPr>
              <w:t>所有规模</w:t>
            </w:r>
          </w:p>
        </w:tc>
        <w:tc>
          <w:tcPr>
            <w:tcW w:w="8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sz w:val="21"/>
                <w:szCs w:val="21"/>
                <w:u w:val="single"/>
                <w:lang w:val="en-US" w:eastAsia="zh-CN"/>
              </w:rPr>
            </w:pPr>
            <w:r>
              <w:rPr>
                <w:rFonts w:hint="eastAsia"/>
                <w:i w:val="0"/>
                <w:iCs w:val="0"/>
                <w:sz w:val="21"/>
                <w:szCs w:val="21"/>
                <w:u w:val="single"/>
                <w:lang w:val="en-US" w:eastAsia="zh-CN"/>
              </w:rPr>
              <w:t>工业废气量</w:t>
            </w:r>
          </w:p>
        </w:tc>
        <w:tc>
          <w:tcPr>
            <w:tcW w:w="17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标立方米/万立方米-原料</w:t>
            </w:r>
          </w:p>
        </w:tc>
        <w:tc>
          <w:tcPr>
            <w:tcW w:w="1000" w:type="pc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107753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sz w:val="21"/>
                <w:szCs w:val="21"/>
                <w:u w:val="single"/>
                <w:lang w:val="en-US" w:eastAsia="zh-CN"/>
              </w:rPr>
            </w:pPr>
          </w:p>
        </w:tc>
        <w:tc>
          <w:tcPr>
            <w:tcW w:w="68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sz w:val="21"/>
                <w:szCs w:val="21"/>
                <w:u w:val="single"/>
                <w:lang w:val="en-US" w:eastAsia="zh-CN"/>
              </w:rPr>
            </w:pPr>
          </w:p>
        </w:tc>
        <w:tc>
          <w:tcPr>
            <w:tcW w:w="8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sz w:val="21"/>
                <w:szCs w:val="21"/>
                <w:u w:val="single"/>
                <w:lang w:val="en-US" w:eastAsia="zh-CN"/>
              </w:rPr>
            </w:pPr>
            <w:r>
              <w:rPr>
                <w:rFonts w:hint="eastAsia"/>
                <w:i w:val="0"/>
                <w:iCs w:val="0"/>
                <w:sz w:val="21"/>
                <w:szCs w:val="21"/>
                <w:u w:val="single"/>
                <w:lang w:val="en-US" w:eastAsia="zh-CN"/>
              </w:rPr>
              <w:t>二氧化硫</w:t>
            </w:r>
          </w:p>
        </w:tc>
        <w:tc>
          <w:tcPr>
            <w:tcW w:w="17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千克/万立方米-原料</w:t>
            </w:r>
          </w:p>
        </w:tc>
        <w:tc>
          <w:tcPr>
            <w:tcW w:w="1000" w:type="pc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0.02S</w:t>
            </w:r>
            <w:r>
              <w:rPr>
                <w:b w:val="0"/>
                <w:bCs w:val="0"/>
                <w:i w:val="0"/>
                <w:iCs w:val="0"/>
                <w:sz w:val="18"/>
                <w:szCs w:val="18"/>
                <w:u w:val="single"/>
                <w:vertAlign w:val="superscript"/>
              </w:rPr>
              <w:t>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sz w:val="21"/>
                <w:szCs w:val="21"/>
                <w:u w:val="single"/>
                <w:lang w:val="en-US" w:eastAsia="zh-CN"/>
              </w:rPr>
            </w:pPr>
          </w:p>
        </w:tc>
        <w:tc>
          <w:tcPr>
            <w:tcW w:w="68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sz w:val="21"/>
                <w:szCs w:val="21"/>
                <w:u w:val="single"/>
                <w:lang w:val="en-US" w:eastAsia="zh-CN"/>
              </w:rPr>
            </w:pPr>
          </w:p>
        </w:tc>
        <w:tc>
          <w:tcPr>
            <w:tcW w:w="8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sz w:val="21"/>
                <w:szCs w:val="21"/>
                <w:u w:val="single"/>
                <w:lang w:val="en-US" w:eastAsia="zh-CN"/>
              </w:rPr>
            </w:pPr>
            <w:r>
              <w:rPr>
                <w:rFonts w:hint="eastAsia"/>
                <w:i w:val="0"/>
                <w:iCs w:val="0"/>
                <w:sz w:val="21"/>
                <w:szCs w:val="21"/>
                <w:u w:val="single"/>
                <w:lang w:val="en-US" w:eastAsia="zh-CN"/>
              </w:rPr>
              <w:t>氮氧化物</w:t>
            </w:r>
          </w:p>
        </w:tc>
        <w:tc>
          <w:tcPr>
            <w:tcW w:w="17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sz w:val="21"/>
                <w:szCs w:val="21"/>
                <w:u w:val="single"/>
                <w:lang w:val="en-US" w:eastAsia="zh-CN"/>
              </w:rPr>
            </w:pPr>
            <w:r>
              <w:rPr>
                <w:rFonts w:hint="eastAsia"/>
                <w:i w:val="0"/>
                <w:iCs w:val="0"/>
                <w:sz w:val="21"/>
                <w:szCs w:val="21"/>
                <w:u w:val="single"/>
                <w:lang w:val="en-US" w:eastAsia="zh-CN"/>
              </w:rPr>
              <w:t>千克/万立方米-原料</w:t>
            </w:r>
          </w:p>
        </w:tc>
        <w:tc>
          <w:tcPr>
            <w:tcW w:w="1000" w:type="pc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18.71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5" w:type="pct"/>
            <w:vMerge w:val="continue"/>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u w:val="single"/>
                <w:lang w:val="en-US" w:eastAsia="zh-CN"/>
              </w:rPr>
            </w:pPr>
          </w:p>
        </w:tc>
        <w:tc>
          <w:tcPr>
            <w:tcW w:w="687" w:type="pct"/>
            <w:vMerge w:val="continue"/>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u w:val="single"/>
                <w:lang w:val="en-US" w:eastAsia="zh-CN"/>
              </w:rPr>
            </w:pPr>
          </w:p>
        </w:tc>
        <w:tc>
          <w:tcPr>
            <w:tcW w:w="867"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sz w:val="21"/>
                <w:szCs w:val="21"/>
                <w:u w:val="single"/>
                <w:lang w:val="en-US" w:eastAsia="zh-CN"/>
              </w:rPr>
            </w:pPr>
            <w:r>
              <w:rPr>
                <w:rFonts w:hint="eastAsia"/>
                <w:i w:val="0"/>
                <w:iCs w:val="0"/>
                <w:sz w:val="21"/>
                <w:szCs w:val="21"/>
                <w:u w:val="single"/>
                <w:lang w:val="en-US" w:eastAsia="zh-CN"/>
              </w:rPr>
              <w:t>烟尘</w:t>
            </w:r>
          </w:p>
        </w:tc>
        <w:tc>
          <w:tcPr>
            <w:tcW w:w="1738"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i w:val="0"/>
                <w:iCs w:val="0"/>
                <w:sz w:val="21"/>
                <w:szCs w:val="21"/>
                <w:u w:val="single"/>
                <w:lang w:val="en-US" w:eastAsia="zh-CN"/>
              </w:rPr>
            </w:pPr>
            <w:r>
              <w:rPr>
                <w:rFonts w:hint="eastAsia"/>
                <w:i w:val="0"/>
                <w:iCs w:val="0"/>
                <w:sz w:val="21"/>
                <w:szCs w:val="21"/>
                <w:u w:val="single"/>
                <w:lang w:val="en-US" w:eastAsia="zh-CN"/>
              </w:rPr>
              <w:t>千克/万立方米吨-原料</w:t>
            </w:r>
          </w:p>
        </w:tc>
        <w:tc>
          <w:tcPr>
            <w:tcW w:w="1000"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i w:val="0"/>
                <w:iCs w:val="0"/>
                <w:sz w:val="21"/>
                <w:szCs w:val="21"/>
                <w:u w:val="single"/>
                <w:lang w:val="en-US" w:eastAsia="zh-CN"/>
              </w:rPr>
            </w:pPr>
            <w:r>
              <w:rPr>
                <w:rFonts w:hint="eastAsia"/>
                <w:i w:val="0"/>
                <w:iCs w:val="0"/>
                <w:sz w:val="21"/>
                <w:szCs w:val="21"/>
                <w:u w:val="single"/>
                <w:lang w:val="en-US" w:eastAsia="zh-CN"/>
              </w:rPr>
              <w:t>2.86</w:t>
            </w:r>
          </w:p>
        </w:tc>
      </w:tr>
    </w:tbl>
    <w:p>
      <w:pPr>
        <w:bidi w:val="0"/>
        <w:rPr>
          <w:rFonts w:hint="default"/>
          <w:b/>
          <w:bCs/>
          <w:i w:val="0"/>
          <w:iCs w:val="0"/>
          <w:sz w:val="18"/>
          <w:szCs w:val="18"/>
          <w:u w:val="single"/>
          <w:lang w:val="en-US" w:eastAsia="zh-CN"/>
        </w:rPr>
      </w:pPr>
      <w:r>
        <w:rPr>
          <w:b/>
          <w:bCs/>
          <w:i w:val="0"/>
          <w:iCs w:val="0"/>
          <w:sz w:val="18"/>
          <w:szCs w:val="18"/>
          <w:u w:val="single"/>
        </w:rPr>
        <w:t>注：①</w:t>
      </w:r>
      <w:r>
        <w:rPr>
          <w:rFonts w:hint="eastAsia"/>
          <w:b/>
          <w:bCs/>
          <w:i w:val="0"/>
          <w:iCs w:val="0"/>
          <w:sz w:val="18"/>
          <w:szCs w:val="18"/>
          <w:u w:val="single"/>
          <w:lang w:eastAsia="zh-CN"/>
        </w:rPr>
        <w:t>产污系数表中气体燃料的二氧化硫的产污系数是以含硫量（</w:t>
      </w:r>
      <w:r>
        <w:rPr>
          <w:rFonts w:hint="eastAsia"/>
          <w:b/>
          <w:bCs/>
          <w:i w:val="0"/>
          <w:iCs w:val="0"/>
          <w:sz w:val="18"/>
          <w:szCs w:val="18"/>
          <w:u w:val="single"/>
          <w:lang w:val="en-US" w:eastAsia="zh-CN"/>
        </w:rPr>
        <w:t>S</w:t>
      </w:r>
      <w:r>
        <w:rPr>
          <w:rFonts w:hint="eastAsia"/>
          <w:b/>
          <w:bCs/>
          <w:i w:val="0"/>
          <w:iCs w:val="0"/>
          <w:sz w:val="18"/>
          <w:szCs w:val="18"/>
          <w:u w:val="single"/>
          <w:lang w:eastAsia="zh-CN"/>
        </w:rPr>
        <w:t>）的形式表示的，其中含硫量（</w:t>
      </w:r>
      <w:r>
        <w:rPr>
          <w:rFonts w:hint="eastAsia"/>
          <w:b/>
          <w:bCs/>
          <w:i w:val="0"/>
          <w:iCs w:val="0"/>
          <w:sz w:val="18"/>
          <w:szCs w:val="18"/>
          <w:u w:val="single"/>
          <w:lang w:val="en-US" w:eastAsia="zh-CN"/>
        </w:rPr>
        <w:t>S</w:t>
      </w:r>
      <w:r>
        <w:rPr>
          <w:rFonts w:hint="eastAsia"/>
          <w:b/>
          <w:bCs/>
          <w:i w:val="0"/>
          <w:iCs w:val="0"/>
          <w:sz w:val="18"/>
          <w:szCs w:val="18"/>
          <w:u w:val="single"/>
          <w:lang w:eastAsia="zh-CN"/>
        </w:rPr>
        <w:t>）是指气体燃料中的硫含量，单位毫克</w:t>
      </w:r>
      <w:r>
        <w:rPr>
          <w:rFonts w:hint="eastAsia"/>
          <w:b/>
          <w:bCs/>
          <w:i w:val="0"/>
          <w:iCs w:val="0"/>
          <w:sz w:val="18"/>
          <w:szCs w:val="18"/>
          <w:u w:val="single"/>
          <w:lang w:val="en-US" w:eastAsia="zh-CN"/>
        </w:rPr>
        <w:t>/立方米</w:t>
      </w:r>
      <w:r>
        <w:rPr>
          <w:b/>
          <w:bCs/>
          <w:i w:val="0"/>
          <w:iCs w:val="0"/>
          <w:sz w:val="18"/>
          <w:szCs w:val="18"/>
          <w:u w:val="single"/>
        </w:rPr>
        <w:t>。例如</w:t>
      </w:r>
      <w:r>
        <w:rPr>
          <w:rFonts w:hint="eastAsia"/>
          <w:b/>
          <w:bCs/>
          <w:i w:val="0"/>
          <w:iCs w:val="0"/>
          <w:sz w:val="18"/>
          <w:szCs w:val="18"/>
          <w:u w:val="single"/>
          <w:lang w:eastAsia="zh-CN"/>
        </w:rPr>
        <w:t>燃料</w:t>
      </w:r>
      <w:r>
        <w:rPr>
          <w:b/>
          <w:bCs/>
          <w:i w:val="0"/>
          <w:iCs w:val="0"/>
          <w:sz w:val="18"/>
          <w:szCs w:val="18"/>
          <w:u w:val="single"/>
        </w:rPr>
        <w:t>中含硫量（S）为</w:t>
      </w:r>
      <w:r>
        <w:rPr>
          <w:rFonts w:hint="eastAsia"/>
          <w:b/>
          <w:bCs/>
          <w:i w:val="0"/>
          <w:iCs w:val="0"/>
          <w:sz w:val="18"/>
          <w:szCs w:val="18"/>
          <w:u w:val="single"/>
          <w:lang w:val="en-US" w:eastAsia="zh-CN"/>
        </w:rPr>
        <w:t>200</w:t>
      </w:r>
      <w:r>
        <w:rPr>
          <w:rFonts w:hint="eastAsia"/>
          <w:b/>
          <w:bCs/>
          <w:i w:val="0"/>
          <w:iCs w:val="0"/>
          <w:sz w:val="18"/>
          <w:szCs w:val="18"/>
          <w:u w:val="single"/>
          <w:lang w:eastAsia="zh-CN"/>
        </w:rPr>
        <w:t>毫克</w:t>
      </w:r>
      <w:r>
        <w:rPr>
          <w:rFonts w:hint="eastAsia"/>
          <w:b/>
          <w:bCs/>
          <w:i w:val="0"/>
          <w:iCs w:val="0"/>
          <w:sz w:val="18"/>
          <w:szCs w:val="18"/>
          <w:u w:val="single"/>
          <w:lang w:val="en-US" w:eastAsia="zh-CN"/>
        </w:rPr>
        <w:t>/立方米</w:t>
      </w:r>
      <w:r>
        <w:rPr>
          <w:b/>
          <w:bCs/>
          <w:i w:val="0"/>
          <w:iCs w:val="0"/>
          <w:sz w:val="18"/>
          <w:szCs w:val="18"/>
          <w:u w:val="single"/>
        </w:rPr>
        <w:t>，则S=</w:t>
      </w:r>
      <w:r>
        <w:rPr>
          <w:rFonts w:hint="eastAsia"/>
          <w:b/>
          <w:bCs/>
          <w:i w:val="0"/>
          <w:iCs w:val="0"/>
          <w:sz w:val="18"/>
          <w:szCs w:val="18"/>
          <w:u w:val="single"/>
          <w:lang w:val="en-US" w:eastAsia="zh-CN"/>
        </w:rPr>
        <w:t>200</w:t>
      </w:r>
      <w:r>
        <w:rPr>
          <w:b/>
          <w:bCs/>
          <w:i w:val="0"/>
          <w:iCs w:val="0"/>
          <w:sz w:val="18"/>
          <w:szCs w:val="18"/>
          <w:u w:val="single"/>
        </w:rPr>
        <w:t>。</w:t>
      </w:r>
      <w:r>
        <w:rPr>
          <w:rFonts w:hint="eastAsia"/>
          <w:b/>
          <w:bCs/>
          <w:i w:val="0"/>
          <w:iCs w:val="0"/>
          <w:sz w:val="18"/>
          <w:szCs w:val="18"/>
          <w:u w:val="single"/>
          <w:lang w:eastAsia="zh-CN"/>
        </w:rPr>
        <w:t>本</w:t>
      </w:r>
      <w:r>
        <w:rPr>
          <w:rFonts w:hint="default" w:ascii="Times New Roman" w:hAnsi="Times New Roman" w:eastAsia="宋体" w:cs="Times New Roman"/>
          <w:b/>
          <w:bCs/>
          <w:i w:val="0"/>
          <w:iCs w:val="0"/>
          <w:sz w:val="18"/>
          <w:szCs w:val="18"/>
          <w:u w:val="single"/>
          <w:lang w:eastAsia="zh-CN"/>
        </w:rPr>
        <w:t>项目使用的天然气质量符合《强制性国家标准&lt;天然气&gt;》(GB17820-2012）中规定的II类天然气标准，含硫率小于200mg/m</w:t>
      </w:r>
      <w:r>
        <w:rPr>
          <w:rFonts w:hint="default" w:ascii="Times New Roman" w:hAnsi="Times New Roman" w:eastAsia="宋体" w:cs="Times New Roman"/>
          <w:b/>
          <w:bCs/>
          <w:i w:val="0"/>
          <w:iCs w:val="0"/>
          <w:sz w:val="18"/>
          <w:szCs w:val="18"/>
          <w:u w:val="single"/>
          <w:vertAlign w:val="superscript"/>
          <w:lang w:eastAsia="zh-CN"/>
        </w:rPr>
        <w:t>3</w:t>
      </w:r>
      <w:r>
        <w:rPr>
          <w:rFonts w:hint="default" w:ascii="Times New Roman" w:hAnsi="Times New Roman" w:eastAsia="宋体" w:cs="Times New Roman"/>
          <w:b/>
          <w:bCs/>
          <w:i w:val="0"/>
          <w:iCs w:val="0"/>
          <w:sz w:val="18"/>
          <w:szCs w:val="18"/>
          <w:u w:val="single"/>
          <w:lang w:eastAsia="zh-CN"/>
        </w:rPr>
        <w:t>。本项目天然气含硫率按最不利的情况200mg/m</w:t>
      </w:r>
      <w:r>
        <w:rPr>
          <w:rFonts w:hint="default" w:ascii="Times New Roman" w:hAnsi="Times New Roman" w:eastAsia="宋体" w:cs="Times New Roman"/>
          <w:b/>
          <w:bCs/>
          <w:i w:val="0"/>
          <w:iCs w:val="0"/>
          <w:sz w:val="18"/>
          <w:szCs w:val="18"/>
          <w:u w:val="single"/>
          <w:vertAlign w:val="superscript"/>
          <w:lang w:eastAsia="zh-CN"/>
        </w:rPr>
        <w:t>3</w:t>
      </w:r>
      <w:r>
        <w:rPr>
          <w:rFonts w:hint="default" w:ascii="Times New Roman" w:hAnsi="Times New Roman" w:eastAsia="宋体" w:cs="Times New Roman"/>
          <w:b/>
          <w:bCs/>
          <w:i w:val="0"/>
          <w:iCs w:val="0"/>
          <w:sz w:val="18"/>
          <w:szCs w:val="18"/>
          <w:u w:val="single"/>
          <w:lang w:eastAsia="zh-CN"/>
        </w:rPr>
        <w:t>进行核算，即S=200</w:t>
      </w:r>
      <w:r>
        <w:rPr>
          <w:rFonts w:hint="eastAsia" w:ascii="Times New Roman" w:hAnsi="Times New Roman" w:eastAsia="宋体" w:cs="Times New Roman"/>
          <w:b/>
          <w:bCs/>
          <w:i w:val="0"/>
          <w:iCs w:val="0"/>
          <w:sz w:val="18"/>
          <w:szCs w:val="18"/>
          <w:u w:val="single"/>
          <w:lang w:val="en-US" w:eastAsia="zh-CN"/>
        </w:rPr>
        <w:t>。</w:t>
      </w:r>
    </w:p>
    <w:p>
      <w:pPr>
        <w:spacing w:line="360" w:lineRule="auto"/>
        <w:ind w:firstLine="480" w:firstLineChars="200"/>
        <w:rPr>
          <w:rFonts w:hint="default" w:ascii="Times New Roman" w:hAnsi="Times New Roman" w:eastAsia="宋体" w:cs="Times New Roman"/>
          <w:bCs/>
          <w:i w:val="0"/>
          <w:iCs w:val="0"/>
          <w:color w:val="000000"/>
          <w:u w:val="single"/>
          <w:lang w:val="en-US" w:eastAsia="zh-CN"/>
        </w:rPr>
      </w:pPr>
      <w:r>
        <w:rPr>
          <w:rFonts w:hint="default" w:ascii="Times New Roman" w:hAnsi="Times New Roman" w:eastAsia="宋体" w:cs="Times New Roman"/>
          <w:bCs/>
          <w:i w:val="0"/>
          <w:iCs w:val="0"/>
          <w:color w:val="000000"/>
          <w:u w:val="single"/>
          <w:lang w:eastAsia="zh-CN"/>
        </w:rPr>
        <w:t>项目</w:t>
      </w:r>
      <w:r>
        <w:rPr>
          <w:rFonts w:hint="eastAsia"/>
          <w:i w:val="0"/>
          <w:iCs w:val="0"/>
          <w:u w:val="single"/>
          <w:lang w:val="en-US" w:eastAsia="zh-CN"/>
        </w:rPr>
        <w:t>热风炉2</w:t>
      </w:r>
      <w:r>
        <w:rPr>
          <w:rFonts w:hint="eastAsia" w:ascii="Times New Roman" w:hAnsi="Times New Roman" w:eastAsia="宋体" w:cs="Times New Roman"/>
          <w:bCs/>
          <w:i w:val="0"/>
          <w:iCs w:val="0"/>
          <w:color w:val="000000"/>
          <w:u w:val="single"/>
          <w:lang w:eastAsia="zh-CN"/>
        </w:rPr>
        <w:t>天然气</w:t>
      </w:r>
      <w:r>
        <w:rPr>
          <w:rFonts w:hint="default" w:ascii="Times New Roman" w:hAnsi="Times New Roman" w:eastAsia="宋体" w:cs="Times New Roman"/>
          <w:bCs/>
          <w:i w:val="0"/>
          <w:iCs w:val="0"/>
          <w:color w:val="000000"/>
          <w:u w:val="single"/>
          <w:lang w:eastAsia="zh-CN"/>
        </w:rPr>
        <w:t>燃使用量约</w:t>
      </w:r>
      <w:r>
        <w:rPr>
          <w:rFonts w:hint="eastAsia" w:ascii="Times New Roman" w:hAnsi="Times New Roman" w:eastAsia="宋体" w:cs="Times New Roman"/>
          <w:bCs/>
          <w:i w:val="0"/>
          <w:iCs w:val="0"/>
          <w:color w:val="000000"/>
          <w:u w:val="single"/>
          <w:lang w:val="en-US" w:eastAsia="zh-CN"/>
        </w:rPr>
        <w:t>120万m</w:t>
      </w:r>
      <w:r>
        <w:rPr>
          <w:rFonts w:hint="eastAsia" w:ascii="Times New Roman" w:hAnsi="Times New Roman" w:eastAsia="宋体" w:cs="Times New Roman"/>
          <w:bCs/>
          <w:i w:val="0"/>
          <w:iCs w:val="0"/>
          <w:color w:val="000000"/>
          <w:u w:val="single"/>
          <w:vertAlign w:val="superscript"/>
          <w:lang w:val="en-US" w:eastAsia="zh-CN"/>
        </w:rPr>
        <w:t>3</w:t>
      </w:r>
      <w:r>
        <w:rPr>
          <w:rFonts w:hint="default" w:ascii="Times New Roman" w:hAnsi="Times New Roman" w:eastAsia="宋体" w:cs="Times New Roman"/>
          <w:bCs/>
          <w:i w:val="0"/>
          <w:iCs w:val="0"/>
          <w:color w:val="000000"/>
          <w:u w:val="single"/>
          <w:lang w:val="en-US" w:eastAsia="zh-CN"/>
        </w:rPr>
        <w:t>/a，则烟气产生量为</w:t>
      </w:r>
      <w:r>
        <w:rPr>
          <w:rFonts w:hint="eastAsia" w:ascii="Times New Roman" w:hAnsi="Times New Roman" w:eastAsia="宋体" w:cs="Times New Roman"/>
          <w:bCs/>
          <w:i w:val="0"/>
          <w:iCs w:val="0"/>
          <w:color w:val="000000"/>
          <w:u w:val="single"/>
          <w:lang w:val="en-US" w:eastAsia="zh-CN"/>
        </w:rPr>
        <w:t>129304万</w:t>
      </w:r>
      <w:r>
        <w:rPr>
          <w:rFonts w:hint="default" w:ascii="Times New Roman" w:hAnsi="Times New Roman" w:eastAsia="宋体" w:cs="Times New Roman"/>
          <w:bCs/>
          <w:i w:val="0"/>
          <w:iCs w:val="0"/>
          <w:color w:val="000000"/>
          <w:u w:val="single"/>
          <w:lang w:val="en-US" w:eastAsia="zh-CN"/>
        </w:rPr>
        <w:t>m</w:t>
      </w:r>
      <w:r>
        <w:rPr>
          <w:rFonts w:hint="default" w:ascii="Times New Roman" w:hAnsi="Times New Roman" w:eastAsia="宋体" w:cs="Times New Roman"/>
          <w:bCs/>
          <w:i w:val="0"/>
          <w:iCs w:val="0"/>
          <w:color w:val="000000"/>
          <w:u w:val="single"/>
          <w:vertAlign w:val="superscript"/>
          <w:lang w:val="en-US" w:eastAsia="zh-CN"/>
        </w:rPr>
        <w:t>3</w:t>
      </w:r>
      <w:r>
        <w:rPr>
          <w:rFonts w:hint="default" w:ascii="Times New Roman" w:hAnsi="Times New Roman" w:eastAsia="宋体" w:cs="Times New Roman"/>
          <w:bCs/>
          <w:i w:val="0"/>
          <w:iCs w:val="0"/>
          <w:color w:val="000000"/>
          <w:u w:val="single"/>
          <w:lang w:val="en-US" w:eastAsia="zh-CN"/>
        </w:rPr>
        <w:t>/a</w:t>
      </w:r>
      <w:r>
        <w:rPr>
          <w:rFonts w:hint="eastAsia" w:ascii="Times New Roman" w:hAnsi="Times New Roman" w:eastAsia="宋体" w:cs="Times New Roman"/>
          <w:bCs/>
          <w:i w:val="0"/>
          <w:iCs w:val="0"/>
          <w:color w:val="000000"/>
          <w:u w:val="single"/>
          <w:lang w:val="en-US" w:eastAsia="zh-CN"/>
        </w:rPr>
        <w:t>，</w:t>
      </w:r>
      <w:r>
        <w:rPr>
          <w:rFonts w:hint="default" w:ascii="Times New Roman" w:hAnsi="Times New Roman" w:eastAsia="宋体" w:cs="Times New Roman"/>
          <w:bCs/>
          <w:i w:val="0"/>
          <w:iCs w:val="0"/>
          <w:color w:val="000000"/>
          <w:u w:val="single"/>
          <w:lang w:val="en-US" w:eastAsia="zh-CN"/>
        </w:rPr>
        <w:t>各类污染物的产生量分别为SO</w:t>
      </w:r>
      <w:r>
        <w:rPr>
          <w:rFonts w:hint="default" w:ascii="Times New Roman" w:hAnsi="Times New Roman" w:eastAsia="宋体" w:cs="Times New Roman"/>
          <w:bCs/>
          <w:i w:val="0"/>
          <w:iCs w:val="0"/>
          <w:color w:val="000000"/>
          <w:u w:val="single"/>
          <w:vertAlign w:val="subscript"/>
          <w:lang w:val="en-US" w:eastAsia="zh-CN"/>
        </w:rPr>
        <w:t>2</w:t>
      </w:r>
      <w:r>
        <w:rPr>
          <w:rFonts w:hint="default" w:ascii="Times New Roman" w:hAnsi="Times New Roman" w:eastAsia="宋体" w:cs="Times New Roman"/>
          <w:bCs/>
          <w:i w:val="0"/>
          <w:iCs w:val="0"/>
          <w:color w:val="000000"/>
          <w:u w:val="single"/>
          <w:lang w:val="en-US" w:eastAsia="zh-CN"/>
        </w:rPr>
        <w:t>：0.</w:t>
      </w:r>
      <w:r>
        <w:rPr>
          <w:rFonts w:hint="eastAsia" w:ascii="Times New Roman" w:hAnsi="Times New Roman" w:eastAsia="宋体" w:cs="Times New Roman"/>
          <w:bCs/>
          <w:i w:val="0"/>
          <w:iCs w:val="0"/>
          <w:color w:val="000000"/>
          <w:u w:val="single"/>
          <w:lang w:val="en-US" w:eastAsia="zh-CN"/>
        </w:rPr>
        <w:t>48</w:t>
      </w:r>
      <w:r>
        <w:rPr>
          <w:rFonts w:hint="default" w:ascii="Times New Roman" w:hAnsi="Times New Roman" w:eastAsia="宋体" w:cs="Times New Roman"/>
          <w:bCs/>
          <w:i w:val="0"/>
          <w:iCs w:val="0"/>
          <w:color w:val="000000"/>
          <w:u w:val="single"/>
          <w:lang w:val="en-US" w:eastAsia="zh-CN"/>
        </w:rPr>
        <w:t>t/a</w:t>
      </w:r>
      <w:r>
        <w:rPr>
          <w:rFonts w:hint="eastAsia" w:ascii="Times New Roman" w:hAnsi="Times New Roman" w:eastAsia="宋体" w:cs="Times New Roman"/>
          <w:bCs/>
          <w:i w:val="0"/>
          <w:iCs w:val="0"/>
          <w:color w:val="000000"/>
          <w:u w:val="single"/>
          <w:lang w:val="en-US" w:eastAsia="zh-CN"/>
        </w:rPr>
        <w:t>、烟尘</w:t>
      </w:r>
      <w:r>
        <w:rPr>
          <w:rFonts w:hint="default" w:ascii="Times New Roman" w:hAnsi="Times New Roman" w:eastAsia="宋体" w:cs="Times New Roman"/>
          <w:bCs/>
          <w:i w:val="0"/>
          <w:iCs w:val="0"/>
          <w:color w:val="000000"/>
          <w:u w:val="single"/>
          <w:lang w:val="en-US" w:eastAsia="zh-CN"/>
        </w:rPr>
        <w:t>：0.</w:t>
      </w:r>
      <w:r>
        <w:rPr>
          <w:rFonts w:hint="eastAsia" w:ascii="Times New Roman" w:hAnsi="Times New Roman" w:eastAsia="宋体" w:cs="Times New Roman"/>
          <w:bCs/>
          <w:i w:val="0"/>
          <w:iCs w:val="0"/>
          <w:color w:val="000000"/>
          <w:u w:val="single"/>
          <w:lang w:val="en-US" w:eastAsia="zh-CN"/>
        </w:rPr>
        <w:t>343</w:t>
      </w:r>
      <w:r>
        <w:rPr>
          <w:rFonts w:hint="default" w:ascii="Times New Roman" w:hAnsi="Times New Roman" w:eastAsia="宋体" w:cs="Times New Roman"/>
          <w:bCs/>
          <w:i w:val="0"/>
          <w:iCs w:val="0"/>
          <w:color w:val="000000"/>
          <w:u w:val="single"/>
          <w:lang w:val="en-US" w:eastAsia="zh-CN"/>
        </w:rPr>
        <w:t>t/a</w:t>
      </w:r>
      <w:r>
        <w:rPr>
          <w:rFonts w:hint="eastAsia" w:ascii="Times New Roman" w:hAnsi="Times New Roman" w:eastAsia="宋体" w:cs="Times New Roman"/>
          <w:bCs/>
          <w:i w:val="0"/>
          <w:iCs w:val="0"/>
          <w:color w:val="000000"/>
          <w:u w:val="single"/>
          <w:lang w:val="en-US" w:eastAsia="zh-CN"/>
        </w:rPr>
        <w:t>、</w:t>
      </w:r>
      <w:r>
        <w:rPr>
          <w:rFonts w:hint="default" w:ascii="Times New Roman" w:hAnsi="Times New Roman" w:eastAsia="宋体" w:cs="Times New Roman"/>
          <w:bCs/>
          <w:i w:val="0"/>
          <w:iCs w:val="0"/>
          <w:color w:val="000000"/>
          <w:u w:val="single"/>
          <w:lang w:val="en-US" w:eastAsia="zh-CN"/>
        </w:rPr>
        <w:t>NO</w:t>
      </w:r>
      <w:r>
        <w:rPr>
          <w:rFonts w:hint="default" w:ascii="Times New Roman" w:hAnsi="Times New Roman" w:eastAsia="宋体" w:cs="Times New Roman"/>
          <w:bCs/>
          <w:i w:val="0"/>
          <w:iCs w:val="0"/>
          <w:color w:val="000000"/>
          <w:u w:val="single"/>
          <w:vertAlign w:val="subscript"/>
          <w:lang w:val="en-US" w:eastAsia="zh-CN"/>
        </w:rPr>
        <w:t>X</w:t>
      </w:r>
      <w:r>
        <w:rPr>
          <w:rFonts w:hint="default" w:ascii="Times New Roman" w:hAnsi="Times New Roman" w:eastAsia="宋体" w:cs="Times New Roman"/>
          <w:bCs/>
          <w:i w:val="0"/>
          <w:iCs w:val="0"/>
          <w:color w:val="000000"/>
          <w:u w:val="single"/>
          <w:lang w:val="en-US" w:eastAsia="zh-CN"/>
        </w:rPr>
        <w:t>：</w:t>
      </w:r>
      <w:r>
        <w:rPr>
          <w:rFonts w:hint="eastAsia" w:ascii="Times New Roman" w:hAnsi="Times New Roman" w:eastAsia="宋体" w:cs="Times New Roman"/>
          <w:bCs/>
          <w:i w:val="0"/>
          <w:iCs w:val="0"/>
          <w:color w:val="000000"/>
          <w:u w:val="single"/>
          <w:lang w:val="en-US" w:eastAsia="zh-CN"/>
        </w:rPr>
        <w:t>2.245</w:t>
      </w:r>
      <w:r>
        <w:rPr>
          <w:rFonts w:hint="default" w:ascii="Times New Roman" w:hAnsi="Times New Roman" w:eastAsia="宋体" w:cs="Times New Roman"/>
          <w:bCs/>
          <w:i w:val="0"/>
          <w:iCs w:val="0"/>
          <w:color w:val="000000"/>
          <w:u w:val="single"/>
          <w:lang w:val="en-US" w:eastAsia="zh-CN"/>
        </w:rPr>
        <w:t>t/a</w:t>
      </w:r>
      <w:r>
        <w:rPr>
          <w:rFonts w:hint="eastAsia" w:ascii="Times New Roman" w:hAnsi="Times New Roman" w:eastAsia="宋体" w:cs="Times New Roman"/>
          <w:bCs/>
          <w:i w:val="0"/>
          <w:iCs w:val="0"/>
          <w:color w:val="000000"/>
          <w:u w:val="single"/>
          <w:lang w:val="en-US" w:eastAsia="zh-CN"/>
        </w:rPr>
        <w:t>，通过旋风分离器（效率90%）分离后各类污染物排放量为</w:t>
      </w:r>
      <w:r>
        <w:rPr>
          <w:rFonts w:hint="default" w:ascii="Times New Roman" w:hAnsi="Times New Roman" w:eastAsia="宋体" w:cs="Times New Roman"/>
          <w:bCs/>
          <w:i w:val="0"/>
          <w:iCs w:val="0"/>
          <w:color w:val="000000"/>
          <w:u w:val="single"/>
          <w:lang w:val="en-US" w:eastAsia="zh-CN"/>
        </w:rPr>
        <w:t>SO</w:t>
      </w:r>
      <w:r>
        <w:rPr>
          <w:rFonts w:hint="default" w:ascii="Times New Roman" w:hAnsi="Times New Roman" w:eastAsia="宋体" w:cs="Times New Roman"/>
          <w:bCs/>
          <w:i w:val="0"/>
          <w:iCs w:val="0"/>
          <w:color w:val="000000"/>
          <w:u w:val="single"/>
          <w:vertAlign w:val="subscript"/>
          <w:lang w:val="en-US" w:eastAsia="zh-CN"/>
        </w:rPr>
        <w:t>2</w:t>
      </w:r>
      <w:r>
        <w:rPr>
          <w:rFonts w:hint="default" w:ascii="Times New Roman" w:hAnsi="Times New Roman" w:eastAsia="宋体" w:cs="Times New Roman"/>
          <w:bCs/>
          <w:i w:val="0"/>
          <w:iCs w:val="0"/>
          <w:color w:val="000000"/>
          <w:u w:val="single"/>
          <w:lang w:val="en-US" w:eastAsia="zh-CN"/>
        </w:rPr>
        <w:t>：0.</w:t>
      </w:r>
      <w:r>
        <w:rPr>
          <w:rFonts w:hint="eastAsia" w:ascii="Times New Roman" w:hAnsi="Times New Roman" w:eastAsia="宋体" w:cs="Times New Roman"/>
          <w:bCs/>
          <w:i w:val="0"/>
          <w:iCs w:val="0"/>
          <w:color w:val="000000"/>
          <w:u w:val="single"/>
          <w:lang w:val="en-US" w:eastAsia="zh-CN"/>
        </w:rPr>
        <w:t>48</w:t>
      </w:r>
      <w:r>
        <w:rPr>
          <w:rFonts w:hint="default" w:ascii="Times New Roman" w:hAnsi="Times New Roman" w:eastAsia="宋体" w:cs="Times New Roman"/>
          <w:bCs/>
          <w:i w:val="0"/>
          <w:iCs w:val="0"/>
          <w:color w:val="000000"/>
          <w:u w:val="single"/>
          <w:lang w:val="en-US" w:eastAsia="zh-CN"/>
        </w:rPr>
        <w:t>t/a</w:t>
      </w:r>
      <w:r>
        <w:rPr>
          <w:rFonts w:hint="eastAsia" w:ascii="Times New Roman" w:hAnsi="Times New Roman" w:eastAsia="宋体" w:cs="Times New Roman"/>
          <w:bCs/>
          <w:i w:val="0"/>
          <w:iCs w:val="0"/>
          <w:color w:val="000000"/>
          <w:u w:val="single"/>
          <w:lang w:val="en-US" w:eastAsia="zh-CN"/>
        </w:rPr>
        <w:t>、烟尘</w:t>
      </w:r>
      <w:r>
        <w:rPr>
          <w:rFonts w:hint="default" w:ascii="Times New Roman" w:hAnsi="Times New Roman" w:eastAsia="宋体" w:cs="Times New Roman"/>
          <w:bCs/>
          <w:i w:val="0"/>
          <w:iCs w:val="0"/>
          <w:color w:val="000000"/>
          <w:u w:val="single"/>
          <w:lang w:val="en-US" w:eastAsia="zh-CN"/>
        </w:rPr>
        <w:t>：</w:t>
      </w:r>
      <w:r>
        <w:rPr>
          <w:rFonts w:hint="eastAsia" w:ascii="Times New Roman" w:hAnsi="Times New Roman" w:eastAsia="宋体" w:cs="Times New Roman"/>
          <w:bCs/>
          <w:i w:val="0"/>
          <w:iCs w:val="0"/>
          <w:color w:val="000000"/>
          <w:u w:val="single"/>
          <w:lang w:val="en-US" w:eastAsia="zh-CN"/>
        </w:rPr>
        <w:t>0.0343</w:t>
      </w:r>
      <w:r>
        <w:rPr>
          <w:rFonts w:hint="default" w:ascii="Times New Roman" w:hAnsi="Times New Roman" w:eastAsia="宋体" w:cs="Times New Roman"/>
          <w:bCs/>
          <w:i w:val="0"/>
          <w:iCs w:val="0"/>
          <w:color w:val="000000"/>
          <w:u w:val="single"/>
          <w:lang w:val="en-US" w:eastAsia="zh-CN"/>
        </w:rPr>
        <w:t>t/a</w:t>
      </w:r>
      <w:r>
        <w:rPr>
          <w:rFonts w:hint="eastAsia" w:ascii="Times New Roman" w:hAnsi="Times New Roman" w:eastAsia="宋体" w:cs="Times New Roman"/>
          <w:bCs/>
          <w:i w:val="0"/>
          <w:iCs w:val="0"/>
          <w:color w:val="000000"/>
          <w:u w:val="single"/>
          <w:lang w:val="en-US" w:eastAsia="zh-CN"/>
        </w:rPr>
        <w:t>、</w:t>
      </w:r>
      <w:r>
        <w:rPr>
          <w:rFonts w:hint="default" w:ascii="Times New Roman" w:hAnsi="Times New Roman" w:eastAsia="宋体" w:cs="Times New Roman"/>
          <w:bCs/>
          <w:i w:val="0"/>
          <w:iCs w:val="0"/>
          <w:color w:val="000000"/>
          <w:u w:val="single"/>
          <w:lang w:val="en-US" w:eastAsia="zh-CN"/>
        </w:rPr>
        <w:t>NO</w:t>
      </w:r>
      <w:r>
        <w:rPr>
          <w:rFonts w:hint="default" w:ascii="Times New Roman" w:hAnsi="Times New Roman" w:eastAsia="宋体" w:cs="Times New Roman"/>
          <w:bCs/>
          <w:i w:val="0"/>
          <w:iCs w:val="0"/>
          <w:color w:val="000000"/>
          <w:u w:val="single"/>
          <w:vertAlign w:val="subscript"/>
          <w:lang w:val="en-US" w:eastAsia="zh-CN"/>
        </w:rPr>
        <w:t>X</w:t>
      </w:r>
      <w:r>
        <w:rPr>
          <w:rFonts w:hint="default" w:ascii="Times New Roman" w:hAnsi="Times New Roman" w:eastAsia="宋体" w:cs="Times New Roman"/>
          <w:bCs/>
          <w:i w:val="0"/>
          <w:iCs w:val="0"/>
          <w:color w:val="000000"/>
          <w:u w:val="single"/>
          <w:lang w:val="en-US" w:eastAsia="zh-CN"/>
        </w:rPr>
        <w:t>：</w:t>
      </w:r>
      <w:r>
        <w:rPr>
          <w:rFonts w:hint="eastAsia" w:ascii="Times New Roman" w:hAnsi="Times New Roman" w:eastAsia="宋体" w:cs="Times New Roman"/>
          <w:bCs/>
          <w:i w:val="0"/>
          <w:iCs w:val="0"/>
          <w:color w:val="000000"/>
          <w:u w:val="single"/>
          <w:lang w:val="en-US" w:eastAsia="zh-CN"/>
        </w:rPr>
        <w:t>2.245</w:t>
      </w:r>
      <w:r>
        <w:rPr>
          <w:rFonts w:hint="default" w:ascii="Times New Roman" w:hAnsi="Times New Roman" w:eastAsia="宋体" w:cs="Times New Roman"/>
          <w:bCs/>
          <w:i w:val="0"/>
          <w:iCs w:val="0"/>
          <w:color w:val="000000"/>
          <w:u w:val="single"/>
          <w:lang w:val="en-US" w:eastAsia="zh-CN"/>
        </w:rPr>
        <w:t>t/a</w:t>
      </w:r>
      <w:r>
        <w:rPr>
          <w:rFonts w:hint="eastAsia" w:ascii="Times New Roman" w:hAnsi="Times New Roman" w:eastAsia="宋体" w:cs="Times New Roman"/>
          <w:bCs/>
          <w:i w:val="0"/>
          <w:iCs w:val="0"/>
          <w:color w:val="000000"/>
          <w:u w:val="single"/>
          <w:lang w:val="en-US" w:eastAsia="zh-CN"/>
        </w:rPr>
        <w:t>。</w:t>
      </w:r>
    </w:p>
    <w:p>
      <w:pPr>
        <w:spacing w:line="360" w:lineRule="auto"/>
        <w:ind w:firstLine="480" w:firstLineChars="200"/>
        <w:rPr>
          <w:rFonts w:hint="eastAsia" w:ascii="Times New Roman" w:hAnsi="Times New Roman" w:eastAsia="宋体" w:cs="Times New Roman"/>
          <w:bCs/>
          <w:i w:val="0"/>
          <w:iCs w:val="0"/>
          <w:color w:val="000000"/>
          <w:u w:val="single"/>
          <w:lang w:val="en-US" w:eastAsia="zh-CN"/>
        </w:rPr>
      </w:pPr>
      <w:r>
        <w:rPr>
          <w:rFonts w:hint="eastAsia" w:ascii="Times New Roman" w:hAnsi="Times New Roman" w:eastAsia="宋体" w:cs="Times New Roman"/>
          <w:bCs/>
          <w:i w:val="0"/>
          <w:iCs w:val="0"/>
          <w:color w:val="000000"/>
          <w:u w:val="single"/>
          <w:lang w:val="en-US" w:eastAsia="zh-CN"/>
        </w:rPr>
        <w:t>（2）烘干粉尘</w:t>
      </w:r>
    </w:p>
    <w:p>
      <w:pPr>
        <w:spacing w:line="360" w:lineRule="auto"/>
        <w:ind w:firstLine="480" w:firstLineChars="200"/>
        <w:rPr>
          <w:rFonts w:hint="eastAsia" w:ascii="Times New Roman" w:hAnsi="Times New Roman" w:eastAsia="宋体" w:cs="Times New Roman"/>
          <w:bCs/>
          <w:i w:val="0"/>
          <w:iCs w:val="0"/>
          <w:color w:val="000000"/>
          <w:u w:val="single"/>
          <w:lang w:val="en-US" w:eastAsia="zh-CN"/>
        </w:rPr>
      </w:pPr>
      <w:r>
        <w:rPr>
          <w:rFonts w:hint="eastAsia"/>
          <w:i w:val="0"/>
          <w:iCs w:val="0"/>
          <w:u w:val="single"/>
        </w:rPr>
        <w:t>喷雾干燥塔</w:t>
      </w:r>
      <w:r>
        <w:rPr>
          <w:rFonts w:hint="eastAsia"/>
          <w:i w:val="0"/>
          <w:iCs w:val="0"/>
          <w:u w:val="single"/>
          <w:lang w:val="en-US" w:eastAsia="zh-CN"/>
        </w:rPr>
        <w:t>2</w:t>
      </w:r>
      <w:r>
        <w:rPr>
          <w:rFonts w:hint="eastAsia" w:ascii="Times New Roman" w:hAnsi="Times New Roman" w:eastAsia="宋体" w:cs="Times New Roman"/>
          <w:bCs/>
          <w:i w:val="0"/>
          <w:iCs w:val="0"/>
          <w:color w:val="000000"/>
          <w:u w:val="single"/>
          <w:lang w:val="en-US" w:eastAsia="zh-CN"/>
        </w:rPr>
        <w:t>烘干红发夫酵母虾青素共计1111.1095t/a，烘干后由旋风分离器（效率90%）分离，分离后的10%红发夫酵母虾青素通过布袋除尘器处理（除尘效率99%），粉尘排放量为1.11t/a。</w:t>
      </w:r>
    </w:p>
    <w:p>
      <w:pPr>
        <w:spacing w:line="360" w:lineRule="auto"/>
        <w:ind w:firstLine="480" w:firstLineChars="200"/>
        <w:rPr>
          <w:rFonts w:hint="eastAsia"/>
          <w:i w:val="0"/>
          <w:iCs w:val="0"/>
          <w:color w:val="000000"/>
          <w:u w:val="single"/>
        </w:rPr>
      </w:pPr>
      <w:r>
        <w:rPr>
          <w:rFonts w:hint="eastAsia"/>
          <w:i w:val="0"/>
          <w:iCs w:val="0"/>
          <w:u w:val="single"/>
          <w:lang w:val="en-US" w:eastAsia="zh-CN"/>
        </w:rPr>
        <w:t>热风炉2烟气与</w:t>
      </w:r>
      <w:r>
        <w:rPr>
          <w:rFonts w:hint="eastAsia"/>
          <w:i w:val="0"/>
          <w:iCs w:val="0"/>
          <w:u w:val="single"/>
        </w:rPr>
        <w:t>喷雾干燥塔</w:t>
      </w:r>
      <w:r>
        <w:rPr>
          <w:rFonts w:hint="eastAsia"/>
          <w:i w:val="0"/>
          <w:iCs w:val="0"/>
          <w:u w:val="single"/>
          <w:lang w:val="en-US" w:eastAsia="zh-CN"/>
        </w:rPr>
        <w:t>2烘干粉尘经过布袋除尘器</w:t>
      </w:r>
      <w:r>
        <w:rPr>
          <w:rFonts w:hint="eastAsia"/>
          <w:i w:val="0"/>
          <w:iCs w:val="0"/>
          <w:u w:val="single"/>
          <w:vertAlign w:val="baseline"/>
          <w:lang w:val="en-US" w:eastAsia="zh-CN"/>
        </w:rPr>
        <w:t>（效率99%）</w:t>
      </w:r>
      <w:r>
        <w:rPr>
          <w:rFonts w:hint="eastAsia"/>
          <w:i w:val="0"/>
          <w:iCs w:val="0"/>
          <w:u w:val="single"/>
          <w:lang w:val="en-US" w:eastAsia="zh-CN"/>
        </w:rPr>
        <w:t>处理后由同一根15m高排气筒排放（DA003），粉尘（烟尘）：1.110343</w:t>
      </w:r>
      <w:r>
        <w:rPr>
          <w:rFonts w:hint="default" w:ascii="Times New Roman" w:hAnsi="Times New Roman" w:cs="Times New Roman"/>
          <w:i w:val="0"/>
          <w:iCs w:val="0"/>
          <w:u w:val="single"/>
          <w:lang w:val="en-US" w:eastAsia="zh-CN"/>
        </w:rPr>
        <w:t>t/a</w:t>
      </w:r>
      <w:r>
        <w:rPr>
          <w:rFonts w:hint="eastAsia" w:ascii="Times New Roman" w:hAnsi="Times New Roman" w:cs="Times New Roman"/>
          <w:i w:val="0"/>
          <w:iCs w:val="0"/>
          <w:u w:val="single"/>
          <w:lang w:val="en-US" w:eastAsia="zh-CN"/>
        </w:rPr>
        <w:t>、</w:t>
      </w:r>
      <w:r>
        <w:rPr>
          <w:rFonts w:hint="default" w:ascii="Times New Roman" w:hAnsi="Times New Roman" w:cs="Times New Roman"/>
          <w:i w:val="0"/>
          <w:iCs w:val="0"/>
          <w:u w:val="single"/>
          <w:lang w:val="en-US" w:eastAsia="zh-CN"/>
        </w:rPr>
        <w:t>SO</w:t>
      </w:r>
      <w:r>
        <w:rPr>
          <w:rFonts w:hint="default" w:ascii="Times New Roman" w:hAnsi="Times New Roman" w:cs="Times New Roman"/>
          <w:i w:val="0"/>
          <w:iCs w:val="0"/>
          <w:u w:val="single"/>
          <w:vertAlign w:val="subscript"/>
          <w:lang w:val="en-US" w:eastAsia="zh-CN"/>
        </w:rPr>
        <w:t>2</w:t>
      </w:r>
      <w:r>
        <w:rPr>
          <w:rFonts w:hint="default" w:ascii="Times New Roman" w:hAnsi="Times New Roman" w:cs="Times New Roman"/>
          <w:i w:val="0"/>
          <w:iCs w:val="0"/>
          <w:u w:val="single"/>
          <w:lang w:val="en-US" w:eastAsia="zh-CN"/>
        </w:rPr>
        <w:t>：0.</w:t>
      </w:r>
      <w:r>
        <w:rPr>
          <w:rFonts w:hint="eastAsia" w:cs="Times New Roman"/>
          <w:i w:val="0"/>
          <w:iCs w:val="0"/>
          <w:u w:val="single"/>
          <w:lang w:val="en-US" w:eastAsia="zh-CN"/>
        </w:rPr>
        <w:t>48</w:t>
      </w:r>
      <w:r>
        <w:rPr>
          <w:rFonts w:hint="default" w:ascii="Times New Roman" w:hAnsi="Times New Roman" w:cs="Times New Roman"/>
          <w:i w:val="0"/>
          <w:iCs w:val="0"/>
          <w:u w:val="single"/>
          <w:lang w:val="en-US" w:eastAsia="zh-CN"/>
        </w:rPr>
        <w:t>t/a</w:t>
      </w:r>
      <w:r>
        <w:rPr>
          <w:rFonts w:hint="eastAsia" w:ascii="Times New Roman" w:hAnsi="Times New Roman" w:cs="Times New Roman"/>
          <w:i w:val="0"/>
          <w:iCs w:val="0"/>
          <w:u w:val="single"/>
          <w:lang w:val="en-US" w:eastAsia="zh-CN"/>
        </w:rPr>
        <w:t>、</w:t>
      </w:r>
      <w:r>
        <w:rPr>
          <w:rFonts w:hint="default" w:ascii="Times New Roman" w:hAnsi="Times New Roman" w:cs="Times New Roman"/>
          <w:i w:val="0"/>
          <w:iCs w:val="0"/>
          <w:u w:val="single"/>
          <w:lang w:val="en-US" w:eastAsia="zh-CN"/>
        </w:rPr>
        <w:t>NO</w:t>
      </w:r>
      <w:r>
        <w:rPr>
          <w:rFonts w:hint="default" w:ascii="Times New Roman" w:hAnsi="Times New Roman" w:cs="Times New Roman"/>
          <w:i w:val="0"/>
          <w:iCs w:val="0"/>
          <w:u w:val="single"/>
          <w:vertAlign w:val="subscript"/>
          <w:lang w:val="en-US" w:eastAsia="zh-CN"/>
        </w:rPr>
        <w:t>X</w:t>
      </w:r>
      <w:r>
        <w:rPr>
          <w:rFonts w:hint="default" w:ascii="Times New Roman" w:hAnsi="Times New Roman" w:cs="Times New Roman"/>
          <w:i w:val="0"/>
          <w:iCs w:val="0"/>
          <w:u w:val="single"/>
          <w:lang w:val="en-US" w:eastAsia="zh-CN"/>
        </w:rPr>
        <w:t>：</w:t>
      </w:r>
      <w:r>
        <w:rPr>
          <w:rFonts w:hint="eastAsia" w:cs="Times New Roman"/>
          <w:i w:val="0"/>
          <w:iCs w:val="0"/>
          <w:u w:val="single"/>
          <w:lang w:val="en-US" w:eastAsia="zh-CN"/>
        </w:rPr>
        <w:t>2.245</w:t>
      </w:r>
      <w:r>
        <w:rPr>
          <w:rFonts w:hint="default" w:ascii="Times New Roman" w:hAnsi="Times New Roman" w:cs="Times New Roman"/>
          <w:i w:val="0"/>
          <w:iCs w:val="0"/>
          <w:u w:val="single"/>
          <w:lang w:val="en-US" w:eastAsia="zh-CN"/>
        </w:rPr>
        <w:t>t/a</w:t>
      </w:r>
      <w:r>
        <w:rPr>
          <w:rFonts w:hint="eastAsia" w:ascii="Times New Roman" w:hAnsi="Times New Roman" w:cs="Times New Roman"/>
          <w:i w:val="0"/>
          <w:iCs w:val="0"/>
          <w:u w:val="single"/>
          <w:lang w:val="en-US" w:eastAsia="zh-CN"/>
        </w:rPr>
        <w:t>。</w:t>
      </w:r>
      <w:r>
        <w:rPr>
          <w:rFonts w:hint="eastAsia"/>
          <w:i w:val="0"/>
          <w:iCs w:val="0"/>
          <w:u w:val="single"/>
          <w:lang w:val="en-US" w:eastAsia="zh-CN"/>
        </w:rPr>
        <w:t>风量为20000m</w:t>
      </w:r>
      <w:r>
        <w:rPr>
          <w:rFonts w:hint="eastAsia"/>
          <w:i w:val="0"/>
          <w:iCs w:val="0"/>
          <w:u w:val="single"/>
          <w:vertAlign w:val="superscript"/>
          <w:lang w:val="en-US" w:eastAsia="zh-CN"/>
        </w:rPr>
        <w:t>3</w:t>
      </w:r>
      <w:r>
        <w:rPr>
          <w:rFonts w:hint="eastAsia"/>
          <w:i w:val="0"/>
          <w:iCs w:val="0"/>
          <w:u w:val="single"/>
          <w:lang w:val="en-US" w:eastAsia="zh-CN"/>
        </w:rPr>
        <w:t>/h，则粉尘（烟尘）排放浓度为11.1mg/m</w:t>
      </w:r>
      <w:r>
        <w:rPr>
          <w:rFonts w:hint="eastAsia"/>
          <w:i w:val="0"/>
          <w:iCs w:val="0"/>
          <w:u w:val="single"/>
          <w:vertAlign w:val="superscript"/>
          <w:lang w:val="en-US" w:eastAsia="zh-CN"/>
        </w:rPr>
        <w:t>3</w:t>
      </w:r>
      <w:r>
        <w:rPr>
          <w:rFonts w:hint="eastAsia"/>
          <w:i w:val="0"/>
          <w:iCs w:val="0"/>
          <w:u w:val="single"/>
          <w:vertAlign w:val="baseline"/>
          <w:lang w:val="en-US" w:eastAsia="zh-CN"/>
        </w:rPr>
        <w:t>，速率为0.222kg/h，满足</w:t>
      </w:r>
      <w:r>
        <w:rPr>
          <w:rFonts w:hint="eastAsia" w:ascii="Times New Roman" w:hAnsi="Times New Roman" w:eastAsia="宋体" w:cs="Times New Roman"/>
          <w:i w:val="0"/>
          <w:iCs w:val="0"/>
          <w:u w:val="single"/>
          <w:lang w:val="en-US" w:eastAsia="zh-CN"/>
        </w:rPr>
        <w:t>《大气污染物综合排放标准》（GB16297-1996）中表2颗粒物排放限值（120</w:t>
      </w:r>
      <w:r>
        <w:rPr>
          <w:rFonts w:hint="eastAsia"/>
          <w:i w:val="0"/>
          <w:iCs w:val="0"/>
          <w:u w:val="single"/>
          <w:lang w:val="en-US" w:eastAsia="zh-CN"/>
        </w:rPr>
        <w:t>mg/m</w:t>
      </w:r>
      <w:r>
        <w:rPr>
          <w:rFonts w:hint="eastAsia"/>
          <w:i w:val="0"/>
          <w:iCs w:val="0"/>
          <w:u w:val="single"/>
          <w:vertAlign w:val="superscript"/>
          <w:lang w:val="en-US" w:eastAsia="zh-CN"/>
        </w:rPr>
        <w:t>3</w:t>
      </w:r>
      <w:r>
        <w:rPr>
          <w:rFonts w:hint="eastAsia" w:ascii="Times New Roman" w:hAnsi="Times New Roman" w:eastAsia="宋体" w:cs="Times New Roman"/>
          <w:i w:val="0"/>
          <w:iCs w:val="0"/>
          <w:u w:val="single"/>
          <w:lang w:val="en-US" w:eastAsia="zh-CN"/>
        </w:rPr>
        <w:t>）；</w:t>
      </w:r>
      <w:r>
        <w:rPr>
          <w:rFonts w:hint="default" w:ascii="Times New Roman" w:hAnsi="Times New Roman" w:cs="Times New Roman"/>
          <w:i w:val="0"/>
          <w:iCs w:val="0"/>
          <w:u w:val="single"/>
          <w:lang w:val="en-US" w:eastAsia="zh-CN"/>
        </w:rPr>
        <w:t>SO</w:t>
      </w:r>
      <w:r>
        <w:rPr>
          <w:rFonts w:hint="default" w:ascii="Times New Roman" w:hAnsi="Times New Roman" w:cs="Times New Roman"/>
          <w:i w:val="0"/>
          <w:iCs w:val="0"/>
          <w:u w:val="single"/>
          <w:vertAlign w:val="subscript"/>
          <w:lang w:val="en-US" w:eastAsia="zh-CN"/>
        </w:rPr>
        <w:t>2</w:t>
      </w:r>
      <w:r>
        <w:rPr>
          <w:rFonts w:hint="eastAsia" w:ascii="Times New Roman" w:hAnsi="Times New Roman" w:cs="Times New Roman"/>
          <w:i w:val="0"/>
          <w:iCs w:val="0"/>
          <w:u w:val="single"/>
          <w:vertAlign w:val="baseline"/>
          <w:lang w:val="en-US" w:eastAsia="zh-CN"/>
        </w:rPr>
        <w:t>排放浓度为</w:t>
      </w:r>
      <w:r>
        <w:rPr>
          <w:rFonts w:hint="eastAsia" w:cs="Times New Roman"/>
          <w:i w:val="0"/>
          <w:iCs w:val="0"/>
          <w:u w:val="single"/>
          <w:vertAlign w:val="baseline"/>
          <w:lang w:val="en-US" w:eastAsia="zh-CN"/>
        </w:rPr>
        <w:t>4.8</w:t>
      </w:r>
      <w:r>
        <w:rPr>
          <w:rFonts w:hint="eastAsia"/>
          <w:i w:val="0"/>
          <w:iCs w:val="0"/>
          <w:u w:val="single"/>
          <w:lang w:val="en-US" w:eastAsia="zh-CN"/>
        </w:rPr>
        <w:t>mg/m</w:t>
      </w:r>
      <w:r>
        <w:rPr>
          <w:rFonts w:hint="eastAsia"/>
          <w:i w:val="0"/>
          <w:iCs w:val="0"/>
          <w:u w:val="single"/>
          <w:vertAlign w:val="superscript"/>
          <w:lang w:val="en-US" w:eastAsia="zh-CN"/>
        </w:rPr>
        <w:t>3</w:t>
      </w:r>
      <w:r>
        <w:rPr>
          <w:rFonts w:hint="eastAsia"/>
          <w:i w:val="0"/>
          <w:iCs w:val="0"/>
          <w:u w:val="single"/>
          <w:vertAlign w:val="baseline"/>
          <w:lang w:val="en-US" w:eastAsia="zh-CN"/>
        </w:rPr>
        <w:t>，速率为0.096kg/h，</w:t>
      </w:r>
      <w:r>
        <w:rPr>
          <w:rFonts w:hint="default" w:ascii="Times New Roman" w:hAnsi="Times New Roman" w:cs="Times New Roman"/>
          <w:i w:val="0"/>
          <w:iCs w:val="0"/>
          <w:u w:val="single"/>
          <w:lang w:val="en-US" w:eastAsia="zh-CN"/>
        </w:rPr>
        <w:t>NO</w:t>
      </w:r>
      <w:r>
        <w:rPr>
          <w:rFonts w:hint="default" w:ascii="Times New Roman" w:hAnsi="Times New Roman" w:cs="Times New Roman"/>
          <w:i w:val="0"/>
          <w:iCs w:val="0"/>
          <w:u w:val="single"/>
          <w:vertAlign w:val="subscript"/>
          <w:lang w:val="en-US" w:eastAsia="zh-CN"/>
        </w:rPr>
        <w:t>X</w:t>
      </w:r>
      <w:r>
        <w:rPr>
          <w:rFonts w:hint="eastAsia" w:ascii="Times New Roman" w:hAnsi="Times New Roman" w:cs="Times New Roman"/>
          <w:i w:val="0"/>
          <w:iCs w:val="0"/>
          <w:u w:val="single"/>
          <w:vertAlign w:val="baseline"/>
          <w:lang w:val="en-US" w:eastAsia="zh-CN"/>
        </w:rPr>
        <w:t>排放浓度为</w:t>
      </w:r>
      <w:r>
        <w:rPr>
          <w:rFonts w:hint="eastAsia" w:cs="Times New Roman"/>
          <w:i w:val="0"/>
          <w:iCs w:val="0"/>
          <w:u w:val="single"/>
          <w:vertAlign w:val="baseline"/>
          <w:lang w:val="en-US" w:eastAsia="zh-CN"/>
        </w:rPr>
        <w:t>22.45</w:t>
      </w:r>
      <w:r>
        <w:rPr>
          <w:rFonts w:hint="eastAsia"/>
          <w:i w:val="0"/>
          <w:iCs w:val="0"/>
          <w:u w:val="single"/>
          <w:lang w:val="en-US" w:eastAsia="zh-CN"/>
        </w:rPr>
        <w:t>mg/m</w:t>
      </w:r>
      <w:r>
        <w:rPr>
          <w:rFonts w:hint="eastAsia"/>
          <w:i w:val="0"/>
          <w:iCs w:val="0"/>
          <w:u w:val="single"/>
          <w:vertAlign w:val="superscript"/>
          <w:lang w:val="en-US" w:eastAsia="zh-CN"/>
        </w:rPr>
        <w:t>3</w:t>
      </w:r>
      <w:r>
        <w:rPr>
          <w:rFonts w:hint="eastAsia"/>
          <w:i w:val="0"/>
          <w:iCs w:val="0"/>
          <w:u w:val="single"/>
          <w:vertAlign w:val="baseline"/>
          <w:lang w:val="en-US" w:eastAsia="zh-CN"/>
        </w:rPr>
        <w:t>，速率为0.449kg/h。</w:t>
      </w:r>
      <w:r>
        <w:rPr>
          <w:rFonts w:hint="default" w:ascii="Times New Roman" w:hAnsi="Times New Roman" w:cs="Times New Roman"/>
          <w:i w:val="0"/>
          <w:iCs w:val="0"/>
          <w:u w:val="single"/>
          <w:lang w:val="en-US" w:eastAsia="zh-CN"/>
        </w:rPr>
        <w:t>SO</w:t>
      </w:r>
      <w:r>
        <w:rPr>
          <w:rFonts w:hint="default" w:ascii="Times New Roman" w:hAnsi="Times New Roman" w:cs="Times New Roman"/>
          <w:i w:val="0"/>
          <w:iCs w:val="0"/>
          <w:u w:val="single"/>
          <w:vertAlign w:val="subscript"/>
          <w:lang w:val="en-US" w:eastAsia="zh-CN"/>
        </w:rPr>
        <w:t>2</w:t>
      </w:r>
      <w:r>
        <w:rPr>
          <w:rFonts w:hint="eastAsia" w:ascii="Times New Roman" w:hAnsi="Times New Roman" w:cs="Times New Roman"/>
          <w:i w:val="0"/>
          <w:iCs w:val="0"/>
          <w:u w:val="single"/>
          <w:vertAlign w:val="baseline"/>
          <w:lang w:val="en-US" w:eastAsia="zh-CN"/>
        </w:rPr>
        <w:t>和</w:t>
      </w:r>
      <w:r>
        <w:rPr>
          <w:rFonts w:hint="default" w:ascii="Times New Roman" w:hAnsi="Times New Roman" w:cs="Times New Roman"/>
          <w:i w:val="0"/>
          <w:iCs w:val="0"/>
          <w:u w:val="single"/>
          <w:lang w:val="en-US" w:eastAsia="zh-CN"/>
        </w:rPr>
        <w:t>NO</w:t>
      </w:r>
      <w:r>
        <w:rPr>
          <w:rFonts w:hint="default" w:ascii="Times New Roman" w:hAnsi="Times New Roman" w:cs="Times New Roman"/>
          <w:i w:val="0"/>
          <w:iCs w:val="0"/>
          <w:u w:val="single"/>
          <w:vertAlign w:val="subscript"/>
          <w:lang w:val="en-US" w:eastAsia="zh-CN"/>
        </w:rPr>
        <w:t>X</w:t>
      </w:r>
      <w:r>
        <w:rPr>
          <w:rFonts w:hint="eastAsia"/>
          <w:i w:val="0"/>
          <w:iCs w:val="0"/>
          <w:u w:val="single"/>
          <w:vertAlign w:val="baseline"/>
          <w:lang w:val="en-US" w:eastAsia="zh-CN"/>
        </w:rPr>
        <w:t>满足</w:t>
      </w:r>
      <w:r>
        <w:rPr>
          <w:rFonts w:hint="eastAsia"/>
          <w:i w:val="0"/>
          <w:iCs w:val="0"/>
          <w:u w:val="single"/>
          <w:lang w:eastAsia="zh-CN"/>
        </w:rPr>
        <w:t>《锅炉大气污染物排放标准》（</w:t>
      </w:r>
      <w:r>
        <w:rPr>
          <w:rFonts w:hint="eastAsia"/>
          <w:i w:val="0"/>
          <w:iCs w:val="0"/>
          <w:u w:val="single"/>
          <w:lang w:val="en-US" w:eastAsia="zh-CN"/>
        </w:rPr>
        <w:t>GB13271-2014)表2新建锅炉大气污染物排放限值。</w:t>
      </w:r>
    </w:p>
    <w:p>
      <w:pPr>
        <w:pStyle w:val="48"/>
        <w:spacing w:line="360" w:lineRule="auto"/>
        <w:ind w:left="0" w:firstLine="480" w:firstLineChars="200"/>
        <w:rPr>
          <w:i w:val="0"/>
          <w:iCs w:val="0"/>
          <w:smallCaps w:val="0"/>
          <w:sz w:val="24"/>
          <w:szCs w:val="24"/>
          <w:u w:val="single"/>
        </w:rPr>
      </w:pPr>
      <w:r>
        <w:rPr>
          <w:rFonts w:hint="eastAsia"/>
          <w:i w:val="0"/>
          <w:iCs w:val="0"/>
          <w:smallCaps w:val="0"/>
          <w:sz w:val="24"/>
          <w:szCs w:val="24"/>
          <w:u w:val="single"/>
          <w:lang w:val="en-US" w:eastAsia="zh-CN"/>
        </w:rPr>
        <w:t>5</w:t>
      </w:r>
      <w:r>
        <w:rPr>
          <w:rFonts w:hint="eastAsia"/>
          <w:i w:val="0"/>
          <w:iCs w:val="0"/>
          <w:smallCaps w:val="0"/>
          <w:sz w:val="24"/>
          <w:szCs w:val="24"/>
          <w:u w:val="single"/>
        </w:rPr>
        <w:t>、食堂油烟</w:t>
      </w:r>
    </w:p>
    <w:p>
      <w:pPr>
        <w:pStyle w:val="48"/>
        <w:wordWrap w:val="0"/>
        <w:spacing w:line="360" w:lineRule="auto"/>
        <w:ind w:left="0" w:firstLine="480" w:firstLineChars="200"/>
        <w:rPr>
          <w:rFonts w:hint="eastAsia"/>
          <w:i w:val="0"/>
          <w:iCs w:val="0"/>
          <w:smallCaps w:val="0"/>
          <w:sz w:val="24"/>
          <w:szCs w:val="24"/>
          <w:u w:val="single"/>
        </w:rPr>
      </w:pPr>
      <w:r>
        <w:rPr>
          <w:rFonts w:hint="eastAsia"/>
          <w:i w:val="0"/>
          <w:iCs w:val="0"/>
          <w:sz w:val="24"/>
          <w:szCs w:val="24"/>
          <w:u w:val="single"/>
        </w:rPr>
        <w:t>根据资料调研，食堂厨房的油烟成分十分复杂，既富含油脂、蛋白质及原料佐料在受热条件下进行物理化学反应产生的有机烟气，也有加热操作过程中液滴溅裂、油料物料分解、氧化、聚合的高分子化合物，因此存在的形态有TSP，又有气体分子的有机态污染物。此外测试发现，食用油加热到150-200℃时产生的气态污染物中还有不少是致癌物质。本项目建成后，设食堂1处，灶头为5</w:t>
      </w:r>
      <w:r>
        <w:rPr>
          <w:rFonts w:hint="eastAsia"/>
          <w:i w:val="0"/>
          <w:iCs w:val="0"/>
          <w:smallCaps w:val="0"/>
          <w:sz w:val="24"/>
          <w:szCs w:val="24"/>
          <w:u w:val="single"/>
        </w:rPr>
        <w:t>个，供职工提供三餐。食堂就餐人数按80人/d 计，每日三餐，每人每天食用油耗量按100g计，则食用油消耗量2.</w:t>
      </w:r>
      <w:r>
        <w:rPr>
          <w:rFonts w:hint="eastAsia"/>
          <w:i w:val="0"/>
          <w:iCs w:val="0"/>
          <w:smallCaps w:val="0"/>
          <w:sz w:val="24"/>
          <w:szCs w:val="24"/>
          <w:u w:val="single"/>
          <w:lang w:val="en-US" w:eastAsia="zh-CN"/>
        </w:rPr>
        <w:t>6</w:t>
      </w:r>
      <w:r>
        <w:rPr>
          <w:rFonts w:hint="eastAsia"/>
          <w:i w:val="0"/>
          <w:iCs w:val="0"/>
          <w:smallCaps w:val="0"/>
          <w:sz w:val="24"/>
          <w:szCs w:val="24"/>
          <w:u w:val="single"/>
        </w:rPr>
        <w:t>t/a，油烟挥发量按1.0%计，则油烟产生量为2</w:t>
      </w:r>
      <w:r>
        <w:rPr>
          <w:rFonts w:hint="eastAsia"/>
          <w:i w:val="0"/>
          <w:iCs w:val="0"/>
          <w:smallCaps w:val="0"/>
          <w:sz w:val="24"/>
          <w:szCs w:val="24"/>
          <w:u w:val="single"/>
          <w:lang w:val="en-US" w:eastAsia="zh-CN"/>
        </w:rPr>
        <w:t>6</w:t>
      </w:r>
      <w:r>
        <w:rPr>
          <w:rFonts w:hint="eastAsia"/>
          <w:i w:val="0"/>
          <w:iCs w:val="0"/>
          <w:smallCaps w:val="0"/>
          <w:sz w:val="24"/>
          <w:szCs w:val="24"/>
          <w:u w:val="single"/>
        </w:rPr>
        <w:t>kg/a，设排风机1台，风机风量为12000m</w:t>
      </w:r>
      <w:r>
        <w:rPr>
          <w:rFonts w:hint="eastAsia"/>
          <w:i w:val="0"/>
          <w:iCs w:val="0"/>
          <w:smallCaps w:val="0"/>
          <w:sz w:val="24"/>
          <w:szCs w:val="24"/>
          <w:u w:val="single"/>
          <w:vertAlign w:val="superscript"/>
        </w:rPr>
        <w:t>3/</w:t>
      </w:r>
      <w:r>
        <w:rPr>
          <w:rFonts w:hint="eastAsia"/>
          <w:i w:val="0"/>
          <w:iCs w:val="0"/>
          <w:smallCaps w:val="0"/>
          <w:sz w:val="24"/>
          <w:szCs w:val="24"/>
          <w:u w:val="single"/>
        </w:rPr>
        <w:t>h，年工作3</w:t>
      </w:r>
      <w:r>
        <w:rPr>
          <w:rFonts w:hint="eastAsia"/>
          <w:i w:val="0"/>
          <w:iCs w:val="0"/>
          <w:smallCaps w:val="0"/>
          <w:sz w:val="24"/>
          <w:szCs w:val="24"/>
          <w:u w:val="single"/>
          <w:lang w:val="en-US" w:eastAsia="zh-CN"/>
        </w:rPr>
        <w:t>25</w:t>
      </w:r>
      <w:r>
        <w:rPr>
          <w:rFonts w:hint="eastAsia"/>
          <w:i w:val="0"/>
          <w:iCs w:val="0"/>
          <w:smallCaps w:val="0"/>
          <w:sz w:val="24"/>
          <w:szCs w:val="24"/>
          <w:u w:val="single"/>
        </w:rPr>
        <w:t>d，每天做饭时间按6h计。因此油烟产生浓度约1.</w:t>
      </w:r>
      <w:r>
        <w:rPr>
          <w:rFonts w:hint="eastAsia"/>
          <w:i w:val="0"/>
          <w:iCs w:val="0"/>
          <w:smallCaps w:val="0"/>
          <w:sz w:val="24"/>
          <w:szCs w:val="24"/>
          <w:u w:val="single"/>
          <w:lang w:val="en-US" w:eastAsia="zh-CN"/>
        </w:rPr>
        <w:t>11</w:t>
      </w:r>
      <w:r>
        <w:rPr>
          <w:rFonts w:hint="eastAsia"/>
          <w:i w:val="0"/>
          <w:iCs w:val="0"/>
          <w:smallCaps w:val="0"/>
          <w:sz w:val="24"/>
          <w:szCs w:val="24"/>
          <w:u w:val="single"/>
        </w:rPr>
        <w:t>mg/m</w:t>
      </w:r>
      <w:r>
        <w:rPr>
          <w:rFonts w:hint="eastAsia"/>
          <w:i w:val="0"/>
          <w:iCs w:val="0"/>
          <w:smallCaps w:val="0"/>
          <w:sz w:val="24"/>
          <w:szCs w:val="24"/>
          <w:u w:val="single"/>
          <w:vertAlign w:val="superscript"/>
        </w:rPr>
        <w:t>3</w:t>
      </w:r>
      <w:r>
        <w:rPr>
          <w:rFonts w:hint="eastAsia"/>
          <w:i w:val="0"/>
          <w:iCs w:val="0"/>
          <w:smallCaps w:val="0"/>
          <w:sz w:val="24"/>
          <w:szCs w:val="24"/>
          <w:u w:val="single"/>
        </w:rPr>
        <w:t>，产生的油烟用集风罩收集（收集效率为90%）后通过油烟净化装置处理（设计处理效率75%以上）后排放，排放浓度为0.25mg/m</w:t>
      </w:r>
      <w:r>
        <w:rPr>
          <w:rFonts w:hint="eastAsia"/>
          <w:i w:val="0"/>
          <w:iCs w:val="0"/>
          <w:smallCaps w:val="0"/>
          <w:sz w:val="24"/>
          <w:szCs w:val="24"/>
          <w:u w:val="single"/>
          <w:vertAlign w:val="superscript"/>
        </w:rPr>
        <w:t>3</w:t>
      </w:r>
      <w:r>
        <w:rPr>
          <w:rFonts w:hint="eastAsia"/>
          <w:i w:val="0"/>
          <w:iCs w:val="0"/>
          <w:smallCaps w:val="0"/>
          <w:sz w:val="24"/>
          <w:szCs w:val="24"/>
          <w:u w:val="single"/>
        </w:rPr>
        <w:t>，油烟排放量为5.</w:t>
      </w:r>
      <w:r>
        <w:rPr>
          <w:rFonts w:hint="eastAsia"/>
          <w:i w:val="0"/>
          <w:iCs w:val="0"/>
          <w:smallCaps w:val="0"/>
          <w:sz w:val="24"/>
          <w:szCs w:val="24"/>
          <w:u w:val="single"/>
          <w:lang w:val="en-US" w:eastAsia="zh-CN"/>
        </w:rPr>
        <w:t>85</w:t>
      </w:r>
      <w:r>
        <w:rPr>
          <w:rFonts w:hint="eastAsia"/>
          <w:i w:val="0"/>
          <w:iCs w:val="0"/>
          <w:smallCaps w:val="0"/>
          <w:sz w:val="24"/>
          <w:szCs w:val="24"/>
          <w:u w:val="single"/>
        </w:rPr>
        <w:t>kg/a，能够满足《饮食业油烟排放标准（试行）》（ GB18483-2001）中的最高允许排放浓度限值2mg/m</w:t>
      </w:r>
      <w:r>
        <w:rPr>
          <w:rFonts w:hint="eastAsia"/>
          <w:i w:val="0"/>
          <w:iCs w:val="0"/>
          <w:smallCaps w:val="0"/>
          <w:sz w:val="24"/>
          <w:szCs w:val="24"/>
          <w:u w:val="single"/>
          <w:vertAlign w:val="superscript"/>
        </w:rPr>
        <w:t>3</w:t>
      </w:r>
      <w:r>
        <w:rPr>
          <w:rFonts w:hint="eastAsia"/>
          <w:i w:val="0"/>
          <w:iCs w:val="0"/>
          <w:smallCaps w:val="0"/>
          <w:sz w:val="24"/>
          <w:szCs w:val="24"/>
          <w:u w:val="single"/>
        </w:rPr>
        <w:t>的要求。食堂油烟通过高于楼顶的排气筒（DA003）排放。</w:t>
      </w:r>
    </w:p>
    <w:p>
      <w:pPr>
        <w:spacing w:line="360" w:lineRule="auto"/>
        <w:ind w:firstLine="480" w:firstLineChars="200"/>
        <w:rPr>
          <w:rFonts w:hint="eastAsia"/>
          <w:i w:val="0"/>
          <w:iCs w:val="0"/>
          <w:u w:val="single"/>
        </w:rPr>
      </w:pPr>
      <w:r>
        <w:rPr>
          <w:rFonts w:hint="eastAsia"/>
          <w:i w:val="0"/>
          <w:iCs w:val="0"/>
          <w:u w:val="single"/>
          <w:lang w:val="en-US" w:eastAsia="zh-CN"/>
        </w:rPr>
        <w:t>6</w:t>
      </w:r>
      <w:r>
        <w:rPr>
          <w:rFonts w:hint="eastAsia"/>
          <w:i w:val="0"/>
          <w:iCs w:val="0"/>
          <w:u w:val="single"/>
        </w:rPr>
        <w:t>、实验废气</w:t>
      </w:r>
    </w:p>
    <w:p>
      <w:pPr>
        <w:spacing w:line="360" w:lineRule="auto"/>
        <w:ind w:firstLine="480" w:firstLineChars="200"/>
        <w:rPr>
          <w:rFonts w:hint="eastAsia"/>
          <w:i w:val="0"/>
          <w:iCs w:val="0"/>
          <w:u w:val="single"/>
        </w:rPr>
      </w:pPr>
      <w:r>
        <w:rPr>
          <w:rFonts w:hint="eastAsia"/>
          <w:i w:val="0"/>
          <w:iCs w:val="0"/>
          <w:u w:val="single"/>
        </w:rPr>
        <w:t>本项目拟设置化验室、研发室，主要对产品进行指标鉴定、工艺参数验证小试试验，化验室使用试剂主要为10L/a 无水乙醚溶液、5L/a盐酸、5L/a硫酸、10L/a三氯甲烷等，使用频次为4h/d，废气排放为间歇性排放，试剂浓度较低，废气量极小，本项目仅进行定性分析，化验室产生废气主要为酸气，废气经通风橱收集后，进入活性炭装置处理后排至室外。</w:t>
      </w:r>
    </w:p>
    <w:p>
      <w:pPr>
        <w:spacing w:line="360" w:lineRule="auto"/>
        <w:ind w:firstLine="480" w:firstLineChars="200"/>
        <w:rPr>
          <w:rFonts w:hint="eastAsia" w:eastAsia="宋体"/>
          <w:i w:val="0"/>
          <w:iCs w:val="0"/>
          <w:u w:val="single"/>
          <w:lang w:val="en-US" w:eastAsia="zh-CN"/>
        </w:rPr>
      </w:pPr>
      <w:r>
        <w:rPr>
          <w:rFonts w:hint="eastAsia"/>
          <w:i w:val="0"/>
          <w:iCs w:val="0"/>
          <w:u w:val="single"/>
          <w:lang w:val="en-US" w:eastAsia="zh-CN"/>
        </w:rPr>
        <w:t>7、沼气燃烧废气</w:t>
      </w:r>
    </w:p>
    <w:p>
      <w:pPr>
        <w:pStyle w:val="32"/>
        <w:spacing w:line="360" w:lineRule="auto"/>
        <w:ind w:firstLine="480" w:firstLineChars="200"/>
        <w:jc w:val="left"/>
        <w:rPr>
          <w:rFonts w:ascii="Times New Roman" w:hAnsi="Times New Roman"/>
          <w:i w:val="0"/>
          <w:iCs w:val="0"/>
          <w:color w:val="000000"/>
          <w:sz w:val="24"/>
          <w:u w:val="single"/>
        </w:rPr>
      </w:pPr>
      <w:r>
        <w:rPr>
          <w:rFonts w:ascii="Times New Roman" w:hAnsi="宋体"/>
          <w:i w:val="0"/>
          <w:iCs w:val="0"/>
          <w:color w:val="000000"/>
          <w:sz w:val="24"/>
          <w:u w:val="single"/>
        </w:rPr>
        <w:t>本项目污水处理工程</w:t>
      </w:r>
      <w:r>
        <w:rPr>
          <w:rFonts w:ascii="Times New Roman" w:hAnsi="Times New Roman"/>
          <w:i w:val="0"/>
          <w:iCs w:val="0"/>
          <w:color w:val="000000"/>
          <w:sz w:val="24"/>
          <w:u w:val="single"/>
        </w:rPr>
        <w:t>UASB</w:t>
      </w:r>
      <w:r>
        <w:rPr>
          <w:rFonts w:ascii="Times New Roman" w:hAnsi="宋体"/>
          <w:i w:val="0"/>
          <w:iCs w:val="0"/>
          <w:color w:val="000000"/>
          <w:sz w:val="24"/>
          <w:u w:val="single"/>
        </w:rPr>
        <w:t>厌氧处理部分会产生沼气</w:t>
      </w:r>
      <w:r>
        <w:rPr>
          <w:rFonts w:ascii="Times New Roman" w:hAnsi="Times New Roman"/>
          <w:i w:val="0"/>
          <w:iCs w:val="0"/>
          <w:color w:val="000000"/>
          <w:sz w:val="24"/>
          <w:u w:val="single"/>
          <w:lang w:val="zh-CN"/>
        </w:rPr>
        <w:t>，产生的沼气脱硫后采用压缩机打入压力贮气柜储存。</w:t>
      </w:r>
      <w:r>
        <w:rPr>
          <w:rFonts w:ascii="Times New Roman" w:hAnsi="Times New Roman"/>
          <w:i w:val="0"/>
          <w:iCs w:val="0"/>
          <w:color w:val="000000"/>
          <w:sz w:val="24"/>
          <w:u w:val="single"/>
        </w:rPr>
        <w:t>沼气的主要成分为CH</w:t>
      </w:r>
      <w:r>
        <w:rPr>
          <w:rFonts w:ascii="Times New Roman" w:hAnsi="Times New Roman"/>
          <w:i w:val="0"/>
          <w:iCs w:val="0"/>
          <w:color w:val="000000"/>
          <w:sz w:val="24"/>
          <w:u w:val="single"/>
          <w:vertAlign w:val="subscript"/>
        </w:rPr>
        <w:t>4</w:t>
      </w:r>
      <w:r>
        <w:rPr>
          <w:rFonts w:ascii="Times New Roman" w:hAnsi="Times New Roman"/>
          <w:i w:val="0"/>
          <w:iCs w:val="0"/>
          <w:color w:val="000000"/>
          <w:sz w:val="24"/>
          <w:u w:val="single"/>
        </w:rPr>
        <w:t>（50-70%）和CO</w:t>
      </w:r>
      <w:r>
        <w:rPr>
          <w:rFonts w:ascii="Times New Roman" w:hAnsi="Times New Roman"/>
          <w:i w:val="0"/>
          <w:iCs w:val="0"/>
          <w:color w:val="000000"/>
          <w:sz w:val="24"/>
          <w:u w:val="single"/>
          <w:vertAlign w:val="subscript"/>
        </w:rPr>
        <w:t>2</w:t>
      </w:r>
      <w:r>
        <w:rPr>
          <w:rFonts w:ascii="Times New Roman" w:hAnsi="Times New Roman"/>
          <w:i w:val="0"/>
          <w:iCs w:val="0"/>
          <w:color w:val="000000"/>
          <w:sz w:val="24"/>
          <w:u w:val="single"/>
        </w:rPr>
        <w:t>（30-40%），以及少量的H</w:t>
      </w:r>
      <w:r>
        <w:rPr>
          <w:rFonts w:ascii="Times New Roman" w:hAnsi="Times New Roman"/>
          <w:i w:val="0"/>
          <w:iCs w:val="0"/>
          <w:color w:val="000000"/>
          <w:sz w:val="24"/>
          <w:u w:val="single"/>
          <w:vertAlign w:val="subscript"/>
        </w:rPr>
        <w:t>2</w:t>
      </w:r>
      <w:r>
        <w:rPr>
          <w:rFonts w:ascii="Times New Roman" w:hAnsi="Times New Roman"/>
          <w:i w:val="0"/>
          <w:iCs w:val="0"/>
          <w:color w:val="000000"/>
          <w:sz w:val="24"/>
          <w:u w:val="single"/>
        </w:rPr>
        <w:t>、CO、NH</w:t>
      </w:r>
      <w:r>
        <w:rPr>
          <w:rFonts w:ascii="Times New Roman" w:hAnsi="Times New Roman"/>
          <w:i w:val="0"/>
          <w:iCs w:val="0"/>
          <w:color w:val="000000"/>
          <w:sz w:val="24"/>
          <w:u w:val="single"/>
          <w:vertAlign w:val="subscript"/>
        </w:rPr>
        <w:t>3</w:t>
      </w:r>
      <w:r>
        <w:rPr>
          <w:rFonts w:ascii="Times New Roman" w:hAnsi="Times New Roman"/>
          <w:i w:val="0"/>
          <w:iCs w:val="0"/>
          <w:color w:val="000000"/>
          <w:sz w:val="24"/>
          <w:u w:val="single"/>
        </w:rPr>
        <w:t>、H</w:t>
      </w:r>
      <w:r>
        <w:rPr>
          <w:rFonts w:ascii="Times New Roman" w:hAnsi="Times New Roman"/>
          <w:i w:val="0"/>
          <w:iCs w:val="0"/>
          <w:color w:val="000000"/>
          <w:sz w:val="24"/>
          <w:u w:val="single"/>
          <w:vertAlign w:val="subscript"/>
        </w:rPr>
        <w:t>2</w:t>
      </w:r>
      <w:r>
        <w:rPr>
          <w:rFonts w:ascii="Times New Roman" w:hAnsi="Times New Roman"/>
          <w:i w:val="0"/>
          <w:iCs w:val="0"/>
          <w:color w:val="000000"/>
          <w:sz w:val="24"/>
          <w:u w:val="single"/>
        </w:rPr>
        <w:t>S等。</w:t>
      </w:r>
    </w:p>
    <w:p>
      <w:pPr>
        <w:spacing w:line="360" w:lineRule="auto"/>
        <w:ind w:firstLine="480" w:firstLineChars="200"/>
        <w:rPr>
          <w:i w:val="0"/>
          <w:iCs w:val="0"/>
          <w:color w:val="000000"/>
          <w:sz w:val="24"/>
          <w:u w:val="single"/>
        </w:rPr>
      </w:pPr>
      <w:r>
        <w:rPr>
          <w:i w:val="0"/>
          <w:iCs w:val="0"/>
          <w:color w:val="000000"/>
          <w:sz w:val="24"/>
          <w:u w:val="single"/>
        </w:rPr>
        <w:t>沼气脱硫净化采用以氧化铁为脱硫剂的干法脱硫技术，化学脱硫是应用最为广泛的沼气脱硫技术之一。沼气中的硫化氢与活性氧化铁接触，生成三硫化铁，然后含有硫化物的脱硫剂与空气中的氧接触，当有水存在时，铁的硫化物又转化为氧化铁和单体硫。这种脱硫再生过程可循环进行多次，直至氧化铁脱硫剂表面的大部分孔隙被硫或其它杂质覆盖而失去活性为止。失去活性的脱活剂从脱硫塔中取出，处理后可重复使用，多次使用后不具有可重复利用价值的氧化铁，由沼气设备安装公司负责收回并更新。</w:t>
      </w:r>
    </w:p>
    <w:p>
      <w:pPr>
        <w:spacing w:line="360" w:lineRule="auto"/>
        <w:ind w:firstLine="480" w:firstLineChars="200"/>
        <w:rPr>
          <w:rFonts w:hint="eastAsia" w:eastAsia="宋体"/>
          <w:i w:val="0"/>
          <w:iCs w:val="0"/>
          <w:color w:val="000000"/>
          <w:sz w:val="24"/>
          <w:szCs w:val="24"/>
          <w:u w:val="single"/>
          <w:shd w:val="clear" w:color="auto" w:fill="FFFFFF"/>
          <w:lang w:eastAsia="zh-CN"/>
        </w:rPr>
      </w:pPr>
      <w:r>
        <w:rPr>
          <w:rFonts w:hint="eastAsia"/>
          <w:i w:val="0"/>
          <w:iCs w:val="0"/>
          <w:u w:val="single"/>
        </w:rPr>
        <w:t>本项目</w:t>
      </w:r>
      <w:r>
        <w:rPr>
          <w:rFonts w:hint="eastAsia"/>
          <w:i w:val="0"/>
          <w:iCs w:val="0"/>
          <w:u w:val="single"/>
          <w:lang w:eastAsia="zh-CN"/>
        </w:rPr>
        <w:t>对</w:t>
      </w:r>
      <w:r>
        <w:rPr>
          <w:rFonts w:hint="eastAsia"/>
          <w:i w:val="0"/>
          <w:iCs w:val="0"/>
          <w:u w:val="single"/>
          <w:lang w:val="en-US" w:eastAsia="zh-CN"/>
        </w:rPr>
        <w:t>沼气燃烧废气</w:t>
      </w:r>
      <w:r>
        <w:rPr>
          <w:rFonts w:hint="eastAsia"/>
          <w:i w:val="0"/>
          <w:iCs w:val="0"/>
          <w:u w:val="single"/>
        </w:rPr>
        <w:t>进行定性分析</w:t>
      </w:r>
      <w:r>
        <w:rPr>
          <w:rFonts w:hint="eastAsia"/>
          <w:i w:val="0"/>
          <w:iCs w:val="0"/>
          <w:u w:val="single"/>
          <w:lang w:eastAsia="zh-CN"/>
        </w:rPr>
        <w:t>，</w:t>
      </w:r>
      <w:r>
        <w:rPr>
          <w:i w:val="0"/>
          <w:iCs w:val="0"/>
          <w:color w:val="000000"/>
          <w:sz w:val="24"/>
          <w:szCs w:val="24"/>
          <w:u w:val="single"/>
        </w:rPr>
        <w:t>项目沼气脱硫净化经缓冲储存后</w:t>
      </w:r>
      <w:r>
        <w:rPr>
          <w:rFonts w:hint="eastAsia"/>
          <w:i w:val="0"/>
          <w:iCs w:val="0"/>
          <w:color w:val="000000"/>
          <w:sz w:val="24"/>
          <w:szCs w:val="24"/>
          <w:u w:val="single"/>
          <w:lang w:eastAsia="zh-CN"/>
        </w:rPr>
        <w:t>定期</w:t>
      </w:r>
      <w:r>
        <w:rPr>
          <w:i w:val="0"/>
          <w:iCs w:val="0"/>
          <w:color w:val="000000"/>
          <w:sz w:val="24"/>
          <w:szCs w:val="24"/>
          <w:u w:val="single"/>
        </w:rPr>
        <w:t>进行燃放</w:t>
      </w:r>
      <w:r>
        <w:rPr>
          <w:rFonts w:hint="eastAsia"/>
          <w:i w:val="0"/>
          <w:iCs w:val="0"/>
          <w:color w:val="000000"/>
          <w:sz w:val="24"/>
          <w:szCs w:val="24"/>
          <w:u w:val="single"/>
          <w:lang w:eastAsia="zh-CN"/>
        </w:rPr>
        <w:t>，</w:t>
      </w:r>
      <w:r>
        <w:rPr>
          <w:rFonts w:hAnsi="宋体"/>
          <w:i w:val="0"/>
          <w:iCs w:val="0"/>
          <w:color w:val="000000"/>
          <w:sz w:val="24"/>
          <w:szCs w:val="24"/>
          <w:u w:val="single"/>
        </w:rPr>
        <w:t>燃烧时</w:t>
      </w:r>
      <w:r>
        <w:rPr>
          <w:rFonts w:hint="eastAsia" w:hAnsi="宋体"/>
          <w:i w:val="0"/>
          <w:iCs w:val="0"/>
          <w:color w:val="000000"/>
          <w:sz w:val="24"/>
          <w:szCs w:val="24"/>
          <w:u w:val="single"/>
          <w:lang w:eastAsia="zh-CN"/>
        </w:rPr>
        <w:t>产生</w:t>
      </w:r>
      <w:r>
        <w:rPr>
          <w:rFonts w:hAnsi="宋体"/>
          <w:i w:val="0"/>
          <w:iCs w:val="0"/>
          <w:color w:val="000000"/>
          <w:sz w:val="24"/>
          <w:szCs w:val="24"/>
          <w:u w:val="single"/>
        </w:rPr>
        <w:t>二氧化碳</w:t>
      </w:r>
      <w:r>
        <w:rPr>
          <w:rFonts w:hint="eastAsia" w:hAnsi="宋体"/>
          <w:i w:val="0"/>
          <w:iCs w:val="0"/>
          <w:color w:val="000000"/>
          <w:sz w:val="24"/>
          <w:szCs w:val="24"/>
          <w:u w:val="single"/>
          <w:lang w:eastAsia="zh-CN"/>
        </w:rPr>
        <w:t>、</w:t>
      </w:r>
      <w:r>
        <w:rPr>
          <w:rFonts w:hAnsi="宋体"/>
          <w:i w:val="0"/>
          <w:iCs w:val="0"/>
          <w:color w:val="000000"/>
          <w:sz w:val="24"/>
          <w:szCs w:val="24"/>
          <w:u w:val="single"/>
        </w:rPr>
        <w:t>水</w:t>
      </w:r>
      <w:r>
        <w:rPr>
          <w:rFonts w:hint="eastAsia" w:hAnsi="宋体"/>
          <w:i w:val="0"/>
          <w:iCs w:val="0"/>
          <w:color w:val="000000"/>
          <w:sz w:val="24"/>
          <w:szCs w:val="24"/>
          <w:u w:val="single"/>
          <w:lang w:eastAsia="zh-CN"/>
        </w:rPr>
        <w:t>及少量</w:t>
      </w:r>
      <w:r>
        <w:rPr>
          <w:rFonts w:hint="default" w:ascii="Times New Roman" w:hAnsi="Times New Roman" w:cs="Times New Roman"/>
          <w:i w:val="0"/>
          <w:iCs w:val="0"/>
          <w:sz w:val="24"/>
          <w:szCs w:val="24"/>
          <w:u w:val="single"/>
        </w:rPr>
        <w:t>SO</w:t>
      </w:r>
      <w:r>
        <w:rPr>
          <w:rFonts w:hint="default" w:ascii="Times New Roman" w:hAnsi="Times New Roman" w:cs="Times New Roman"/>
          <w:i w:val="0"/>
          <w:iCs w:val="0"/>
          <w:sz w:val="24"/>
          <w:szCs w:val="24"/>
          <w:u w:val="single"/>
          <w:vertAlign w:val="subscript"/>
        </w:rPr>
        <w:t>2</w:t>
      </w:r>
      <w:r>
        <w:rPr>
          <w:rFonts w:hint="eastAsia" w:ascii="Times New Roman" w:hAnsi="Times New Roman" w:cs="Times New Roman"/>
          <w:i w:val="0"/>
          <w:iCs w:val="0"/>
          <w:sz w:val="24"/>
          <w:szCs w:val="24"/>
          <w:u w:val="single"/>
          <w:vertAlign w:val="baseline"/>
          <w:lang w:eastAsia="zh-CN"/>
        </w:rPr>
        <w:t>和</w:t>
      </w:r>
      <w:r>
        <w:rPr>
          <w:rFonts w:hint="default" w:ascii="Times New Roman" w:hAnsi="Times New Roman" w:cs="Times New Roman"/>
          <w:i w:val="0"/>
          <w:iCs w:val="0"/>
          <w:sz w:val="24"/>
          <w:szCs w:val="24"/>
          <w:u w:val="single"/>
        </w:rPr>
        <w:t>NO</w:t>
      </w:r>
      <w:r>
        <w:rPr>
          <w:rFonts w:hint="default" w:ascii="Times New Roman" w:hAnsi="Times New Roman" w:cs="Times New Roman"/>
          <w:i w:val="0"/>
          <w:iCs w:val="0"/>
          <w:sz w:val="24"/>
          <w:szCs w:val="24"/>
          <w:u w:val="single"/>
          <w:vertAlign w:val="subscript"/>
        </w:rPr>
        <w:t>x</w:t>
      </w:r>
      <w:r>
        <w:rPr>
          <w:rFonts w:hint="eastAsia"/>
          <w:i w:val="0"/>
          <w:iCs w:val="0"/>
          <w:sz w:val="24"/>
          <w:szCs w:val="24"/>
          <w:u w:val="single"/>
          <w:lang w:eastAsia="zh-CN"/>
        </w:rPr>
        <w:t>。</w:t>
      </w:r>
    </w:p>
    <w:p>
      <w:pPr>
        <w:spacing w:line="360" w:lineRule="auto"/>
        <w:ind w:firstLine="480" w:firstLineChars="200"/>
        <w:rPr>
          <w:i w:val="0"/>
          <w:iCs w:val="0"/>
          <w:u w:val="single"/>
        </w:rPr>
      </w:pPr>
      <w:r>
        <w:rPr>
          <w:rFonts w:hint="eastAsia"/>
          <w:i w:val="0"/>
          <w:iCs w:val="0"/>
          <w:u w:val="single"/>
        </w:rPr>
        <w:t>本</w:t>
      </w:r>
      <w:r>
        <w:rPr>
          <w:i w:val="0"/>
          <w:iCs w:val="0"/>
          <w:u w:val="single"/>
        </w:rPr>
        <w:t>项目废气源排放情况见表</w:t>
      </w:r>
      <w:r>
        <w:rPr>
          <w:rFonts w:hint="eastAsia"/>
          <w:i w:val="0"/>
          <w:iCs w:val="0"/>
          <w:u w:val="single"/>
        </w:rPr>
        <w:t>3</w:t>
      </w:r>
      <w:r>
        <w:rPr>
          <w:i w:val="0"/>
          <w:iCs w:val="0"/>
          <w:u w:val="single"/>
        </w:rPr>
        <w:t>-</w:t>
      </w:r>
      <w:r>
        <w:rPr>
          <w:rFonts w:hint="eastAsia"/>
          <w:i w:val="0"/>
          <w:iCs w:val="0"/>
          <w:u w:val="single"/>
          <w:lang w:val="en-US" w:eastAsia="zh-CN"/>
        </w:rPr>
        <w:t>32</w:t>
      </w:r>
      <w:r>
        <w:rPr>
          <w:rFonts w:hint="eastAsia"/>
          <w:i w:val="0"/>
          <w:iCs w:val="0"/>
          <w:u w:val="single"/>
        </w:rPr>
        <w:t>及表3-</w:t>
      </w:r>
      <w:r>
        <w:rPr>
          <w:rFonts w:hint="eastAsia"/>
          <w:i w:val="0"/>
          <w:iCs w:val="0"/>
          <w:u w:val="single"/>
          <w:lang w:val="en-US" w:eastAsia="zh-CN"/>
        </w:rPr>
        <w:t>33</w:t>
      </w:r>
      <w:r>
        <w:rPr>
          <w:rFonts w:hint="eastAsia"/>
          <w:i w:val="0"/>
          <w:iCs w:val="0"/>
          <w:u w:val="single"/>
        </w:rPr>
        <w:t>。</w:t>
      </w:r>
    </w:p>
    <w:p>
      <w:pPr>
        <w:pStyle w:val="24"/>
        <w:tabs>
          <w:tab w:val="left" w:pos="1260"/>
        </w:tabs>
        <w:spacing w:line="360" w:lineRule="auto"/>
        <w:ind w:firstLine="482" w:firstLineChars="200"/>
        <w:jc w:val="left"/>
        <w:rPr>
          <w:b/>
          <w:i w:val="0"/>
          <w:iCs w:val="0"/>
          <w:u w:val="single"/>
        </w:rPr>
        <w:sectPr>
          <w:footerReference r:id="rId12" w:type="default"/>
          <w:pgSz w:w="11907" w:h="16840"/>
          <w:pgMar w:top="1418" w:right="1304" w:bottom="1418" w:left="1304" w:header="851" w:footer="1134" w:gutter="0"/>
          <w:pgBorders>
            <w:top w:val="none" w:sz="0" w:space="0"/>
            <w:left w:val="none" w:sz="0" w:space="0"/>
            <w:bottom w:val="none" w:sz="0" w:space="0"/>
            <w:right w:val="none" w:sz="0" w:space="0"/>
          </w:pgBorders>
          <w:pgNumType w:fmt="decimal"/>
          <w:cols w:space="720" w:num="1"/>
          <w:docGrid w:linePitch="312" w:charSpace="0"/>
        </w:sectPr>
      </w:pPr>
    </w:p>
    <w:p>
      <w:pPr>
        <w:pStyle w:val="24"/>
        <w:tabs>
          <w:tab w:val="left" w:pos="1260"/>
        </w:tabs>
        <w:spacing w:line="240" w:lineRule="auto"/>
        <w:ind w:firstLine="482" w:firstLineChars="200"/>
        <w:rPr>
          <w:b/>
          <w:i w:val="0"/>
          <w:iCs w:val="0"/>
          <w:u w:val="single"/>
        </w:rPr>
      </w:pPr>
      <w:r>
        <w:rPr>
          <w:b/>
          <w:i w:val="0"/>
          <w:iCs w:val="0"/>
          <w:u w:val="single"/>
        </w:rPr>
        <w:t>表</w:t>
      </w:r>
      <w:r>
        <w:rPr>
          <w:rFonts w:hint="eastAsia"/>
          <w:b/>
          <w:i w:val="0"/>
          <w:iCs w:val="0"/>
          <w:u w:val="single"/>
        </w:rPr>
        <w:t>3</w:t>
      </w:r>
      <w:r>
        <w:rPr>
          <w:b/>
          <w:i w:val="0"/>
          <w:iCs w:val="0"/>
          <w:u w:val="single"/>
        </w:rPr>
        <w:t>-</w:t>
      </w:r>
      <w:r>
        <w:rPr>
          <w:rFonts w:hint="eastAsia"/>
          <w:b/>
          <w:i w:val="0"/>
          <w:iCs w:val="0"/>
          <w:u w:val="single"/>
          <w:lang w:val="en-US" w:eastAsia="zh-CN"/>
        </w:rPr>
        <w:t>32</w:t>
      </w:r>
      <w:r>
        <w:rPr>
          <w:rFonts w:hint="eastAsia"/>
          <w:b/>
          <w:i w:val="0"/>
          <w:iCs w:val="0"/>
          <w:u w:val="single"/>
        </w:rPr>
        <w:t>本项目</w:t>
      </w:r>
      <w:r>
        <w:rPr>
          <w:b/>
          <w:i w:val="0"/>
          <w:iCs w:val="0"/>
          <w:u w:val="single"/>
        </w:rPr>
        <w:t>废气污染物</w:t>
      </w:r>
      <w:r>
        <w:rPr>
          <w:rFonts w:hint="eastAsia"/>
          <w:b/>
          <w:i w:val="0"/>
          <w:iCs w:val="0"/>
          <w:u w:val="single"/>
        </w:rPr>
        <w:t>产生及</w:t>
      </w:r>
      <w:r>
        <w:rPr>
          <w:b/>
          <w:i w:val="0"/>
          <w:iCs w:val="0"/>
          <w:u w:val="single"/>
        </w:rPr>
        <w:t>排放情况</w:t>
      </w:r>
    </w:p>
    <w:tbl>
      <w:tblPr>
        <w:tblStyle w:val="58"/>
        <w:tblW w:w="4996"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399"/>
        <w:gridCol w:w="1126"/>
        <w:gridCol w:w="951"/>
        <w:gridCol w:w="880"/>
        <w:gridCol w:w="942"/>
        <w:gridCol w:w="1124"/>
        <w:gridCol w:w="797"/>
        <w:gridCol w:w="612"/>
        <w:gridCol w:w="1298"/>
        <w:gridCol w:w="786"/>
        <w:gridCol w:w="880"/>
        <w:gridCol w:w="880"/>
        <w:gridCol w:w="942"/>
        <w:gridCol w:w="954"/>
        <w:gridCol w:w="63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8" w:hRule="atLeast"/>
        </w:trPr>
        <w:tc>
          <w:tcPr>
            <w:tcW w:w="492" w:type="pct"/>
            <w:noWrap w:val="0"/>
            <w:vAlign w:val="center"/>
          </w:tcPr>
          <w:p>
            <w:pPr>
              <w:pStyle w:val="37"/>
              <w:spacing w:line="240" w:lineRule="auto"/>
              <w:ind w:left="-72" w:leftChars="-30" w:right="-72" w:rightChars="-30" w:firstLine="0"/>
              <w:jc w:val="center"/>
              <w:rPr>
                <w:rFonts w:hint="eastAsia"/>
                <w:b/>
                <w:bCs/>
                <w:i w:val="0"/>
                <w:iCs w:val="0"/>
                <w:sz w:val="21"/>
                <w:szCs w:val="21"/>
                <w:u w:val="single"/>
              </w:rPr>
            </w:pPr>
            <w:r>
              <w:rPr>
                <w:b/>
                <w:bCs/>
                <w:i w:val="0"/>
                <w:iCs w:val="0"/>
                <w:sz w:val="21"/>
                <w:szCs w:val="21"/>
                <w:u w:val="single"/>
              </w:rPr>
              <w:t>产排</w:t>
            </w:r>
            <w:r>
              <w:rPr>
                <w:rFonts w:hint="eastAsia"/>
                <w:b/>
                <w:bCs/>
                <w:i w:val="0"/>
                <w:iCs w:val="0"/>
                <w:sz w:val="21"/>
                <w:szCs w:val="21"/>
                <w:u w:val="single"/>
              </w:rPr>
              <w:t>环节</w:t>
            </w:r>
          </w:p>
        </w:tc>
        <w:tc>
          <w:tcPr>
            <w:tcW w:w="396" w:type="pct"/>
            <w:noWrap w:val="0"/>
            <w:vAlign w:val="center"/>
          </w:tcPr>
          <w:p>
            <w:pPr>
              <w:pStyle w:val="37"/>
              <w:spacing w:line="240" w:lineRule="auto"/>
              <w:ind w:left="-72" w:leftChars="-30" w:right="-72" w:rightChars="-30" w:firstLine="0"/>
              <w:jc w:val="center"/>
              <w:rPr>
                <w:b/>
                <w:bCs/>
                <w:i w:val="0"/>
                <w:iCs w:val="0"/>
                <w:sz w:val="21"/>
                <w:szCs w:val="21"/>
                <w:u w:val="single"/>
              </w:rPr>
            </w:pPr>
            <w:r>
              <w:rPr>
                <w:b/>
                <w:bCs/>
                <w:i w:val="0"/>
                <w:iCs w:val="0"/>
                <w:sz w:val="21"/>
                <w:szCs w:val="21"/>
                <w:u w:val="single"/>
              </w:rPr>
              <w:t>污染物</w:t>
            </w:r>
          </w:p>
        </w:tc>
        <w:tc>
          <w:tcPr>
            <w:tcW w:w="334" w:type="pct"/>
            <w:noWrap w:val="0"/>
            <w:vAlign w:val="center"/>
          </w:tcPr>
          <w:p>
            <w:pPr>
              <w:pStyle w:val="37"/>
              <w:spacing w:line="240" w:lineRule="auto"/>
              <w:ind w:left="-72" w:leftChars="-30" w:right="-72" w:rightChars="-30" w:firstLine="0"/>
              <w:jc w:val="center"/>
              <w:rPr>
                <w:b/>
                <w:bCs/>
                <w:i w:val="0"/>
                <w:iCs w:val="0"/>
                <w:sz w:val="21"/>
                <w:szCs w:val="21"/>
                <w:u w:val="single"/>
              </w:rPr>
            </w:pPr>
            <w:r>
              <w:rPr>
                <w:b/>
                <w:bCs/>
                <w:i w:val="0"/>
                <w:iCs w:val="0"/>
                <w:sz w:val="21"/>
                <w:szCs w:val="21"/>
                <w:u w:val="single"/>
              </w:rPr>
              <w:t>产生</w:t>
            </w:r>
            <w:r>
              <w:rPr>
                <w:rFonts w:hint="eastAsia"/>
                <w:b/>
                <w:bCs/>
                <w:i w:val="0"/>
                <w:iCs w:val="0"/>
                <w:sz w:val="21"/>
                <w:szCs w:val="21"/>
                <w:u w:val="single"/>
              </w:rPr>
              <w:t>量</w:t>
            </w:r>
            <w:r>
              <w:rPr>
                <w:b/>
                <w:bCs/>
                <w:i w:val="0"/>
                <w:iCs w:val="0"/>
                <w:sz w:val="21"/>
                <w:szCs w:val="21"/>
                <w:u w:val="single"/>
              </w:rPr>
              <w:t>（t/a）</w:t>
            </w:r>
          </w:p>
        </w:tc>
        <w:tc>
          <w:tcPr>
            <w:tcW w:w="309" w:type="pct"/>
            <w:noWrap w:val="0"/>
            <w:vAlign w:val="center"/>
          </w:tcPr>
          <w:p>
            <w:pPr>
              <w:pStyle w:val="37"/>
              <w:spacing w:line="240" w:lineRule="auto"/>
              <w:ind w:left="-72" w:leftChars="-30" w:right="-72" w:rightChars="-30" w:firstLine="0"/>
              <w:jc w:val="center"/>
              <w:rPr>
                <w:b/>
                <w:bCs/>
                <w:i w:val="0"/>
                <w:iCs w:val="0"/>
                <w:sz w:val="21"/>
                <w:szCs w:val="21"/>
                <w:u w:val="single"/>
              </w:rPr>
            </w:pPr>
            <w:r>
              <w:rPr>
                <w:b/>
                <w:bCs/>
                <w:i w:val="0"/>
                <w:iCs w:val="0"/>
                <w:sz w:val="21"/>
                <w:szCs w:val="21"/>
                <w:u w:val="single"/>
              </w:rPr>
              <w:t>产生</w:t>
            </w:r>
            <w:r>
              <w:rPr>
                <w:rFonts w:hint="eastAsia"/>
                <w:b/>
                <w:bCs/>
                <w:i w:val="0"/>
                <w:iCs w:val="0"/>
                <w:sz w:val="21"/>
                <w:szCs w:val="21"/>
                <w:u w:val="single"/>
              </w:rPr>
              <w:t>速率</w:t>
            </w:r>
            <w:r>
              <w:rPr>
                <w:b/>
                <w:bCs/>
                <w:i w:val="0"/>
                <w:iCs w:val="0"/>
                <w:sz w:val="21"/>
                <w:szCs w:val="21"/>
                <w:u w:val="single"/>
              </w:rPr>
              <w:t>kg/h</w:t>
            </w:r>
          </w:p>
        </w:tc>
        <w:tc>
          <w:tcPr>
            <w:tcW w:w="331" w:type="pct"/>
            <w:noWrap w:val="0"/>
            <w:vAlign w:val="center"/>
          </w:tcPr>
          <w:p>
            <w:pPr>
              <w:pStyle w:val="37"/>
              <w:spacing w:line="240" w:lineRule="auto"/>
              <w:ind w:left="-72" w:leftChars="-30" w:right="-72" w:rightChars="-30" w:firstLine="0"/>
              <w:jc w:val="center"/>
              <w:rPr>
                <w:b/>
                <w:bCs/>
                <w:i w:val="0"/>
                <w:iCs w:val="0"/>
                <w:sz w:val="21"/>
                <w:szCs w:val="21"/>
                <w:u w:val="single"/>
              </w:rPr>
            </w:pPr>
            <w:r>
              <w:rPr>
                <w:b/>
                <w:bCs/>
                <w:i w:val="0"/>
                <w:iCs w:val="0"/>
                <w:sz w:val="21"/>
                <w:szCs w:val="21"/>
                <w:u w:val="single"/>
              </w:rPr>
              <w:t>产生浓度mg/m</w:t>
            </w:r>
            <w:r>
              <w:rPr>
                <w:b/>
                <w:bCs/>
                <w:i w:val="0"/>
                <w:iCs w:val="0"/>
                <w:sz w:val="21"/>
                <w:szCs w:val="21"/>
                <w:u w:val="single"/>
                <w:vertAlign w:val="superscript"/>
              </w:rPr>
              <w:t>3</w:t>
            </w:r>
          </w:p>
        </w:tc>
        <w:tc>
          <w:tcPr>
            <w:tcW w:w="395" w:type="pct"/>
            <w:noWrap w:val="0"/>
            <w:vAlign w:val="center"/>
          </w:tcPr>
          <w:p>
            <w:pPr>
              <w:pStyle w:val="37"/>
              <w:spacing w:line="240" w:lineRule="auto"/>
              <w:ind w:left="-72" w:leftChars="-30" w:right="-72" w:rightChars="-30" w:firstLine="0"/>
              <w:jc w:val="center"/>
              <w:rPr>
                <w:b/>
                <w:bCs/>
                <w:i w:val="0"/>
                <w:iCs w:val="0"/>
                <w:sz w:val="21"/>
                <w:szCs w:val="21"/>
                <w:u w:val="single"/>
              </w:rPr>
            </w:pPr>
            <w:r>
              <w:rPr>
                <w:rFonts w:hint="eastAsia"/>
                <w:b/>
                <w:bCs/>
                <w:i w:val="0"/>
                <w:iCs w:val="0"/>
                <w:sz w:val="21"/>
                <w:szCs w:val="21"/>
                <w:u w:val="single"/>
              </w:rPr>
              <w:t>拟采取治理措施</w:t>
            </w:r>
          </w:p>
        </w:tc>
        <w:tc>
          <w:tcPr>
            <w:tcW w:w="280" w:type="pct"/>
            <w:noWrap w:val="0"/>
            <w:vAlign w:val="center"/>
          </w:tcPr>
          <w:p>
            <w:pPr>
              <w:pStyle w:val="37"/>
              <w:spacing w:line="240" w:lineRule="auto"/>
              <w:ind w:left="-72" w:leftChars="-30" w:right="-72" w:rightChars="-30" w:firstLine="0"/>
              <w:jc w:val="center"/>
              <w:rPr>
                <w:b/>
                <w:bCs/>
                <w:i w:val="0"/>
                <w:iCs w:val="0"/>
                <w:sz w:val="21"/>
                <w:szCs w:val="21"/>
                <w:u w:val="single"/>
              </w:rPr>
            </w:pPr>
            <w:r>
              <w:rPr>
                <w:rFonts w:hint="eastAsia"/>
                <w:b/>
                <w:bCs/>
                <w:i w:val="0"/>
                <w:iCs w:val="0"/>
                <w:sz w:val="21"/>
                <w:szCs w:val="21"/>
                <w:u w:val="single"/>
              </w:rPr>
              <w:t>收集效率</w:t>
            </w:r>
            <w:r>
              <w:rPr>
                <w:b/>
                <w:bCs/>
                <w:i w:val="0"/>
                <w:iCs w:val="0"/>
                <w:sz w:val="21"/>
                <w:szCs w:val="21"/>
                <w:u w:val="single"/>
              </w:rPr>
              <w:t>%</w:t>
            </w:r>
          </w:p>
        </w:tc>
        <w:tc>
          <w:tcPr>
            <w:tcW w:w="215" w:type="pct"/>
            <w:noWrap w:val="0"/>
            <w:vAlign w:val="center"/>
          </w:tcPr>
          <w:p>
            <w:pPr>
              <w:pStyle w:val="37"/>
              <w:spacing w:line="240" w:lineRule="auto"/>
              <w:ind w:left="-72" w:leftChars="-30" w:right="-72" w:rightChars="-30" w:firstLine="0"/>
              <w:jc w:val="center"/>
              <w:rPr>
                <w:b/>
                <w:bCs/>
                <w:i w:val="0"/>
                <w:iCs w:val="0"/>
                <w:sz w:val="21"/>
                <w:szCs w:val="21"/>
                <w:u w:val="single"/>
              </w:rPr>
            </w:pPr>
            <w:r>
              <w:rPr>
                <w:b/>
                <w:bCs/>
                <w:i w:val="0"/>
                <w:iCs w:val="0"/>
                <w:sz w:val="21"/>
                <w:szCs w:val="21"/>
                <w:u w:val="single"/>
              </w:rPr>
              <w:t>处理</w:t>
            </w:r>
          </w:p>
          <w:p>
            <w:pPr>
              <w:pStyle w:val="37"/>
              <w:spacing w:line="240" w:lineRule="auto"/>
              <w:ind w:left="-72" w:leftChars="-30" w:right="-72" w:rightChars="-30" w:firstLine="0"/>
              <w:jc w:val="center"/>
              <w:rPr>
                <w:b/>
                <w:bCs/>
                <w:i w:val="0"/>
                <w:iCs w:val="0"/>
                <w:sz w:val="21"/>
                <w:szCs w:val="21"/>
                <w:u w:val="single"/>
              </w:rPr>
            </w:pPr>
            <w:r>
              <w:rPr>
                <w:b/>
                <w:bCs/>
                <w:i w:val="0"/>
                <w:iCs w:val="0"/>
                <w:sz w:val="21"/>
                <w:szCs w:val="21"/>
                <w:u w:val="single"/>
              </w:rPr>
              <w:t>效%率</w:t>
            </w:r>
          </w:p>
        </w:tc>
        <w:tc>
          <w:tcPr>
            <w:tcW w:w="456" w:type="pct"/>
            <w:noWrap w:val="0"/>
            <w:vAlign w:val="center"/>
          </w:tcPr>
          <w:p>
            <w:pPr>
              <w:widowControl/>
              <w:jc w:val="center"/>
              <w:rPr>
                <w:b/>
                <w:bCs/>
                <w:i w:val="0"/>
                <w:iCs w:val="0"/>
                <w:sz w:val="21"/>
                <w:szCs w:val="21"/>
                <w:u w:val="single"/>
              </w:rPr>
            </w:pPr>
            <w:r>
              <w:rPr>
                <w:b/>
                <w:bCs/>
                <w:i w:val="0"/>
                <w:iCs w:val="0"/>
                <w:color w:val="000000"/>
                <w:kern w:val="0"/>
                <w:sz w:val="21"/>
                <w:szCs w:val="21"/>
                <w:u w:val="single"/>
              </w:rPr>
              <w:t>风量m</w:t>
            </w:r>
            <w:r>
              <w:rPr>
                <w:b/>
                <w:bCs/>
                <w:i w:val="0"/>
                <w:iCs w:val="0"/>
                <w:color w:val="000000"/>
                <w:kern w:val="0"/>
                <w:sz w:val="21"/>
                <w:szCs w:val="21"/>
                <w:u w:val="single"/>
                <w:vertAlign w:val="superscript"/>
              </w:rPr>
              <w:t>3</w:t>
            </w:r>
            <w:r>
              <w:rPr>
                <w:b/>
                <w:bCs/>
                <w:i w:val="0"/>
                <w:iCs w:val="0"/>
                <w:color w:val="000000"/>
                <w:kern w:val="0"/>
                <w:sz w:val="21"/>
                <w:szCs w:val="21"/>
                <w:u w:val="single"/>
              </w:rPr>
              <w:t>/h</w:t>
            </w:r>
          </w:p>
        </w:tc>
        <w:tc>
          <w:tcPr>
            <w:tcW w:w="276" w:type="pct"/>
            <w:noWrap w:val="0"/>
            <w:vAlign w:val="center"/>
          </w:tcPr>
          <w:p>
            <w:pPr>
              <w:widowControl/>
              <w:jc w:val="center"/>
              <w:rPr>
                <w:b/>
                <w:bCs/>
                <w:i w:val="0"/>
                <w:iCs w:val="0"/>
                <w:color w:val="000000"/>
                <w:kern w:val="0"/>
                <w:sz w:val="21"/>
                <w:szCs w:val="21"/>
                <w:u w:val="single"/>
              </w:rPr>
            </w:pPr>
            <w:r>
              <w:rPr>
                <w:b/>
                <w:bCs/>
                <w:i w:val="0"/>
                <w:iCs w:val="0"/>
                <w:color w:val="000000"/>
                <w:kern w:val="0"/>
                <w:sz w:val="21"/>
                <w:szCs w:val="21"/>
                <w:u w:val="single"/>
              </w:rPr>
              <w:t>年工作</w:t>
            </w:r>
          </w:p>
          <w:p>
            <w:pPr>
              <w:widowControl/>
              <w:jc w:val="center"/>
              <w:rPr>
                <w:b/>
                <w:bCs/>
                <w:i w:val="0"/>
                <w:iCs w:val="0"/>
                <w:sz w:val="21"/>
                <w:szCs w:val="21"/>
                <w:u w:val="single"/>
              </w:rPr>
            </w:pPr>
            <w:r>
              <w:rPr>
                <w:b/>
                <w:bCs/>
                <w:i w:val="0"/>
                <w:iCs w:val="0"/>
                <w:color w:val="000000"/>
                <w:kern w:val="0"/>
                <w:sz w:val="21"/>
                <w:szCs w:val="21"/>
                <w:u w:val="single"/>
              </w:rPr>
              <w:t>时数h</w:t>
            </w:r>
          </w:p>
        </w:tc>
        <w:tc>
          <w:tcPr>
            <w:tcW w:w="309" w:type="pct"/>
            <w:noWrap w:val="0"/>
            <w:vAlign w:val="center"/>
          </w:tcPr>
          <w:p>
            <w:pPr>
              <w:pStyle w:val="37"/>
              <w:spacing w:line="240" w:lineRule="auto"/>
              <w:ind w:left="-72" w:leftChars="-30" w:right="-72" w:rightChars="-30" w:firstLine="0"/>
              <w:jc w:val="center"/>
              <w:rPr>
                <w:b/>
                <w:bCs/>
                <w:i w:val="0"/>
                <w:iCs w:val="0"/>
                <w:color w:val="000000"/>
                <w:kern w:val="0"/>
                <w:sz w:val="21"/>
                <w:szCs w:val="21"/>
                <w:u w:val="single"/>
              </w:rPr>
            </w:pPr>
            <w:r>
              <w:rPr>
                <w:b/>
                <w:bCs/>
                <w:i w:val="0"/>
                <w:iCs w:val="0"/>
                <w:sz w:val="21"/>
                <w:szCs w:val="21"/>
                <w:u w:val="single"/>
              </w:rPr>
              <w:t>排放</w:t>
            </w:r>
            <w:r>
              <w:rPr>
                <w:rFonts w:hint="eastAsia"/>
                <w:b/>
                <w:bCs/>
                <w:i w:val="0"/>
                <w:iCs w:val="0"/>
                <w:sz w:val="21"/>
                <w:szCs w:val="21"/>
                <w:u w:val="single"/>
              </w:rPr>
              <w:t>量</w:t>
            </w:r>
            <w:r>
              <w:rPr>
                <w:b/>
                <w:bCs/>
                <w:i w:val="0"/>
                <w:iCs w:val="0"/>
                <w:sz w:val="21"/>
                <w:szCs w:val="21"/>
                <w:u w:val="single"/>
              </w:rPr>
              <w:t>（t/a）</w:t>
            </w:r>
          </w:p>
        </w:tc>
        <w:tc>
          <w:tcPr>
            <w:tcW w:w="309" w:type="pct"/>
            <w:noWrap w:val="0"/>
            <w:vAlign w:val="center"/>
          </w:tcPr>
          <w:p>
            <w:pPr>
              <w:pStyle w:val="37"/>
              <w:spacing w:line="240" w:lineRule="auto"/>
              <w:ind w:left="-72" w:leftChars="-30" w:right="-72" w:rightChars="-30" w:firstLine="0"/>
              <w:jc w:val="center"/>
              <w:rPr>
                <w:b/>
                <w:bCs/>
                <w:i w:val="0"/>
                <w:iCs w:val="0"/>
                <w:sz w:val="21"/>
                <w:szCs w:val="21"/>
                <w:u w:val="single"/>
              </w:rPr>
            </w:pPr>
            <w:r>
              <w:rPr>
                <w:b/>
                <w:bCs/>
                <w:i w:val="0"/>
                <w:iCs w:val="0"/>
                <w:sz w:val="21"/>
                <w:szCs w:val="21"/>
                <w:u w:val="single"/>
              </w:rPr>
              <w:t>排放速率kg/h</w:t>
            </w:r>
          </w:p>
        </w:tc>
        <w:tc>
          <w:tcPr>
            <w:tcW w:w="331" w:type="pct"/>
            <w:noWrap w:val="0"/>
            <w:vAlign w:val="center"/>
          </w:tcPr>
          <w:p>
            <w:pPr>
              <w:pStyle w:val="37"/>
              <w:spacing w:line="240" w:lineRule="auto"/>
              <w:ind w:left="-72" w:leftChars="-30" w:right="-72" w:rightChars="-30" w:firstLine="0"/>
              <w:jc w:val="center"/>
              <w:rPr>
                <w:b/>
                <w:bCs/>
                <w:i w:val="0"/>
                <w:iCs w:val="0"/>
                <w:sz w:val="21"/>
                <w:szCs w:val="21"/>
                <w:u w:val="single"/>
              </w:rPr>
            </w:pPr>
            <w:r>
              <w:rPr>
                <w:b/>
                <w:bCs/>
                <w:i w:val="0"/>
                <w:iCs w:val="0"/>
                <w:sz w:val="21"/>
                <w:szCs w:val="21"/>
                <w:u w:val="single"/>
              </w:rPr>
              <w:t>排放浓度mg/m</w:t>
            </w:r>
            <w:r>
              <w:rPr>
                <w:b/>
                <w:bCs/>
                <w:i w:val="0"/>
                <w:iCs w:val="0"/>
                <w:sz w:val="21"/>
                <w:szCs w:val="21"/>
                <w:u w:val="single"/>
                <w:vertAlign w:val="superscript"/>
              </w:rPr>
              <w:t>3</w:t>
            </w:r>
          </w:p>
        </w:tc>
        <w:tc>
          <w:tcPr>
            <w:tcW w:w="335" w:type="pct"/>
            <w:noWrap w:val="0"/>
            <w:vAlign w:val="center"/>
          </w:tcPr>
          <w:p>
            <w:pPr>
              <w:pStyle w:val="37"/>
              <w:spacing w:line="240" w:lineRule="auto"/>
              <w:ind w:left="-72" w:leftChars="-30" w:right="-72" w:rightChars="-30" w:firstLine="0"/>
              <w:jc w:val="center"/>
              <w:rPr>
                <w:b/>
                <w:bCs/>
                <w:i w:val="0"/>
                <w:iCs w:val="0"/>
                <w:sz w:val="21"/>
                <w:szCs w:val="21"/>
                <w:u w:val="single"/>
              </w:rPr>
            </w:pPr>
            <w:r>
              <w:rPr>
                <w:b/>
                <w:bCs/>
                <w:i w:val="0"/>
                <w:iCs w:val="0"/>
                <w:sz w:val="21"/>
                <w:szCs w:val="21"/>
                <w:u w:val="single"/>
              </w:rPr>
              <w:t>标准限值</w:t>
            </w:r>
          </w:p>
          <w:p>
            <w:pPr>
              <w:pStyle w:val="37"/>
              <w:spacing w:line="240" w:lineRule="auto"/>
              <w:ind w:left="-72" w:leftChars="-30" w:right="-72" w:rightChars="-30" w:firstLine="0"/>
              <w:jc w:val="center"/>
              <w:rPr>
                <w:b/>
                <w:bCs/>
                <w:i w:val="0"/>
                <w:iCs w:val="0"/>
                <w:sz w:val="21"/>
                <w:szCs w:val="21"/>
                <w:u w:val="single"/>
              </w:rPr>
            </w:pPr>
            <w:r>
              <w:rPr>
                <w:b/>
                <w:bCs/>
                <w:i w:val="0"/>
                <w:iCs w:val="0"/>
                <w:sz w:val="21"/>
                <w:szCs w:val="21"/>
                <w:u w:val="single"/>
              </w:rPr>
              <w:t>mg/m</w:t>
            </w:r>
            <w:r>
              <w:rPr>
                <w:b/>
                <w:bCs/>
                <w:i w:val="0"/>
                <w:iCs w:val="0"/>
                <w:sz w:val="21"/>
                <w:szCs w:val="21"/>
                <w:u w:val="single"/>
                <w:vertAlign w:val="superscript"/>
              </w:rPr>
              <w:t>3</w:t>
            </w:r>
          </w:p>
        </w:tc>
        <w:tc>
          <w:tcPr>
            <w:tcW w:w="224" w:type="pct"/>
            <w:noWrap w:val="0"/>
            <w:vAlign w:val="center"/>
          </w:tcPr>
          <w:p>
            <w:pPr>
              <w:pStyle w:val="37"/>
              <w:spacing w:line="240" w:lineRule="auto"/>
              <w:ind w:left="-72" w:leftChars="-30" w:right="-72" w:rightChars="-30" w:firstLine="0"/>
              <w:jc w:val="center"/>
              <w:rPr>
                <w:b/>
                <w:bCs/>
                <w:i w:val="0"/>
                <w:iCs w:val="0"/>
                <w:sz w:val="21"/>
                <w:szCs w:val="21"/>
                <w:u w:val="single"/>
              </w:rPr>
            </w:pPr>
            <w:r>
              <w:rPr>
                <w:b/>
                <w:bCs/>
                <w:i w:val="0"/>
                <w:iCs w:val="0"/>
                <w:sz w:val="21"/>
                <w:szCs w:val="21"/>
                <w:u w:val="single"/>
              </w:rPr>
              <w:t>达标情况</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2" w:hRule="atLeast"/>
        </w:trPr>
        <w:tc>
          <w:tcPr>
            <w:tcW w:w="492" w:type="pct"/>
            <w:vMerge w:val="restart"/>
            <w:noWrap w:val="0"/>
            <w:vAlign w:val="center"/>
          </w:tcPr>
          <w:p>
            <w:pPr>
              <w:pStyle w:val="37"/>
              <w:spacing w:line="240" w:lineRule="auto"/>
              <w:ind w:left="-72" w:leftChars="-30" w:right="-72" w:rightChars="-30" w:firstLine="0"/>
              <w:jc w:val="center"/>
              <w:rPr>
                <w:rFonts w:hint="eastAsia" w:eastAsia="宋体"/>
                <w:i w:val="0"/>
                <w:iCs w:val="0"/>
                <w:sz w:val="21"/>
                <w:szCs w:val="21"/>
                <w:u w:val="single"/>
                <w:lang w:eastAsia="zh-CN"/>
              </w:rPr>
            </w:pPr>
            <w:r>
              <w:rPr>
                <w:rFonts w:hint="eastAsia"/>
                <w:i w:val="0"/>
                <w:iCs w:val="0"/>
                <w:sz w:val="21"/>
                <w:szCs w:val="21"/>
                <w:u w:val="single"/>
              </w:rPr>
              <w:t>污水站</w:t>
            </w:r>
            <w:r>
              <w:rPr>
                <w:rFonts w:hint="eastAsia"/>
                <w:i w:val="0"/>
                <w:iCs w:val="0"/>
                <w:sz w:val="21"/>
                <w:szCs w:val="21"/>
                <w:u w:val="single"/>
                <w:lang w:eastAsia="zh-CN"/>
              </w:rPr>
              <w:t>（</w:t>
            </w:r>
            <w:r>
              <w:rPr>
                <w:rFonts w:hint="eastAsia"/>
                <w:i w:val="0"/>
                <w:iCs w:val="0"/>
                <w:sz w:val="21"/>
                <w:szCs w:val="21"/>
                <w:u w:val="single"/>
                <w:lang w:val="en-US" w:eastAsia="zh-CN"/>
              </w:rPr>
              <w:t>DA001</w:t>
            </w:r>
            <w:r>
              <w:rPr>
                <w:rFonts w:hint="eastAsia"/>
                <w:i w:val="0"/>
                <w:iCs w:val="0"/>
                <w:sz w:val="21"/>
                <w:szCs w:val="21"/>
                <w:u w:val="single"/>
                <w:lang w:eastAsia="zh-CN"/>
              </w:rPr>
              <w:t>）</w:t>
            </w:r>
          </w:p>
        </w:tc>
        <w:tc>
          <w:tcPr>
            <w:tcW w:w="396" w:type="pct"/>
            <w:noWrap w:val="0"/>
            <w:vAlign w:val="center"/>
          </w:tcPr>
          <w:p>
            <w:pPr>
              <w:pStyle w:val="37"/>
              <w:spacing w:line="240" w:lineRule="auto"/>
              <w:ind w:left="-72" w:leftChars="-30" w:right="-72" w:rightChars="-30" w:firstLine="0"/>
              <w:jc w:val="center"/>
              <w:rPr>
                <w:i w:val="0"/>
                <w:iCs w:val="0"/>
                <w:sz w:val="21"/>
                <w:szCs w:val="21"/>
                <w:u w:val="single"/>
              </w:rPr>
            </w:pPr>
            <w:r>
              <w:rPr>
                <w:i w:val="0"/>
                <w:iCs w:val="0"/>
                <w:sz w:val="21"/>
                <w:szCs w:val="21"/>
                <w:u w:val="single"/>
              </w:rPr>
              <w:t>NH</w:t>
            </w:r>
            <w:r>
              <w:rPr>
                <w:i w:val="0"/>
                <w:iCs w:val="0"/>
                <w:sz w:val="21"/>
                <w:szCs w:val="21"/>
                <w:u w:val="single"/>
                <w:vertAlign w:val="subscript"/>
              </w:rPr>
              <w:t>3</w:t>
            </w:r>
          </w:p>
        </w:tc>
        <w:tc>
          <w:tcPr>
            <w:tcW w:w="334"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0.379</w:t>
            </w:r>
          </w:p>
        </w:tc>
        <w:tc>
          <w:tcPr>
            <w:tcW w:w="309"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0.048</w:t>
            </w:r>
          </w:p>
        </w:tc>
        <w:tc>
          <w:tcPr>
            <w:tcW w:w="331"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24</w:t>
            </w:r>
          </w:p>
        </w:tc>
        <w:tc>
          <w:tcPr>
            <w:tcW w:w="395" w:type="pct"/>
            <w:vMerge w:val="restart"/>
            <w:noWrap w:val="0"/>
            <w:vAlign w:val="center"/>
          </w:tcPr>
          <w:p>
            <w:pPr>
              <w:pStyle w:val="37"/>
              <w:spacing w:line="240" w:lineRule="auto"/>
              <w:ind w:left="-72" w:leftChars="-30" w:right="-72" w:rightChars="-30" w:firstLine="0"/>
              <w:jc w:val="center"/>
              <w:rPr>
                <w:rFonts w:hint="eastAsia"/>
                <w:i w:val="0"/>
                <w:iCs w:val="0"/>
                <w:sz w:val="21"/>
                <w:szCs w:val="21"/>
                <w:u w:val="single"/>
              </w:rPr>
            </w:pPr>
            <w:r>
              <w:rPr>
                <w:rFonts w:hint="eastAsia"/>
                <w:i w:val="0"/>
                <w:iCs w:val="0"/>
                <w:sz w:val="21"/>
                <w:szCs w:val="21"/>
                <w:u w:val="single"/>
              </w:rPr>
              <w:t>化学洗涤+生物滤池+活性炭吸附”</w:t>
            </w:r>
          </w:p>
        </w:tc>
        <w:tc>
          <w:tcPr>
            <w:tcW w:w="280" w:type="pct"/>
            <w:vMerge w:val="restart"/>
            <w:noWrap w:val="0"/>
            <w:vAlign w:val="center"/>
          </w:tcPr>
          <w:p>
            <w:pPr>
              <w:pStyle w:val="37"/>
              <w:spacing w:line="240" w:lineRule="auto"/>
              <w:ind w:left="-72" w:leftChars="-30" w:right="-72" w:rightChars="-30" w:firstLine="0"/>
              <w:jc w:val="center"/>
              <w:rPr>
                <w:i w:val="0"/>
                <w:iCs w:val="0"/>
                <w:sz w:val="21"/>
                <w:szCs w:val="21"/>
                <w:u w:val="single"/>
              </w:rPr>
            </w:pPr>
            <w:r>
              <w:rPr>
                <w:rFonts w:hint="eastAsia"/>
                <w:i w:val="0"/>
                <w:iCs w:val="0"/>
                <w:sz w:val="21"/>
                <w:szCs w:val="21"/>
                <w:u w:val="single"/>
              </w:rPr>
              <w:t>90</w:t>
            </w:r>
          </w:p>
        </w:tc>
        <w:tc>
          <w:tcPr>
            <w:tcW w:w="215" w:type="pct"/>
            <w:vMerge w:val="restart"/>
            <w:noWrap w:val="0"/>
            <w:vAlign w:val="center"/>
          </w:tcPr>
          <w:p>
            <w:pPr>
              <w:jc w:val="center"/>
              <w:rPr>
                <w:i w:val="0"/>
                <w:iCs w:val="0"/>
                <w:sz w:val="21"/>
                <w:szCs w:val="21"/>
                <w:u w:val="single"/>
              </w:rPr>
            </w:pPr>
            <w:r>
              <w:rPr>
                <w:rFonts w:hint="eastAsia"/>
                <w:i w:val="0"/>
                <w:iCs w:val="0"/>
                <w:sz w:val="21"/>
                <w:szCs w:val="21"/>
                <w:u w:val="single"/>
              </w:rPr>
              <w:t>90</w:t>
            </w:r>
          </w:p>
        </w:tc>
        <w:tc>
          <w:tcPr>
            <w:tcW w:w="456" w:type="pct"/>
            <w:vMerge w:val="restart"/>
            <w:noWrap w:val="0"/>
            <w:vAlign w:val="center"/>
          </w:tcPr>
          <w:p>
            <w:pPr>
              <w:pStyle w:val="37"/>
              <w:spacing w:line="240" w:lineRule="auto"/>
              <w:ind w:left="-72" w:leftChars="-30" w:right="-72" w:rightChars="-30" w:firstLine="0"/>
              <w:jc w:val="center"/>
              <w:rPr>
                <w:i w:val="0"/>
                <w:iCs w:val="0"/>
                <w:sz w:val="21"/>
                <w:szCs w:val="21"/>
                <w:u w:val="single"/>
              </w:rPr>
            </w:pPr>
            <w:r>
              <w:rPr>
                <w:rFonts w:hint="eastAsia"/>
                <w:i w:val="0"/>
                <w:iCs w:val="0"/>
                <w:sz w:val="21"/>
                <w:szCs w:val="21"/>
                <w:u w:val="single"/>
              </w:rPr>
              <w:t>2000</w:t>
            </w:r>
          </w:p>
        </w:tc>
        <w:tc>
          <w:tcPr>
            <w:tcW w:w="276" w:type="pct"/>
            <w:vMerge w:val="restar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7800</w:t>
            </w:r>
          </w:p>
        </w:tc>
        <w:tc>
          <w:tcPr>
            <w:tcW w:w="309"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0.034</w:t>
            </w:r>
          </w:p>
        </w:tc>
        <w:tc>
          <w:tcPr>
            <w:tcW w:w="309" w:type="pct"/>
            <w:noWrap w:val="0"/>
            <w:vAlign w:val="center"/>
          </w:tcPr>
          <w:p>
            <w:pPr>
              <w:pStyle w:val="37"/>
              <w:spacing w:line="240" w:lineRule="auto"/>
              <w:ind w:left="-72" w:leftChars="-30" w:right="-72" w:rightChars="-30" w:firstLine="0"/>
              <w:jc w:val="center"/>
              <w:rPr>
                <w:rFonts w:hint="eastAsia" w:eastAsia="宋体"/>
                <w:i w:val="0"/>
                <w:iCs w:val="0"/>
                <w:sz w:val="21"/>
                <w:szCs w:val="21"/>
                <w:u w:val="single"/>
                <w:lang w:val="en-US" w:eastAsia="zh-CN"/>
              </w:rPr>
            </w:pPr>
            <w:r>
              <w:rPr>
                <w:rFonts w:hint="eastAsia"/>
                <w:i w:val="0"/>
                <w:iCs w:val="0"/>
                <w:sz w:val="21"/>
                <w:szCs w:val="21"/>
                <w:u w:val="single"/>
              </w:rPr>
              <w:t>0.00</w:t>
            </w:r>
            <w:r>
              <w:rPr>
                <w:rFonts w:hint="eastAsia"/>
                <w:i w:val="0"/>
                <w:iCs w:val="0"/>
                <w:sz w:val="21"/>
                <w:szCs w:val="21"/>
                <w:u w:val="single"/>
                <w:lang w:val="en-US" w:eastAsia="zh-CN"/>
              </w:rPr>
              <w:t>4</w:t>
            </w:r>
          </w:p>
        </w:tc>
        <w:tc>
          <w:tcPr>
            <w:tcW w:w="331" w:type="pct"/>
            <w:noWrap w:val="0"/>
            <w:vAlign w:val="center"/>
          </w:tcPr>
          <w:p>
            <w:pPr>
              <w:pStyle w:val="37"/>
              <w:spacing w:line="240" w:lineRule="auto"/>
              <w:ind w:left="-72" w:leftChars="-30" w:right="-72" w:rightChars="-30" w:firstLine="0"/>
              <w:jc w:val="center"/>
              <w:rPr>
                <w:rFonts w:hint="eastAsia" w:eastAsia="宋体"/>
                <w:i w:val="0"/>
                <w:iCs w:val="0"/>
                <w:sz w:val="21"/>
                <w:szCs w:val="21"/>
                <w:u w:val="single"/>
                <w:lang w:eastAsia="zh-CN"/>
              </w:rPr>
            </w:pPr>
            <w:r>
              <w:rPr>
                <w:rFonts w:hint="eastAsia"/>
                <w:i w:val="0"/>
                <w:iCs w:val="0"/>
                <w:sz w:val="21"/>
                <w:szCs w:val="21"/>
                <w:u w:val="single"/>
                <w:lang w:val="en-US" w:eastAsia="zh-CN"/>
              </w:rPr>
              <w:t>2</w:t>
            </w:r>
          </w:p>
        </w:tc>
        <w:tc>
          <w:tcPr>
            <w:tcW w:w="335" w:type="pct"/>
            <w:noWrap w:val="0"/>
            <w:vAlign w:val="center"/>
          </w:tcPr>
          <w:p>
            <w:pPr>
              <w:pStyle w:val="37"/>
              <w:spacing w:line="240" w:lineRule="auto"/>
              <w:ind w:left="-72" w:leftChars="-30" w:right="-72" w:rightChars="-30" w:firstLine="0"/>
              <w:jc w:val="center"/>
              <w:rPr>
                <w:i w:val="0"/>
                <w:iCs w:val="0"/>
                <w:sz w:val="21"/>
                <w:szCs w:val="21"/>
                <w:u w:val="single"/>
              </w:rPr>
            </w:pPr>
            <w:r>
              <w:rPr>
                <w:rFonts w:hint="eastAsia"/>
                <w:i w:val="0"/>
                <w:iCs w:val="0"/>
                <w:sz w:val="21"/>
                <w:szCs w:val="21"/>
                <w:u w:val="single"/>
              </w:rPr>
              <w:t>4.9kg/h</w:t>
            </w:r>
          </w:p>
        </w:tc>
        <w:tc>
          <w:tcPr>
            <w:tcW w:w="224" w:type="pct"/>
            <w:noWrap w:val="0"/>
            <w:vAlign w:val="center"/>
          </w:tcPr>
          <w:p>
            <w:pPr>
              <w:pStyle w:val="37"/>
              <w:spacing w:line="240" w:lineRule="auto"/>
              <w:ind w:left="-72" w:leftChars="-30" w:right="-72" w:rightChars="-30" w:firstLine="0"/>
              <w:jc w:val="center"/>
              <w:rPr>
                <w:i w:val="0"/>
                <w:iCs w:val="0"/>
                <w:sz w:val="21"/>
                <w:szCs w:val="21"/>
                <w:u w:val="single"/>
              </w:rPr>
            </w:pPr>
            <w:r>
              <w:rPr>
                <w:i w:val="0"/>
                <w:iCs w:val="0"/>
                <w:sz w:val="21"/>
                <w:szCs w:val="21"/>
                <w:u w:val="single"/>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92" w:type="pct"/>
            <w:vMerge w:val="continue"/>
            <w:noWrap w:val="0"/>
            <w:vAlign w:val="center"/>
          </w:tcPr>
          <w:p>
            <w:pPr>
              <w:pStyle w:val="37"/>
              <w:spacing w:line="240" w:lineRule="auto"/>
              <w:ind w:left="-72" w:leftChars="-30" w:right="-72" w:rightChars="-30" w:firstLine="0"/>
              <w:jc w:val="center"/>
              <w:rPr>
                <w:i w:val="0"/>
                <w:iCs w:val="0"/>
                <w:sz w:val="21"/>
                <w:szCs w:val="21"/>
                <w:u w:val="single"/>
              </w:rPr>
            </w:pPr>
          </w:p>
        </w:tc>
        <w:tc>
          <w:tcPr>
            <w:tcW w:w="396" w:type="pct"/>
            <w:noWrap w:val="0"/>
            <w:vAlign w:val="center"/>
          </w:tcPr>
          <w:p>
            <w:pPr>
              <w:pStyle w:val="37"/>
              <w:spacing w:line="240" w:lineRule="auto"/>
              <w:ind w:left="-72" w:leftChars="-30" w:right="-72" w:rightChars="-30" w:firstLine="0"/>
              <w:jc w:val="center"/>
              <w:rPr>
                <w:i w:val="0"/>
                <w:iCs w:val="0"/>
                <w:sz w:val="21"/>
                <w:szCs w:val="21"/>
                <w:u w:val="single"/>
              </w:rPr>
            </w:pPr>
            <w:r>
              <w:rPr>
                <w:i w:val="0"/>
                <w:iCs w:val="0"/>
                <w:sz w:val="21"/>
                <w:szCs w:val="21"/>
                <w:u w:val="single"/>
              </w:rPr>
              <w:t>H</w:t>
            </w:r>
            <w:r>
              <w:rPr>
                <w:i w:val="0"/>
                <w:iCs w:val="0"/>
                <w:sz w:val="21"/>
                <w:szCs w:val="21"/>
                <w:u w:val="single"/>
                <w:vertAlign w:val="subscript"/>
              </w:rPr>
              <w:t>2</w:t>
            </w:r>
            <w:r>
              <w:rPr>
                <w:i w:val="0"/>
                <w:iCs w:val="0"/>
                <w:sz w:val="21"/>
                <w:szCs w:val="21"/>
                <w:u w:val="single"/>
              </w:rPr>
              <w:t>S</w:t>
            </w:r>
          </w:p>
        </w:tc>
        <w:tc>
          <w:tcPr>
            <w:tcW w:w="334"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0.015</w:t>
            </w:r>
          </w:p>
        </w:tc>
        <w:tc>
          <w:tcPr>
            <w:tcW w:w="309"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0.0019</w:t>
            </w:r>
          </w:p>
        </w:tc>
        <w:tc>
          <w:tcPr>
            <w:tcW w:w="331"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0.95</w:t>
            </w:r>
          </w:p>
        </w:tc>
        <w:tc>
          <w:tcPr>
            <w:tcW w:w="395" w:type="pct"/>
            <w:vMerge w:val="continue"/>
            <w:noWrap w:val="0"/>
            <w:vAlign w:val="center"/>
          </w:tcPr>
          <w:p>
            <w:pPr>
              <w:pStyle w:val="37"/>
              <w:spacing w:line="240" w:lineRule="auto"/>
              <w:ind w:left="-72" w:leftChars="-30" w:right="-72" w:rightChars="-30" w:firstLine="0"/>
              <w:jc w:val="center"/>
              <w:rPr>
                <w:rFonts w:hint="eastAsia"/>
                <w:i w:val="0"/>
                <w:iCs w:val="0"/>
                <w:sz w:val="21"/>
                <w:szCs w:val="21"/>
                <w:u w:val="single"/>
              </w:rPr>
            </w:pPr>
          </w:p>
        </w:tc>
        <w:tc>
          <w:tcPr>
            <w:tcW w:w="280" w:type="pct"/>
            <w:vMerge w:val="continue"/>
            <w:noWrap w:val="0"/>
            <w:vAlign w:val="center"/>
          </w:tcPr>
          <w:p>
            <w:pPr>
              <w:pStyle w:val="37"/>
              <w:spacing w:line="240" w:lineRule="auto"/>
              <w:ind w:left="-72" w:leftChars="-30" w:right="-72" w:rightChars="-30" w:firstLine="0"/>
              <w:jc w:val="center"/>
              <w:rPr>
                <w:rFonts w:hint="eastAsia"/>
                <w:i w:val="0"/>
                <w:iCs w:val="0"/>
                <w:sz w:val="21"/>
                <w:szCs w:val="21"/>
                <w:u w:val="single"/>
              </w:rPr>
            </w:pPr>
          </w:p>
        </w:tc>
        <w:tc>
          <w:tcPr>
            <w:tcW w:w="215" w:type="pct"/>
            <w:vMerge w:val="continue"/>
            <w:noWrap w:val="0"/>
            <w:vAlign w:val="center"/>
          </w:tcPr>
          <w:p>
            <w:pPr>
              <w:pStyle w:val="37"/>
              <w:spacing w:line="240" w:lineRule="auto"/>
              <w:ind w:left="-72" w:leftChars="-30" w:right="-72" w:rightChars="-30" w:firstLine="0"/>
              <w:jc w:val="center"/>
              <w:rPr>
                <w:rFonts w:hint="eastAsia"/>
                <w:i w:val="0"/>
                <w:iCs w:val="0"/>
                <w:sz w:val="21"/>
                <w:szCs w:val="21"/>
                <w:u w:val="single"/>
              </w:rPr>
            </w:pPr>
          </w:p>
        </w:tc>
        <w:tc>
          <w:tcPr>
            <w:tcW w:w="456" w:type="pct"/>
            <w:vMerge w:val="continue"/>
            <w:noWrap w:val="0"/>
            <w:vAlign w:val="center"/>
          </w:tcPr>
          <w:p>
            <w:pPr>
              <w:pStyle w:val="37"/>
              <w:spacing w:line="240" w:lineRule="auto"/>
              <w:ind w:left="-72" w:leftChars="-30" w:right="-72" w:rightChars="-30" w:firstLine="0"/>
              <w:jc w:val="center"/>
              <w:rPr>
                <w:rFonts w:hint="eastAsia"/>
                <w:i w:val="0"/>
                <w:iCs w:val="0"/>
                <w:sz w:val="21"/>
                <w:szCs w:val="21"/>
                <w:u w:val="single"/>
              </w:rPr>
            </w:pPr>
          </w:p>
        </w:tc>
        <w:tc>
          <w:tcPr>
            <w:tcW w:w="276" w:type="pct"/>
            <w:vMerge w:val="continue"/>
            <w:noWrap w:val="0"/>
            <w:vAlign w:val="center"/>
          </w:tcPr>
          <w:p>
            <w:pPr>
              <w:pStyle w:val="37"/>
              <w:spacing w:line="240" w:lineRule="auto"/>
              <w:ind w:left="-72" w:leftChars="-30" w:right="-72" w:rightChars="-30" w:firstLine="0"/>
              <w:jc w:val="center"/>
              <w:rPr>
                <w:rFonts w:hint="eastAsia"/>
                <w:i w:val="0"/>
                <w:iCs w:val="0"/>
                <w:sz w:val="21"/>
                <w:szCs w:val="21"/>
                <w:u w:val="single"/>
              </w:rPr>
            </w:pPr>
          </w:p>
        </w:tc>
        <w:tc>
          <w:tcPr>
            <w:tcW w:w="309" w:type="pct"/>
            <w:noWrap w:val="0"/>
            <w:vAlign w:val="center"/>
          </w:tcPr>
          <w:p>
            <w:pPr>
              <w:pStyle w:val="37"/>
              <w:spacing w:line="240" w:lineRule="auto"/>
              <w:ind w:left="-72" w:leftChars="-30" w:right="-72" w:rightChars="-30" w:firstLine="0"/>
              <w:jc w:val="center"/>
              <w:rPr>
                <w:i w:val="0"/>
                <w:iCs w:val="0"/>
                <w:sz w:val="21"/>
                <w:szCs w:val="21"/>
                <w:u w:val="single"/>
              </w:rPr>
            </w:pPr>
            <w:r>
              <w:rPr>
                <w:rFonts w:hint="eastAsia"/>
                <w:i w:val="0"/>
                <w:iCs w:val="0"/>
                <w:sz w:val="21"/>
                <w:szCs w:val="21"/>
                <w:u w:val="single"/>
              </w:rPr>
              <w:t>0.00</w:t>
            </w:r>
            <w:r>
              <w:rPr>
                <w:rFonts w:hint="eastAsia"/>
                <w:i w:val="0"/>
                <w:iCs w:val="0"/>
                <w:sz w:val="21"/>
                <w:szCs w:val="21"/>
                <w:u w:val="single"/>
                <w:lang w:val="en-US" w:eastAsia="zh-CN"/>
              </w:rPr>
              <w:t>14</w:t>
            </w:r>
          </w:p>
        </w:tc>
        <w:tc>
          <w:tcPr>
            <w:tcW w:w="309"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rPr>
              <w:t>0.000</w:t>
            </w:r>
            <w:r>
              <w:rPr>
                <w:rFonts w:hint="eastAsia"/>
                <w:i w:val="0"/>
                <w:iCs w:val="0"/>
                <w:sz w:val="21"/>
                <w:szCs w:val="21"/>
                <w:u w:val="single"/>
                <w:lang w:val="en-US" w:eastAsia="zh-CN"/>
              </w:rPr>
              <w:t>18</w:t>
            </w:r>
          </w:p>
        </w:tc>
        <w:tc>
          <w:tcPr>
            <w:tcW w:w="331" w:type="pct"/>
            <w:noWrap w:val="0"/>
            <w:vAlign w:val="center"/>
          </w:tcPr>
          <w:p>
            <w:pPr>
              <w:pStyle w:val="37"/>
              <w:spacing w:line="240" w:lineRule="auto"/>
              <w:ind w:left="-72" w:leftChars="-30" w:right="-72" w:rightChars="-30" w:firstLine="0"/>
              <w:jc w:val="center"/>
              <w:rPr>
                <w:rFonts w:hint="eastAsia" w:eastAsia="宋体"/>
                <w:i w:val="0"/>
                <w:iCs w:val="0"/>
                <w:sz w:val="21"/>
                <w:szCs w:val="21"/>
                <w:u w:val="single"/>
                <w:lang w:eastAsia="zh-CN"/>
              </w:rPr>
            </w:pPr>
            <w:r>
              <w:rPr>
                <w:rFonts w:hint="eastAsia"/>
                <w:i w:val="0"/>
                <w:iCs w:val="0"/>
                <w:sz w:val="21"/>
                <w:szCs w:val="21"/>
                <w:u w:val="single"/>
              </w:rPr>
              <w:t>0.0</w:t>
            </w:r>
            <w:r>
              <w:rPr>
                <w:rFonts w:hint="eastAsia"/>
                <w:i w:val="0"/>
                <w:iCs w:val="0"/>
                <w:sz w:val="21"/>
                <w:szCs w:val="21"/>
                <w:u w:val="single"/>
                <w:lang w:val="en-US" w:eastAsia="zh-CN"/>
              </w:rPr>
              <w:t>9</w:t>
            </w:r>
          </w:p>
        </w:tc>
        <w:tc>
          <w:tcPr>
            <w:tcW w:w="335" w:type="pct"/>
            <w:noWrap w:val="0"/>
            <w:vAlign w:val="center"/>
          </w:tcPr>
          <w:p>
            <w:pPr>
              <w:pStyle w:val="37"/>
              <w:spacing w:line="240" w:lineRule="auto"/>
              <w:ind w:left="-72" w:leftChars="-30" w:right="-72" w:rightChars="-30" w:firstLine="0"/>
              <w:jc w:val="center"/>
              <w:rPr>
                <w:i w:val="0"/>
                <w:iCs w:val="0"/>
                <w:sz w:val="21"/>
                <w:szCs w:val="21"/>
                <w:u w:val="single"/>
              </w:rPr>
            </w:pPr>
            <w:r>
              <w:rPr>
                <w:i w:val="0"/>
                <w:iCs w:val="0"/>
                <w:sz w:val="21"/>
                <w:szCs w:val="21"/>
                <w:u w:val="single"/>
              </w:rPr>
              <w:t>0.</w:t>
            </w:r>
            <w:r>
              <w:rPr>
                <w:rFonts w:hint="eastAsia"/>
                <w:i w:val="0"/>
                <w:iCs w:val="0"/>
                <w:sz w:val="21"/>
                <w:szCs w:val="21"/>
                <w:u w:val="single"/>
              </w:rPr>
              <w:t>33kg/h</w:t>
            </w:r>
          </w:p>
        </w:tc>
        <w:tc>
          <w:tcPr>
            <w:tcW w:w="224" w:type="pct"/>
            <w:noWrap w:val="0"/>
            <w:vAlign w:val="center"/>
          </w:tcPr>
          <w:p>
            <w:pPr>
              <w:pStyle w:val="37"/>
              <w:spacing w:line="240" w:lineRule="auto"/>
              <w:ind w:left="-72" w:leftChars="-30" w:right="-72" w:rightChars="-30" w:firstLine="0"/>
              <w:jc w:val="center"/>
              <w:rPr>
                <w:i w:val="0"/>
                <w:iCs w:val="0"/>
                <w:sz w:val="21"/>
                <w:szCs w:val="21"/>
                <w:u w:val="single"/>
              </w:rPr>
            </w:pPr>
            <w:r>
              <w:rPr>
                <w:i w:val="0"/>
                <w:iCs w:val="0"/>
                <w:sz w:val="21"/>
                <w:szCs w:val="21"/>
                <w:u w:val="single"/>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4" w:hRule="atLeast"/>
        </w:trPr>
        <w:tc>
          <w:tcPr>
            <w:tcW w:w="492" w:type="pct"/>
            <w:vMerge w:val="restart"/>
            <w:noWrap w:val="0"/>
            <w:vAlign w:val="center"/>
          </w:tcPr>
          <w:p>
            <w:pPr>
              <w:pStyle w:val="37"/>
              <w:spacing w:line="240" w:lineRule="auto"/>
              <w:ind w:left="-72" w:leftChars="-30" w:right="-72" w:rightChars="-30" w:firstLine="0"/>
              <w:jc w:val="center"/>
              <w:rPr>
                <w:rFonts w:hint="eastAsia"/>
                <w:i w:val="0"/>
                <w:iCs w:val="0"/>
                <w:sz w:val="21"/>
                <w:szCs w:val="21"/>
                <w:u w:val="single"/>
              </w:rPr>
            </w:pPr>
            <w:r>
              <w:rPr>
                <w:rFonts w:hint="eastAsia"/>
                <w:i w:val="0"/>
                <w:iCs w:val="0"/>
                <w:sz w:val="21"/>
                <w:szCs w:val="21"/>
                <w:u w:val="single"/>
              </w:rPr>
              <w:t>发酵废气</w:t>
            </w:r>
            <w:r>
              <w:rPr>
                <w:rFonts w:hint="eastAsia"/>
                <w:i w:val="0"/>
                <w:iCs w:val="0"/>
                <w:sz w:val="21"/>
                <w:szCs w:val="21"/>
                <w:u w:val="single"/>
                <w:lang w:eastAsia="zh-CN"/>
              </w:rPr>
              <w:t>（</w:t>
            </w:r>
            <w:r>
              <w:rPr>
                <w:rFonts w:hint="eastAsia"/>
                <w:i w:val="0"/>
                <w:iCs w:val="0"/>
                <w:sz w:val="21"/>
                <w:szCs w:val="21"/>
                <w:u w:val="single"/>
                <w:lang w:val="en-US" w:eastAsia="zh-CN"/>
              </w:rPr>
              <w:t>DA002</w:t>
            </w:r>
            <w:r>
              <w:rPr>
                <w:rFonts w:hint="eastAsia"/>
                <w:i w:val="0"/>
                <w:iCs w:val="0"/>
                <w:sz w:val="21"/>
                <w:szCs w:val="21"/>
                <w:u w:val="single"/>
                <w:lang w:eastAsia="zh-CN"/>
              </w:rPr>
              <w:t>）</w:t>
            </w:r>
          </w:p>
        </w:tc>
        <w:tc>
          <w:tcPr>
            <w:tcW w:w="396" w:type="pct"/>
            <w:noWrap w:val="0"/>
            <w:vAlign w:val="center"/>
          </w:tcPr>
          <w:p>
            <w:pPr>
              <w:pStyle w:val="37"/>
              <w:spacing w:line="240" w:lineRule="auto"/>
              <w:ind w:left="-72" w:leftChars="-30" w:right="-72" w:rightChars="-30" w:firstLine="0"/>
              <w:jc w:val="center"/>
              <w:rPr>
                <w:i w:val="0"/>
                <w:iCs w:val="0"/>
                <w:sz w:val="21"/>
                <w:szCs w:val="21"/>
                <w:u w:val="single"/>
              </w:rPr>
            </w:pPr>
            <w:r>
              <w:rPr>
                <w:i w:val="0"/>
                <w:iCs w:val="0"/>
                <w:sz w:val="21"/>
                <w:szCs w:val="21"/>
                <w:u w:val="single"/>
              </w:rPr>
              <w:t>NH</w:t>
            </w:r>
            <w:r>
              <w:rPr>
                <w:i w:val="0"/>
                <w:iCs w:val="0"/>
                <w:sz w:val="21"/>
                <w:szCs w:val="21"/>
                <w:u w:val="single"/>
                <w:vertAlign w:val="subscript"/>
              </w:rPr>
              <w:t>3</w:t>
            </w:r>
          </w:p>
        </w:tc>
        <w:tc>
          <w:tcPr>
            <w:tcW w:w="334"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1.875</w:t>
            </w:r>
          </w:p>
        </w:tc>
        <w:tc>
          <w:tcPr>
            <w:tcW w:w="309" w:type="pct"/>
            <w:noWrap w:val="0"/>
            <w:vAlign w:val="center"/>
          </w:tcPr>
          <w:p>
            <w:pPr>
              <w:pStyle w:val="37"/>
              <w:tabs>
                <w:tab w:val="left" w:pos="270"/>
              </w:tabs>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0.245</w:t>
            </w:r>
          </w:p>
        </w:tc>
        <w:tc>
          <w:tcPr>
            <w:tcW w:w="331"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40.83</w:t>
            </w:r>
          </w:p>
        </w:tc>
        <w:tc>
          <w:tcPr>
            <w:tcW w:w="395" w:type="pct"/>
            <w:vMerge w:val="restart"/>
            <w:noWrap w:val="0"/>
            <w:vAlign w:val="center"/>
          </w:tcPr>
          <w:p>
            <w:pPr>
              <w:pStyle w:val="37"/>
              <w:spacing w:line="240" w:lineRule="auto"/>
              <w:ind w:left="-72" w:leftChars="-30" w:right="-72" w:rightChars="-30" w:firstLine="0"/>
              <w:jc w:val="center"/>
              <w:rPr>
                <w:i w:val="0"/>
                <w:iCs w:val="0"/>
                <w:sz w:val="21"/>
                <w:szCs w:val="21"/>
                <w:u w:val="single"/>
              </w:rPr>
            </w:pPr>
            <w:r>
              <w:rPr>
                <w:rFonts w:hint="eastAsia"/>
                <w:i w:val="0"/>
                <w:iCs w:val="0"/>
                <w:sz w:val="21"/>
                <w:szCs w:val="21"/>
                <w:u w:val="single"/>
              </w:rPr>
              <w:t>水喷淋</w:t>
            </w:r>
          </w:p>
        </w:tc>
        <w:tc>
          <w:tcPr>
            <w:tcW w:w="280" w:type="pct"/>
            <w:noWrap w:val="0"/>
            <w:vAlign w:val="center"/>
          </w:tcPr>
          <w:p>
            <w:pPr>
              <w:pStyle w:val="37"/>
              <w:spacing w:line="240" w:lineRule="auto"/>
              <w:ind w:left="-72" w:leftChars="-30" w:right="-72" w:rightChars="-30" w:firstLine="0"/>
              <w:jc w:val="center"/>
              <w:rPr>
                <w:rFonts w:hint="eastAsia"/>
                <w:i w:val="0"/>
                <w:iCs w:val="0"/>
                <w:sz w:val="21"/>
                <w:szCs w:val="21"/>
                <w:u w:val="single"/>
              </w:rPr>
            </w:pPr>
            <w:r>
              <w:rPr>
                <w:rFonts w:hint="eastAsia"/>
                <w:i w:val="0"/>
                <w:iCs w:val="0"/>
                <w:sz w:val="21"/>
                <w:szCs w:val="21"/>
                <w:u w:val="single"/>
              </w:rPr>
              <w:t>90</w:t>
            </w:r>
          </w:p>
        </w:tc>
        <w:tc>
          <w:tcPr>
            <w:tcW w:w="215" w:type="pct"/>
            <w:noWrap w:val="0"/>
            <w:vAlign w:val="center"/>
          </w:tcPr>
          <w:p>
            <w:pPr>
              <w:jc w:val="center"/>
              <w:rPr>
                <w:rFonts w:hint="eastAsia"/>
                <w:i w:val="0"/>
                <w:iCs w:val="0"/>
                <w:sz w:val="21"/>
                <w:szCs w:val="21"/>
                <w:u w:val="single"/>
              </w:rPr>
            </w:pPr>
            <w:r>
              <w:rPr>
                <w:rFonts w:hint="eastAsia"/>
                <w:i w:val="0"/>
                <w:iCs w:val="0"/>
                <w:sz w:val="21"/>
                <w:szCs w:val="21"/>
                <w:u w:val="single"/>
              </w:rPr>
              <w:t>90</w:t>
            </w:r>
          </w:p>
        </w:tc>
        <w:tc>
          <w:tcPr>
            <w:tcW w:w="456" w:type="pct"/>
            <w:vMerge w:val="restart"/>
            <w:noWrap w:val="0"/>
            <w:vAlign w:val="center"/>
          </w:tcPr>
          <w:p>
            <w:pPr>
              <w:pStyle w:val="37"/>
              <w:spacing w:line="240" w:lineRule="auto"/>
              <w:ind w:left="-72" w:leftChars="-30" w:right="-72" w:rightChars="-30" w:firstLine="0"/>
              <w:jc w:val="center"/>
              <w:rPr>
                <w:i w:val="0"/>
                <w:iCs w:val="0"/>
                <w:sz w:val="21"/>
                <w:szCs w:val="21"/>
                <w:u w:val="single"/>
              </w:rPr>
            </w:pPr>
            <w:r>
              <w:rPr>
                <w:rFonts w:hint="eastAsia"/>
                <w:i w:val="0"/>
                <w:iCs w:val="0"/>
                <w:sz w:val="21"/>
                <w:szCs w:val="21"/>
                <w:u w:val="single"/>
              </w:rPr>
              <w:t>6000</w:t>
            </w:r>
          </w:p>
        </w:tc>
        <w:tc>
          <w:tcPr>
            <w:tcW w:w="276" w:type="pct"/>
            <w:vMerge w:val="restar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7632</w:t>
            </w:r>
          </w:p>
        </w:tc>
        <w:tc>
          <w:tcPr>
            <w:tcW w:w="309"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0.169</w:t>
            </w:r>
          </w:p>
        </w:tc>
        <w:tc>
          <w:tcPr>
            <w:tcW w:w="309"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0.022</w:t>
            </w:r>
          </w:p>
        </w:tc>
        <w:tc>
          <w:tcPr>
            <w:tcW w:w="331"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3.67</w:t>
            </w:r>
          </w:p>
        </w:tc>
        <w:tc>
          <w:tcPr>
            <w:tcW w:w="335" w:type="pct"/>
            <w:noWrap w:val="0"/>
            <w:vAlign w:val="center"/>
          </w:tcPr>
          <w:p>
            <w:pPr>
              <w:pStyle w:val="37"/>
              <w:spacing w:line="240" w:lineRule="auto"/>
              <w:ind w:left="-72" w:leftChars="-30" w:right="-72" w:rightChars="-30" w:firstLine="0"/>
              <w:jc w:val="center"/>
              <w:rPr>
                <w:rFonts w:hint="eastAsia"/>
                <w:i w:val="0"/>
                <w:iCs w:val="0"/>
                <w:sz w:val="21"/>
                <w:szCs w:val="21"/>
                <w:u w:val="single"/>
              </w:rPr>
            </w:pPr>
            <w:r>
              <w:rPr>
                <w:rFonts w:hint="eastAsia"/>
                <w:i w:val="0"/>
                <w:iCs w:val="0"/>
                <w:sz w:val="21"/>
                <w:szCs w:val="21"/>
                <w:u w:val="single"/>
              </w:rPr>
              <w:t>4.9kg/h</w:t>
            </w:r>
          </w:p>
        </w:tc>
        <w:tc>
          <w:tcPr>
            <w:tcW w:w="224" w:type="pct"/>
            <w:noWrap w:val="0"/>
            <w:vAlign w:val="center"/>
          </w:tcPr>
          <w:p>
            <w:pPr>
              <w:pStyle w:val="37"/>
              <w:spacing w:line="240" w:lineRule="auto"/>
              <w:ind w:left="-72" w:leftChars="-30" w:right="-72" w:rightChars="-30" w:firstLine="0"/>
              <w:jc w:val="center"/>
              <w:rPr>
                <w:i w:val="0"/>
                <w:iCs w:val="0"/>
                <w:sz w:val="21"/>
                <w:szCs w:val="21"/>
                <w:u w:val="single"/>
              </w:rPr>
            </w:pPr>
            <w:r>
              <w:rPr>
                <w:i w:val="0"/>
                <w:iCs w:val="0"/>
                <w:sz w:val="21"/>
                <w:szCs w:val="21"/>
                <w:u w:val="single"/>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92" w:type="pct"/>
            <w:vMerge w:val="continue"/>
            <w:noWrap w:val="0"/>
            <w:vAlign w:val="center"/>
          </w:tcPr>
          <w:p>
            <w:pPr>
              <w:pStyle w:val="37"/>
              <w:spacing w:line="240" w:lineRule="auto"/>
              <w:ind w:left="-72" w:leftChars="-30" w:right="-72" w:rightChars="-30" w:firstLine="0"/>
              <w:jc w:val="center"/>
              <w:rPr>
                <w:rFonts w:hint="eastAsia"/>
                <w:i w:val="0"/>
                <w:iCs w:val="0"/>
                <w:sz w:val="21"/>
                <w:szCs w:val="21"/>
                <w:u w:val="single"/>
              </w:rPr>
            </w:pPr>
          </w:p>
        </w:tc>
        <w:tc>
          <w:tcPr>
            <w:tcW w:w="396" w:type="pct"/>
            <w:noWrap w:val="0"/>
            <w:vAlign w:val="center"/>
          </w:tcPr>
          <w:p>
            <w:pPr>
              <w:pStyle w:val="37"/>
              <w:spacing w:line="240" w:lineRule="auto"/>
              <w:ind w:left="-72" w:leftChars="-30" w:right="-72" w:rightChars="-30" w:firstLine="0"/>
              <w:jc w:val="center"/>
              <w:rPr>
                <w:rFonts w:hint="eastAsia"/>
                <w:i w:val="0"/>
                <w:iCs w:val="0"/>
                <w:sz w:val="21"/>
                <w:szCs w:val="21"/>
                <w:u w:val="single"/>
              </w:rPr>
            </w:pPr>
            <w:r>
              <w:rPr>
                <w:rFonts w:hint="eastAsia"/>
                <w:i w:val="0"/>
                <w:iCs w:val="0"/>
                <w:sz w:val="21"/>
                <w:szCs w:val="21"/>
                <w:u w:val="single"/>
              </w:rPr>
              <w:t>非甲烷总烃</w:t>
            </w:r>
          </w:p>
        </w:tc>
        <w:tc>
          <w:tcPr>
            <w:tcW w:w="334" w:type="pct"/>
            <w:noWrap w:val="0"/>
            <w:vAlign w:val="center"/>
          </w:tcPr>
          <w:p>
            <w:pPr>
              <w:pStyle w:val="37"/>
              <w:spacing w:line="240" w:lineRule="auto"/>
              <w:ind w:left="-72" w:leftChars="-30" w:right="-72" w:rightChars="-30" w:firstLine="0" w:firstLineChars="0"/>
              <w:jc w:val="center"/>
              <w:rPr>
                <w:rFonts w:hint="default" w:ascii="Times New Roman" w:hAnsi="Times New Roman" w:eastAsia="宋体" w:cs="Times New Roman"/>
                <w:i w:val="0"/>
                <w:iCs w:val="0"/>
                <w:kern w:val="2"/>
                <w:sz w:val="21"/>
                <w:szCs w:val="21"/>
                <w:u w:val="single"/>
                <w:lang w:val="en-US" w:eastAsia="zh-CN" w:bidi="ar-SA"/>
              </w:rPr>
            </w:pPr>
            <w:r>
              <w:rPr>
                <w:rFonts w:hint="eastAsia"/>
                <w:i w:val="0"/>
                <w:iCs w:val="0"/>
                <w:sz w:val="21"/>
                <w:szCs w:val="21"/>
                <w:u w:val="single"/>
                <w:lang w:val="en-US" w:eastAsia="zh-CN"/>
              </w:rPr>
              <w:t>0.59375</w:t>
            </w:r>
          </w:p>
        </w:tc>
        <w:tc>
          <w:tcPr>
            <w:tcW w:w="309" w:type="pct"/>
            <w:noWrap w:val="0"/>
            <w:vAlign w:val="center"/>
          </w:tcPr>
          <w:p>
            <w:pPr>
              <w:pStyle w:val="37"/>
              <w:tabs>
                <w:tab w:val="left" w:pos="270"/>
              </w:tabs>
              <w:spacing w:line="240" w:lineRule="auto"/>
              <w:ind w:left="-72" w:leftChars="-30" w:right="-72" w:rightChars="-30" w:firstLine="0" w:firstLineChars="0"/>
              <w:jc w:val="center"/>
              <w:rPr>
                <w:rFonts w:hint="default" w:ascii="Times New Roman" w:hAnsi="Times New Roman" w:eastAsia="宋体" w:cs="Times New Roman"/>
                <w:i w:val="0"/>
                <w:iCs w:val="0"/>
                <w:kern w:val="2"/>
                <w:sz w:val="21"/>
                <w:szCs w:val="21"/>
                <w:u w:val="single"/>
                <w:lang w:val="en-US" w:eastAsia="zh-CN" w:bidi="ar-SA"/>
              </w:rPr>
            </w:pPr>
            <w:r>
              <w:rPr>
                <w:rFonts w:hint="eastAsia"/>
                <w:i w:val="0"/>
                <w:iCs w:val="0"/>
                <w:sz w:val="21"/>
                <w:szCs w:val="21"/>
                <w:u w:val="single"/>
                <w:lang w:val="en-US" w:eastAsia="zh-CN"/>
              </w:rPr>
              <w:t>0.078</w:t>
            </w:r>
          </w:p>
        </w:tc>
        <w:tc>
          <w:tcPr>
            <w:tcW w:w="331" w:type="pct"/>
            <w:noWrap w:val="0"/>
            <w:vAlign w:val="center"/>
          </w:tcPr>
          <w:p>
            <w:pPr>
              <w:pStyle w:val="37"/>
              <w:spacing w:line="240" w:lineRule="auto"/>
              <w:ind w:left="-72" w:leftChars="-30" w:right="-72" w:rightChars="-30" w:firstLine="0" w:firstLineChars="0"/>
              <w:jc w:val="center"/>
              <w:rPr>
                <w:rFonts w:hint="default" w:ascii="Times New Roman" w:hAnsi="Times New Roman" w:eastAsia="宋体" w:cs="Times New Roman"/>
                <w:i w:val="0"/>
                <w:iCs w:val="0"/>
                <w:kern w:val="2"/>
                <w:sz w:val="21"/>
                <w:szCs w:val="21"/>
                <w:u w:val="single"/>
                <w:lang w:val="en-US" w:eastAsia="zh-CN" w:bidi="ar-SA"/>
              </w:rPr>
            </w:pPr>
            <w:r>
              <w:rPr>
                <w:rFonts w:hint="eastAsia"/>
                <w:i w:val="0"/>
                <w:iCs w:val="0"/>
                <w:sz w:val="21"/>
                <w:szCs w:val="21"/>
                <w:u w:val="single"/>
                <w:lang w:val="en-US" w:eastAsia="zh-CN"/>
              </w:rPr>
              <w:t>13</w:t>
            </w:r>
          </w:p>
        </w:tc>
        <w:tc>
          <w:tcPr>
            <w:tcW w:w="395" w:type="pct"/>
            <w:vMerge w:val="continue"/>
            <w:noWrap w:val="0"/>
            <w:vAlign w:val="center"/>
          </w:tcPr>
          <w:p>
            <w:pPr>
              <w:pStyle w:val="37"/>
              <w:spacing w:line="240" w:lineRule="auto"/>
              <w:ind w:left="-72" w:leftChars="-30" w:right="-72" w:rightChars="-30" w:firstLine="0"/>
              <w:jc w:val="center"/>
              <w:rPr>
                <w:i w:val="0"/>
                <w:iCs w:val="0"/>
                <w:sz w:val="21"/>
                <w:szCs w:val="21"/>
                <w:u w:val="single"/>
              </w:rPr>
            </w:pPr>
          </w:p>
        </w:tc>
        <w:tc>
          <w:tcPr>
            <w:tcW w:w="280" w:type="pct"/>
            <w:noWrap w:val="0"/>
            <w:vAlign w:val="center"/>
          </w:tcPr>
          <w:p>
            <w:pPr>
              <w:pStyle w:val="37"/>
              <w:spacing w:line="240" w:lineRule="auto"/>
              <w:ind w:left="-72" w:leftChars="-30" w:right="-72" w:rightChars="-30" w:firstLine="0"/>
              <w:jc w:val="center"/>
              <w:rPr>
                <w:rFonts w:hint="eastAsia"/>
                <w:i w:val="0"/>
                <w:iCs w:val="0"/>
                <w:sz w:val="21"/>
                <w:szCs w:val="21"/>
                <w:u w:val="single"/>
              </w:rPr>
            </w:pPr>
            <w:r>
              <w:rPr>
                <w:rFonts w:hint="eastAsia"/>
                <w:i w:val="0"/>
                <w:iCs w:val="0"/>
                <w:sz w:val="21"/>
                <w:szCs w:val="21"/>
                <w:u w:val="single"/>
              </w:rPr>
              <w:t>90</w:t>
            </w:r>
          </w:p>
        </w:tc>
        <w:tc>
          <w:tcPr>
            <w:tcW w:w="215" w:type="pct"/>
            <w:noWrap w:val="0"/>
            <w:vAlign w:val="center"/>
          </w:tcPr>
          <w:p>
            <w:pPr>
              <w:jc w:val="center"/>
              <w:rPr>
                <w:i w:val="0"/>
                <w:iCs w:val="0"/>
                <w:sz w:val="21"/>
                <w:szCs w:val="21"/>
                <w:u w:val="single"/>
              </w:rPr>
            </w:pPr>
            <w:r>
              <w:rPr>
                <w:rFonts w:hint="eastAsia"/>
                <w:i w:val="0"/>
                <w:iCs w:val="0"/>
                <w:sz w:val="21"/>
                <w:szCs w:val="21"/>
                <w:u w:val="single"/>
              </w:rPr>
              <w:t>60</w:t>
            </w:r>
          </w:p>
        </w:tc>
        <w:tc>
          <w:tcPr>
            <w:tcW w:w="456" w:type="pct"/>
            <w:vMerge w:val="continue"/>
            <w:noWrap w:val="0"/>
            <w:vAlign w:val="center"/>
          </w:tcPr>
          <w:p>
            <w:pPr>
              <w:pStyle w:val="37"/>
              <w:spacing w:line="240" w:lineRule="auto"/>
              <w:ind w:left="-72" w:leftChars="-30" w:right="-72" w:rightChars="-30" w:firstLine="0"/>
              <w:jc w:val="center"/>
              <w:rPr>
                <w:i w:val="0"/>
                <w:iCs w:val="0"/>
                <w:sz w:val="21"/>
                <w:szCs w:val="21"/>
                <w:u w:val="single"/>
              </w:rPr>
            </w:pPr>
          </w:p>
        </w:tc>
        <w:tc>
          <w:tcPr>
            <w:tcW w:w="276" w:type="pct"/>
            <w:vMerge w:val="continue"/>
            <w:noWrap w:val="0"/>
            <w:vAlign w:val="center"/>
          </w:tcPr>
          <w:p>
            <w:pPr>
              <w:pStyle w:val="37"/>
              <w:spacing w:line="240" w:lineRule="auto"/>
              <w:ind w:left="-72" w:leftChars="-30" w:right="-72" w:rightChars="-30" w:firstLine="0"/>
              <w:jc w:val="center"/>
              <w:rPr>
                <w:i w:val="0"/>
                <w:iCs w:val="0"/>
                <w:sz w:val="21"/>
                <w:szCs w:val="21"/>
                <w:u w:val="single"/>
              </w:rPr>
            </w:pPr>
          </w:p>
        </w:tc>
        <w:tc>
          <w:tcPr>
            <w:tcW w:w="309"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0.21375</w:t>
            </w:r>
          </w:p>
        </w:tc>
        <w:tc>
          <w:tcPr>
            <w:tcW w:w="309"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0.028</w:t>
            </w:r>
          </w:p>
        </w:tc>
        <w:tc>
          <w:tcPr>
            <w:tcW w:w="331"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4.67</w:t>
            </w:r>
          </w:p>
        </w:tc>
        <w:tc>
          <w:tcPr>
            <w:tcW w:w="335" w:type="pct"/>
            <w:noWrap w:val="0"/>
            <w:vAlign w:val="center"/>
          </w:tcPr>
          <w:p>
            <w:pPr>
              <w:pStyle w:val="37"/>
              <w:spacing w:line="240" w:lineRule="auto"/>
              <w:ind w:left="-72" w:leftChars="-30" w:right="-72" w:rightChars="-30" w:firstLine="0"/>
              <w:jc w:val="center"/>
              <w:rPr>
                <w:i w:val="0"/>
                <w:iCs w:val="0"/>
                <w:sz w:val="21"/>
                <w:szCs w:val="21"/>
                <w:u w:val="single"/>
              </w:rPr>
            </w:pPr>
            <w:r>
              <w:rPr>
                <w:rFonts w:hint="eastAsia"/>
                <w:i w:val="0"/>
                <w:iCs w:val="0"/>
                <w:sz w:val="21"/>
                <w:szCs w:val="21"/>
                <w:u w:val="single"/>
              </w:rPr>
              <w:t>120</w:t>
            </w:r>
            <w:r>
              <w:rPr>
                <w:i w:val="0"/>
                <w:iCs w:val="0"/>
                <w:sz w:val="21"/>
                <w:szCs w:val="21"/>
                <w:u w:val="single"/>
              </w:rPr>
              <w:t>mg/m</w:t>
            </w:r>
            <w:r>
              <w:rPr>
                <w:i w:val="0"/>
                <w:iCs w:val="0"/>
                <w:sz w:val="21"/>
                <w:szCs w:val="21"/>
                <w:u w:val="single"/>
                <w:vertAlign w:val="superscript"/>
              </w:rPr>
              <w:t>3</w:t>
            </w:r>
          </w:p>
        </w:tc>
        <w:tc>
          <w:tcPr>
            <w:tcW w:w="224" w:type="pct"/>
            <w:noWrap w:val="0"/>
            <w:vAlign w:val="center"/>
          </w:tcPr>
          <w:p>
            <w:pPr>
              <w:pStyle w:val="37"/>
              <w:spacing w:line="240" w:lineRule="auto"/>
              <w:ind w:left="-72" w:leftChars="-30" w:right="-72" w:rightChars="-30" w:firstLine="0"/>
              <w:jc w:val="center"/>
              <w:rPr>
                <w:i w:val="0"/>
                <w:iCs w:val="0"/>
                <w:sz w:val="21"/>
                <w:szCs w:val="21"/>
                <w:u w:val="single"/>
              </w:rPr>
            </w:pPr>
            <w:r>
              <w:rPr>
                <w:i w:val="0"/>
                <w:iCs w:val="0"/>
                <w:sz w:val="21"/>
                <w:szCs w:val="21"/>
                <w:u w:val="single"/>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62" w:hRule="atLeast"/>
        </w:trPr>
        <w:tc>
          <w:tcPr>
            <w:tcW w:w="492" w:type="pct"/>
            <w:vMerge w:val="restart"/>
            <w:noWrap w:val="0"/>
            <w:vAlign w:val="center"/>
          </w:tcPr>
          <w:p>
            <w:pPr>
              <w:pStyle w:val="37"/>
              <w:spacing w:line="240" w:lineRule="auto"/>
              <w:ind w:left="-72" w:leftChars="-30" w:right="-72" w:rightChars="-30" w:firstLine="0"/>
              <w:jc w:val="center"/>
              <w:rPr>
                <w:rFonts w:hint="eastAsia"/>
                <w:i w:val="0"/>
                <w:iCs w:val="0"/>
                <w:sz w:val="21"/>
                <w:szCs w:val="21"/>
                <w:u w:val="single"/>
              </w:rPr>
            </w:pPr>
            <w:r>
              <w:rPr>
                <w:rFonts w:hint="eastAsia"/>
                <w:i w:val="0"/>
                <w:iCs w:val="0"/>
                <w:sz w:val="21"/>
                <w:szCs w:val="21"/>
                <w:u w:val="single"/>
                <w:lang w:val="en-US" w:eastAsia="zh-CN"/>
              </w:rPr>
              <w:t>热风炉1烟气及</w:t>
            </w:r>
            <w:r>
              <w:rPr>
                <w:rFonts w:hint="eastAsia"/>
                <w:i w:val="0"/>
                <w:iCs w:val="0"/>
                <w:sz w:val="21"/>
                <w:szCs w:val="21"/>
                <w:u w:val="single"/>
              </w:rPr>
              <w:t>喷雾干燥塔</w:t>
            </w:r>
            <w:r>
              <w:rPr>
                <w:rFonts w:hint="eastAsia"/>
                <w:i w:val="0"/>
                <w:iCs w:val="0"/>
                <w:sz w:val="21"/>
                <w:szCs w:val="21"/>
                <w:u w:val="single"/>
                <w:lang w:val="en-US" w:eastAsia="zh-CN"/>
              </w:rPr>
              <w:t>1</w:t>
            </w:r>
            <w:r>
              <w:rPr>
                <w:rFonts w:hint="eastAsia"/>
                <w:i w:val="0"/>
                <w:iCs w:val="0"/>
                <w:sz w:val="21"/>
                <w:szCs w:val="21"/>
                <w:u w:val="single"/>
              </w:rPr>
              <w:t>喷雾干燥废气</w:t>
            </w:r>
            <w:r>
              <w:rPr>
                <w:rFonts w:hint="eastAsia"/>
                <w:i w:val="0"/>
                <w:iCs w:val="0"/>
                <w:sz w:val="21"/>
                <w:szCs w:val="21"/>
                <w:u w:val="single"/>
                <w:lang w:eastAsia="zh-CN"/>
              </w:rPr>
              <w:t>（</w:t>
            </w:r>
            <w:r>
              <w:rPr>
                <w:rFonts w:hint="eastAsia"/>
                <w:i w:val="0"/>
                <w:iCs w:val="0"/>
                <w:sz w:val="21"/>
                <w:szCs w:val="21"/>
                <w:u w:val="single"/>
                <w:lang w:val="en-US" w:eastAsia="zh-CN"/>
              </w:rPr>
              <w:t>DA003</w:t>
            </w:r>
            <w:r>
              <w:rPr>
                <w:rFonts w:hint="eastAsia"/>
                <w:i w:val="0"/>
                <w:iCs w:val="0"/>
                <w:sz w:val="21"/>
                <w:szCs w:val="21"/>
                <w:u w:val="single"/>
                <w:lang w:eastAsia="zh-CN"/>
              </w:rPr>
              <w:t>）</w:t>
            </w:r>
          </w:p>
        </w:tc>
        <w:tc>
          <w:tcPr>
            <w:tcW w:w="396" w:type="pct"/>
            <w:noWrap w:val="0"/>
            <w:vAlign w:val="center"/>
          </w:tcPr>
          <w:p>
            <w:pPr>
              <w:pStyle w:val="37"/>
              <w:spacing w:line="240" w:lineRule="auto"/>
              <w:ind w:left="-72" w:leftChars="-30" w:right="-72" w:rightChars="-30" w:firstLine="0"/>
              <w:jc w:val="center"/>
              <w:rPr>
                <w:rFonts w:hint="eastAsia" w:eastAsia="宋体"/>
                <w:i w:val="0"/>
                <w:iCs w:val="0"/>
                <w:sz w:val="21"/>
                <w:szCs w:val="21"/>
                <w:u w:val="single"/>
                <w:lang w:eastAsia="zh-CN"/>
              </w:rPr>
            </w:pPr>
            <w:r>
              <w:rPr>
                <w:rFonts w:hint="eastAsia"/>
                <w:i w:val="0"/>
                <w:iCs w:val="0"/>
                <w:sz w:val="21"/>
                <w:szCs w:val="21"/>
                <w:u w:val="single"/>
                <w:lang w:val="en-US" w:eastAsia="zh-CN"/>
              </w:rPr>
              <w:t>粉尘</w:t>
            </w:r>
          </w:p>
        </w:tc>
        <w:tc>
          <w:tcPr>
            <w:tcW w:w="334"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111.11095</w:t>
            </w:r>
          </w:p>
        </w:tc>
        <w:tc>
          <w:tcPr>
            <w:tcW w:w="309" w:type="pct"/>
            <w:vMerge w:val="restar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22.29</w:t>
            </w:r>
          </w:p>
        </w:tc>
        <w:tc>
          <w:tcPr>
            <w:tcW w:w="331" w:type="pct"/>
            <w:vMerge w:val="restar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1114.5</w:t>
            </w:r>
          </w:p>
        </w:tc>
        <w:tc>
          <w:tcPr>
            <w:tcW w:w="395" w:type="pct"/>
            <w:noWrap w:val="0"/>
            <w:vAlign w:val="center"/>
          </w:tcPr>
          <w:p>
            <w:pPr>
              <w:pStyle w:val="37"/>
              <w:spacing w:line="240" w:lineRule="auto"/>
              <w:ind w:left="-72" w:leftChars="-30" w:right="-72" w:rightChars="-30" w:firstLine="0"/>
              <w:jc w:val="center"/>
              <w:rPr>
                <w:rFonts w:hint="eastAsia" w:eastAsia="宋体"/>
                <w:i w:val="0"/>
                <w:iCs w:val="0"/>
                <w:sz w:val="21"/>
                <w:szCs w:val="21"/>
                <w:u w:val="single"/>
                <w:lang w:eastAsia="zh-CN"/>
              </w:rPr>
            </w:pPr>
            <w:r>
              <w:rPr>
                <w:rFonts w:hint="eastAsia"/>
                <w:i w:val="0"/>
                <w:iCs w:val="0"/>
                <w:sz w:val="21"/>
                <w:szCs w:val="21"/>
                <w:u w:val="single"/>
                <w:lang w:val="en-US" w:eastAsia="zh-CN"/>
              </w:rPr>
              <w:t>布袋除尘器</w:t>
            </w:r>
          </w:p>
        </w:tc>
        <w:tc>
          <w:tcPr>
            <w:tcW w:w="280"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10</w:t>
            </w:r>
          </w:p>
        </w:tc>
        <w:tc>
          <w:tcPr>
            <w:tcW w:w="215" w:type="pct"/>
            <w:noWrap w:val="0"/>
            <w:vAlign w:val="center"/>
          </w:tcPr>
          <w:p>
            <w:pPr>
              <w:jc w:val="center"/>
              <w:rPr>
                <w:rFonts w:hint="eastAsia" w:eastAsia="宋体"/>
                <w:i w:val="0"/>
                <w:iCs w:val="0"/>
                <w:sz w:val="21"/>
                <w:szCs w:val="21"/>
                <w:u w:val="single"/>
                <w:lang w:eastAsia="zh-CN"/>
              </w:rPr>
            </w:pPr>
            <w:r>
              <w:rPr>
                <w:rFonts w:hint="eastAsia"/>
                <w:i w:val="0"/>
                <w:iCs w:val="0"/>
                <w:sz w:val="21"/>
                <w:szCs w:val="21"/>
                <w:u w:val="single"/>
              </w:rPr>
              <w:t>9</w:t>
            </w:r>
            <w:r>
              <w:rPr>
                <w:rFonts w:hint="eastAsia"/>
                <w:i w:val="0"/>
                <w:iCs w:val="0"/>
                <w:sz w:val="21"/>
                <w:szCs w:val="21"/>
                <w:u w:val="single"/>
                <w:lang w:val="en-US" w:eastAsia="zh-CN"/>
              </w:rPr>
              <w:t>9</w:t>
            </w:r>
          </w:p>
        </w:tc>
        <w:tc>
          <w:tcPr>
            <w:tcW w:w="456" w:type="pct"/>
            <w:vMerge w:val="restar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20000</w:t>
            </w:r>
          </w:p>
        </w:tc>
        <w:tc>
          <w:tcPr>
            <w:tcW w:w="276" w:type="pct"/>
            <w:vMerge w:val="restart"/>
            <w:noWrap w:val="0"/>
            <w:vAlign w:val="center"/>
          </w:tcPr>
          <w:p>
            <w:pPr>
              <w:ind w:left="-72" w:leftChars="-30" w:right="-72" w:rightChars="-3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5000</w:t>
            </w:r>
          </w:p>
        </w:tc>
        <w:tc>
          <w:tcPr>
            <w:tcW w:w="309"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1.11</w:t>
            </w:r>
          </w:p>
        </w:tc>
        <w:tc>
          <w:tcPr>
            <w:tcW w:w="309" w:type="pct"/>
            <w:vMerge w:val="restar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0.222</w:t>
            </w:r>
          </w:p>
        </w:tc>
        <w:tc>
          <w:tcPr>
            <w:tcW w:w="331" w:type="pct"/>
            <w:vMerge w:val="restar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11.1</w:t>
            </w:r>
          </w:p>
        </w:tc>
        <w:tc>
          <w:tcPr>
            <w:tcW w:w="335" w:type="pct"/>
            <w:vMerge w:val="restar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1</w:t>
            </w:r>
            <w:r>
              <w:rPr>
                <w:rFonts w:hint="eastAsia"/>
                <w:i w:val="0"/>
                <w:iCs w:val="0"/>
                <w:sz w:val="21"/>
                <w:szCs w:val="21"/>
                <w:u w:val="single"/>
              </w:rPr>
              <w:t>20</w:t>
            </w:r>
            <w:r>
              <w:rPr>
                <w:i w:val="0"/>
                <w:iCs w:val="0"/>
                <w:sz w:val="21"/>
                <w:szCs w:val="21"/>
                <w:u w:val="single"/>
              </w:rPr>
              <w:t>mg/m</w:t>
            </w:r>
            <w:r>
              <w:rPr>
                <w:i w:val="0"/>
                <w:iCs w:val="0"/>
                <w:sz w:val="21"/>
                <w:szCs w:val="21"/>
                <w:u w:val="single"/>
                <w:vertAlign w:val="superscript"/>
              </w:rPr>
              <w:t>3</w:t>
            </w:r>
          </w:p>
        </w:tc>
        <w:tc>
          <w:tcPr>
            <w:tcW w:w="224" w:type="pct"/>
            <w:vMerge w:val="restart"/>
            <w:noWrap w:val="0"/>
            <w:vAlign w:val="center"/>
          </w:tcPr>
          <w:p>
            <w:pPr>
              <w:pStyle w:val="37"/>
              <w:spacing w:line="240" w:lineRule="auto"/>
              <w:ind w:left="-72" w:leftChars="-30" w:right="-72" w:rightChars="-30" w:firstLine="0" w:firstLineChars="0"/>
              <w:jc w:val="center"/>
              <w:rPr>
                <w:i w:val="0"/>
                <w:iCs w:val="0"/>
                <w:sz w:val="21"/>
                <w:szCs w:val="21"/>
                <w:u w:val="single"/>
              </w:rPr>
            </w:pPr>
            <w:r>
              <w:rPr>
                <w:i w:val="0"/>
                <w:iCs w:val="0"/>
                <w:sz w:val="21"/>
                <w:szCs w:val="21"/>
                <w:u w:val="single"/>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62" w:hRule="atLeast"/>
        </w:trPr>
        <w:tc>
          <w:tcPr>
            <w:tcW w:w="492" w:type="pct"/>
            <w:vMerge w:val="continue"/>
            <w:noWrap w:val="0"/>
            <w:vAlign w:val="center"/>
          </w:tcPr>
          <w:p>
            <w:pPr>
              <w:pStyle w:val="37"/>
              <w:spacing w:line="240" w:lineRule="auto"/>
              <w:ind w:left="-72" w:leftChars="-30" w:right="-72" w:rightChars="-30" w:firstLine="0"/>
              <w:jc w:val="center"/>
              <w:rPr>
                <w:rFonts w:hint="eastAsia"/>
                <w:i w:val="0"/>
                <w:iCs w:val="0"/>
                <w:sz w:val="21"/>
                <w:szCs w:val="21"/>
                <w:u w:val="single"/>
                <w:lang w:val="en-US" w:eastAsia="zh-CN"/>
              </w:rPr>
            </w:pPr>
          </w:p>
        </w:tc>
        <w:tc>
          <w:tcPr>
            <w:tcW w:w="396"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rPr>
              <w:t>颗粒物</w:t>
            </w:r>
          </w:p>
        </w:tc>
        <w:tc>
          <w:tcPr>
            <w:tcW w:w="334" w:type="pct"/>
            <w:noWrap w:val="0"/>
            <w:vAlign w:val="center"/>
          </w:tcPr>
          <w:p>
            <w:pPr>
              <w:pStyle w:val="37"/>
              <w:spacing w:line="240" w:lineRule="auto"/>
              <w:ind w:left="-72" w:leftChars="-30" w:right="-72" w:rightChars="-30" w:firstLine="0" w:firstLineChars="0"/>
              <w:jc w:val="center"/>
              <w:rPr>
                <w:rFonts w:hint="default"/>
                <w:i w:val="0"/>
                <w:iCs w:val="0"/>
                <w:sz w:val="21"/>
                <w:szCs w:val="21"/>
                <w:u w:val="single"/>
                <w:lang w:val="en-US" w:eastAsia="zh-CN"/>
              </w:rPr>
            </w:pPr>
            <w:r>
              <w:rPr>
                <w:rFonts w:hint="eastAsia"/>
                <w:i w:val="0"/>
                <w:iCs w:val="0"/>
                <w:sz w:val="21"/>
                <w:szCs w:val="21"/>
                <w:u w:val="single"/>
                <w:lang w:val="en-US" w:eastAsia="zh-CN"/>
              </w:rPr>
              <w:t>0.343</w:t>
            </w:r>
          </w:p>
        </w:tc>
        <w:tc>
          <w:tcPr>
            <w:tcW w:w="309" w:type="pct"/>
            <w:vMerge w:val="continue"/>
            <w:noWrap w:val="0"/>
            <w:vAlign w:val="center"/>
          </w:tcPr>
          <w:p>
            <w:pPr>
              <w:pStyle w:val="37"/>
              <w:spacing w:line="240" w:lineRule="auto"/>
              <w:ind w:left="-72" w:leftChars="-30" w:right="-72" w:rightChars="-30" w:firstLine="0" w:firstLineChars="0"/>
              <w:jc w:val="center"/>
              <w:rPr>
                <w:rFonts w:hint="eastAsia"/>
                <w:i w:val="0"/>
                <w:iCs w:val="0"/>
                <w:sz w:val="21"/>
                <w:szCs w:val="21"/>
                <w:u w:val="single"/>
                <w:lang w:val="en-US" w:eastAsia="zh-CN"/>
              </w:rPr>
            </w:pPr>
          </w:p>
        </w:tc>
        <w:tc>
          <w:tcPr>
            <w:tcW w:w="331" w:type="pct"/>
            <w:vMerge w:val="continue"/>
            <w:noWrap w:val="0"/>
            <w:vAlign w:val="center"/>
          </w:tcPr>
          <w:p>
            <w:pPr>
              <w:pStyle w:val="37"/>
              <w:spacing w:line="240" w:lineRule="auto"/>
              <w:ind w:left="-72" w:leftChars="-30" w:right="-72" w:rightChars="-30" w:firstLine="0" w:firstLineChars="0"/>
              <w:jc w:val="center"/>
              <w:rPr>
                <w:rFonts w:hint="eastAsia"/>
                <w:i w:val="0"/>
                <w:iCs w:val="0"/>
                <w:sz w:val="21"/>
                <w:szCs w:val="21"/>
                <w:u w:val="single"/>
                <w:lang w:val="en-US" w:eastAsia="zh-CN"/>
              </w:rPr>
            </w:pPr>
          </w:p>
        </w:tc>
        <w:tc>
          <w:tcPr>
            <w:tcW w:w="395"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lang w:val="en-US" w:eastAsia="zh-CN"/>
              </w:rPr>
            </w:pPr>
            <w:r>
              <w:rPr>
                <w:rFonts w:hint="eastAsia"/>
                <w:i w:val="0"/>
                <w:iCs w:val="0"/>
                <w:sz w:val="21"/>
                <w:szCs w:val="21"/>
                <w:u w:val="single"/>
                <w:lang w:val="en-US" w:eastAsia="zh-CN"/>
              </w:rPr>
              <w:t>布袋除尘器</w:t>
            </w:r>
          </w:p>
        </w:tc>
        <w:tc>
          <w:tcPr>
            <w:tcW w:w="280"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lang w:val="en-US" w:eastAsia="zh-CN"/>
              </w:rPr>
            </w:pPr>
            <w:r>
              <w:rPr>
                <w:rFonts w:hint="eastAsia"/>
                <w:i w:val="0"/>
                <w:iCs w:val="0"/>
                <w:sz w:val="21"/>
                <w:szCs w:val="21"/>
                <w:u w:val="single"/>
                <w:lang w:val="en-US" w:eastAsia="zh-CN"/>
              </w:rPr>
              <w:t>10</w:t>
            </w:r>
          </w:p>
        </w:tc>
        <w:tc>
          <w:tcPr>
            <w:tcW w:w="215" w:type="pct"/>
            <w:noWrap w:val="0"/>
            <w:vAlign w:val="center"/>
          </w:tcPr>
          <w:p>
            <w:pPr>
              <w:jc w:val="center"/>
              <w:rPr>
                <w:rFonts w:hint="eastAsia"/>
                <w:i w:val="0"/>
                <w:iCs w:val="0"/>
                <w:sz w:val="21"/>
                <w:szCs w:val="21"/>
                <w:u w:val="single"/>
              </w:rPr>
            </w:pPr>
            <w:r>
              <w:rPr>
                <w:rFonts w:hint="eastAsia"/>
                <w:i w:val="0"/>
                <w:iCs w:val="0"/>
                <w:sz w:val="21"/>
                <w:szCs w:val="21"/>
                <w:u w:val="single"/>
              </w:rPr>
              <w:t>9</w:t>
            </w:r>
            <w:r>
              <w:rPr>
                <w:rFonts w:hint="eastAsia"/>
                <w:i w:val="0"/>
                <w:iCs w:val="0"/>
                <w:sz w:val="21"/>
                <w:szCs w:val="21"/>
                <w:u w:val="single"/>
                <w:lang w:val="en-US" w:eastAsia="zh-CN"/>
              </w:rPr>
              <w:t>9</w:t>
            </w:r>
          </w:p>
        </w:tc>
        <w:tc>
          <w:tcPr>
            <w:tcW w:w="456" w:type="pct"/>
            <w:vMerge w:val="continue"/>
            <w:noWrap w:val="0"/>
            <w:vAlign w:val="center"/>
          </w:tcPr>
          <w:p>
            <w:pPr>
              <w:pStyle w:val="37"/>
              <w:spacing w:line="240" w:lineRule="auto"/>
              <w:ind w:left="-72" w:leftChars="-30" w:right="-72" w:rightChars="-30" w:firstLine="0"/>
              <w:jc w:val="center"/>
              <w:rPr>
                <w:rFonts w:hint="eastAsia"/>
                <w:i w:val="0"/>
                <w:iCs w:val="0"/>
                <w:sz w:val="21"/>
                <w:szCs w:val="21"/>
                <w:u w:val="single"/>
                <w:lang w:val="en-US" w:eastAsia="zh-CN"/>
              </w:rPr>
            </w:pPr>
          </w:p>
        </w:tc>
        <w:tc>
          <w:tcPr>
            <w:tcW w:w="276" w:type="pct"/>
            <w:vMerge w:val="continue"/>
            <w:noWrap w:val="0"/>
            <w:vAlign w:val="center"/>
          </w:tcPr>
          <w:p>
            <w:pPr>
              <w:ind w:left="-72" w:leftChars="-30" w:right="-72" w:rightChars="-30"/>
              <w:jc w:val="center"/>
              <w:rPr>
                <w:rFonts w:hint="eastAsia"/>
                <w:i w:val="0"/>
                <w:iCs w:val="0"/>
                <w:sz w:val="21"/>
                <w:szCs w:val="21"/>
                <w:u w:val="single"/>
                <w:lang w:val="en-US" w:eastAsia="zh-CN"/>
              </w:rPr>
            </w:pPr>
          </w:p>
        </w:tc>
        <w:tc>
          <w:tcPr>
            <w:tcW w:w="309" w:type="pct"/>
            <w:noWrap w:val="0"/>
            <w:vAlign w:val="center"/>
          </w:tcPr>
          <w:p>
            <w:pPr>
              <w:pStyle w:val="37"/>
              <w:spacing w:line="240" w:lineRule="auto"/>
              <w:ind w:left="-72" w:leftChars="-30" w:right="-72" w:rightChars="-30" w:firstLine="0"/>
              <w:jc w:val="center"/>
              <w:rPr>
                <w:rFonts w:hint="default"/>
                <w:i w:val="0"/>
                <w:iCs w:val="0"/>
                <w:sz w:val="21"/>
                <w:szCs w:val="21"/>
                <w:u w:val="single"/>
                <w:lang w:val="en-US" w:eastAsia="zh-CN"/>
              </w:rPr>
            </w:pPr>
            <w:r>
              <w:rPr>
                <w:rFonts w:hint="eastAsia"/>
                <w:i w:val="0"/>
                <w:iCs w:val="0"/>
                <w:sz w:val="21"/>
                <w:szCs w:val="21"/>
                <w:u w:val="single"/>
                <w:lang w:val="en-US" w:eastAsia="zh-CN"/>
              </w:rPr>
              <w:t>0.00343</w:t>
            </w:r>
          </w:p>
        </w:tc>
        <w:tc>
          <w:tcPr>
            <w:tcW w:w="309" w:type="pct"/>
            <w:vMerge w:val="continue"/>
            <w:noWrap w:val="0"/>
            <w:vAlign w:val="center"/>
          </w:tcPr>
          <w:p>
            <w:pPr>
              <w:pStyle w:val="37"/>
              <w:spacing w:line="240" w:lineRule="auto"/>
              <w:ind w:left="-72" w:leftChars="-30" w:right="-72" w:rightChars="-30" w:firstLine="0"/>
              <w:jc w:val="center"/>
              <w:rPr>
                <w:rFonts w:hint="eastAsia"/>
                <w:i w:val="0"/>
                <w:iCs w:val="0"/>
                <w:sz w:val="21"/>
                <w:szCs w:val="21"/>
                <w:u w:val="single"/>
                <w:lang w:val="en-US" w:eastAsia="zh-CN"/>
              </w:rPr>
            </w:pPr>
          </w:p>
        </w:tc>
        <w:tc>
          <w:tcPr>
            <w:tcW w:w="331" w:type="pct"/>
            <w:vMerge w:val="continue"/>
            <w:noWrap w:val="0"/>
            <w:vAlign w:val="center"/>
          </w:tcPr>
          <w:p>
            <w:pPr>
              <w:pStyle w:val="37"/>
              <w:spacing w:line="240" w:lineRule="auto"/>
              <w:ind w:left="-72" w:leftChars="-30" w:right="-72" w:rightChars="-30" w:firstLine="0"/>
              <w:jc w:val="center"/>
              <w:rPr>
                <w:rFonts w:hint="eastAsia"/>
                <w:i w:val="0"/>
                <w:iCs w:val="0"/>
                <w:sz w:val="21"/>
                <w:szCs w:val="21"/>
                <w:u w:val="single"/>
                <w:lang w:val="en-US" w:eastAsia="zh-CN"/>
              </w:rPr>
            </w:pPr>
          </w:p>
        </w:tc>
        <w:tc>
          <w:tcPr>
            <w:tcW w:w="335" w:type="pct"/>
            <w:vMerge w:val="continue"/>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p>
        </w:tc>
        <w:tc>
          <w:tcPr>
            <w:tcW w:w="224" w:type="pct"/>
            <w:vMerge w:val="continue"/>
            <w:noWrap w:val="0"/>
            <w:vAlign w:val="center"/>
          </w:tcPr>
          <w:p>
            <w:pPr>
              <w:pStyle w:val="37"/>
              <w:spacing w:line="240" w:lineRule="auto"/>
              <w:ind w:left="-72" w:leftChars="-30" w:right="-72" w:rightChars="-30" w:firstLine="0" w:firstLineChars="0"/>
              <w:jc w:val="center"/>
              <w:rPr>
                <w:i w:val="0"/>
                <w:iCs w:val="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02" w:hRule="atLeast"/>
        </w:trPr>
        <w:tc>
          <w:tcPr>
            <w:tcW w:w="492" w:type="pct"/>
            <w:vMerge w:val="continue"/>
            <w:noWrap w:val="0"/>
            <w:vAlign w:val="center"/>
          </w:tcPr>
          <w:p>
            <w:pPr>
              <w:pStyle w:val="37"/>
              <w:spacing w:line="240" w:lineRule="auto"/>
              <w:ind w:left="-72" w:leftChars="-30" w:right="-72" w:rightChars="-30" w:firstLine="0"/>
              <w:jc w:val="center"/>
              <w:rPr>
                <w:rFonts w:hint="eastAsia"/>
                <w:i w:val="0"/>
                <w:iCs w:val="0"/>
                <w:sz w:val="21"/>
                <w:szCs w:val="21"/>
                <w:u w:val="single"/>
              </w:rPr>
            </w:pPr>
          </w:p>
        </w:tc>
        <w:tc>
          <w:tcPr>
            <w:tcW w:w="396" w:type="pct"/>
            <w:noWrap w:val="0"/>
            <w:vAlign w:val="center"/>
          </w:tcPr>
          <w:p>
            <w:pPr>
              <w:pStyle w:val="37"/>
              <w:spacing w:line="240" w:lineRule="auto"/>
              <w:ind w:left="-72" w:leftChars="-30" w:right="-72" w:rightChars="-30" w:firstLine="0"/>
              <w:jc w:val="center"/>
              <w:rPr>
                <w:rFonts w:hint="eastAsia" w:eastAsia="宋体"/>
                <w:i w:val="0"/>
                <w:iCs w:val="0"/>
                <w:sz w:val="21"/>
                <w:szCs w:val="21"/>
                <w:u w:val="single"/>
                <w:lang w:eastAsia="zh-CN"/>
              </w:rPr>
            </w:pPr>
            <w:r>
              <w:rPr>
                <w:rFonts w:hint="eastAsia"/>
                <w:i w:val="0"/>
                <w:iCs w:val="0"/>
                <w:sz w:val="21"/>
                <w:szCs w:val="21"/>
                <w:u w:val="single"/>
                <w:lang w:val="en-US" w:eastAsia="zh-CN"/>
              </w:rPr>
              <w:t>二氧化硫</w:t>
            </w:r>
          </w:p>
        </w:tc>
        <w:tc>
          <w:tcPr>
            <w:tcW w:w="334"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0.48</w:t>
            </w:r>
          </w:p>
        </w:tc>
        <w:tc>
          <w:tcPr>
            <w:tcW w:w="309"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0.096</w:t>
            </w:r>
          </w:p>
        </w:tc>
        <w:tc>
          <w:tcPr>
            <w:tcW w:w="331"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4.8</w:t>
            </w:r>
          </w:p>
        </w:tc>
        <w:tc>
          <w:tcPr>
            <w:tcW w:w="395" w:type="pct"/>
            <w:noWrap w:val="0"/>
            <w:vAlign w:val="center"/>
          </w:tcPr>
          <w:p>
            <w:pPr>
              <w:pStyle w:val="37"/>
              <w:spacing w:line="240" w:lineRule="auto"/>
              <w:ind w:left="-72" w:leftChars="-30" w:right="-72" w:rightChars="-30" w:firstLine="0"/>
              <w:jc w:val="center"/>
              <w:rPr>
                <w:rFonts w:hint="eastAsia" w:eastAsia="宋体"/>
                <w:i w:val="0"/>
                <w:iCs w:val="0"/>
                <w:sz w:val="21"/>
                <w:szCs w:val="21"/>
                <w:u w:val="single"/>
                <w:lang w:val="en-US" w:eastAsia="zh-CN"/>
              </w:rPr>
            </w:pPr>
            <w:r>
              <w:rPr>
                <w:rFonts w:hint="eastAsia"/>
                <w:i w:val="0"/>
                <w:iCs w:val="0"/>
                <w:sz w:val="21"/>
                <w:szCs w:val="21"/>
                <w:u w:val="single"/>
                <w:lang w:val="en-US" w:eastAsia="zh-CN"/>
              </w:rPr>
              <w:t>/</w:t>
            </w:r>
          </w:p>
        </w:tc>
        <w:tc>
          <w:tcPr>
            <w:tcW w:w="280"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100</w:t>
            </w:r>
          </w:p>
        </w:tc>
        <w:tc>
          <w:tcPr>
            <w:tcW w:w="215" w:type="pct"/>
            <w:noWrap w:val="0"/>
            <w:vAlign w:val="center"/>
          </w:tcPr>
          <w:p>
            <w:pPr>
              <w:jc w:val="center"/>
              <w:rPr>
                <w:rFonts w:hint="eastAsia"/>
                <w:i w:val="0"/>
                <w:iCs w:val="0"/>
                <w:sz w:val="21"/>
                <w:szCs w:val="21"/>
                <w:u w:val="single"/>
              </w:rPr>
            </w:pPr>
            <w:r>
              <w:rPr>
                <w:rFonts w:hint="eastAsia"/>
                <w:i w:val="0"/>
                <w:iCs w:val="0"/>
                <w:sz w:val="21"/>
                <w:szCs w:val="21"/>
                <w:u w:val="single"/>
              </w:rPr>
              <w:t>0</w:t>
            </w:r>
          </w:p>
        </w:tc>
        <w:tc>
          <w:tcPr>
            <w:tcW w:w="456" w:type="pct"/>
            <w:vMerge w:val="continue"/>
            <w:noWrap w:val="0"/>
            <w:vAlign w:val="center"/>
          </w:tcPr>
          <w:p>
            <w:pPr>
              <w:pStyle w:val="37"/>
              <w:spacing w:line="240" w:lineRule="auto"/>
              <w:ind w:left="-72" w:leftChars="-30" w:right="-72" w:rightChars="-30" w:firstLine="0"/>
              <w:jc w:val="center"/>
              <w:rPr>
                <w:rFonts w:hint="eastAsia"/>
                <w:i w:val="0"/>
                <w:iCs w:val="0"/>
                <w:sz w:val="21"/>
                <w:szCs w:val="21"/>
                <w:u w:val="single"/>
              </w:rPr>
            </w:pPr>
          </w:p>
        </w:tc>
        <w:tc>
          <w:tcPr>
            <w:tcW w:w="276" w:type="pct"/>
            <w:vMerge w:val="continue"/>
            <w:noWrap w:val="0"/>
            <w:vAlign w:val="center"/>
          </w:tcPr>
          <w:p>
            <w:pPr>
              <w:pStyle w:val="37"/>
              <w:spacing w:line="240" w:lineRule="auto"/>
              <w:ind w:left="-72" w:leftChars="-30" w:right="-72" w:rightChars="-30" w:firstLine="0"/>
              <w:jc w:val="center"/>
              <w:rPr>
                <w:rFonts w:hint="eastAsia"/>
                <w:i w:val="0"/>
                <w:iCs w:val="0"/>
                <w:sz w:val="21"/>
                <w:szCs w:val="21"/>
                <w:u w:val="single"/>
              </w:rPr>
            </w:pPr>
          </w:p>
        </w:tc>
        <w:tc>
          <w:tcPr>
            <w:tcW w:w="309"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0.48</w:t>
            </w:r>
          </w:p>
        </w:tc>
        <w:tc>
          <w:tcPr>
            <w:tcW w:w="309"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0.096</w:t>
            </w:r>
          </w:p>
        </w:tc>
        <w:tc>
          <w:tcPr>
            <w:tcW w:w="331"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4.8</w:t>
            </w:r>
          </w:p>
        </w:tc>
        <w:tc>
          <w:tcPr>
            <w:tcW w:w="335"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200</w:t>
            </w:r>
            <w:r>
              <w:rPr>
                <w:i w:val="0"/>
                <w:iCs w:val="0"/>
                <w:sz w:val="21"/>
                <w:szCs w:val="21"/>
                <w:u w:val="single"/>
              </w:rPr>
              <w:t>mg/m</w:t>
            </w:r>
            <w:r>
              <w:rPr>
                <w:i w:val="0"/>
                <w:iCs w:val="0"/>
                <w:sz w:val="21"/>
                <w:szCs w:val="21"/>
                <w:u w:val="single"/>
                <w:vertAlign w:val="superscript"/>
              </w:rPr>
              <w:t>3</w:t>
            </w:r>
          </w:p>
        </w:tc>
        <w:tc>
          <w:tcPr>
            <w:tcW w:w="224" w:type="pct"/>
            <w:noWrap w:val="0"/>
            <w:vAlign w:val="center"/>
          </w:tcPr>
          <w:p>
            <w:pPr>
              <w:pStyle w:val="37"/>
              <w:spacing w:line="240" w:lineRule="auto"/>
              <w:ind w:left="-72" w:leftChars="-30" w:right="-72" w:rightChars="-30" w:firstLine="0" w:firstLineChars="0"/>
              <w:jc w:val="center"/>
              <w:rPr>
                <w:i w:val="0"/>
                <w:iCs w:val="0"/>
                <w:sz w:val="21"/>
                <w:szCs w:val="21"/>
                <w:u w:val="single"/>
              </w:rPr>
            </w:pPr>
            <w:r>
              <w:rPr>
                <w:i w:val="0"/>
                <w:iCs w:val="0"/>
                <w:sz w:val="21"/>
                <w:szCs w:val="21"/>
                <w:u w:val="single"/>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92" w:type="pct"/>
            <w:vMerge w:val="continue"/>
            <w:noWrap w:val="0"/>
            <w:vAlign w:val="center"/>
          </w:tcPr>
          <w:p>
            <w:pPr>
              <w:pStyle w:val="37"/>
              <w:spacing w:line="240" w:lineRule="auto"/>
              <w:ind w:left="-72" w:leftChars="-30" w:right="-72" w:rightChars="-30" w:firstLine="0"/>
              <w:jc w:val="center"/>
              <w:rPr>
                <w:rFonts w:hint="eastAsia"/>
                <w:i w:val="0"/>
                <w:iCs w:val="0"/>
                <w:sz w:val="21"/>
                <w:szCs w:val="21"/>
                <w:u w:val="single"/>
              </w:rPr>
            </w:pPr>
          </w:p>
        </w:tc>
        <w:tc>
          <w:tcPr>
            <w:tcW w:w="396" w:type="pct"/>
            <w:noWrap w:val="0"/>
            <w:vAlign w:val="center"/>
          </w:tcPr>
          <w:p>
            <w:pPr>
              <w:pStyle w:val="37"/>
              <w:spacing w:line="240" w:lineRule="auto"/>
              <w:ind w:left="-72" w:leftChars="-30" w:right="-72" w:rightChars="-30" w:firstLine="0"/>
              <w:jc w:val="center"/>
              <w:rPr>
                <w:rFonts w:hint="eastAsia" w:eastAsia="宋体"/>
                <w:i w:val="0"/>
                <w:iCs w:val="0"/>
                <w:sz w:val="21"/>
                <w:szCs w:val="21"/>
                <w:u w:val="single"/>
                <w:lang w:val="en-US" w:eastAsia="zh-CN"/>
              </w:rPr>
            </w:pPr>
            <w:r>
              <w:rPr>
                <w:rFonts w:hint="eastAsia"/>
                <w:i w:val="0"/>
                <w:iCs w:val="0"/>
                <w:sz w:val="21"/>
                <w:szCs w:val="21"/>
                <w:u w:val="single"/>
                <w:lang w:val="en-US" w:eastAsia="zh-CN"/>
              </w:rPr>
              <w:t>氮氧化物</w:t>
            </w:r>
          </w:p>
        </w:tc>
        <w:tc>
          <w:tcPr>
            <w:tcW w:w="334"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2.245</w:t>
            </w:r>
          </w:p>
        </w:tc>
        <w:tc>
          <w:tcPr>
            <w:tcW w:w="309"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0.449</w:t>
            </w:r>
          </w:p>
        </w:tc>
        <w:tc>
          <w:tcPr>
            <w:tcW w:w="331"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22.45</w:t>
            </w:r>
          </w:p>
        </w:tc>
        <w:tc>
          <w:tcPr>
            <w:tcW w:w="395" w:type="pct"/>
            <w:noWrap w:val="0"/>
            <w:vAlign w:val="center"/>
          </w:tcPr>
          <w:p>
            <w:pPr>
              <w:pStyle w:val="37"/>
              <w:spacing w:line="240" w:lineRule="auto"/>
              <w:ind w:left="-72" w:leftChars="-30" w:right="-72" w:rightChars="-30" w:firstLine="0"/>
              <w:jc w:val="center"/>
              <w:rPr>
                <w:rFonts w:hint="eastAsia" w:eastAsia="宋体"/>
                <w:i w:val="0"/>
                <w:iCs w:val="0"/>
                <w:sz w:val="21"/>
                <w:szCs w:val="21"/>
                <w:u w:val="single"/>
                <w:lang w:val="en-US" w:eastAsia="zh-CN"/>
              </w:rPr>
            </w:pPr>
            <w:r>
              <w:rPr>
                <w:rFonts w:hint="eastAsia"/>
                <w:i w:val="0"/>
                <w:iCs w:val="0"/>
                <w:sz w:val="21"/>
                <w:szCs w:val="21"/>
                <w:u w:val="single"/>
                <w:lang w:val="en-US" w:eastAsia="zh-CN"/>
              </w:rPr>
              <w:t>/</w:t>
            </w:r>
          </w:p>
        </w:tc>
        <w:tc>
          <w:tcPr>
            <w:tcW w:w="280"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100</w:t>
            </w:r>
          </w:p>
        </w:tc>
        <w:tc>
          <w:tcPr>
            <w:tcW w:w="215" w:type="pct"/>
            <w:noWrap w:val="0"/>
            <w:vAlign w:val="center"/>
          </w:tcPr>
          <w:p>
            <w:pPr>
              <w:jc w:val="center"/>
              <w:rPr>
                <w:rFonts w:hint="eastAsia"/>
                <w:i w:val="0"/>
                <w:iCs w:val="0"/>
                <w:sz w:val="21"/>
                <w:szCs w:val="21"/>
                <w:u w:val="single"/>
              </w:rPr>
            </w:pPr>
            <w:r>
              <w:rPr>
                <w:rFonts w:hint="eastAsia"/>
                <w:i w:val="0"/>
                <w:iCs w:val="0"/>
                <w:sz w:val="21"/>
                <w:szCs w:val="21"/>
                <w:u w:val="single"/>
              </w:rPr>
              <w:t>0</w:t>
            </w:r>
          </w:p>
        </w:tc>
        <w:tc>
          <w:tcPr>
            <w:tcW w:w="456" w:type="pct"/>
            <w:vMerge w:val="continue"/>
            <w:noWrap w:val="0"/>
            <w:vAlign w:val="center"/>
          </w:tcPr>
          <w:p>
            <w:pPr>
              <w:pStyle w:val="37"/>
              <w:spacing w:line="240" w:lineRule="auto"/>
              <w:ind w:left="-72" w:leftChars="-30" w:right="-72" w:rightChars="-30" w:firstLine="0"/>
              <w:jc w:val="center"/>
              <w:rPr>
                <w:rFonts w:hint="eastAsia"/>
                <w:i w:val="0"/>
                <w:iCs w:val="0"/>
                <w:sz w:val="21"/>
                <w:szCs w:val="21"/>
                <w:u w:val="single"/>
              </w:rPr>
            </w:pPr>
          </w:p>
        </w:tc>
        <w:tc>
          <w:tcPr>
            <w:tcW w:w="276" w:type="pct"/>
            <w:vMerge w:val="continue"/>
            <w:noWrap w:val="0"/>
            <w:vAlign w:val="center"/>
          </w:tcPr>
          <w:p>
            <w:pPr>
              <w:pStyle w:val="37"/>
              <w:spacing w:line="240" w:lineRule="auto"/>
              <w:ind w:left="-72" w:leftChars="-30" w:right="-72" w:rightChars="-30" w:firstLine="0"/>
              <w:jc w:val="center"/>
              <w:rPr>
                <w:rFonts w:hint="eastAsia"/>
                <w:i w:val="0"/>
                <w:iCs w:val="0"/>
                <w:sz w:val="21"/>
                <w:szCs w:val="21"/>
                <w:u w:val="single"/>
              </w:rPr>
            </w:pPr>
          </w:p>
        </w:tc>
        <w:tc>
          <w:tcPr>
            <w:tcW w:w="309"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2.245</w:t>
            </w:r>
          </w:p>
        </w:tc>
        <w:tc>
          <w:tcPr>
            <w:tcW w:w="309"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0.449</w:t>
            </w:r>
          </w:p>
        </w:tc>
        <w:tc>
          <w:tcPr>
            <w:tcW w:w="331"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22.45</w:t>
            </w:r>
          </w:p>
        </w:tc>
        <w:tc>
          <w:tcPr>
            <w:tcW w:w="335"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5</w:t>
            </w:r>
            <w:r>
              <w:rPr>
                <w:rFonts w:hint="eastAsia"/>
                <w:i w:val="0"/>
                <w:iCs w:val="0"/>
                <w:sz w:val="21"/>
                <w:szCs w:val="21"/>
                <w:u w:val="single"/>
              </w:rPr>
              <w:t>0</w:t>
            </w:r>
            <w:r>
              <w:rPr>
                <w:i w:val="0"/>
                <w:iCs w:val="0"/>
                <w:sz w:val="21"/>
                <w:szCs w:val="21"/>
                <w:u w:val="single"/>
              </w:rPr>
              <w:t>mg/m</w:t>
            </w:r>
            <w:r>
              <w:rPr>
                <w:i w:val="0"/>
                <w:iCs w:val="0"/>
                <w:sz w:val="21"/>
                <w:szCs w:val="21"/>
                <w:u w:val="single"/>
                <w:vertAlign w:val="superscript"/>
              </w:rPr>
              <w:t>3</w:t>
            </w:r>
          </w:p>
        </w:tc>
        <w:tc>
          <w:tcPr>
            <w:tcW w:w="224" w:type="pct"/>
            <w:noWrap w:val="0"/>
            <w:vAlign w:val="center"/>
          </w:tcPr>
          <w:p>
            <w:pPr>
              <w:pStyle w:val="37"/>
              <w:spacing w:line="240" w:lineRule="auto"/>
              <w:ind w:left="-72" w:leftChars="-30" w:right="-72" w:rightChars="-30" w:firstLine="0" w:firstLineChars="0"/>
              <w:jc w:val="center"/>
              <w:rPr>
                <w:i w:val="0"/>
                <w:iCs w:val="0"/>
                <w:sz w:val="21"/>
                <w:szCs w:val="21"/>
                <w:u w:val="single"/>
              </w:rPr>
            </w:pPr>
            <w:r>
              <w:rPr>
                <w:i w:val="0"/>
                <w:iCs w:val="0"/>
                <w:sz w:val="21"/>
                <w:szCs w:val="21"/>
                <w:u w:val="single"/>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3" w:hRule="atLeast"/>
        </w:trPr>
        <w:tc>
          <w:tcPr>
            <w:tcW w:w="492" w:type="pct"/>
            <w:vMerge w:val="restart"/>
            <w:noWrap w:val="0"/>
            <w:vAlign w:val="center"/>
          </w:tcPr>
          <w:p>
            <w:pPr>
              <w:pStyle w:val="37"/>
              <w:spacing w:line="240" w:lineRule="auto"/>
              <w:ind w:left="-72" w:leftChars="-30" w:right="-72" w:rightChars="-30" w:firstLine="0"/>
              <w:jc w:val="center"/>
              <w:rPr>
                <w:rFonts w:hint="eastAsia"/>
                <w:i w:val="0"/>
                <w:iCs w:val="0"/>
                <w:sz w:val="21"/>
                <w:szCs w:val="21"/>
                <w:u w:val="single"/>
              </w:rPr>
            </w:pPr>
            <w:r>
              <w:rPr>
                <w:rFonts w:hint="eastAsia"/>
                <w:i w:val="0"/>
                <w:iCs w:val="0"/>
                <w:sz w:val="21"/>
                <w:szCs w:val="21"/>
                <w:u w:val="single"/>
                <w:lang w:val="en-US" w:eastAsia="zh-CN"/>
              </w:rPr>
              <w:t>热风炉2烟气及</w:t>
            </w:r>
            <w:r>
              <w:rPr>
                <w:rFonts w:hint="eastAsia"/>
                <w:i w:val="0"/>
                <w:iCs w:val="0"/>
                <w:sz w:val="21"/>
                <w:szCs w:val="21"/>
                <w:u w:val="single"/>
              </w:rPr>
              <w:t>喷雾干燥塔</w:t>
            </w:r>
            <w:r>
              <w:rPr>
                <w:rFonts w:hint="eastAsia"/>
                <w:i w:val="0"/>
                <w:iCs w:val="0"/>
                <w:sz w:val="21"/>
                <w:szCs w:val="21"/>
                <w:u w:val="single"/>
                <w:lang w:val="en-US" w:eastAsia="zh-CN"/>
              </w:rPr>
              <w:t>2</w:t>
            </w:r>
            <w:r>
              <w:rPr>
                <w:rFonts w:hint="eastAsia"/>
                <w:i w:val="0"/>
                <w:iCs w:val="0"/>
                <w:sz w:val="21"/>
                <w:szCs w:val="21"/>
                <w:u w:val="single"/>
              </w:rPr>
              <w:t>喷雾干燥废气</w:t>
            </w:r>
            <w:r>
              <w:rPr>
                <w:rFonts w:hint="eastAsia"/>
                <w:i w:val="0"/>
                <w:iCs w:val="0"/>
                <w:sz w:val="21"/>
                <w:szCs w:val="21"/>
                <w:u w:val="single"/>
                <w:lang w:eastAsia="zh-CN"/>
              </w:rPr>
              <w:t>（</w:t>
            </w:r>
            <w:r>
              <w:rPr>
                <w:rFonts w:hint="eastAsia"/>
                <w:i w:val="0"/>
                <w:iCs w:val="0"/>
                <w:sz w:val="21"/>
                <w:szCs w:val="21"/>
                <w:u w:val="single"/>
                <w:lang w:val="en-US" w:eastAsia="zh-CN"/>
              </w:rPr>
              <w:t>DA004</w:t>
            </w:r>
            <w:r>
              <w:rPr>
                <w:rFonts w:hint="eastAsia"/>
                <w:i w:val="0"/>
                <w:iCs w:val="0"/>
                <w:sz w:val="21"/>
                <w:szCs w:val="21"/>
                <w:u w:val="single"/>
                <w:lang w:eastAsia="zh-CN"/>
              </w:rPr>
              <w:t>）</w:t>
            </w:r>
          </w:p>
        </w:tc>
        <w:tc>
          <w:tcPr>
            <w:tcW w:w="396"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粉尘</w:t>
            </w:r>
          </w:p>
        </w:tc>
        <w:tc>
          <w:tcPr>
            <w:tcW w:w="334"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111.11095</w:t>
            </w:r>
          </w:p>
        </w:tc>
        <w:tc>
          <w:tcPr>
            <w:tcW w:w="309" w:type="pct"/>
            <w:vMerge w:val="restar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22.29</w:t>
            </w:r>
          </w:p>
        </w:tc>
        <w:tc>
          <w:tcPr>
            <w:tcW w:w="331" w:type="pct"/>
            <w:vMerge w:val="restar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1114.5</w:t>
            </w:r>
          </w:p>
        </w:tc>
        <w:tc>
          <w:tcPr>
            <w:tcW w:w="395"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布袋除尘器</w:t>
            </w:r>
          </w:p>
        </w:tc>
        <w:tc>
          <w:tcPr>
            <w:tcW w:w="280" w:type="pct"/>
            <w:noWrap w:val="0"/>
            <w:vAlign w:val="center"/>
          </w:tcPr>
          <w:p>
            <w:pPr>
              <w:pStyle w:val="37"/>
              <w:spacing w:line="240" w:lineRule="auto"/>
              <w:ind w:left="-72" w:leftChars="-30" w:right="-72" w:rightChars="-30" w:firstLine="0" w:firstLineChars="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10</w:t>
            </w:r>
          </w:p>
        </w:tc>
        <w:tc>
          <w:tcPr>
            <w:tcW w:w="215" w:type="pct"/>
            <w:noWrap w:val="0"/>
            <w:vAlign w:val="center"/>
          </w:tcPr>
          <w:p>
            <w:pPr>
              <w:jc w:val="center"/>
              <w:rPr>
                <w:rFonts w:hint="eastAsia"/>
                <w:i w:val="0"/>
                <w:iCs w:val="0"/>
                <w:sz w:val="21"/>
                <w:szCs w:val="21"/>
                <w:u w:val="single"/>
              </w:rPr>
            </w:pPr>
            <w:r>
              <w:rPr>
                <w:rFonts w:hint="eastAsia"/>
                <w:i w:val="0"/>
                <w:iCs w:val="0"/>
                <w:sz w:val="21"/>
                <w:szCs w:val="21"/>
                <w:u w:val="single"/>
              </w:rPr>
              <w:t>9</w:t>
            </w:r>
            <w:r>
              <w:rPr>
                <w:rFonts w:hint="eastAsia"/>
                <w:i w:val="0"/>
                <w:iCs w:val="0"/>
                <w:sz w:val="21"/>
                <w:szCs w:val="21"/>
                <w:u w:val="single"/>
                <w:lang w:val="en-US" w:eastAsia="zh-CN"/>
              </w:rPr>
              <w:t>9</w:t>
            </w:r>
          </w:p>
        </w:tc>
        <w:tc>
          <w:tcPr>
            <w:tcW w:w="456" w:type="pct"/>
            <w:vMerge w:val="restart"/>
            <w:noWrap w:val="0"/>
            <w:vAlign w:val="center"/>
          </w:tcPr>
          <w:p>
            <w:pPr>
              <w:pStyle w:val="37"/>
              <w:spacing w:line="240" w:lineRule="auto"/>
              <w:ind w:left="-72" w:leftChars="-30" w:right="-72" w:rightChars="-30" w:firstLine="0"/>
              <w:jc w:val="center"/>
              <w:rPr>
                <w:rFonts w:hint="eastAsia"/>
                <w:i w:val="0"/>
                <w:iCs w:val="0"/>
                <w:sz w:val="21"/>
                <w:szCs w:val="21"/>
                <w:u w:val="single"/>
              </w:rPr>
            </w:pPr>
            <w:r>
              <w:rPr>
                <w:rFonts w:hint="eastAsia"/>
                <w:i w:val="0"/>
                <w:iCs w:val="0"/>
                <w:sz w:val="21"/>
                <w:szCs w:val="21"/>
                <w:u w:val="single"/>
                <w:lang w:val="en-US" w:eastAsia="zh-CN"/>
              </w:rPr>
              <w:t>20000</w:t>
            </w:r>
          </w:p>
        </w:tc>
        <w:tc>
          <w:tcPr>
            <w:tcW w:w="276" w:type="pct"/>
            <w:vMerge w:val="restar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5000</w:t>
            </w:r>
          </w:p>
        </w:tc>
        <w:tc>
          <w:tcPr>
            <w:tcW w:w="309"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1.11</w:t>
            </w:r>
          </w:p>
        </w:tc>
        <w:tc>
          <w:tcPr>
            <w:tcW w:w="309" w:type="pct"/>
            <w:vMerge w:val="restar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0.222</w:t>
            </w:r>
          </w:p>
        </w:tc>
        <w:tc>
          <w:tcPr>
            <w:tcW w:w="331" w:type="pct"/>
            <w:vMerge w:val="restar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11.1</w:t>
            </w:r>
          </w:p>
        </w:tc>
        <w:tc>
          <w:tcPr>
            <w:tcW w:w="335" w:type="pct"/>
            <w:vMerge w:val="restart"/>
            <w:noWrap w:val="0"/>
            <w:vAlign w:val="center"/>
          </w:tcPr>
          <w:p>
            <w:pPr>
              <w:pStyle w:val="37"/>
              <w:spacing w:line="240" w:lineRule="auto"/>
              <w:ind w:left="-72" w:leftChars="-30" w:right="-72" w:rightChars="-30" w:firstLine="0" w:firstLineChars="0"/>
              <w:jc w:val="center"/>
              <w:rPr>
                <w:rFonts w:hint="eastAsia" w:ascii="Times New Roman" w:hAnsi="Times New Roman" w:eastAsia="宋体" w:cs="Times New Roman"/>
                <w:i w:val="0"/>
                <w:iCs w:val="0"/>
                <w:kern w:val="2"/>
                <w:sz w:val="21"/>
                <w:szCs w:val="21"/>
                <w:u w:val="single"/>
                <w:lang w:val="en-US" w:eastAsia="zh-CN" w:bidi="ar-SA"/>
              </w:rPr>
            </w:pPr>
            <w:r>
              <w:rPr>
                <w:rFonts w:hint="eastAsia"/>
                <w:i w:val="0"/>
                <w:iCs w:val="0"/>
                <w:sz w:val="21"/>
                <w:szCs w:val="21"/>
                <w:u w:val="single"/>
                <w:lang w:val="en-US" w:eastAsia="zh-CN"/>
              </w:rPr>
              <w:t>1</w:t>
            </w:r>
            <w:r>
              <w:rPr>
                <w:rFonts w:hint="eastAsia"/>
                <w:i w:val="0"/>
                <w:iCs w:val="0"/>
                <w:sz w:val="21"/>
                <w:szCs w:val="21"/>
                <w:u w:val="single"/>
              </w:rPr>
              <w:t>20</w:t>
            </w:r>
            <w:r>
              <w:rPr>
                <w:i w:val="0"/>
                <w:iCs w:val="0"/>
                <w:sz w:val="21"/>
                <w:szCs w:val="21"/>
                <w:u w:val="single"/>
              </w:rPr>
              <w:t>mg/m</w:t>
            </w:r>
            <w:r>
              <w:rPr>
                <w:i w:val="0"/>
                <w:iCs w:val="0"/>
                <w:sz w:val="21"/>
                <w:szCs w:val="21"/>
                <w:u w:val="single"/>
                <w:vertAlign w:val="superscript"/>
              </w:rPr>
              <w:t>3</w:t>
            </w:r>
          </w:p>
        </w:tc>
        <w:tc>
          <w:tcPr>
            <w:tcW w:w="224" w:type="pct"/>
            <w:vMerge w:val="restart"/>
            <w:noWrap w:val="0"/>
            <w:vAlign w:val="center"/>
          </w:tcPr>
          <w:p>
            <w:pPr>
              <w:pStyle w:val="37"/>
              <w:spacing w:line="240" w:lineRule="auto"/>
              <w:ind w:left="-72" w:leftChars="-30" w:right="-72" w:rightChars="-30" w:firstLine="0" w:firstLineChars="0"/>
              <w:jc w:val="center"/>
              <w:rPr>
                <w:i w:val="0"/>
                <w:iCs w:val="0"/>
                <w:sz w:val="21"/>
                <w:szCs w:val="21"/>
                <w:u w:val="single"/>
              </w:rPr>
            </w:pPr>
            <w:r>
              <w:rPr>
                <w:i w:val="0"/>
                <w:iCs w:val="0"/>
                <w:sz w:val="21"/>
                <w:szCs w:val="21"/>
                <w:u w:val="single"/>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3" w:hRule="atLeast"/>
        </w:trPr>
        <w:tc>
          <w:tcPr>
            <w:tcW w:w="492" w:type="pct"/>
            <w:vMerge w:val="continue"/>
            <w:noWrap w:val="0"/>
            <w:vAlign w:val="center"/>
          </w:tcPr>
          <w:p>
            <w:pPr>
              <w:pStyle w:val="37"/>
              <w:spacing w:line="240" w:lineRule="auto"/>
              <w:ind w:left="-72" w:leftChars="-30" w:right="-72" w:rightChars="-30" w:firstLine="0"/>
              <w:jc w:val="center"/>
              <w:rPr>
                <w:rFonts w:hint="eastAsia"/>
                <w:i w:val="0"/>
                <w:iCs w:val="0"/>
                <w:sz w:val="21"/>
                <w:szCs w:val="21"/>
                <w:u w:val="single"/>
                <w:lang w:val="en-US" w:eastAsia="zh-CN"/>
              </w:rPr>
            </w:pPr>
          </w:p>
        </w:tc>
        <w:tc>
          <w:tcPr>
            <w:tcW w:w="396"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rPr>
              <w:t>颗粒物</w:t>
            </w:r>
          </w:p>
        </w:tc>
        <w:tc>
          <w:tcPr>
            <w:tcW w:w="334"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0.343</w:t>
            </w:r>
          </w:p>
        </w:tc>
        <w:tc>
          <w:tcPr>
            <w:tcW w:w="309" w:type="pct"/>
            <w:vMerge w:val="continue"/>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p>
        </w:tc>
        <w:tc>
          <w:tcPr>
            <w:tcW w:w="331" w:type="pct"/>
            <w:vMerge w:val="continue"/>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p>
        </w:tc>
        <w:tc>
          <w:tcPr>
            <w:tcW w:w="395"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lang w:val="en-US" w:eastAsia="zh-CN"/>
              </w:rPr>
            </w:pPr>
            <w:r>
              <w:rPr>
                <w:rFonts w:hint="eastAsia"/>
                <w:i w:val="0"/>
                <w:iCs w:val="0"/>
                <w:sz w:val="21"/>
                <w:szCs w:val="21"/>
                <w:u w:val="single"/>
                <w:lang w:val="en-US" w:eastAsia="zh-CN"/>
              </w:rPr>
              <w:t>布袋除尘器</w:t>
            </w:r>
          </w:p>
        </w:tc>
        <w:tc>
          <w:tcPr>
            <w:tcW w:w="280"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lang w:val="en-US" w:eastAsia="zh-CN"/>
              </w:rPr>
            </w:pPr>
            <w:r>
              <w:rPr>
                <w:rFonts w:hint="eastAsia"/>
                <w:i w:val="0"/>
                <w:iCs w:val="0"/>
                <w:sz w:val="21"/>
                <w:szCs w:val="21"/>
                <w:u w:val="single"/>
                <w:lang w:val="en-US" w:eastAsia="zh-CN"/>
              </w:rPr>
              <w:t>10</w:t>
            </w:r>
          </w:p>
        </w:tc>
        <w:tc>
          <w:tcPr>
            <w:tcW w:w="215" w:type="pct"/>
            <w:noWrap w:val="0"/>
            <w:vAlign w:val="center"/>
          </w:tcPr>
          <w:p>
            <w:pPr>
              <w:jc w:val="center"/>
              <w:rPr>
                <w:rFonts w:hint="eastAsia"/>
                <w:i w:val="0"/>
                <w:iCs w:val="0"/>
                <w:sz w:val="21"/>
                <w:szCs w:val="21"/>
                <w:u w:val="single"/>
              </w:rPr>
            </w:pPr>
            <w:r>
              <w:rPr>
                <w:rFonts w:hint="eastAsia"/>
                <w:i w:val="0"/>
                <w:iCs w:val="0"/>
                <w:sz w:val="21"/>
                <w:szCs w:val="21"/>
                <w:u w:val="single"/>
              </w:rPr>
              <w:t>9</w:t>
            </w:r>
            <w:r>
              <w:rPr>
                <w:rFonts w:hint="eastAsia"/>
                <w:i w:val="0"/>
                <w:iCs w:val="0"/>
                <w:sz w:val="21"/>
                <w:szCs w:val="21"/>
                <w:u w:val="single"/>
                <w:lang w:val="en-US" w:eastAsia="zh-CN"/>
              </w:rPr>
              <w:t>9</w:t>
            </w:r>
          </w:p>
        </w:tc>
        <w:tc>
          <w:tcPr>
            <w:tcW w:w="456" w:type="pct"/>
            <w:vMerge w:val="continue"/>
            <w:noWrap w:val="0"/>
            <w:vAlign w:val="center"/>
          </w:tcPr>
          <w:p>
            <w:pPr>
              <w:pStyle w:val="37"/>
              <w:spacing w:line="240" w:lineRule="auto"/>
              <w:ind w:left="-72" w:leftChars="-30" w:right="-72" w:rightChars="-30" w:firstLine="0"/>
              <w:jc w:val="center"/>
              <w:rPr>
                <w:rFonts w:hint="eastAsia"/>
                <w:i w:val="0"/>
                <w:iCs w:val="0"/>
                <w:sz w:val="21"/>
                <w:szCs w:val="21"/>
                <w:u w:val="single"/>
                <w:lang w:val="en-US" w:eastAsia="zh-CN"/>
              </w:rPr>
            </w:pPr>
          </w:p>
        </w:tc>
        <w:tc>
          <w:tcPr>
            <w:tcW w:w="276" w:type="pct"/>
            <w:vMerge w:val="continue"/>
            <w:noWrap w:val="0"/>
            <w:vAlign w:val="center"/>
          </w:tcPr>
          <w:p>
            <w:pPr>
              <w:pStyle w:val="37"/>
              <w:spacing w:line="240" w:lineRule="auto"/>
              <w:ind w:left="-72" w:leftChars="-30" w:right="-72" w:rightChars="-30" w:firstLine="0"/>
              <w:jc w:val="center"/>
              <w:rPr>
                <w:rFonts w:hint="eastAsia"/>
                <w:i w:val="0"/>
                <w:iCs w:val="0"/>
                <w:sz w:val="21"/>
                <w:szCs w:val="21"/>
                <w:u w:val="single"/>
                <w:lang w:val="en-US" w:eastAsia="zh-CN"/>
              </w:rPr>
            </w:pPr>
          </w:p>
        </w:tc>
        <w:tc>
          <w:tcPr>
            <w:tcW w:w="309"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0.00343</w:t>
            </w:r>
          </w:p>
        </w:tc>
        <w:tc>
          <w:tcPr>
            <w:tcW w:w="309" w:type="pct"/>
            <w:vMerge w:val="continue"/>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p>
        </w:tc>
        <w:tc>
          <w:tcPr>
            <w:tcW w:w="331" w:type="pct"/>
            <w:vMerge w:val="continue"/>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p>
        </w:tc>
        <w:tc>
          <w:tcPr>
            <w:tcW w:w="335" w:type="pct"/>
            <w:vMerge w:val="continue"/>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p>
        </w:tc>
        <w:tc>
          <w:tcPr>
            <w:tcW w:w="224" w:type="pct"/>
            <w:vMerge w:val="continue"/>
            <w:noWrap w:val="0"/>
            <w:vAlign w:val="center"/>
          </w:tcPr>
          <w:p>
            <w:pPr>
              <w:pStyle w:val="37"/>
              <w:spacing w:line="240" w:lineRule="auto"/>
              <w:ind w:left="-72" w:leftChars="-30" w:right="-72" w:rightChars="-30" w:firstLine="0" w:firstLineChars="0"/>
              <w:jc w:val="center"/>
              <w:rPr>
                <w:i w:val="0"/>
                <w:iCs w:val="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3" w:hRule="atLeast"/>
        </w:trPr>
        <w:tc>
          <w:tcPr>
            <w:tcW w:w="492" w:type="pct"/>
            <w:vMerge w:val="continue"/>
            <w:noWrap w:val="0"/>
            <w:vAlign w:val="center"/>
          </w:tcPr>
          <w:p>
            <w:pPr>
              <w:pStyle w:val="37"/>
              <w:spacing w:line="240" w:lineRule="auto"/>
              <w:ind w:left="-72" w:leftChars="-30" w:right="-72" w:rightChars="-30" w:firstLine="0"/>
              <w:jc w:val="center"/>
              <w:rPr>
                <w:rFonts w:hint="eastAsia"/>
                <w:i w:val="0"/>
                <w:iCs w:val="0"/>
                <w:sz w:val="21"/>
                <w:szCs w:val="21"/>
                <w:u w:val="single"/>
              </w:rPr>
            </w:pPr>
          </w:p>
        </w:tc>
        <w:tc>
          <w:tcPr>
            <w:tcW w:w="396"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二氧化硫</w:t>
            </w:r>
          </w:p>
        </w:tc>
        <w:tc>
          <w:tcPr>
            <w:tcW w:w="334"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0.48</w:t>
            </w:r>
          </w:p>
        </w:tc>
        <w:tc>
          <w:tcPr>
            <w:tcW w:w="309"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0.096</w:t>
            </w:r>
          </w:p>
        </w:tc>
        <w:tc>
          <w:tcPr>
            <w:tcW w:w="331"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4.8</w:t>
            </w:r>
          </w:p>
        </w:tc>
        <w:tc>
          <w:tcPr>
            <w:tcW w:w="395"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w:t>
            </w:r>
          </w:p>
        </w:tc>
        <w:tc>
          <w:tcPr>
            <w:tcW w:w="280"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100</w:t>
            </w:r>
          </w:p>
        </w:tc>
        <w:tc>
          <w:tcPr>
            <w:tcW w:w="215" w:type="pct"/>
            <w:noWrap w:val="0"/>
            <w:vAlign w:val="center"/>
          </w:tcPr>
          <w:p>
            <w:pPr>
              <w:jc w:val="center"/>
              <w:rPr>
                <w:rFonts w:hint="eastAsia"/>
                <w:i w:val="0"/>
                <w:iCs w:val="0"/>
                <w:sz w:val="21"/>
                <w:szCs w:val="21"/>
                <w:u w:val="single"/>
              </w:rPr>
            </w:pPr>
            <w:r>
              <w:rPr>
                <w:rFonts w:hint="eastAsia"/>
                <w:i w:val="0"/>
                <w:iCs w:val="0"/>
                <w:sz w:val="21"/>
                <w:szCs w:val="21"/>
                <w:u w:val="single"/>
              </w:rPr>
              <w:t>0</w:t>
            </w:r>
          </w:p>
        </w:tc>
        <w:tc>
          <w:tcPr>
            <w:tcW w:w="456" w:type="pct"/>
            <w:vMerge w:val="continue"/>
            <w:noWrap w:val="0"/>
            <w:vAlign w:val="center"/>
          </w:tcPr>
          <w:p>
            <w:pPr>
              <w:pStyle w:val="37"/>
              <w:spacing w:line="240" w:lineRule="auto"/>
              <w:ind w:left="-72" w:leftChars="-30" w:right="-72" w:rightChars="-30" w:firstLine="0"/>
              <w:jc w:val="center"/>
              <w:rPr>
                <w:rFonts w:hint="eastAsia"/>
                <w:i w:val="0"/>
                <w:iCs w:val="0"/>
                <w:sz w:val="21"/>
                <w:szCs w:val="21"/>
                <w:u w:val="single"/>
              </w:rPr>
            </w:pPr>
          </w:p>
        </w:tc>
        <w:tc>
          <w:tcPr>
            <w:tcW w:w="276" w:type="pct"/>
            <w:vMerge w:val="continue"/>
            <w:noWrap w:val="0"/>
            <w:vAlign w:val="center"/>
          </w:tcPr>
          <w:p>
            <w:pPr>
              <w:pStyle w:val="37"/>
              <w:spacing w:line="240" w:lineRule="auto"/>
              <w:ind w:left="-72" w:leftChars="-30" w:right="-72" w:rightChars="-30" w:firstLine="0"/>
              <w:jc w:val="center"/>
              <w:rPr>
                <w:rFonts w:hint="eastAsia"/>
                <w:i w:val="0"/>
                <w:iCs w:val="0"/>
                <w:sz w:val="21"/>
                <w:szCs w:val="21"/>
                <w:u w:val="single"/>
              </w:rPr>
            </w:pPr>
          </w:p>
        </w:tc>
        <w:tc>
          <w:tcPr>
            <w:tcW w:w="309"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0.48</w:t>
            </w:r>
          </w:p>
        </w:tc>
        <w:tc>
          <w:tcPr>
            <w:tcW w:w="309"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0.096</w:t>
            </w:r>
          </w:p>
        </w:tc>
        <w:tc>
          <w:tcPr>
            <w:tcW w:w="331"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4.8</w:t>
            </w:r>
          </w:p>
        </w:tc>
        <w:tc>
          <w:tcPr>
            <w:tcW w:w="335"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200</w:t>
            </w:r>
            <w:r>
              <w:rPr>
                <w:i w:val="0"/>
                <w:iCs w:val="0"/>
                <w:sz w:val="21"/>
                <w:szCs w:val="21"/>
                <w:u w:val="single"/>
              </w:rPr>
              <w:t>mg/m</w:t>
            </w:r>
            <w:r>
              <w:rPr>
                <w:i w:val="0"/>
                <w:iCs w:val="0"/>
                <w:sz w:val="21"/>
                <w:szCs w:val="21"/>
                <w:u w:val="single"/>
                <w:vertAlign w:val="superscript"/>
              </w:rPr>
              <w:t>3</w:t>
            </w:r>
          </w:p>
        </w:tc>
        <w:tc>
          <w:tcPr>
            <w:tcW w:w="224" w:type="pct"/>
            <w:noWrap w:val="0"/>
            <w:vAlign w:val="center"/>
          </w:tcPr>
          <w:p>
            <w:pPr>
              <w:pStyle w:val="37"/>
              <w:spacing w:line="240" w:lineRule="auto"/>
              <w:ind w:left="-72" w:leftChars="-30" w:right="-72" w:rightChars="-30" w:firstLine="0" w:firstLineChars="0"/>
              <w:jc w:val="center"/>
              <w:rPr>
                <w:i w:val="0"/>
                <w:iCs w:val="0"/>
                <w:sz w:val="21"/>
                <w:szCs w:val="21"/>
                <w:u w:val="single"/>
              </w:rPr>
            </w:pPr>
            <w:r>
              <w:rPr>
                <w:i w:val="0"/>
                <w:iCs w:val="0"/>
                <w:sz w:val="21"/>
                <w:szCs w:val="21"/>
                <w:u w:val="single"/>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3" w:hRule="atLeast"/>
        </w:trPr>
        <w:tc>
          <w:tcPr>
            <w:tcW w:w="492" w:type="pct"/>
            <w:vMerge w:val="continue"/>
            <w:noWrap w:val="0"/>
            <w:vAlign w:val="center"/>
          </w:tcPr>
          <w:p>
            <w:pPr>
              <w:pStyle w:val="37"/>
              <w:spacing w:line="240" w:lineRule="auto"/>
              <w:ind w:left="-72" w:leftChars="-30" w:right="-72" w:rightChars="-30" w:firstLine="0"/>
              <w:jc w:val="center"/>
              <w:rPr>
                <w:rFonts w:hint="eastAsia"/>
                <w:i w:val="0"/>
                <w:iCs w:val="0"/>
                <w:sz w:val="21"/>
                <w:szCs w:val="21"/>
                <w:u w:val="single"/>
              </w:rPr>
            </w:pPr>
          </w:p>
        </w:tc>
        <w:tc>
          <w:tcPr>
            <w:tcW w:w="396"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氮氧化物</w:t>
            </w:r>
          </w:p>
        </w:tc>
        <w:tc>
          <w:tcPr>
            <w:tcW w:w="334"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2.245</w:t>
            </w:r>
          </w:p>
        </w:tc>
        <w:tc>
          <w:tcPr>
            <w:tcW w:w="309"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0.449</w:t>
            </w:r>
          </w:p>
        </w:tc>
        <w:tc>
          <w:tcPr>
            <w:tcW w:w="331"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22.45</w:t>
            </w:r>
          </w:p>
        </w:tc>
        <w:tc>
          <w:tcPr>
            <w:tcW w:w="395"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w:t>
            </w:r>
          </w:p>
        </w:tc>
        <w:tc>
          <w:tcPr>
            <w:tcW w:w="280"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100</w:t>
            </w:r>
          </w:p>
        </w:tc>
        <w:tc>
          <w:tcPr>
            <w:tcW w:w="215" w:type="pct"/>
            <w:noWrap w:val="0"/>
            <w:vAlign w:val="center"/>
          </w:tcPr>
          <w:p>
            <w:pPr>
              <w:jc w:val="center"/>
              <w:rPr>
                <w:rFonts w:hint="eastAsia"/>
                <w:i w:val="0"/>
                <w:iCs w:val="0"/>
                <w:sz w:val="21"/>
                <w:szCs w:val="21"/>
                <w:u w:val="single"/>
              </w:rPr>
            </w:pPr>
            <w:r>
              <w:rPr>
                <w:rFonts w:hint="eastAsia"/>
                <w:i w:val="0"/>
                <w:iCs w:val="0"/>
                <w:sz w:val="21"/>
                <w:szCs w:val="21"/>
                <w:u w:val="single"/>
              </w:rPr>
              <w:t>0</w:t>
            </w:r>
          </w:p>
        </w:tc>
        <w:tc>
          <w:tcPr>
            <w:tcW w:w="456" w:type="pct"/>
            <w:vMerge w:val="continue"/>
            <w:noWrap w:val="0"/>
            <w:vAlign w:val="center"/>
          </w:tcPr>
          <w:p>
            <w:pPr>
              <w:pStyle w:val="37"/>
              <w:spacing w:line="240" w:lineRule="auto"/>
              <w:ind w:left="-72" w:leftChars="-30" w:right="-72" w:rightChars="-30" w:firstLine="0"/>
              <w:jc w:val="center"/>
              <w:rPr>
                <w:rFonts w:hint="eastAsia"/>
                <w:i w:val="0"/>
                <w:iCs w:val="0"/>
                <w:sz w:val="21"/>
                <w:szCs w:val="21"/>
                <w:u w:val="single"/>
              </w:rPr>
            </w:pPr>
          </w:p>
        </w:tc>
        <w:tc>
          <w:tcPr>
            <w:tcW w:w="276" w:type="pct"/>
            <w:vMerge w:val="continue"/>
            <w:noWrap w:val="0"/>
            <w:vAlign w:val="center"/>
          </w:tcPr>
          <w:p>
            <w:pPr>
              <w:pStyle w:val="37"/>
              <w:spacing w:line="240" w:lineRule="auto"/>
              <w:ind w:left="-72" w:leftChars="-30" w:right="-72" w:rightChars="-30" w:firstLine="0"/>
              <w:jc w:val="center"/>
              <w:rPr>
                <w:rFonts w:hint="eastAsia"/>
                <w:i w:val="0"/>
                <w:iCs w:val="0"/>
                <w:sz w:val="21"/>
                <w:szCs w:val="21"/>
                <w:u w:val="single"/>
              </w:rPr>
            </w:pPr>
          </w:p>
        </w:tc>
        <w:tc>
          <w:tcPr>
            <w:tcW w:w="309"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2.245</w:t>
            </w:r>
          </w:p>
        </w:tc>
        <w:tc>
          <w:tcPr>
            <w:tcW w:w="309"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0.449</w:t>
            </w:r>
          </w:p>
        </w:tc>
        <w:tc>
          <w:tcPr>
            <w:tcW w:w="331"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22.45</w:t>
            </w:r>
          </w:p>
        </w:tc>
        <w:tc>
          <w:tcPr>
            <w:tcW w:w="335" w:type="pc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5</w:t>
            </w:r>
            <w:r>
              <w:rPr>
                <w:rFonts w:hint="eastAsia"/>
                <w:i w:val="0"/>
                <w:iCs w:val="0"/>
                <w:sz w:val="21"/>
                <w:szCs w:val="21"/>
                <w:u w:val="single"/>
              </w:rPr>
              <w:t>0</w:t>
            </w:r>
            <w:r>
              <w:rPr>
                <w:i w:val="0"/>
                <w:iCs w:val="0"/>
                <w:sz w:val="21"/>
                <w:szCs w:val="21"/>
                <w:u w:val="single"/>
              </w:rPr>
              <w:t>mg/m</w:t>
            </w:r>
            <w:r>
              <w:rPr>
                <w:i w:val="0"/>
                <w:iCs w:val="0"/>
                <w:sz w:val="21"/>
                <w:szCs w:val="21"/>
                <w:u w:val="single"/>
                <w:vertAlign w:val="superscript"/>
              </w:rPr>
              <w:t>3</w:t>
            </w:r>
          </w:p>
        </w:tc>
        <w:tc>
          <w:tcPr>
            <w:tcW w:w="224" w:type="pct"/>
            <w:noWrap w:val="0"/>
            <w:vAlign w:val="center"/>
          </w:tcPr>
          <w:p>
            <w:pPr>
              <w:pStyle w:val="37"/>
              <w:spacing w:line="240" w:lineRule="auto"/>
              <w:ind w:left="-72" w:leftChars="-30" w:right="-72" w:rightChars="-30" w:firstLine="0" w:firstLineChars="0"/>
              <w:jc w:val="center"/>
              <w:rPr>
                <w:i w:val="0"/>
                <w:iCs w:val="0"/>
                <w:sz w:val="21"/>
                <w:szCs w:val="21"/>
                <w:u w:val="single"/>
              </w:rPr>
            </w:pPr>
            <w:r>
              <w:rPr>
                <w:i w:val="0"/>
                <w:iCs w:val="0"/>
                <w:sz w:val="21"/>
                <w:szCs w:val="21"/>
                <w:u w:val="single"/>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92" w:type="pct"/>
            <w:noWrap w:val="0"/>
            <w:vAlign w:val="center"/>
          </w:tcPr>
          <w:p>
            <w:pPr>
              <w:pStyle w:val="37"/>
              <w:spacing w:line="240" w:lineRule="auto"/>
              <w:ind w:left="-72" w:leftChars="-30" w:right="-72" w:rightChars="-30" w:firstLine="0"/>
              <w:jc w:val="center"/>
              <w:rPr>
                <w:rFonts w:hint="eastAsia"/>
                <w:i w:val="0"/>
                <w:iCs w:val="0"/>
                <w:sz w:val="21"/>
                <w:szCs w:val="21"/>
                <w:u w:val="single"/>
              </w:rPr>
            </w:pPr>
            <w:r>
              <w:rPr>
                <w:rFonts w:hint="eastAsia"/>
                <w:i w:val="0"/>
                <w:iCs w:val="0"/>
                <w:sz w:val="21"/>
                <w:szCs w:val="21"/>
                <w:u w:val="single"/>
              </w:rPr>
              <w:t>食堂油烟</w:t>
            </w:r>
          </w:p>
        </w:tc>
        <w:tc>
          <w:tcPr>
            <w:tcW w:w="396" w:type="pct"/>
            <w:noWrap w:val="0"/>
            <w:vAlign w:val="center"/>
          </w:tcPr>
          <w:p>
            <w:pPr>
              <w:pStyle w:val="37"/>
              <w:spacing w:line="240" w:lineRule="auto"/>
              <w:ind w:left="-72" w:leftChars="-30" w:right="-72" w:rightChars="-30" w:firstLine="0"/>
              <w:jc w:val="center"/>
              <w:rPr>
                <w:rFonts w:hint="eastAsia"/>
                <w:i w:val="0"/>
                <w:iCs w:val="0"/>
                <w:sz w:val="21"/>
                <w:szCs w:val="21"/>
                <w:u w:val="single"/>
              </w:rPr>
            </w:pPr>
            <w:r>
              <w:rPr>
                <w:rFonts w:hint="eastAsia"/>
                <w:i w:val="0"/>
                <w:iCs w:val="0"/>
                <w:sz w:val="21"/>
                <w:szCs w:val="21"/>
                <w:u w:val="single"/>
              </w:rPr>
              <w:t>油烟</w:t>
            </w:r>
          </w:p>
        </w:tc>
        <w:tc>
          <w:tcPr>
            <w:tcW w:w="334" w:type="pct"/>
            <w:noWrap w:val="0"/>
            <w:vAlign w:val="center"/>
          </w:tcPr>
          <w:p>
            <w:pPr>
              <w:pStyle w:val="37"/>
              <w:spacing w:line="240" w:lineRule="auto"/>
              <w:ind w:left="-72" w:leftChars="-30" w:right="-72" w:rightChars="-30" w:firstLine="0"/>
              <w:jc w:val="center"/>
              <w:rPr>
                <w:rFonts w:hint="eastAsia" w:eastAsia="宋体"/>
                <w:i w:val="0"/>
                <w:iCs w:val="0"/>
                <w:sz w:val="21"/>
                <w:szCs w:val="21"/>
                <w:u w:val="single"/>
                <w:lang w:eastAsia="zh-CN"/>
              </w:rPr>
            </w:pPr>
            <w:r>
              <w:rPr>
                <w:rFonts w:hint="eastAsia"/>
                <w:i w:val="0"/>
                <w:iCs w:val="0"/>
                <w:sz w:val="21"/>
                <w:szCs w:val="21"/>
                <w:u w:val="single"/>
              </w:rPr>
              <w:t>0.02</w:t>
            </w:r>
            <w:r>
              <w:rPr>
                <w:rFonts w:hint="eastAsia"/>
                <w:i w:val="0"/>
                <w:iCs w:val="0"/>
                <w:sz w:val="21"/>
                <w:szCs w:val="21"/>
                <w:u w:val="single"/>
                <w:lang w:val="en-US" w:eastAsia="zh-CN"/>
              </w:rPr>
              <w:t>6</w:t>
            </w:r>
          </w:p>
        </w:tc>
        <w:tc>
          <w:tcPr>
            <w:tcW w:w="309" w:type="pct"/>
            <w:noWrap w:val="0"/>
            <w:vAlign w:val="center"/>
          </w:tcPr>
          <w:p>
            <w:pPr>
              <w:pStyle w:val="37"/>
              <w:spacing w:line="240" w:lineRule="auto"/>
              <w:ind w:left="-72" w:leftChars="-30" w:right="-72" w:rightChars="-30" w:firstLine="0"/>
              <w:jc w:val="center"/>
              <w:rPr>
                <w:i w:val="0"/>
                <w:iCs w:val="0"/>
                <w:sz w:val="21"/>
                <w:szCs w:val="21"/>
                <w:u w:val="single"/>
              </w:rPr>
            </w:pPr>
            <w:r>
              <w:rPr>
                <w:rFonts w:hint="eastAsia"/>
                <w:i w:val="0"/>
                <w:iCs w:val="0"/>
                <w:sz w:val="21"/>
                <w:szCs w:val="21"/>
                <w:u w:val="single"/>
              </w:rPr>
              <w:t>0.013</w:t>
            </w:r>
          </w:p>
        </w:tc>
        <w:tc>
          <w:tcPr>
            <w:tcW w:w="331"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1.08</w:t>
            </w:r>
          </w:p>
        </w:tc>
        <w:tc>
          <w:tcPr>
            <w:tcW w:w="395" w:type="pct"/>
            <w:noWrap w:val="0"/>
            <w:vAlign w:val="center"/>
          </w:tcPr>
          <w:p>
            <w:pPr>
              <w:pStyle w:val="37"/>
              <w:spacing w:line="240" w:lineRule="auto"/>
              <w:ind w:left="-72" w:leftChars="-30" w:right="-72" w:rightChars="-30" w:firstLine="0"/>
              <w:jc w:val="center"/>
              <w:rPr>
                <w:rFonts w:hint="eastAsia"/>
                <w:i w:val="0"/>
                <w:iCs w:val="0"/>
                <w:sz w:val="21"/>
                <w:szCs w:val="21"/>
                <w:u w:val="single"/>
              </w:rPr>
            </w:pPr>
            <w:r>
              <w:rPr>
                <w:rFonts w:hint="eastAsia"/>
                <w:i w:val="0"/>
                <w:iCs w:val="0"/>
                <w:sz w:val="21"/>
                <w:szCs w:val="21"/>
                <w:u w:val="single"/>
              </w:rPr>
              <w:t>油烟净化器</w:t>
            </w:r>
          </w:p>
        </w:tc>
        <w:tc>
          <w:tcPr>
            <w:tcW w:w="280" w:type="pct"/>
            <w:noWrap w:val="0"/>
            <w:vAlign w:val="center"/>
          </w:tcPr>
          <w:p>
            <w:pPr>
              <w:pStyle w:val="37"/>
              <w:spacing w:line="240" w:lineRule="auto"/>
              <w:ind w:left="-72" w:leftChars="-30" w:right="-72" w:rightChars="-30" w:firstLine="0"/>
              <w:jc w:val="center"/>
              <w:rPr>
                <w:i w:val="0"/>
                <w:iCs w:val="0"/>
                <w:sz w:val="21"/>
                <w:szCs w:val="21"/>
                <w:u w:val="single"/>
              </w:rPr>
            </w:pPr>
            <w:r>
              <w:rPr>
                <w:rFonts w:hint="eastAsia"/>
                <w:i w:val="0"/>
                <w:iCs w:val="0"/>
                <w:sz w:val="21"/>
                <w:szCs w:val="21"/>
                <w:u w:val="single"/>
              </w:rPr>
              <w:t>90</w:t>
            </w:r>
          </w:p>
        </w:tc>
        <w:tc>
          <w:tcPr>
            <w:tcW w:w="215" w:type="pct"/>
            <w:noWrap w:val="0"/>
            <w:vAlign w:val="center"/>
          </w:tcPr>
          <w:p>
            <w:pPr>
              <w:jc w:val="center"/>
              <w:rPr>
                <w:i w:val="0"/>
                <w:iCs w:val="0"/>
                <w:sz w:val="21"/>
                <w:szCs w:val="21"/>
                <w:u w:val="single"/>
              </w:rPr>
            </w:pPr>
            <w:r>
              <w:rPr>
                <w:rFonts w:hint="eastAsia"/>
                <w:i w:val="0"/>
                <w:iCs w:val="0"/>
                <w:sz w:val="21"/>
                <w:szCs w:val="21"/>
                <w:u w:val="single"/>
              </w:rPr>
              <w:t>75</w:t>
            </w:r>
          </w:p>
        </w:tc>
        <w:tc>
          <w:tcPr>
            <w:tcW w:w="456" w:type="pct"/>
            <w:noWrap w:val="0"/>
            <w:vAlign w:val="center"/>
          </w:tcPr>
          <w:p>
            <w:pPr>
              <w:pStyle w:val="37"/>
              <w:spacing w:line="240" w:lineRule="auto"/>
              <w:ind w:left="-72" w:leftChars="-30" w:right="-72" w:rightChars="-30" w:firstLine="0"/>
              <w:jc w:val="center"/>
              <w:rPr>
                <w:i w:val="0"/>
                <w:iCs w:val="0"/>
                <w:sz w:val="21"/>
                <w:szCs w:val="21"/>
                <w:u w:val="single"/>
              </w:rPr>
            </w:pPr>
            <w:r>
              <w:rPr>
                <w:rFonts w:hint="eastAsia"/>
                <w:i w:val="0"/>
                <w:iCs w:val="0"/>
                <w:sz w:val="21"/>
                <w:szCs w:val="21"/>
                <w:u w:val="single"/>
              </w:rPr>
              <w:t>12000</w:t>
            </w:r>
          </w:p>
        </w:tc>
        <w:tc>
          <w:tcPr>
            <w:tcW w:w="276" w:type="pct"/>
            <w:noWrap w:val="0"/>
            <w:vAlign w:val="center"/>
          </w:tcPr>
          <w:p>
            <w:pPr>
              <w:ind w:left="-72" w:leftChars="-30" w:right="-72" w:rightChars="-3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1950</w:t>
            </w:r>
          </w:p>
        </w:tc>
        <w:tc>
          <w:tcPr>
            <w:tcW w:w="309"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rPr>
              <w:t>0.005</w:t>
            </w:r>
            <w:r>
              <w:rPr>
                <w:rFonts w:hint="eastAsia"/>
                <w:i w:val="0"/>
                <w:iCs w:val="0"/>
                <w:sz w:val="21"/>
                <w:szCs w:val="21"/>
                <w:u w:val="single"/>
                <w:lang w:val="en-US" w:eastAsia="zh-CN"/>
              </w:rPr>
              <w:t>85</w:t>
            </w:r>
          </w:p>
        </w:tc>
        <w:tc>
          <w:tcPr>
            <w:tcW w:w="309" w:type="pct"/>
            <w:noWrap w:val="0"/>
            <w:vAlign w:val="center"/>
          </w:tcPr>
          <w:p>
            <w:pPr>
              <w:pStyle w:val="37"/>
              <w:spacing w:line="240" w:lineRule="auto"/>
              <w:ind w:left="-72" w:leftChars="-30" w:right="-72" w:rightChars="-30" w:firstLine="0"/>
              <w:jc w:val="center"/>
              <w:rPr>
                <w:i w:val="0"/>
                <w:iCs w:val="0"/>
                <w:sz w:val="21"/>
                <w:szCs w:val="21"/>
                <w:u w:val="single"/>
              </w:rPr>
            </w:pPr>
            <w:r>
              <w:rPr>
                <w:rFonts w:hint="eastAsia"/>
                <w:i w:val="0"/>
                <w:iCs w:val="0"/>
                <w:sz w:val="21"/>
                <w:szCs w:val="21"/>
                <w:u w:val="single"/>
              </w:rPr>
              <w:t>0.003</w:t>
            </w:r>
          </w:p>
        </w:tc>
        <w:tc>
          <w:tcPr>
            <w:tcW w:w="331" w:type="pct"/>
            <w:noWrap w:val="0"/>
            <w:vAlign w:val="center"/>
          </w:tcPr>
          <w:p>
            <w:pPr>
              <w:pStyle w:val="37"/>
              <w:spacing w:line="240" w:lineRule="auto"/>
              <w:ind w:left="-72" w:leftChars="-30" w:right="-72" w:rightChars="-30" w:firstLine="0"/>
              <w:jc w:val="center"/>
              <w:rPr>
                <w:i w:val="0"/>
                <w:iCs w:val="0"/>
                <w:sz w:val="21"/>
                <w:szCs w:val="21"/>
                <w:u w:val="single"/>
              </w:rPr>
            </w:pPr>
            <w:r>
              <w:rPr>
                <w:rFonts w:hint="eastAsia"/>
                <w:i w:val="0"/>
                <w:iCs w:val="0"/>
                <w:sz w:val="21"/>
                <w:szCs w:val="21"/>
                <w:u w:val="single"/>
              </w:rPr>
              <w:t>0.25</w:t>
            </w:r>
          </w:p>
        </w:tc>
        <w:tc>
          <w:tcPr>
            <w:tcW w:w="335" w:type="pct"/>
            <w:noWrap w:val="0"/>
            <w:vAlign w:val="center"/>
          </w:tcPr>
          <w:p>
            <w:pPr>
              <w:pStyle w:val="37"/>
              <w:spacing w:line="240" w:lineRule="auto"/>
              <w:ind w:left="-72" w:leftChars="-30" w:right="-72" w:rightChars="-30" w:firstLine="0"/>
              <w:jc w:val="center"/>
              <w:rPr>
                <w:rFonts w:hint="eastAsia"/>
                <w:i w:val="0"/>
                <w:iCs w:val="0"/>
                <w:sz w:val="21"/>
                <w:szCs w:val="21"/>
                <w:u w:val="single"/>
              </w:rPr>
            </w:pPr>
            <w:r>
              <w:rPr>
                <w:rFonts w:hint="eastAsia"/>
                <w:i w:val="0"/>
                <w:iCs w:val="0"/>
                <w:sz w:val="21"/>
                <w:szCs w:val="21"/>
                <w:u w:val="single"/>
              </w:rPr>
              <w:t>2.0</w:t>
            </w:r>
            <w:r>
              <w:rPr>
                <w:i w:val="0"/>
                <w:iCs w:val="0"/>
                <w:sz w:val="21"/>
                <w:szCs w:val="21"/>
                <w:u w:val="single"/>
              </w:rPr>
              <w:t>mg/m</w:t>
            </w:r>
            <w:r>
              <w:rPr>
                <w:i w:val="0"/>
                <w:iCs w:val="0"/>
                <w:sz w:val="21"/>
                <w:szCs w:val="21"/>
                <w:u w:val="single"/>
                <w:vertAlign w:val="superscript"/>
              </w:rPr>
              <w:t>3</w:t>
            </w:r>
          </w:p>
        </w:tc>
        <w:tc>
          <w:tcPr>
            <w:tcW w:w="224" w:type="pct"/>
            <w:noWrap w:val="0"/>
            <w:vAlign w:val="center"/>
          </w:tcPr>
          <w:p>
            <w:pPr>
              <w:pStyle w:val="37"/>
              <w:spacing w:line="240" w:lineRule="auto"/>
              <w:ind w:left="-72" w:leftChars="-30" w:right="-72" w:rightChars="-30" w:firstLine="0"/>
              <w:jc w:val="center"/>
              <w:rPr>
                <w:i w:val="0"/>
                <w:iCs w:val="0"/>
                <w:sz w:val="21"/>
                <w:szCs w:val="21"/>
                <w:u w:val="single"/>
              </w:rPr>
            </w:pPr>
            <w:r>
              <w:rPr>
                <w:i w:val="0"/>
                <w:iCs w:val="0"/>
                <w:sz w:val="21"/>
                <w:szCs w:val="21"/>
                <w:u w:val="single"/>
              </w:rPr>
              <w:t>达标</w:t>
            </w:r>
          </w:p>
        </w:tc>
      </w:tr>
    </w:tbl>
    <w:p>
      <w:pPr>
        <w:pStyle w:val="90"/>
        <w:jc w:val="center"/>
        <w:rPr>
          <w:rFonts w:hint="eastAsia"/>
          <w:i w:val="0"/>
          <w:iCs w:val="0"/>
          <w:u w:val="single"/>
        </w:rPr>
      </w:pPr>
      <w:r>
        <w:rPr>
          <w:rFonts w:hint="eastAsia"/>
          <w:b/>
          <w:bCs/>
          <w:i w:val="0"/>
          <w:iCs w:val="0"/>
          <w:u w:val="single"/>
        </w:rPr>
        <w:t>表3-</w:t>
      </w:r>
      <w:r>
        <w:rPr>
          <w:rFonts w:hint="eastAsia"/>
          <w:b/>
          <w:bCs/>
          <w:i w:val="0"/>
          <w:iCs w:val="0"/>
          <w:u w:val="single"/>
          <w:lang w:val="en-US" w:eastAsia="zh-CN"/>
        </w:rPr>
        <w:t>33</w:t>
      </w:r>
      <w:r>
        <w:rPr>
          <w:rFonts w:hint="eastAsia"/>
          <w:b/>
          <w:bCs/>
          <w:i w:val="0"/>
          <w:iCs w:val="0"/>
          <w:u w:val="single"/>
        </w:rPr>
        <w:t>无组织</w:t>
      </w:r>
      <w:r>
        <w:rPr>
          <w:b/>
          <w:bCs/>
          <w:i w:val="0"/>
          <w:iCs w:val="0"/>
          <w:u w:val="single"/>
        </w:rPr>
        <w:t>废气污染源源强核算结果及相关参数一览表</w:t>
      </w:r>
    </w:p>
    <w:tbl>
      <w:tblPr>
        <w:tblStyle w:val="58"/>
        <w:tblW w:w="4996"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1359"/>
        <w:gridCol w:w="2267"/>
        <w:gridCol w:w="2289"/>
        <w:gridCol w:w="1610"/>
        <w:gridCol w:w="1226"/>
        <w:gridCol w:w="1741"/>
        <w:gridCol w:w="1413"/>
        <w:gridCol w:w="1044"/>
        <w:gridCol w:w="1260"/>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6" w:hRule="atLeast"/>
          <w:jc w:val="center"/>
        </w:trPr>
        <w:tc>
          <w:tcPr>
            <w:tcW w:w="478" w:type="pct"/>
            <w:vMerge w:val="restart"/>
            <w:noWrap w:val="0"/>
            <w:vAlign w:val="center"/>
          </w:tcPr>
          <w:p>
            <w:pPr>
              <w:pStyle w:val="37"/>
              <w:spacing w:line="240" w:lineRule="auto"/>
              <w:ind w:left="-72" w:leftChars="-30" w:right="-72" w:rightChars="-30" w:firstLine="0"/>
              <w:jc w:val="center"/>
              <w:rPr>
                <w:rFonts w:hint="eastAsia"/>
                <w:i w:val="0"/>
                <w:iCs w:val="0"/>
                <w:sz w:val="21"/>
                <w:szCs w:val="21"/>
                <w:u w:val="single"/>
              </w:rPr>
            </w:pPr>
            <w:r>
              <w:rPr>
                <w:rFonts w:hint="eastAsia"/>
                <w:i w:val="0"/>
                <w:iCs w:val="0"/>
                <w:sz w:val="21"/>
                <w:szCs w:val="21"/>
                <w:u w:val="single"/>
                <w:lang w:val="zh-CN"/>
              </w:rPr>
              <w:t>车间</w:t>
            </w:r>
            <w:r>
              <w:rPr>
                <w:rFonts w:hint="eastAsia"/>
                <w:i w:val="0"/>
                <w:iCs w:val="0"/>
                <w:sz w:val="21"/>
                <w:szCs w:val="21"/>
                <w:u w:val="single"/>
                <w:lang w:val="zh-CN"/>
              </w:rPr>
              <w:tab/>
            </w:r>
            <w:r>
              <w:rPr>
                <w:rFonts w:hint="eastAsia"/>
                <w:i w:val="0"/>
                <w:iCs w:val="0"/>
                <w:sz w:val="21"/>
                <w:szCs w:val="21"/>
                <w:u w:val="single"/>
              </w:rPr>
              <w:t>序号</w:t>
            </w:r>
          </w:p>
        </w:tc>
        <w:tc>
          <w:tcPr>
            <w:tcW w:w="797" w:type="pct"/>
            <w:vMerge w:val="restart"/>
            <w:noWrap w:val="0"/>
            <w:vAlign w:val="center"/>
          </w:tcPr>
          <w:p>
            <w:pPr>
              <w:pStyle w:val="37"/>
              <w:spacing w:line="240" w:lineRule="auto"/>
              <w:ind w:left="-72" w:leftChars="-30" w:right="-72" w:rightChars="-30" w:firstLine="0"/>
              <w:jc w:val="center"/>
              <w:rPr>
                <w:rFonts w:hint="eastAsia"/>
                <w:i w:val="0"/>
                <w:iCs w:val="0"/>
                <w:sz w:val="21"/>
                <w:szCs w:val="21"/>
                <w:u w:val="single"/>
              </w:rPr>
            </w:pPr>
            <w:r>
              <w:rPr>
                <w:rFonts w:hint="eastAsia"/>
                <w:i w:val="0"/>
                <w:iCs w:val="0"/>
                <w:sz w:val="21"/>
                <w:szCs w:val="21"/>
                <w:u w:val="single"/>
              </w:rPr>
              <w:t>污染物</w:t>
            </w:r>
          </w:p>
        </w:tc>
        <w:tc>
          <w:tcPr>
            <w:tcW w:w="805" w:type="pct"/>
            <w:vMerge w:val="restart"/>
            <w:noWrap w:val="0"/>
            <w:vAlign w:val="center"/>
          </w:tcPr>
          <w:p>
            <w:pPr>
              <w:pStyle w:val="37"/>
              <w:spacing w:line="240" w:lineRule="auto"/>
              <w:ind w:left="-72" w:leftChars="-30" w:right="-72" w:rightChars="-30" w:firstLine="0"/>
              <w:jc w:val="center"/>
              <w:rPr>
                <w:i w:val="0"/>
                <w:iCs w:val="0"/>
                <w:sz w:val="21"/>
                <w:szCs w:val="21"/>
                <w:u w:val="single"/>
              </w:rPr>
            </w:pPr>
            <w:r>
              <w:rPr>
                <w:i w:val="0"/>
                <w:iCs w:val="0"/>
                <w:sz w:val="21"/>
                <w:szCs w:val="21"/>
                <w:u w:val="single"/>
              </w:rPr>
              <w:t>产生环节</w:t>
            </w:r>
          </w:p>
        </w:tc>
        <w:tc>
          <w:tcPr>
            <w:tcW w:w="566" w:type="pct"/>
            <w:noWrap w:val="0"/>
            <w:vAlign w:val="center"/>
          </w:tcPr>
          <w:p>
            <w:pPr>
              <w:pStyle w:val="37"/>
              <w:spacing w:line="240" w:lineRule="auto"/>
              <w:ind w:left="-72" w:leftChars="-30" w:right="-72" w:rightChars="-30" w:firstLine="0"/>
              <w:jc w:val="center"/>
              <w:rPr>
                <w:i w:val="0"/>
                <w:iCs w:val="0"/>
                <w:sz w:val="21"/>
                <w:szCs w:val="21"/>
                <w:u w:val="single"/>
              </w:rPr>
            </w:pPr>
            <w:r>
              <w:rPr>
                <w:i w:val="0"/>
                <w:iCs w:val="0"/>
                <w:sz w:val="21"/>
                <w:szCs w:val="21"/>
                <w:u w:val="single"/>
              </w:rPr>
              <w:t>产生</w:t>
            </w:r>
          </w:p>
          <w:p>
            <w:pPr>
              <w:pStyle w:val="37"/>
              <w:spacing w:line="240" w:lineRule="auto"/>
              <w:ind w:left="-72" w:leftChars="-30" w:right="-72" w:rightChars="-30" w:firstLine="0"/>
              <w:jc w:val="center"/>
              <w:rPr>
                <w:i w:val="0"/>
                <w:iCs w:val="0"/>
                <w:sz w:val="21"/>
                <w:szCs w:val="21"/>
                <w:u w:val="single"/>
              </w:rPr>
            </w:pPr>
            <w:r>
              <w:rPr>
                <w:i w:val="0"/>
                <w:iCs w:val="0"/>
                <w:sz w:val="21"/>
                <w:szCs w:val="21"/>
                <w:u w:val="single"/>
              </w:rPr>
              <w:t>量</w:t>
            </w:r>
          </w:p>
        </w:tc>
        <w:tc>
          <w:tcPr>
            <w:tcW w:w="431" w:type="pct"/>
            <w:noWrap w:val="0"/>
            <w:vAlign w:val="center"/>
          </w:tcPr>
          <w:p>
            <w:pPr>
              <w:pStyle w:val="37"/>
              <w:spacing w:line="240" w:lineRule="auto"/>
              <w:ind w:left="-72" w:leftChars="-30" w:right="-72" w:rightChars="-30" w:firstLine="0"/>
              <w:jc w:val="center"/>
              <w:rPr>
                <w:i w:val="0"/>
                <w:iCs w:val="0"/>
                <w:sz w:val="21"/>
                <w:szCs w:val="21"/>
                <w:u w:val="single"/>
              </w:rPr>
            </w:pPr>
            <w:r>
              <w:rPr>
                <w:i w:val="0"/>
                <w:iCs w:val="0"/>
                <w:sz w:val="21"/>
                <w:szCs w:val="21"/>
                <w:u w:val="single"/>
              </w:rPr>
              <w:t>产生</w:t>
            </w:r>
          </w:p>
          <w:p>
            <w:pPr>
              <w:pStyle w:val="37"/>
              <w:spacing w:line="240" w:lineRule="auto"/>
              <w:ind w:left="-72" w:leftChars="-30" w:right="-72" w:rightChars="-30" w:firstLine="0"/>
              <w:jc w:val="center"/>
              <w:rPr>
                <w:i w:val="0"/>
                <w:iCs w:val="0"/>
                <w:sz w:val="21"/>
                <w:szCs w:val="21"/>
                <w:u w:val="single"/>
              </w:rPr>
            </w:pPr>
            <w:r>
              <w:rPr>
                <w:i w:val="0"/>
                <w:iCs w:val="0"/>
                <w:sz w:val="21"/>
                <w:szCs w:val="21"/>
                <w:u w:val="single"/>
              </w:rPr>
              <w:t>速率</w:t>
            </w:r>
          </w:p>
        </w:tc>
        <w:tc>
          <w:tcPr>
            <w:tcW w:w="612" w:type="pct"/>
            <w:vMerge w:val="restart"/>
            <w:noWrap w:val="0"/>
            <w:vAlign w:val="center"/>
          </w:tcPr>
          <w:p>
            <w:pPr>
              <w:pStyle w:val="37"/>
              <w:spacing w:line="240" w:lineRule="auto"/>
              <w:ind w:left="-72" w:leftChars="-30" w:right="-72" w:rightChars="-30" w:firstLine="0"/>
              <w:jc w:val="center"/>
              <w:rPr>
                <w:rFonts w:hint="eastAsia"/>
                <w:i w:val="0"/>
                <w:iCs w:val="0"/>
                <w:sz w:val="21"/>
                <w:szCs w:val="21"/>
                <w:u w:val="single"/>
              </w:rPr>
            </w:pPr>
            <w:r>
              <w:rPr>
                <w:rFonts w:hint="eastAsia"/>
                <w:i w:val="0"/>
                <w:iCs w:val="0"/>
                <w:sz w:val="21"/>
                <w:szCs w:val="21"/>
                <w:u w:val="single"/>
              </w:rPr>
              <w:t>拟采取治理措施</w:t>
            </w:r>
          </w:p>
        </w:tc>
        <w:tc>
          <w:tcPr>
            <w:tcW w:w="497" w:type="pct"/>
            <w:noWrap w:val="0"/>
            <w:vAlign w:val="center"/>
          </w:tcPr>
          <w:p>
            <w:pPr>
              <w:pStyle w:val="37"/>
              <w:spacing w:line="240" w:lineRule="auto"/>
              <w:ind w:left="-72" w:leftChars="-30" w:right="-72" w:rightChars="-30" w:firstLine="0"/>
              <w:jc w:val="center"/>
              <w:rPr>
                <w:i w:val="0"/>
                <w:iCs w:val="0"/>
                <w:sz w:val="21"/>
                <w:szCs w:val="21"/>
                <w:u w:val="single"/>
              </w:rPr>
            </w:pPr>
            <w:r>
              <w:rPr>
                <w:i w:val="0"/>
                <w:iCs w:val="0"/>
                <w:sz w:val="21"/>
                <w:szCs w:val="21"/>
                <w:u w:val="single"/>
              </w:rPr>
              <w:t>排放量</w:t>
            </w:r>
          </w:p>
        </w:tc>
        <w:tc>
          <w:tcPr>
            <w:tcW w:w="367" w:type="pct"/>
            <w:noWrap w:val="0"/>
            <w:vAlign w:val="center"/>
          </w:tcPr>
          <w:p>
            <w:pPr>
              <w:pStyle w:val="37"/>
              <w:spacing w:line="240" w:lineRule="auto"/>
              <w:ind w:left="-72" w:leftChars="-30" w:right="-72" w:rightChars="-30" w:firstLine="0"/>
              <w:jc w:val="center"/>
              <w:rPr>
                <w:i w:val="0"/>
                <w:iCs w:val="0"/>
                <w:sz w:val="21"/>
                <w:szCs w:val="21"/>
                <w:u w:val="single"/>
              </w:rPr>
            </w:pPr>
            <w:r>
              <w:rPr>
                <w:i w:val="0"/>
                <w:iCs w:val="0"/>
                <w:sz w:val="21"/>
                <w:szCs w:val="21"/>
                <w:u w:val="single"/>
              </w:rPr>
              <w:t>年工作时数</w:t>
            </w:r>
          </w:p>
        </w:tc>
        <w:tc>
          <w:tcPr>
            <w:tcW w:w="443" w:type="pct"/>
            <w:noWrap w:val="0"/>
            <w:vAlign w:val="center"/>
          </w:tcPr>
          <w:p>
            <w:pPr>
              <w:pStyle w:val="37"/>
              <w:spacing w:line="240" w:lineRule="auto"/>
              <w:ind w:left="-72" w:leftChars="-30" w:right="-72" w:rightChars="-30" w:firstLine="0"/>
              <w:jc w:val="center"/>
              <w:rPr>
                <w:i w:val="0"/>
                <w:iCs w:val="0"/>
                <w:sz w:val="21"/>
                <w:szCs w:val="21"/>
                <w:u w:val="single"/>
              </w:rPr>
            </w:pPr>
            <w:r>
              <w:rPr>
                <w:i w:val="0"/>
                <w:iCs w:val="0"/>
                <w:sz w:val="21"/>
                <w:szCs w:val="21"/>
                <w:u w:val="single"/>
              </w:rPr>
              <w:t>排放</w:t>
            </w:r>
          </w:p>
          <w:p>
            <w:pPr>
              <w:pStyle w:val="37"/>
              <w:spacing w:line="240" w:lineRule="auto"/>
              <w:ind w:left="-72" w:leftChars="-30" w:right="-72" w:rightChars="-30" w:firstLine="0"/>
              <w:jc w:val="center"/>
              <w:rPr>
                <w:i w:val="0"/>
                <w:iCs w:val="0"/>
                <w:sz w:val="21"/>
                <w:szCs w:val="21"/>
                <w:u w:val="single"/>
              </w:rPr>
            </w:pPr>
            <w:r>
              <w:rPr>
                <w:i w:val="0"/>
                <w:iCs w:val="0"/>
                <w:sz w:val="21"/>
                <w:szCs w:val="21"/>
                <w:u w:val="single"/>
              </w:rPr>
              <w:t>速率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76" w:hRule="atLeast"/>
          <w:jc w:val="center"/>
        </w:trPr>
        <w:tc>
          <w:tcPr>
            <w:tcW w:w="478" w:type="pct"/>
            <w:vMerge w:val="continue"/>
            <w:noWrap w:val="0"/>
            <w:vAlign w:val="center"/>
          </w:tcPr>
          <w:p>
            <w:pPr>
              <w:pStyle w:val="37"/>
              <w:spacing w:line="240" w:lineRule="auto"/>
              <w:ind w:left="-72" w:leftChars="-30" w:right="-72" w:rightChars="-30" w:firstLine="0"/>
              <w:jc w:val="center"/>
              <w:rPr>
                <w:i w:val="0"/>
                <w:iCs w:val="0"/>
                <w:sz w:val="21"/>
                <w:szCs w:val="21"/>
                <w:u w:val="single"/>
              </w:rPr>
            </w:pPr>
          </w:p>
        </w:tc>
        <w:tc>
          <w:tcPr>
            <w:tcW w:w="797" w:type="pct"/>
            <w:vMerge w:val="continue"/>
            <w:noWrap w:val="0"/>
            <w:vAlign w:val="center"/>
          </w:tcPr>
          <w:p>
            <w:pPr>
              <w:pStyle w:val="37"/>
              <w:spacing w:line="240" w:lineRule="auto"/>
              <w:ind w:left="-72" w:leftChars="-30" w:right="-72" w:rightChars="-30" w:firstLine="0"/>
              <w:jc w:val="center"/>
              <w:rPr>
                <w:i w:val="0"/>
                <w:iCs w:val="0"/>
                <w:sz w:val="21"/>
                <w:szCs w:val="21"/>
                <w:u w:val="single"/>
              </w:rPr>
            </w:pPr>
          </w:p>
        </w:tc>
        <w:tc>
          <w:tcPr>
            <w:tcW w:w="805" w:type="pct"/>
            <w:vMerge w:val="continue"/>
            <w:noWrap w:val="0"/>
            <w:vAlign w:val="center"/>
          </w:tcPr>
          <w:p>
            <w:pPr>
              <w:pStyle w:val="37"/>
              <w:spacing w:line="240" w:lineRule="auto"/>
              <w:ind w:left="-72" w:leftChars="-30" w:right="-72" w:rightChars="-30" w:firstLine="0"/>
              <w:jc w:val="center"/>
              <w:rPr>
                <w:i w:val="0"/>
                <w:iCs w:val="0"/>
                <w:sz w:val="21"/>
                <w:szCs w:val="21"/>
                <w:u w:val="single"/>
              </w:rPr>
            </w:pPr>
          </w:p>
        </w:tc>
        <w:tc>
          <w:tcPr>
            <w:tcW w:w="566" w:type="pct"/>
            <w:noWrap w:val="0"/>
            <w:vAlign w:val="center"/>
          </w:tcPr>
          <w:p>
            <w:pPr>
              <w:pStyle w:val="37"/>
              <w:spacing w:line="240" w:lineRule="auto"/>
              <w:ind w:left="-72" w:leftChars="-30" w:right="-72" w:rightChars="-30" w:firstLine="0"/>
              <w:jc w:val="center"/>
              <w:rPr>
                <w:i w:val="0"/>
                <w:iCs w:val="0"/>
                <w:sz w:val="21"/>
                <w:szCs w:val="21"/>
                <w:u w:val="single"/>
              </w:rPr>
            </w:pPr>
            <w:r>
              <w:rPr>
                <w:rFonts w:hint="eastAsia"/>
                <w:i w:val="0"/>
                <w:iCs w:val="0"/>
                <w:sz w:val="21"/>
                <w:szCs w:val="21"/>
                <w:u w:val="single"/>
              </w:rPr>
              <w:t>t</w:t>
            </w:r>
            <w:r>
              <w:rPr>
                <w:i w:val="0"/>
                <w:iCs w:val="0"/>
                <w:sz w:val="21"/>
                <w:szCs w:val="21"/>
                <w:u w:val="single"/>
              </w:rPr>
              <w:t>/a</w:t>
            </w:r>
          </w:p>
        </w:tc>
        <w:tc>
          <w:tcPr>
            <w:tcW w:w="431" w:type="pct"/>
            <w:noWrap w:val="0"/>
            <w:vAlign w:val="center"/>
          </w:tcPr>
          <w:p>
            <w:pPr>
              <w:pStyle w:val="37"/>
              <w:spacing w:line="240" w:lineRule="auto"/>
              <w:ind w:left="-72" w:leftChars="-30" w:right="-72" w:rightChars="-30" w:firstLine="0"/>
              <w:jc w:val="center"/>
              <w:rPr>
                <w:i w:val="0"/>
                <w:iCs w:val="0"/>
                <w:sz w:val="21"/>
                <w:szCs w:val="21"/>
                <w:u w:val="single"/>
              </w:rPr>
            </w:pPr>
            <w:r>
              <w:rPr>
                <w:i w:val="0"/>
                <w:iCs w:val="0"/>
                <w:sz w:val="21"/>
                <w:szCs w:val="21"/>
                <w:u w:val="single"/>
              </w:rPr>
              <w:t>kg/h</w:t>
            </w:r>
          </w:p>
        </w:tc>
        <w:tc>
          <w:tcPr>
            <w:tcW w:w="612" w:type="pct"/>
            <w:vMerge w:val="continue"/>
            <w:noWrap w:val="0"/>
            <w:vAlign w:val="center"/>
          </w:tcPr>
          <w:p>
            <w:pPr>
              <w:pStyle w:val="37"/>
              <w:spacing w:line="240" w:lineRule="auto"/>
              <w:ind w:left="-72" w:leftChars="-30" w:right="-72" w:rightChars="-30" w:firstLine="0"/>
              <w:jc w:val="center"/>
              <w:rPr>
                <w:i w:val="0"/>
                <w:iCs w:val="0"/>
                <w:sz w:val="21"/>
                <w:szCs w:val="21"/>
                <w:u w:val="single"/>
              </w:rPr>
            </w:pPr>
          </w:p>
        </w:tc>
        <w:tc>
          <w:tcPr>
            <w:tcW w:w="497" w:type="pct"/>
            <w:noWrap w:val="0"/>
            <w:vAlign w:val="center"/>
          </w:tcPr>
          <w:p>
            <w:pPr>
              <w:pStyle w:val="37"/>
              <w:spacing w:line="240" w:lineRule="auto"/>
              <w:ind w:left="-72" w:leftChars="-30" w:right="-72" w:rightChars="-30" w:firstLine="0"/>
              <w:jc w:val="center"/>
              <w:rPr>
                <w:i w:val="0"/>
                <w:iCs w:val="0"/>
                <w:sz w:val="21"/>
                <w:szCs w:val="21"/>
                <w:u w:val="single"/>
              </w:rPr>
            </w:pPr>
            <w:r>
              <w:rPr>
                <w:rFonts w:hint="eastAsia"/>
                <w:i w:val="0"/>
                <w:iCs w:val="0"/>
                <w:sz w:val="21"/>
                <w:szCs w:val="21"/>
                <w:u w:val="single"/>
              </w:rPr>
              <w:t>t</w:t>
            </w:r>
            <w:r>
              <w:rPr>
                <w:i w:val="0"/>
                <w:iCs w:val="0"/>
                <w:sz w:val="21"/>
                <w:szCs w:val="21"/>
                <w:u w:val="single"/>
              </w:rPr>
              <w:t>/a</w:t>
            </w:r>
          </w:p>
        </w:tc>
        <w:tc>
          <w:tcPr>
            <w:tcW w:w="367" w:type="pct"/>
            <w:noWrap w:val="0"/>
            <w:vAlign w:val="center"/>
          </w:tcPr>
          <w:p>
            <w:pPr>
              <w:pStyle w:val="37"/>
              <w:spacing w:line="240" w:lineRule="auto"/>
              <w:ind w:left="-72" w:leftChars="-30" w:right="-72" w:rightChars="-30" w:firstLine="0"/>
              <w:jc w:val="center"/>
              <w:rPr>
                <w:i w:val="0"/>
                <w:iCs w:val="0"/>
                <w:sz w:val="21"/>
                <w:szCs w:val="21"/>
                <w:u w:val="single"/>
              </w:rPr>
            </w:pPr>
            <w:r>
              <w:rPr>
                <w:i w:val="0"/>
                <w:iCs w:val="0"/>
                <w:sz w:val="21"/>
                <w:szCs w:val="21"/>
                <w:u w:val="single"/>
              </w:rPr>
              <w:t>h</w:t>
            </w:r>
          </w:p>
        </w:tc>
        <w:tc>
          <w:tcPr>
            <w:tcW w:w="443" w:type="pct"/>
            <w:noWrap w:val="0"/>
            <w:vAlign w:val="center"/>
          </w:tcPr>
          <w:p>
            <w:pPr>
              <w:pStyle w:val="37"/>
              <w:spacing w:line="240" w:lineRule="auto"/>
              <w:ind w:left="-72" w:leftChars="-30" w:right="-72" w:rightChars="-30" w:firstLine="0"/>
              <w:jc w:val="center"/>
              <w:rPr>
                <w:i w:val="0"/>
                <w:iCs w:val="0"/>
                <w:sz w:val="21"/>
                <w:szCs w:val="21"/>
                <w:u w:val="single"/>
              </w:rPr>
            </w:pPr>
            <w:r>
              <w:rPr>
                <w:i w:val="0"/>
                <w:iCs w:val="0"/>
                <w:sz w:val="21"/>
                <w:szCs w:val="21"/>
                <w:u w:val="single"/>
              </w:rPr>
              <w:t>kg/h</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10" w:hRule="atLeast"/>
          <w:jc w:val="center"/>
        </w:trPr>
        <w:tc>
          <w:tcPr>
            <w:tcW w:w="478" w:type="pct"/>
            <w:vMerge w:val="restart"/>
            <w:noWrap w:val="0"/>
            <w:vAlign w:val="center"/>
          </w:tcPr>
          <w:p>
            <w:pPr>
              <w:pStyle w:val="37"/>
              <w:spacing w:line="240" w:lineRule="auto"/>
              <w:ind w:left="-72" w:leftChars="-30" w:right="-72" w:rightChars="-30" w:firstLine="0"/>
              <w:jc w:val="center"/>
              <w:rPr>
                <w:rFonts w:hint="eastAsia"/>
                <w:i w:val="0"/>
                <w:iCs w:val="0"/>
                <w:sz w:val="21"/>
                <w:szCs w:val="21"/>
                <w:u w:val="single"/>
              </w:rPr>
            </w:pPr>
            <w:r>
              <w:rPr>
                <w:rFonts w:hint="eastAsia"/>
                <w:i w:val="0"/>
                <w:iCs w:val="0"/>
                <w:sz w:val="21"/>
                <w:szCs w:val="21"/>
                <w:u w:val="single"/>
              </w:rPr>
              <w:t>污水站</w:t>
            </w:r>
          </w:p>
        </w:tc>
        <w:tc>
          <w:tcPr>
            <w:tcW w:w="797" w:type="pct"/>
            <w:noWrap w:val="0"/>
            <w:vAlign w:val="center"/>
          </w:tcPr>
          <w:p>
            <w:pPr>
              <w:pStyle w:val="37"/>
              <w:spacing w:line="240" w:lineRule="auto"/>
              <w:ind w:left="-72" w:leftChars="-30" w:right="-72" w:rightChars="-30" w:firstLine="0"/>
              <w:jc w:val="center"/>
              <w:rPr>
                <w:rFonts w:hint="eastAsia"/>
                <w:i w:val="0"/>
                <w:iCs w:val="0"/>
                <w:sz w:val="21"/>
                <w:szCs w:val="21"/>
                <w:u w:val="single"/>
              </w:rPr>
            </w:pPr>
            <w:r>
              <w:rPr>
                <w:i w:val="0"/>
                <w:iCs w:val="0"/>
                <w:sz w:val="21"/>
                <w:szCs w:val="21"/>
                <w:u w:val="single"/>
              </w:rPr>
              <w:t>NH</w:t>
            </w:r>
            <w:r>
              <w:rPr>
                <w:i w:val="0"/>
                <w:iCs w:val="0"/>
                <w:sz w:val="21"/>
                <w:szCs w:val="21"/>
                <w:u w:val="single"/>
                <w:vertAlign w:val="subscript"/>
              </w:rPr>
              <w:t>3</w:t>
            </w:r>
          </w:p>
        </w:tc>
        <w:tc>
          <w:tcPr>
            <w:tcW w:w="805" w:type="pct"/>
            <w:noWrap w:val="0"/>
            <w:vAlign w:val="center"/>
          </w:tcPr>
          <w:p>
            <w:pPr>
              <w:pStyle w:val="37"/>
              <w:spacing w:line="240" w:lineRule="auto"/>
              <w:ind w:left="-72" w:leftChars="-30" w:right="-72" w:rightChars="-30" w:firstLine="0"/>
              <w:jc w:val="center"/>
              <w:rPr>
                <w:i w:val="0"/>
                <w:iCs w:val="0"/>
                <w:sz w:val="21"/>
                <w:szCs w:val="21"/>
                <w:u w:val="single"/>
              </w:rPr>
            </w:pPr>
            <w:r>
              <w:rPr>
                <w:rFonts w:hint="eastAsia"/>
                <w:i w:val="0"/>
                <w:iCs w:val="0"/>
                <w:sz w:val="21"/>
                <w:szCs w:val="21"/>
                <w:u w:val="single"/>
              </w:rPr>
              <w:t>无组织废气</w:t>
            </w:r>
          </w:p>
        </w:tc>
        <w:tc>
          <w:tcPr>
            <w:tcW w:w="566"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0.038</w:t>
            </w:r>
          </w:p>
        </w:tc>
        <w:tc>
          <w:tcPr>
            <w:tcW w:w="431"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0.005</w:t>
            </w:r>
          </w:p>
        </w:tc>
        <w:tc>
          <w:tcPr>
            <w:tcW w:w="612" w:type="pct"/>
            <w:vMerge w:val="restart"/>
            <w:noWrap w:val="0"/>
            <w:vAlign w:val="center"/>
          </w:tcPr>
          <w:p>
            <w:pPr>
              <w:pStyle w:val="37"/>
              <w:spacing w:line="240" w:lineRule="auto"/>
              <w:ind w:left="-72" w:leftChars="-30" w:right="-72" w:rightChars="-30" w:firstLine="0"/>
              <w:jc w:val="center"/>
              <w:rPr>
                <w:i w:val="0"/>
                <w:iCs w:val="0"/>
                <w:sz w:val="21"/>
                <w:szCs w:val="21"/>
                <w:u w:val="single"/>
              </w:rPr>
            </w:pPr>
            <w:r>
              <w:rPr>
                <w:rFonts w:hint="eastAsia"/>
                <w:i w:val="0"/>
                <w:iCs w:val="0"/>
                <w:sz w:val="21"/>
                <w:szCs w:val="21"/>
                <w:u w:val="single"/>
              </w:rPr>
              <w:t>车间密闭</w:t>
            </w:r>
          </w:p>
        </w:tc>
        <w:tc>
          <w:tcPr>
            <w:tcW w:w="1413" w:type="dxa"/>
            <w:noWrap w:val="0"/>
            <w:vAlign w:val="center"/>
          </w:tcPr>
          <w:p>
            <w:pPr>
              <w:pStyle w:val="37"/>
              <w:spacing w:line="240" w:lineRule="auto"/>
              <w:ind w:left="-72" w:leftChars="-30" w:right="-72" w:rightChars="-30" w:firstLine="0" w:firstLineChars="0"/>
              <w:jc w:val="center"/>
              <w:rPr>
                <w:i w:val="0"/>
                <w:iCs w:val="0"/>
                <w:sz w:val="21"/>
                <w:szCs w:val="21"/>
                <w:u w:val="single"/>
              </w:rPr>
            </w:pPr>
            <w:r>
              <w:rPr>
                <w:rFonts w:hint="eastAsia"/>
                <w:i w:val="0"/>
                <w:iCs w:val="0"/>
                <w:sz w:val="21"/>
                <w:szCs w:val="21"/>
                <w:u w:val="single"/>
                <w:lang w:val="en-US" w:eastAsia="zh-CN"/>
              </w:rPr>
              <w:t>0.038</w:t>
            </w:r>
          </w:p>
        </w:tc>
        <w:tc>
          <w:tcPr>
            <w:tcW w:w="367"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7800</w:t>
            </w:r>
          </w:p>
        </w:tc>
        <w:tc>
          <w:tcPr>
            <w:tcW w:w="1260" w:type="dxa"/>
            <w:noWrap w:val="0"/>
            <w:vAlign w:val="center"/>
          </w:tcPr>
          <w:p>
            <w:pPr>
              <w:pStyle w:val="37"/>
              <w:spacing w:line="240" w:lineRule="auto"/>
              <w:ind w:left="-72" w:leftChars="-30" w:right="-72" w:rightChars="-30" w:firstLine="0" w:firstLineChars="0"/>
              <w:jc w:val="center"/>
              <w:rPr>
                <w:i w:val="0"/>
                <w:iCs w:val="0"/>
                <w:sz w:val="21"/>
                <w:szCs w:val="21"/>
                <w:u w:val="single"/>
              </w:rPr>
            </w:pPr>
            <w:r>
              <w:rPr>
                <w:rFonts w:hint="eastAsia"/>
                <w:i w:val="0"/>
                <w:iCs w:val="0"/>
                <w:sz w:val="21"/>
                <w:szCs w:val="21"/>
                <w:u w:val="single"/>
                <w:lang w:val="en-US" w:eastAsia="zh-CN"/>
              </w:rPr>
              <w:t>0.005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10" w:hRule="atLeast"/>
          <w:jc w:val="center"/>
        </w:trPr>
        <w:tc>
          <w:tcPr>
            <w:tcW w:w="478" w:type="pct"/>
            <w:vMerge w:val="continue"/>
            <w:noWrap w:val="0"/>
            <w:vAlign w:val="center"/>
          </w:tcPr>
          <w:p>
            <w:pPr>
              <w:pStyle w:val="37"/>
              <w:spacing w:line="240" w:lineRule="auto"/>
              <w:ind w:left="-72" w:leftChars="-30" w:right="-72" w:rightChars="-30" w:firstLine="0"/>
              <w:jc w:val="center"/>
              <w:rPr>
                <w:rFonts w:hint="eastAsia"/>
                <w:i w:val="0"/>
                <w:iCs w:val="0"/>
                <w:sz w:val="21"/>
                <w:szCs w:val="21"/>
                <w:u w:val="single"/>
              </w:rPr>
            </w:pPr>
          </w:p>
        </w:tc>
        <w:tc>
          <w:tcPr>
            <w:tcW w:w="797" w:type="pct"/>
            <w:noWrap w:val="0"/>
            <w:vAlign w:val="center"/>
          </w:tcPr>
          <w:p>
            <w:pPr>
              <w:pStyle w:val="37"/>
              <w:spacing w:line="240" w:lineRule="auto"/>
              <w:ind w:left="-72" w:leftChars="-30" w:right="-72" w:rightChars="-30" w:firstLine="0"/>
              <w:jc w:val="center"/>
              <w:rPr>
                <w:rFonts w:hint="eastAsia"/>
                <w:i w:val="0"/>
                <w:iCs w:val="0"/>
                <w:sz w:val="21"/>
                <w:szCs w:val="21"/>
                <w:u w:val="single"/>
              </w:rPr>
            </w:pPr>
            <w:r>
              <w:rPr>
                <w:i w:val="0"/>
                <w:iCs w:val="0"/>
                <w:sz w:val="21"/>
                <w:szCs w:val="21"/>
                <w:u w:val="single"/>
              </w:rPr>
              <w:t>H</w:t>
            </w:r>
            <w:r>
              <w:rPr>
                <w:i w:val="0"/>
                <w:iCs w:val="0"/>
                <w:sz w:val="21"/>
                <w:szCs w:val="21"/>
                <w:u w:val="single"/>
                <w:vertAlign w:val="subscript"/>
              </w:rPr>
              <w:t>2</w:t>
            </w:r>
            <w:r>
              <w:rPr>
                <w:i w:val="0"/>
                <w:iCs w:val="0"/>
                <w:sz w:val="21"/>
                <w:szCs w:val="21"/>
                <w:u w:val="single"/>
              </w:rPr>
              <w:t>S</w:t>
            </w:r>
          </w:p>
        </w:tc>
        <w:tc>
          <w:tcPr>
            <w:tcW w:w="805" w:type="pct"/>
            <w:noWrap w:val="0"/>
            <w:vAlign w:val="center"/>
          </w:tcPr>
          <w:p>
            <w:pPr>
              <w:pStyle w:val="37"/>
              <w:spacing w:line="240" w:lineRule="auto"/>
              <w:ind w:left="-72" w:leftChars="-30" w:right="-72" w:rightChars="-30" w:firstLine="0"/>
              <w:jc w:val="center"/>
              <w:rPr>
                <w:rFonts w:hint="eastAsia"/>
                <w:i w:val="0"/>
                <w:iCs w:val="0"/>
                <w:sz w:val="21"/>
                <w:szCs w:val="21"/>
                <w:u w:val="single"/>
              </w:rPr>
            </w:pPr>
            <w:r>
              <w:rPr>
                <w:rFonts w:hint="eastAsia"/>
                <w:i w:val="0"/>
                <w:iCs w:val="0"/>
                <w:sz w:val="21"/>
                <w:szCs w:val="21"/>
                <w:u w:val="single"/>
              </w:rPr>
              <w:t>无组织废气</w:t>
            </w:r>
          </w:p>
        </w:tc>
        <w:tc>
          <w:tcPr>
            <w:tcW w:w="566"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rPr>
              <w:t>0.00</w:t>
            </w:r>
            <w:r>
              <w:rPr>
                <w:rFonts w:hint="eastAsia"/>
                <w:i w:val="0"/>
                <w:iCs w:val="0"/>
                <w:sz w:val="21"/>
                <w:szCs w:val="21"/>
                <w:u w:val="single"/>
                <w:lang w:val="en-US" w:eastAsia="zh-CN"/>
              </w:rPr>
              <w:t>15</w:t>
            </w:r>
          </w:p>
        </w:tc>
        <w:tc>
          <w:tcPr>
            <w:tcW w:w="431"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rPr>
              <w:t>0.000</w:t>
            </w:r>
            <w:r>
              <w:rPr>
                <w:rFonts w:hint="eastAsia"/>
                <w:i w:val="0"/>
                <w:iCs w:val="0"/>
                <w:sz w:val="21"/>
                <w:szCs w:val="21"/>
                <w:u w:val="single"/>
                <w:lang w:val="en-US" w:eastAsia="zh-CN"/>
              </w:rPr>
              <w:t>19</w:t>
            </w:r>
          </w:p>
        </w:tc>
        <w:tc>
          <w:tcPr>
            <w:tcW w:w="612" w:type="pct"/>
            <w:vMerge w:val="continue"/>
            <w:noWrap w:val="0"/>
            <w:vAlign w:val="center"/>
          </w:tcPr>
          <w:p>
            <w:pPr>
              <w:pStyle w:val="37"/>
              <w:spacing w:line="240" w:lineRule="auto"/>
              <w:ind w:left="-72" w:leftChars="-30" w:right="-72" w:rightChars="-30" w:firstLine="0"/>
              <w:jc w:val="center"/>
              <w:rPr>
                <w:rFonts w:hint="eastAsia"/>
                <w:i w:val="0"/>
                <w:iCs w:val="0"/>
                <w:sz w:val="21"/>
                <w:szCs w:val="21"/>
                <w:u w:val="single"/>
              </w:rPr>
            </w:pPr>
          </w:p>
        </w:tc>
        <w:tc>
          <w:tcPr>
            <w:tcW w:w="1413" w:type="dxa"/>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rPr>
              <w:t>0.00</w:t>
            </w:r>
            <w:r>
              <w:rPr>
                <w:rFonts w:hint="eastAsia"/>
                <w:i w:val="0"/>
                <w:iCs w:val="0"/>
                <w:sz w:val="21"/>
                <w:szCs w:val="21"/>
                <w:u w:val="single"/>
                <w:lang w:val="en-US" w:eastAsia="zh-CN"/>
              </w:rPr>
              <w:t>15</w:t>
            </w:r>
          </w:p>
        </w:tc>
        <w:tc>
          <w:tcPr>
            <w:tcW w:w="367" w:type="pct"/>
            <w:noWrap w:val="0"/>
            <w:vAlign w:val="center"/>
          </w:tcPr>
          <w:p>
            <w:pPr>
              <w:pStyle w:val="37"/>
              <w:spacing w:line="240" w:lineRule="auto"/>
              <w:ind w:left="-72" w:leftChars="-30" w:right="-72" w:rightChars="-30" w:firstLine="0"/>
              <w:jc w:val="center"/>
              <w:rPr>
                <w:rFonts w:hint="eastAsia"/>
                <w:i w:val="0"/>
                <w:iCs w:val="0"/>
                <w:sz w:val="21"/>
                <w:szCs w:val="21"/>
                <w:u w:val="single"/>
              </w:rPr>
            </w:pPr>
            <w:r>
              <w:rPr>
                <w:rFonts w:hint="eastAsia"/>
                <w:i w:val="0"/>
                <w:iCs w:val="0"/>
                <w:sz w:val="21"/>
                <w:szCs w:val="21"/>
                <w:u w:val="single"/>
                <w:lang w:val="en-US" w:eastAsia="zh-CN"/>
              </w:rPr>
              <w:t>7800</w:t>
            </w:r>
          </w:p>
        </w:tc>
        <w:tc>
          <w:tcPr>
            <w:tcW w:w="1260" w:type="dxa"/>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rPr>
              <w:t>0.000</w:t>
            </w:r>
            <w:r>
              <w:rPr>
                <w:rFonts w:hint="eastAsia"/>
                <w:i w:val="0"/>
                <w:iCs w:val="0"/>
                <w:sz w:val="21"/>
                <w:szCs w:val="21"/>
                <w:u w:val="single"/>
                <w:lang w:val="en-US" w:eastAsia="zh-CN"/>
              </w:rPr>
              <w:t>19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32" w:hRule="atLeast"/>
          <w:jc w:val="center"/>
        </w:trPr>
        <w:tc>
          <w:tcPr>
            <w:tcW w:w="478" w:type="pct"/>
            <w:vMerge w:val="restart"/>
            <w:noWrap w:val="0"/>
            <w:vAlign w:val="center"/>
          </w:tcPr>
          <w:p>
            <w:pPr>
              <w:pStyle w:val="37"/>
              <w:spacing w:line="240" w:lineRule="auto"/>
              <w:ind w:left="-72" w:leftChars="-30" w:right="-72" w:rightChars="-30" w:firstLine="0"/>
              <w:jc w:val="center"/>
              <w:rPr>
                <w:rFonts w:hint="eastAsia"/>
                <w:i w:val="0"/>
                <w:iCs w:val="0"/>
                <w:sz w:val="21"/>
                <w:szCs w:val="21"/>
                <w:u w:val="single"/>
              </w:rPr>
            </w:pPr>
            <w:r>
              <w:rPr>
                <w:rFonts w:hint="eastAsia"/>
                <w:i w:val="0"/>
                <w:iCs w:val="0"/>
                <w:sz w:val="21"/>
                <w:szCs w:val="21"/>
                <w:u w:val="single"/>
              </w:rPr>
              <w:t>发酵车间</w:t>
            </w:r>
          </w:p>
        </w:tc>
        <w:tc>
          <w:tcPr>
            <w:tcW w:w="797" w:type="pct"/>
            <w:noWrap w:val="0"/>
            <w:vAlign w:val="center"/>
          </w:tcPr>
          <w:p>
            <w:pPr>
              <w:pStyle w:val="37"/>
              <w:spacing w:line="240" w:lineRule="auto"/>
              <w:ind w:left="-72" w:leftChars="-30" w:right="-72" w:rightChars="-30" w:firstLine="0"/>
              <w:jc w:val="center"/>
              <w:rPr>
                <w:rFonts w:hint="eastAsia"/>
                <w:i w:val="0"/>
                <w:iCs w:val="0"/>
                <w:sz w:val="21"/>
                <w:szCs w:val="21"/>
                <w:u w:val="single"/>
              </w:rPr>
            </w:pPr>
            <w:r>
              <w:rPr>
                <w:i w:val="0"/>
                <w:iCs w:val="0"/>
                <w:sz w:val="21"/>
                <w:szCs w:val="21"/>
                <w:u w:val="single"/>
              </w:rPr>
              <w:t>NH</w:t>
            </w:r>
            <w:r>
              <w:rPr>
                <w:i w:val="0"/>
                <w:iCs w:val="0"/>
                <w:sz w:val="21"/>
                <w:szCs w:val="21"/>
                <w:u w:val="single"/>
                <w:vertAlign w:val="subscript"/>
              </w:rPr>
              <w:t>3</w:t>
            </w:r>
          </w:p>
        </w:tc>
        <w:tc>
          <w:tcPr>
            <w:tcW w:w="805" w:type="pct"/>
            <w:noWrap w:val="0"/>
            <w:vAlign w:val="center"/>
          </w:tcPr>
          <w:p>
            <w:pPr>
              <w:pStyle w:val="37"/>
              <w:spacing w:line="240" w:lineRule="auto"/>
              <w:ind w:left="-72" w:leftChars="-30" w:right="-72" w:rightChars="-30" w:firstLine="0"/>
              <w:jc w:val="center"/>
              <w:rPr>
                <w:rFonts w:hint="eastAsia"/>
                <w:i w:val="0"/>
                <w:iCs w:val="0"/>
                <w:sz w:val="21"/>
                <w:szCs w:val="21"/>
                <w:u w:val="single"/>
              </w:rPr>
            </w:pPr>
            <w:r>
              <w:rPr>
                <w:rFonts w:hint="eastAsia"/>
                <w:i w:val="0"/>
                <w:iCs w:val="0"/>
                <w:sz w:val="21"/>
                <w:szCs w:val="21"/>
                <w:u w:val="single"/>
              </w:rPr>
              <w:t>无组织废气</w:t>
            </w:r>
          </w:p>
        </w:tc>
        <w:tc>
          <w:tcPr>
            <w:tcW w:w="566"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rPr>
              <w:t>0.1</w:t>
            </w:r>
            <w:r>
              <w:rPr>
                <w:rFonts w:hint="eastAsia"/>
                <w:i w:val="0"/>
                <w:iCs w:val="0"/>
                <w:sz w:val="21"/>
                <w:szCs w:val="21"/>
                <w:u w:val="single"/>
                <w:lang w:val="en-US" w:eastAsia="zh-CN"/>
              </w:rPr>
              <w:t>88</w:t>
            </w:r>
          </w:p>
        </w:tc>
        <w:tc>
          <w:tcPr>
            <w:tcW w:w="431" w:type="pct"/>
            <w:noWrap w:val="0"/>
            <w:vAlign w:val="center"/>
          </w:tcPr>
          <w:p>
            <w:pPr>
              <w:pStyle w:val="37"/>
              <w:spacing w:line="240" w:lineRule="auto"/>
              <w:ind w:left="-72" w:leftChars="-30" w:right="-72" w:rightChars="-30" w:firstLine="0"/>
              <w:jc w:val="center"/>
              <w:rPr>
                <w:rFonts w:hint="eastAsia" w:eastAsia="宋体"/>
                <w:i w:val="0"/>
                <w:iCs w:val="0"/>
                <w:sz w:val="21"/>
                <w:szCs w:val="21"/>
                <w:u w:val="single"/>
                <w:lang w:eastAsia="zh-CN"/>
              </w:rPr>
            </w:pPr>
            <w:r>
              <w:rPr>
                <w:rFonts w:hint="eastAsia"/>
                <w:i w:val="0"/>
                <w:iCs w:val="0"/>
                <w:sz w:val="21"/>
                <w:szCs w:val="21"/>
                <w:u w:val="single"/>
              </w:rPr>
              <w:t>0.02</w:t>
            </w:r>
            <w:r>
              <w:rPr>
                <w:rFonts w:hint="eastAsia"/>
                <w:i w:val="0"/>
                <w:iCs w:val="0"/>
                <w:sz w:val="21"/>
                <w:szCs w:val="21"/>
                <w:u w:val="single"/>
                <w:lang w:val="en-US" w:eastAsia="zh-CN"/>
              </w:rPr>
              <w:t>5</w:t>
            </w:r>
          </w:p>
        </w:tc>
        <w:tc>
          <w:tcPr>
            <w:tcW w:w="612" w:type="pct"/>
            <w:vMerge w:val="restart"/>
            <w:noWrap w:val="0"/>
            <w:vAlign w:val="center"/>
          </w:tcPr>
          <w:p>
            <w:pPr>
              <w:pStyle w:val="37"/>
              <w:spacing w:line="240" w:lineRule="auto"/>
              <w:ind w:left="-72" w:leftChars="-30" w:right="-72" w:rightChars="-30" w:firstLine="0"/>
              <w:jc w:val="center"/>
              <w:rPr>
                <w:rFonts w:hint="eastAsia"/>
                <w:i w:val="0"/>
                <w:iCs w:val="0"/>
                <w:sz w:val="21"/>
                <w:szCs w:val="21"/>
                <w:u w:val="single"/>
              </w:rPr>
            </w:pPr>
            <w:r>
              <w:rPr>
                <w:rFonts w:hint="eastAsia"/>
                <w:i w:val="0"/>
                <w:iCs w:val="0"/>
                <w:sz w:val="21"/>
                <w:szCs w:val="21"/>
                <w:u w:val="single"/>
              </w:rPr>
              <w:t>车间密闭</w:t>
            </w:r>
          </w:p>
        </w:tc>
        <w:tc>
          <w:tcPr>
            <w:tcW w:w="1413" w:type="dxa"/>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rPr>
              <w:t>0.1</w:t>
            </w:r>
            <w:r>
              <w:rPr>
                <w:rFonts w:hint="eastAsia"/>
                <w:i w:val="0"/>
                <w:iCs w:val="0"/>
                <w:sz w:val="21"/>
                <w:szCs w:val="21"/>
                <w:u w:val="single"/>
                <w:lang w:val="en-US" w:eastAsia="zh-CN"/>
              </w:rPr>
              <w:t>88</w:t>
            </w:r>
          </w:p>
        </w:tc>
        <w:tc>
          <w:tcPr>
            <w:tcW w:w="367" w:type="pct"/>
            <w:noWrap w:val="0"/>
            <w:vAlign w:val="center"/>
          </w:tcPr>
          <w:p>
            <w:pPr>
              <w:spacing w:line="240" w:lineRule="auto"/>
              <w:ind w:left="-72" w:leftChars="-30" w:right="-72" w:rightChars="-30" w:firstLine="0"/>
              <w:jc w:val="center"/>
              <w:rPr>
                <w:rFonts w:hint="eastAsia"/>
                <w:i w:val="0"/>
                <w:iCs w:val="0"/>
                <w:sz w:val="21"/>
                <w:szCs w:val="21"/>
                <w:u w:val="single"/>
              </w:rPr>
            </w:pPr>
            <w:r>
              <w:rPr>
                <w:rFonts w:hint="eastAsia"/>
                <w:i w:val="0"/>
                <w:iCs w:val="0"/>
                <w:sz w:val="21"/>
                <w:szCs w:val="21"/>
                <w:u w:val="single"/>
                <w:lang w:val="en-US" w:eastAsia="zh-CN"/>
              </w:rPr>
              <w:t>7632</w:t>
            </w:r>
          </w:p>
        </w:tc>
        <w:tc>
          <w:tcPr>
            <w:tcW w:w="1260" w:type="dxa"/>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rPr>
              <w:t>0.02</w:t>
            </w:r>
            <w:r>
              <w:rPr>
                <w:rFonts w:hint="eastAsia"/>
                <w:i w:val="0"/>
                <w:iCs w:val="0"/>
                <w:sz w:val="21"/>
                <w:szCs w:val="21"/>
                <w:u w:val="single"/>
                <w:lang w:val="en-US" w:eastAsia="zh-CN"/>
              </w:rPr>
              <w:t>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10" w:hRule="atLeast"/>
          <w:jc w:val="center"/>
        </w:trPr>
        <w:tc>
          <w:tcPr>
            <w:tcW w:w="478" w:type="pct"/>
            <w:vMerge w:val="continue"/>
            <w:noWrap w:val="0"/>
            <w:vAlign w:val="center"/>
          </w:tcPr>
          <w:p>
            <w:pPr>
              <w:pStyle w:val="37"/>
              <w:spacing w:line="240" w:lineRule="auto"/>
              <w:ind w:left="-72" w:leftChars="-30" w:right="-72" w:rightChars="-30" w:firstLine="0"/>
              <w:jc w:val="center"/>
              <w:rPr>
                <w:rFonts w:hint="eastAsia"/>
                <w:i w:val="0"/>
                <w:iCs w:val="0"/>
                <w:sz w:val="21"/>
                <w:szCs w:val="21"/>
                <w:u w:val="single"/>
              </w:rPr>
            </w:pPr>
          </w:p>
        </w:tc>
        <w:tc>
          <w:tcPr>
            <w:tcW w:w="797" w:type="pct"/>
            <w:noWrap w:val="0"/>
            <w:vAlign w:val="center"/>
          </w:tcPr>
          <w:p>
            <w:pPr>
              <w:pStyle w:val="37"/>
              <w:spacing w:line="240" w:lineRule="auto"/>
              <w:ind w:left="-72" w:leftChars="-30" w:right="-72" w:rightChars="-30" w:firstLine="0"/>
              <w:jc w:val="center"/>
              <w:rPr>
                <w:rFonts w:hint="eastAsia"/>
                <w:i w:val="0"/>
                <w:iCs w:val="0"/>
                <w:sz w:val="21"/>
                <w:szCs w:val="21"/>
                <w:u w:val="single"/>
              </w:rPr>
            </w:pPr>
            <w:r>
              <w:rPr>
                <w:rFonts w:hint="eastAsia"/>
                <w:i w:val="0"/>
                <w:iCs w:val="0"/>
                <w:sz w:val="21"/>
                <w:szCs w:val="21"/>
                <w:u w:val="single"/>
              </w:rPr>
              <w:t>非甲烷总烃</w:t>
            </w:r>
          </w:p>
        </w:tc>
        <w:tc>
          <w:tcPr>
            <w:tcW w:w="805" w:type="pct"/>
            <w:noWrap w:val="0"/>
            <w:vAlign w:val="center"/>
          </w:tcPr>
          <w:p>
            <w:pPr>
              <w:pStyle w:val="37"/>
              <w:spacing w:line="240" w:lineRule="auto"/>
              <w:ind w:left="-72" w:leftChars="-30" w:right="-72" w:rightChars="-30" w:firstLine="0"/>
              <w:jc w:val="center"/>
              <w:rPr>
                <w:rFonts w:hint="eastAsia"/>
                <w:i w:val="0"/>
                <w:iCs w:val="0"/>
                <w:sz w:val="21"/>
                <w:szCs w:val="21"/>
                <w:u w:val="single"/>
              </w:rPr>
            </w:pPr>
            <w:r>
              <w:rPr>
                <w:rFonts w:hint="eastAsia"/>
                <w:i w:val="0"/>
                <w:iCs w:val="0"/>
                <w:sz w:val="21"/>
                <w:szCs w:val="21"/>
                <w:u w:val="single"/>
              </w:rPr>
              <w:t>无组织废气</w:t>
            </w:r>
          </w:p>
        </w:tc>
        <w:tc>
          <w:tcPr>
            <w:tcW w:w="566"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0.059</w:t>
            </w:r>
          </w:p>
        </w:tc>
        <w:tc>
          <w:tcPr>
            <w:tcW w:w="431" w:type="pct"/>
            <w:noWrap w:val="0"/>
            <w:vAlign w:val="center"/>
          </w:tcPr>
          <w:p>
            <w:pPr>
              <w:pStyle w:val="37"/>
              <w:spacing w:line="240" w:lineRule="auto"/>
              <w:ind w:left="-72" w:leftChars="-30" w:right="-72" w:rightChars="-30" w:firstLine="0"/>
              <w:jc w:val="center"/>
              <w:rPr>
                <w:rFonts w:hint="default" w:eastAsia="宋体"/>
                <w:i w:val="0"/>
                <w:iCs w:val="0"/>
                <w:sz w:val="21"/>
                <w:szCs w:val="21"/>
                <w:u w:val="single"/>
                <w:lang w:val="en-US" w:eastAsia="zh-CN"/>
              </w:rPr>
            </w:pPr>
            <w:r>
              <w:rPr>
                <w:rFonts w:hint="eastAsia"/>
                <w:i w:val="0"/>
                <w:iCs w:val="0"/>
                <w:sz w:val="21"/>
                <w:szCs w:val="21"/>
                <w:u w:val="single"/>
                <w:lang w:val="en-US" w:eastAsia="zh-CN"/>
              </w:rPr>
              <w:t>0.008</w:t>
            </w:r>
          </w:p>
        </w:tc>
        <w:tc>
          <w:tcPr>
            <w:tcW w:w="612" w:type="pct"/>
            <w:vMerge w:val="continue"/>
            <w:noWrap w:val="0"/>
            <w:vAlign w:val="center"/>
          </w:tcPr>
          <w:p>
            <w:pPr>
              <w:pStyle w:val="37"/>
              <w:spacing w:line="240" w:lineRule="auto"/>
              <w:ind w:left="-72" w:leftChars="-30" w:right="-72" w:rightChars="-30" w:firstLine="0"/>
              <w:jc w:val="center"/>
              <w:rPr>
                <w:rFonts w:hint="eastAsia"/>
                <w:i w:val="0"/>
                <w:iCs w:val="0"/>
                <w:sz w:val="21"/>
                <w:szCs w:val="21"/>
                <w:u w:val="single"/>
              </w:rPr>
            </w:pPr>
          </w:p>
        </w:tc>
        <w:tc>
          <w:tcPr>
            <w:tcW w:w="1413" w:type="dxa"/>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0.059</w:t>
            </w:r>
          </w:p>
        </w:tc>
        <w:tc>
          <w:tcPr>
            <w:tcW w:w="367" w:type="pct"/>
            <w:noWrap w:val="0"/>
            <w:vAlign w:val="center"/>
          </w:tcPr>
          <w:p>
            <w:pPr>
              <w:spacing w:line="240" w:lineRule="auto"/>
              <w:ind w:left="-72" w:leftChars="-30" w:right="-72" w:rightChars="-30" w:firstLine="0"/>
              <w:jc w:val="center"/>
              <w:rPr>
                <w:rFonts w:hint="eastAsia"/>
                <w:i w:val="0"/>
                <w:iCs w:val="0"/>
                <w:sz w:val="21"/>
                <w:szCs w:val="21"/>
                <w:u w:val="single"/>
              </w:rPr>
            </w:pPr>
            <w:r>
              <w:rPr>
                <w:rFonts w:hint="eastAsia"/>
                <w:i w:val="0"/>
                <w:iCs w:val="0"/>
                <w:sz w:val="21"/>
                <w:szCs w:val="21"/>
                <w:u w:val="single"/>
                <w:lang w:val="en-US" w:eastAsia="zh-CN"/>
              </w:rPr>
              <w:t>7632</w:t>
            </w:r>
          </w:p>
        </w:tc>
        <w:tc>
          <w:tcPr>
            <w:tcW w:w="1260" w:type="dxa"/>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0.008</w:t>
            </w:r>
          </w:p>
        </w:tc>
      </w:tr>
    </w:tbl>
    <w:p>
      <w:pPr>
        <w:spacing w:line="360" w:lineRule="auto"/>
        <w:ind w:firstLine="482" w:firstLineChars="200"/>
        <w:rPr>
          <w:rFonts w:hint="eastAsia"/>
          <w:b/>
          <w:i w:val="0"/>
          <w:iCs w:val="0"/>
          <w:u w:val="single"/>
        </w:rPr>
        <w:sectPr>
          <w:pgSz w:w="16840" w:h="11907" w:orient="landscape"/>
          <w:pgMar w:top="1304" w:right="1418" w:bottom="1304" w:left="1418" w:header="851" w:footer="1134" w:gutter="0"/>
          <w:pgBorders>
            <w:top w:val="none" w:sz="0" w:space="0"/>
            <w:left w:val="none" w:sz="0" w:space="0"/>
            <w:bottom w:val="none" w:sz="0" w:space="0"/>
            <w:right w:val="none" w:sz="0" w:space="0"/>
          </w:pgBorders>
          <w:pgNumType w:fmt="decimal"/>
          <w:cols w:space="720" w:num="1"/>
          <w:docGrid w:linePitch="312" w:charSpace="0"/>
        </w:sectPr>
      </w:pPr>
    </w:p>
    <w:p>
      <w:pPr>
        <w:spacing w:line="360" w:lineRule="auto"/>
        <w:ind w:firstLine="482" w:firstLineChars="200"/>
        <w:rPr>
          <w:b/>
          <w:i w:val="0"/>
          <w:iCs w:val="0"/>
        </w:rPr>
      </w:pPr>
      <w:r>
        <w:rPr>
          <w:rFonts w:hint="eastAsia"/>
          <w:b/>
          <w:i w:val="0"/>
          <w:iCs w:val="0"/>
        </w:rPr>
        <w:t>3</w:t>
      </w:r>
      <w:r>
        <w:rPr>
          <w:b/>
          <w:i w:val="0"/>
          <w:iCs w:val="0"/>
        </w:rPr>
        <w:t>.</w:t>
      </w:r>
      <w:r>
        <w:rPr>
          <w:rFonts w:hint="eastAsia"/>
          <w:b/>
          <w:i w:val="0"/>
          <w:iCs w:val="0"/>
        </w:rPr>
        <w:t>7</w:t>
      </w:r>
      <w:r>
        <w:rPr>
          <w:b/>
          <w:i w:val="0"/>
          <w:iCs w:val="0"/>
        </w:rPr>
        <w:t>.3噪声</w:t>
      </w:r>
    </w:p>
    <w:p>
      <w:pPr>
        <w:pStyle w:val="402"/>
        <w:rPr>
          <w:rFonts w:hAnsi="Times New Roman"/>
          <w:i w:val="0"/>
          <w:iCs w:val="0"/>
          <w:color w:val="000000"/>
        </w:rPr>
      </w:pPr>
      <w:r>
        <w:rPr>
          <w:rFonts w:hAnsi="Times New Roman"/>
          <w:i w:val="0"/>
          <w:iCs w:val="0"/>
          <w:color w:val="000000"/>
        </w:rPr>
        <w:t>拟建项目噪声主要来源于各类机械设备，如离心机、喷雾干燥机、空压机、冷水机、冷却塔等，在采取降噪措施后预计噪声值可减少20dB（A），具体噪声源强见表</w:t>
      </w:r>
      <w:r>
        <w:rPr>
          <w:rFonts w:hint="eastAsia" w:hAnsi="Times New Roman"/>
          <w:i w:val="0"/>
          <w:iCs w:val="0"/>
          <w:color w:val="000000"/>
        </w:rPr>
        <w:t>3-</w:t>
      </w:r>
      <w:r>
        <w:rPr>
          <w:rFonts w:hint="eastAsia" w:hAnsi="Times New Roman"/>
          <w:i w:val="0"/>
          <w:iCs w:val="0"/>
          <w:color w:val="000000"/>
          <w:lang w:val="en-US" w:eastAsia="zh-CN"/>
        </w:rPr>
        <w:t>34</w:t>
      </w:r>
      <w:r>
        <w:rPr>
          <w:rFonts w:hAnsi="Times New Roman"/>
          <w:i w:val="0"/>
          <w:iCs w:val="0"/>
          <w:color w:val="000000"/>
        </w:rPr>
        <w:t>。本环评将各主噪声源进行预测，厂界噪声贡献值为所有高噪声</w:t>
      </w:r>
      <w:r>
        <w:rPr>
          <w:rFonts w:hint="eastAsia" w:hAnsi="Times New Roman"/>
          <w:i w:val="0"/>
          <w:iCs w:val="0"/>
          <w:color w:val="000000"/>
        </w:rPr>
        <w:t>源</w:t>
      </w:r>
      <w:r>
        <w:rPr>
          <w:rFonts w:hAnsi="Times New Roman"/>
          <w:i w:val="0"/>
          <w:iCs w:val="0"/>
          <w:color w:val="000000"/>
        </w:rPr>
        <w:t>在厂界处噪声贡献值的叠加值。</w:t>
      </w:r>
    </w:p>
    <w:p>
      <w:pPr>
        <w:pStyle w:val="90"/>
        <w:jc w:val="center"/>
        <w:rPr>
          <w:rFonts w:hint="eastAsia"/>
          <w:b/>
          <w:bCs/>
          <w:i w:val="0"/>
          <w:iCs w:val="0"/>
        </w:rPr>
      </w:pPr>
      <w:r>
        <w:rPr>
          <w:rFonts w:hint="eastAsia"/>
          <w:b/>
          <w:bCs/>
          <w:i w:val="0"/>
          <w:iCs w:val="0"/>
        </w:rPr>
        <w:t>表3-</w:t>
      </w:r>
      <w:r>
        <w:rPr>
          <w:rFonts w:hint="eastAsia"/>
          <w:b/>
          <w:bCs/>
          <w:i w:val="0"/>
          <w:iCs w:val="0"/>
          <w:lang w:val="en-US" w:eastAsia="zh-CN"/>
        </w:rPr>
        <w:t>34</w:t>
      </w:r>
      <w:r>
        <w:rPr>
          <w:rFonts w:hint="eastAsia"/>
          <w:b/>
          <w:bCs/>
          <w:i w:val="0"/>
          <w:iCs w:val="0"/>
        </w:rPr>
        <w:t xml:space="preserve">  项目噪声产生及排放情况</w:t>
      </w:r>
    </w:p>
    <w:tbl>
      <w:tblPr>
        <w:tblStyle w:val="5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61"/>
        <w:gridCol w:w="2197"/>
        <w:gridCol w:w="1578"/>
        <w:gridCol w:w="23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66" w:type="pct"/>
            <w:noWrap w:val="0"/>
            <w:vAlign w:val="center"/>
          </w:tcPr>
          <w:p>
            <w:pPr>
              <w:jc w:val="center"/>
              <w:rPr>
                <w:i w:val="0"/>
                <w:iCs w:val="0"/>
                <w:color w:val="000000"/>
                <w:sz w:val="21"/>
                <w:szCs w:val="21"/>
              </w:rPr>
            </w:pPr>
            <w:r>
              <w:rPr>
                <w:i w:val="0"/>
                <w:iCs w:val="0"/>
                <w:color w:val="000000"/>
                <w:sz w:val="21"/>
                <w:szCs w:val="21"/>
              </w:rPr>
              <w:t>设备名称</w:t>
            </w:r>
          </w:p>
        </w:tc>
        <w:tc>
          <w:tcPr>
            <w:tcW w:w="1154" w:type="pct"/>
            <w:noWrap w:val="0"/>
            <w:vAlign w:val="center"/>
          </w:tcPr>
          <w:p>
            <w:pPr>
              <w:jc w:val="center"/>
              <w:rPr>
                <w:i w:val="0"/>
                <w:iCs w:val="0"/>
                <w:color w:val="000000"/>
                <w:sz w:val="21"/>
                <w:szCs w:val="21"/>
              </w:rPr>
            </w:pPr>
            <w:r>
              <w:rPr>
                <w:i w:val="0"/>
                <w:iCs w:val="0"/>
                <w:color w:val="000000"/>
                <w:sz w:val="21"/>
                <w:szCs w:val="21"/>
              </w:rPr>
              <w:t>单机噪声级dB(A)</w:t>
            </w:r>
          </w:p>
        </w:tc>
        <w:tc>
          <w:tcPr>
            <w:tcW w:w="829" w:type="pct"/>
            <w:noWrap w:val="0"/>
            <w:vAlign w:val="top"/>
          </w:tcPr>
          <w:p>
            <w:pPr>
              <w:jc w:val="center"/>
              <w:rPr>
                <w:i w:val="0"/>
                <w:iCs w:val="0"/>
                <w:color w:val="000000"/>
                <w:sz w:val="21"/>
                <w:szCs w:val="21"/>
              </w:rPr>
            </w:pPr>
            <w:r>
              <w:rPr>
                <w:i w:val="0"/>
                <w:iCs w:val="0"/>
                <w:color w:val="000000"/>
                <w:sz w:val="21"/>
                <w:szCs w:val="21"/>
              </w:rPr>
              <w:t>排放方式</w:t>
            </w:r>
          </w:p>
        </w:tc>
        <w:tc>
          <w:tcPr>
            <w:tcW w:w="1249" w:type="pct"/>
            <w:noWrap w:val="0"/>
            <w:vAlign w:val="center"/>
          </w:tcPr>
          <w:p>
            <w:pPr>
              <w:jc w:val="center"/>
              <w:rPr>
                <w:i w:val="0"/>
                <w:iCs w:val="0"/>
                <w:color w:val="000000"/>
                <w:sz w:val="21"/>
                <w:szCs w:val="21"/>
              </w:rPr>
            </w:pPr>
            <w:r>
              <w:rPr>
                <w:i w:val="0"/>
                <w:iCs w:val="0"/>
                <w:color w:val="000000"/>
                <w:sz w:val="21"/>
                <w:szCs w:val="21"/>
              </w:rPr>
              <w:t>备 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66" w:type="pct"/>
            <w:noWrap w:val="0"/>
            <w:vAlign w:val="center"/>
          </w:tcPr>
          <w:p>
            <w:pPr>
              <w:jc w:val="center"/>
              <w:rPr>
                <w:i w:val="0"/>
                <w:iCs w:val="0"/>
                <w:color w:val="000000"/>
                <w:sz w:val="21"/>
                <w:szCs w:val="21"/>
              </w:rPr>
            </w:pPr>
            <w:r>
              <w:rPr>
                <w:i w:val="0"/>
                <w:iCs w:val="0"/>
                <w:color w:val="000000"/>
                <w:sz w:val="21"/>
                <w:szCs w:val="21"/>
              </w:rPr>
              <w:t>空调机组</w:t>
            </w:r>
          </w:p>
        </w:tc>
        <w:tc>
          <w:tcPr>
            <w:tcW w:w="1154" w:type="pct"/>
            <w:noWrap w:val="0"/>
            <w:vAlign w:val="center"/>
          </w:tcPr>
          <w:p>
            <w:pPr>
              <w:jc w:val="center"/>
              <w:rPr>
                <w:i w:val="0"/>
                <w:iCs w:val="0"/>
                <w:color w:val="000000"/>
                <w:sz w:val="21"/>
                <w:szCs w:val="21"/>
              </w:rPr>
            </w:pPr>
            <w:r>
              <w:rPr>
                <w:i w:val="0"/>
                <w:iCs w:val="0"/>
                <w:color w:val="000000"/>
                <w:sz w:val="21"/>
                <w:szCs w:val="21"/>
              </w:rPr>
              <w:t>80</w:t>
            </w:r>
          </w:p>
        </w:tc>
        <w:tc>
          <w:tcPr>
            <w:tcW w:w="829" w:type="pct"/>
            <w:noWrap w:val="0"/>
            <w:vAlign w:val="top"/>
          </w:tcPr>
          <w:p>
            <w:pPr>
              <w:jc w:val="center"/>
              <w:rPr>
                <w:i w:val="0"/>
                <w:iCs w:val="0"/>
                <w:color w:val="000000"/>
                <w:sz w:val="21"/>
                <w:szCs w:val="21"/>
              </w:rPr>
            </w:pPr>
            <w:r>
              <w:rPr>
                <w:i w:val="0"/>
                <w:iCs w:val="0"/>
                <w:color w:val="000000"/>
                <w:sz w:val="21"/>
                <w:szCs w:val="21"/>
              </w:rPr>
              <w:t>连续</w:t>
            </w:r>
          </w:p>
        </w:tc>
        <w:tc>
          <w:tcPr>
            <w:tcW w:w="1249" w:type="pct"/>
            <w:noWrap w:val="0"/>
            <w:vAlign w:val="center"/>
          </w:tcPr>
          <w:p>
            <w:pPr>
              <w:jc w:val="center"/>
              <w:rPr>
                <w:i w:val="0"/>
                <w:iCs w:val="0"/>
                <w:color w:val="000000"/>
                <w:sz w:val="21"/>
                <w:szCs w:val="21"/>
              </w:rPr>
            </w:pPr>
            <w:r>
              <w:rPr>
                <w:rFonts w:hint="eastAsia"/>
                <w:i w:val="0"/>
                <w:iCs w:val="0"/>
                <w:color w:val="000000"/>
                <w:sz w:val="21"/>
                <w:szCs w:val="21"/>
              </w:rPr>
              <w:t>室内布置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66" w:type="pct"/>
            <w:noWrap w:val="0"/>
            <w:vAlign w:val="center"/>
          </w:tcPr>
          <w:p>
            <w:pPr>
              <w:jc w:val="center"/>
              <w:rPr>
                <w:i w:val="0"/>
                <w:iCs w:val="0"/>
                <w:color w:val="000000"/>
                <w:sz w:val="21"/>
                <w:szCs w:val="21"/>
              </w:rPr>
            </w:pPr>
            <w:r>
              <w:rPr>
                <w:i w:val="0"/>
                <w:iCs w:val="0"/>
                <w:color w:val="000000"/>
                <w:sz w:val="21"/>
                <w:szCs w:val="21"/>
              </w:rPr>
              <w:t>离心机</w:t>
            </w:r>
          </w:p>
        </w:tc>
        <w:tc>
          <w:tcPr>
            <w:tcW w:w="1154" w:type="pct"/>
            <w:noWrap w:val="0"/>
            <w:vAlign w:val="center"/>
          </w:tcPr>
          <w:p>
            <w:pPr>
              <w:jc w:val="center"/>
              <w:rPr>
                <w:i w:val="0"/>
                <w:iCs w:val="0"/>
                <w:color w:val="000000"/>
                <w:sz w:val="21"/>
                <w:szCs w:val="21"/>
              </w:rPr>
            </w:pPr>
            <w:r>
              <w:rPr>
                <w:i w:val="0"/>
                <w:iCs w:val="0"/>
                <w:color w:val="000000"/>
                <w:sz w:val="21"/>
                <w:szCs w:val="21"/>
              </w:rPr>
              <w:t>75</w:t>
            </w:r>
          </w:p>
        </w:tc>
        <w:tc>
          <w:tcPr>
            <w:tcW w:w="829" w:type="pct"/>
            <w:noWrap w:val="0"/>
            <w:vAlign w:val="top"/>
          </w:tcPr>
          <w:p>
            <w:pPr>
              <w:jc w:val="center"/>
              <w:rPr>
                <w:i w:val="0"/>
                <w:iCs w:val="0"/>
                <w:color w:val="000000"/>
                <w:sz w:val="21"/>
                <w:szCs w:val="21"/>
              </w:rPr>
            </w:pPr>
            <w:r>
              <w:rPr>
                <w:i w:val="0"/>
                <w:iCs w:val="0"/>
                <w:color w:val="000000"/>
                <w:sz w:val="21"/>
                <w:szCs w:val="21"/>
              </w:rPr>
              <w:t>连续</w:t>
            </w:r>
          </w:p>
        </w:tc>
        <w:tc>
          <w:tcPr>
            <w:tcW w:w="1249" w:type="pct"/>
            <w:noWrap w:val="0"/>
            <w:vAlign w:val="center"/>
          </w:tcPr>
          <w:p>
            <w:pPr>
              <w:jc w:val="center"/>
              <w:rPr>
                <w:i w:val="0"/>
                <w:iCs w:val="0"/>
                <w:color w:val="000000"/>
                <w:sz w:val="21"/>
                <w:szCs w:val="21"/>
              </w:rPr>
            </w:pPr>
            <w:r>
              <w:rPr>
                <w:rFonts w:hint="eastAsia"/>
                <w:i w:val="0"/>
                <w:iCs w:val="0"/>
                <w:color w:val="000000"/>
                <w:sz w:val="21"/>
                <w:szCs w:val="21"/>
              </w:rPr>
              <w:t>室内布置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66" w:type="pct"/>
            <w:noWrap w:val="0"/>
            <w:vAlign w:val="center"/>
          </w:tcPr>
          <w:p>
            <w:pPr>
              <w:jc w:val="center"/>
              <w:rPr>
                <w:rFonts w:hint="eastAsia"/>
                <w:i w:val="0"/>
                <w:iCs w:val="0"/>
                <w:color w:val="000000"/>
                <w:sz w:val="21"/>
                <w:szCs w:val="21"/>
              </w:rPr>
            </w:pPr>
            <w:r>
              <w:rPr>
                <w:rFonts w:hint="eastAsia"/>
                <w:i w:val="0"/>
                <w:iCs w:val="0"/>
                <w:color w:val="000000"/>
                <w:sz w:val="21"/>
                <w:szCs w:val="21"/>
              </w:rPr>
              <w:t>喷雾干燥机</w:t>
            </w:r>
          </w:p>
        </w:tc>
        <w:tc>
          <w:tcPr>
            <w:tcW w:w="1154" w:type="pct"/>
            <w:noWrap w:val="0"/>
            <w:vAlign w:val="center"/>
          </w:tcPr>
          <w:p>
            <w:pPr>
              <w:jc w:val="center"/>
              <w:rPr>
                <w:rFonts w:hint="eastAsia"/>
                <w:i w:val="0"/>
                <w:iCs w:val="0"/>
                <w:color w:val="000000"/>
                <w:sz w:val="21"/>
                <w:szCs w:val="21"/>
              </w:rPr>
            </w:pPr>
            <w:r>
              <w:rPr>
                <w:rFonts w:hint="eastAsia"/>
                <w:i w:val="0"/>
                <w:iCs w:val="0"/>
                <w:color w:val="000000"/>
                <w:sz w:val="21"/>
                <w:szCs w:val="21"/>
              </w:rPr>
              <w:t>85</w:t>
            </w:r>
          </w:p>
        </w:tc>
        <w:tc>
          <w:tcPr>
            <w:tcW w:w="829" w:type="pct"/>
            <w:noWrap w:val="0"/>
            <w:vAlign w:val="top"/>
          </w:tcPr>
          <w:p>
            <w:pPr>
              <w:jc w:val="center"/>
              <w:rPr>
                <w:i w:val="0"/>
                <w:iCs w:val="0"/>
                <w:color w:val="000000"/>
                <w:sz w:val="21"/>
                <w:szCs w:val="21"/>
              </w:rPr>
            </w:pPr>
            <w:r>
              <w:rPr>
                <w:i w:val="0"/>
                <w:iCs w:val="0"/>
                <w:color w:val="000000"/>
                <w:sz w:val="21"/>
                <w:szCs w:val="21"/>
              </w:rPr>
              <w:t>连续</w:t>
            </w:r>
          </w:p>
        </w:tc>
        <w:tc>
          <w:tcPr>
            <w:tcW w:w="1249" w:type="pct"/>
            <w:noWrap w:val="0"/>
            <w:vAlign w:val="center"/>
          </w:tcPr>
          <w:p>
            <w:pPr>
              <w:jc w:val="center"/>
              <w:rPr>
                <w:rFonts w:hint="eastAsia"/>
                <w:i w:val="0"/>
                <w:iCs w:val="0"/>
                <w:color w:val="000000"/>
                <w:sz w:val="21"/>
                <w:szCs w:val="21"/>
              </w:rPr>
            </w:pPr>
            <w:r>
              <w:rPr>
                <w:rFonts w:hint="eastAsia"/>
                <w:i w:val="0"/>
                <w:iCs w:val="0"/>
                <w:color w:val="000000"/>
                <w:sz w:val="21"/>
                <w:szCs w:val="21"/>
              </w:rPr>
              <w:t>室内布置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66" w:type="pct"/>
            <w:noWrap w:val="0"/>
            <w:vAlign w:val="center"/>
          </w:tcPr>
          <w:p>
            <w:pPr>
              <w:jc w:val="center"/>
              <w:rPr>
                <w:rFonts w:hint="eastAsia" w:eastAsia="宋体"/>
                <w:i w:val="0"/>
                <w:iCs w:val="0"/>
                <w:color w:val="000000"/>
                <w:sz w:val="21"/>
                <w:szCs w:val="21"/>
                <w:lang w:val="en-US" w:eastAsia="zh-CN"/>
              </w:rPr>
            </w:pPr>
            <w:r>
              <w:rPr>
                <w:rFonts w:hint="eastAsia"/>
                <w:i w:val="0"/>
                <w:iCs w:val="0"/>
                <w:color w:val="000000"/>
                <w:sz w:val="21"/>
                <w:szCs w:val="21"/>
                <w:lang w:val="en-US" w:eastAsia="zh-CN"/>
              </w:rPr>
              <w:t>热风炉</w:t>
            </w:r>
          </w:p>
        </w:tc>
        <w:tc>
          <w:tcPr>
            <w:tcW w:w="1154" w:type="pct"/>
            <w:noWrap w:val="0"/>
            <w:vAlign w:val="center"/>
          </w:tcPr>
          <w:p>
            <w:pPr>
              <w:jc w:val="center"/>
              <w:rPr>
                <w:rFonts w:hint="eastAsia"/>
                <w:i w:val="0"/>
                <w:iCs w:val="0"/>
                <w:color w:val="000000"/>
                <w:sz w:val="21"/>
                <w:szCs w:val="21"/>
              </w:rPr>
            </w:pPr>
            <w:r>
              <w:rPr>
                <w:rFonts w:hint="eastAsia"/>
                <w:i w:val="0"/>
                <w:iCs w:val="0"/>
                <w:color w:val="000000"/>
                <w:sz w:val="21"/>
                <w:szCs w:val="21"/>
              </w:rPr>
              <w:t>90</w:t>
            </w:r>
          </w:p>
        </w:tc>
        <w:tc>
          <w:tcPr>
            <w:tcW w:w="1578" w:type="dxa"/>
            <w:noWrap w:val="0"/>
            <w:vAlign w:val="top"/>
          </w:tcPr>
          <w:p>
            <w:pPr>
              <w:jc w:val="center"/>
              <w:rPr>
                <w:i w:val="0"/>
                <w:iCs w:val="0"/>
                <w:color w:val="000000"/>
                <w:sz w:val="21"/>
                <w:szCs w:val="21"/>
              </w:rPr>
            </w:pPr>
            <w:r>
              <w:rPr>
                <w:i w:val="0"/>
                <w:iCs w:val="0"/>
                <w:color w:val="000000"/>
                <w:sz w:val="21"/>
                <w:szCs w:val="21"/>
              </w:rPr>
              <w:t>连续</w:t>
            </w:r>
          </w:p>
        </w:tc>
        <w:tc>
          <w:tcPr>
            <w:tcW w:w="2377" w:type="dxa"/>
            <w:noWrap w:val="0"/>
            <w:vAlign w:val="center"/>
          </w:tcPr>
          <w:p>
            <w:pPr>
              <w:jc w:val="center"/>
              <w:rPr>
                <w:rFonts w:hint="eastAsia"/>
                <w:i w:val="0"/>
                <w:iCs w:val="0"/>
                <w:color w:val="000000"/>
                <w:sz w:val="21"/>
                <w:szCs w:val="21"/>
              </w:rPr>
            </w:pPr>
            <w:r>
              <w:rPr>
                <w:rFonts w:hint="eastAsia"/>
                <w:i w:val="0"/>
                <w:iCs w:val="0"/>
                <w:color w:val="000000"/>
                <w:sz w:val="21"/>
                <w:szCs w:val="21"/>
              </w:rPr>
              <w:t>室内布置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1766" w:type="pct"/>
            <w:noWrap w:val="0"/>
            <w:vAlign w:val="center"/>
          </w:tcPr>
          <w:p>
            <w:pPr>
              <w:jc w:val="center"/>
              <w:rPr>
                <w:i w:val="0"/>
                <w:iCs w:val="0"/>
                <w:color w:val="000000"/>
                <w:sz w:val="21"/>
                <w:szCs w:val="21"/>
              </w:rPr>
            </w:pPr>
            <w:r>
              <w:rPr>
                <w:i w:val="0"/>
                <w:iCs w:val="0"/>
                <w:color w:val="000000"/>
                <w:sz w:val="21"/>
                <w:szCs w:val="21"/>
              </w:rPr>
              <w:t>空压机</w:t>
            </w:r>
          </w:p>
        </w:tc>
        <w:tc>
          <w:tcPr>
            <w:tcW w:w="1154" w:type="pct"/>
            <w:noWrap w:val="0"/>
            <w:vAlign w:val="center"/>
          </w:tcPr>
          <w:p>
            <w:pPr>
              <w:jc w:val="center"/>
              <w:rPr>
                <w:rFonts w:hint="eastAsia"/>
                <w:i w:val="0"/>
                <w:iCs w:val="0"/>
                <w:color w:val="000000"/>
                <w:sz w:val="21"/>
                <w:szCs w:val="21"/>
              </w:rPr>
            </w:pPr>
            <w:r>
              <w:rPr>
                <w:rFonts w:hint="eastAsia"/>
                <w:i w:val="0"/>
                <w:iCs w:val="0"/>
                <w:color w:val="000000"/>
                <w:sz w:val="21"/>
                <w:szCs w:val="21"/>
              </w:rPr>
              <w:t>90</w:t>
            </w:r>
          </w:p>
        </w:tc>
        <w:tc>
          <w:tcPr>
            <w:tcW w:w="829" w:type="pct"/>
            <w:noWrap w:val="0"/>
            <w:vAlign w:val="top"/>
          </w:tcPr>
          <w:p>
            <w:pPr>
              <w:jc w:val="center"/>
              <w:rPr>
                <w:i w:val="0"/>
                <w:iCs w:val="0"/>
                <w:color w:val="000000"/>
                <w:sz w:val="21"/>
                <w:szCs w:val="21"/>
              </w:rPr>
            </w:pPr>
            <w:r>
              <w:rPr>
                <w:i w:val="0"/>
                <w:iCs w:val="0"/>
                <w:color w:val="000000"/>
                <w:sz w:val="21"/>
                <w:szCs w:val="21"/>
              </w:rPr>
              <w:t>连续</w:t>
            </w:r>
          </w:p>
        </w:tc>
        <w:tc>
          <w:tcPr>
            <w:tcW w:w="1249" w:type="pct"/>
            <w:noWrap w:val="0"/>
            <w:vAlign w:val="center"/>
          </w:tcPr>
          <w:p>
            <w:pPr>
              <w:jc w:val="center"/>
              <w:rPr>
                <w:i w:val="0"/>
                <w:iCs w:val="0"/>
                <w:color w:val="000000"/>
                <w:sz w:val="21"/>
                <w:szCs w:val="21"/>
              </w:rPr>
            </w:pPr>
            <w:r>
              <w:rPr>
                <w:rFonts w:hint="eastAsia"/>
                <w:i w:val="0"/>
                <w:iCs w:val="0"/>
                <w:color w:val="000000"/>
                <w:sz w:val="21"/>
                <w:szCs w:val="21"/>
              </w:rPr>
              <w:t>室内布置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1766" w:type="pct"/>
            <w:noWrap w:val="0"/>
            <w:vAlign w:val="center"/>
          </w:tcPr>
          <w:p>
            <w:pPr>
              <w:jc w:val="center"/>
              <w:rPr>
                <w:rFonts w:hint="eastAsia"/>
                <w:i w:val="0"/>
                <w:iCs w:val="0"/>
                <w:color w:val="000000"/>
                <w:sz w:val="21"/>
                <w:szCs w:val="21"/>
              </w:rPr>
            </w:pPr>
            <w:r>
              <w:rPr>
                <w:rFonts w:hint="eastAsia"/>
                <w:i w:val="0"/>
                <w:iCs w:val="0"/>
                <w:color w:val="000000"/>
                <w:sz w:val="21"/>
                <w:szCs w:val="21"/>
              </w:rPr>
              <w:t>冷机</w:t>
            </w:r>
          </w:p>
        </w:tc>
        <w:tc>
          <w:tcPr>
            <w:tcW w:w="1154" w:type="pct"/>
            <w:noWrap w:val="0"/>
            <w:vAlign w:val="center"/>
          </w:tcPr>
          <w:p>
            <w:pPr>
              <w:jc w:val="center"/>
              <w:rPr>
                <w:rFonts w:hint="eastAsia"/>
                <w:i w:val="0"/>
                <w:iCs w:val="0"/>
                <w:color w:val="000000"/>
                <w:sz w:val="21"/>
                <w:szCs w:val="21"/>
              </w:rPr>
            </w:pPr>
            <w:r>
              <w:rPr>
                <w:rFonts w:hint="eastAsia"/>
                <w:i w:val="0"/>
                <w:iCs w:val="0"/>
                <w:color w:val="000000"/>
                <w:sz w:val="21"/>
                <w:szCs w:val="21"/>
              </w:rPr>
              <w:t>82</w:t>
            </w:r>
          </w:p>
        </w:tc>
        <w:tc>
          <w:tcPr>
            <w:tcW w:w="829" w:type="pct"/>
            <w:noWrap w:val="0"/>
            <w:vAlign w:val="center"/>
          </w:tcPr>
          <w:p>
            <w:pPr>
              <w:jc w:val="center"/>
              <w:rPr>
                <w:i w:val="0"/>
                <w:iCs w:val="0"/>
                <w:color w:val="000000"/>
                <w:sz w:val="21"/>
                <w:szCs w:val="21"/>
              </w:rPr>
            </w:pPr>
            <w:r>
              <w:rPr>
                <w:i w:val="0"/>
                <w:iCs w:val="0"/>
                <w:color w:val="000000"/>
                <w:sz w:val="21"/>
                <w:szCs w:val="21"/>
              </w:rPr>
              <w:t>连续</w:t>
            </w:r>
          </w:p>
        </w:tc>
        <w:tc>
          <w:tcPr>
            <w:tcW w:w="1249" w:type="pct"/>
            <w:noWrap w:val="0"/>
            <w:vAlign w:val="center"/>
          </w:tcPr>
          <w:p>
            <w:pPr>
              <w:jc w:val="center"/>
              <w:rPr>
                <w:i w:val="0"/>
                <w:iCs w:val="0"/>
                <w:color w:val="000000"/>
                <w:sz w:val="21"/>
                <w:szCs w:val="21"/>
              </w:rPr>
            </w:pPr>
            <w:r>
              <w:rPr>
                <w:rFonts w:hint="eastAsia"/>
                <w:i w:val="0"/>
                <w:iCs w:val="0"/>
                <w:color w:val="000000"/>
                <w:sz w:val="21"/>
                <w:szCs w:val="21"/>
              </w:rPr>
              <w:t>室内布置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1766" w:type="pct"/>
            <w:noWrap w:val="0"/>
            <w:vAlign w:val="center"/>
          </w:tcPr>
          <w:p>
            <w:pPr>
              <w:jc w:val="center"/>
              <w:rPr>
                <w:rFonts w:hint="eastAsia"/>
                <w:i w:val="0"/>
                <w:iCs w:val="0"/>
                <w:color w:val="000000"/>
                <w:sz w:val="21"/>
                <w:szCs w:val="21"/>
              </w:rPr>
            </w:pPr>
            <w:r>
              <w:rPr>
                <w:rFonts w:hint="eastAsia"/>
                <w:i w:val="0"/>
                <w:iCs w:val="0"/>
                <w:color w:val="000000"/>
                <w:sz w:val="21"/>
                <w:szCs w:val="21"/>
              </w:rPr>
              <w:t>冷却塔</w:t>
            </w:r>
          </w:p>
        </w:tc>
        <w:tc>
          <w:tcPr>
            <w:tcW w:w="1154" w:type="pct"/>
            <w:noWrap w:val="0"/>
            <w:vAlign w:val="center"/>
          </w:tcPr>
          <w:p>
            <w:pPr>
              <w:jc w:val="center"/>
              <w:rPr>
                <w:rFonts w:hint="eastAsia"/>
                <w:i w:val="0"/>
                <w:iCs w:val="0"/>
                <w:color w:val="000000"/>
                <w:sz w:val="21"/>
                <w:szCs w:val="21"/>
              </w:rPr>
            </w:pPr>
            <w:r>
              <w:rPr>
                <w:rFonts w:hint="eastAsia"/>
                <w:i w:val="0"/>
                <w:iCs w:val="0"/>
                <w:color w:val="000000"/>
                <w:sz w:val="21"/>
                <w:szCs w:val="21"/>
              </w:rPr>
              <w:t>80</w:t>
            </w:r>
          </w:p>
        </w:tc>
        <w:tc>
          <w:tcPr>
            <w:tcW w:w="829" w:type="pct"/>
            <w:noWrap w:val="0"/>
            <w:vAlign w:val="center"/>
          </w:tcPr>
          <w:p>
            <w:pPr>
              <w:jc w:val="center"/>
              <w:rPr>
                <w:i w:val="0"/>
                <w:iCs w:val="0"/>
                <w:color w:val="000000"/>
                <w:sz w:val="21"/>
                <w:szCs w:val="21"/>
              </w:rPr>
            </w:pPr>
            <w:r>
              <w:rPr>
                <w:i w:val="0"/>
                <w:iCs w:val="0"/>
                <w:color w:val="000000"/>
                <w:sz w:val="21"/>
                <w:szCs w:val="21"/>
              </w:rPr>
              <w:t>连续</w:t>
            </w:r>
          </w:p>
        </w:tc>
        <w:tc>
          <w:tcPr>
            <w:tcW w:w="1249" w:type="pct"/>
            <w:noWrap w:val="0"/>
            <w:vAlign w:val="center"/>
          </w:tcPr>
          <w:p>
            <w:pPr>
              <w:jc w:val="center"/>
              <w:rPr>
                <w:rFonts w:hint="eastAsia"/>
                <w:i w:val="0"/>
                <w:iCs w:val="0"/>
                <w:color w:val="000000"/>
                <w:sz w:val="21"/>
                <w:szCs w:val="21"/>
              </w:rPr>
            </w:pPr>
            <w:r>
              <w:rPr>
                <w:rFonts w:hint="eastAsia"/>
                <w:i w:val="0"/>
                <w:iCs w:val="0"/>
                <w:color w:val="000000"/>
                <w:sz w:val="21"/>
                <w:szCs w:val="21"/>
              </w:rPr>
              <w:t>——</w:t>
            </w:r>
          </w:p>
        </w:tc>
      </w:tr>
    </w:tbl>
    <w:p>
      <w:pPr>
        <w:pStyle w:val="26"/>
        <w:spacing w:line="360" w:lineRule="auto"/>
        <w:rPr>
          <w:rFonts w:ascii="Times New Roman" w:hAnsi="Times New Roman"/>
          <w:i w:val="0"/>
          <w:iCs w:val="0"/>
        </w:rPr>
      </w:pPr>
      <w:r>
        <w:rPr>
          <w:rFonts w:hint="eastAsia" w:ascii="Times New Roman" w:hAnsi="Times New Roman"/>
          <w:i w:val="0"/>
          <w:iCs w:val="0"/>
        </w:rPr>
        <w:t>本项目选取低噪声设备</w:t>
      </w:r>
      <w:r>
        <w:rPr>
          <w:rFonts w:ascii="Times New Roman" w:hAnsi="Times New Roman"/>
          <w:i w:val="0"/>
          <w:iCs w:val="0"/>
        </w:rPr>
        <w:t>，以使噪声的危害降至最低。</w:t>
      </w:r>
    </w:p>
    <w:p>
      <w:pPr>
        <w:spacing w:line="360" w:lineRule="auto"/>
        <w:ind w:firstLine="482" w:firstLineChars="200"/>
        <w:rPr>
          <w:b/>
          <w:i w:val="0"/>
          <w:iCs w:val="0"/>
        </w:rPr>
      </w:pPr>
      <w:r>
        <w:rPr>
          <w:rFonts w:hint="eastAsia"/>
          <w:b/>
          <w:i w:val="0"/>
          <w:iCs w:val="0"/>
        </w:rPr>
        <w:t>3</w:t>
      </w:r>
      <w:r>
        <w:rPr>
          <w:b/>
          <w:i w:val="0"/>
          <w:iCs w:val="0"/>
        </w:rPr>
        <w:t>.</w:t>
      </w:r>
      <w:r>
        <w:rPr>
          <w:rFonts w:hint="eastAsia"/>
          <w:b/>
          <w:i w:val="0"/>
          <w:iCs w:val="0"/>
        </w:rPr>
        <w:t>7</w:t>
      </w:r>
      <w:r>
        <w:rPr>
          <w:b/>
          <w:i w:val="0"/>
          <w:iCs w:val="0"/>
        </w:rPr>
        <w:t>.4固体废物</w:t>
      </w:r>
    </w:p>
    <w:p>
      <w:pPr>
        <w:spacing w:line="360" w:lineRule="auto"/>
        <w:ind w:firstLine="480" w:firstLineChars="200"/>
        <w:rPr>
          <w:rFonts w:hint="eastAsia"/>
          <w:i/>
          <w:iCs/>
          <w:szCs w:val="28"/>
          <w:u w:val="single"/>
        </w:rPr>
      </w:pPr>
      <w:r>
        <w:rPr>
          <w:rFonts w:hint="eastAsia"/>
          <w:i/>
          <w:iCs/>
          <w:szCs w:val="28"/>
          <w:u w:val="single"/>
        </w:rPr>
        <w:t>本</w:t>
      </w:r>
      <w:r>
        <w:rPr>
          <w:rFonts w:hint="eastAsia"/>
          <w:i/>
          <w:iCs/>
          <w:color w:val="000000"/>
          <w:u w:val="single"/>
        </w:rPr>
        <w:t>项目产生的固体废物有生活垃圾、</w:t>
      </w:r>
      <w:r>
        <w:rPr>
          <w:rFonts w:hint="eastAsia" w:hAnsi="Times New Roman"/>
          <w:i/>
          <w:iCs/>
          <w:color w:val="000000"/>
          <w:u w:val="single"/>
          <w:lang w:eastAsia="zh-CN"/>
        </w:rPr>
        <w:t>收集到的粉尘、</w:t>
      </w:r>
      <w:r>
        <w:rPr>
          <w:rFonts w:hint="eastAsia"/>
          <w:i/>
          <w:iCs/>
          <w:color w:val="000000"/>
          <w:u w:val="single"/>
        </w:rPr>
        <w:t>废包装材料、废滤材（初中高效过滤器、过滤芯）</w:t>
      </w:r>
      <w:r>
        <w:rPr>
          <w:rFonts w:hint="eastAsia"/>
          <w:i/>
          <w:iCs/>
          <w:color w:val="000000"/>
          <w:u w:val="single"/>
          <w:lang w:eastAsia="zh-CN"/>
        </w:rPr>
        <w:t>、</w:t>
      </w:r>
      <w:r>
        <w:rPr>
          <w:rFonts w:hint="eastAsia"/>
          <w:i/>
          <w:iCs/>
          <w:color w:val="000000"/>
          <w:u w:val="single"/>
        </w:rPr>
        <w:t>污水站污泥、废活性炭</w:t>
      </w:r>
      <w:r>
        <w:rPr>
          <w:rFonts w:hint="eastAsia"/>
          <w:i/>
          <w:iCs/>
          <w:u w:val="single"/>
          <w:lang w:eastAsia="zh-CN"/>
        </w:rPr>
        <w:t>、废机油</w:t>
      </w:r>
      <w:r>
        <w:rPr>
          <w:rFonts w:hint="eastAsia" w:ascii="Times New Roman" w:hAnsi="Times New Roman" w:eastAsia="宋体" w:cs="Times New Roman"/>
          <w:i/>
          <w:iCs/>
          <w:u w:val="single"/>
          <w:lang w:val="en-US" w:eastAsia="zh-CN"/>
        </w:rPr>
        <w:t>及废机油桶</w:t>
      </w:r>
      <w:r>
        <w:rPr>
          <w:rFonts w:hint="eastAsia"/>
          <w:i/>
          <w:iCs/>
          <w:u w:val="single"/>
          <w:lang w:eastAsia="zh-CN"/>
        </w:rPr>
        <w:t>、实验废液及废包装瓶</w:t>
      </w:r>
      <w:r>
        <w:rPr>
          <w:rFonts w:hint="eastAsia"/>
          <w:i/>
          <w:iCs/>
          <w:color w:val="000000"/>
          <w:u w:val="single"/>
        </w:rPr>
        <w:t>，</w:t>
      </w:r>
      <w:r>
        <w:rPr>
          <w:rFonts w:hint="eastAsia"/>
          <w:i/>
          <w:iCs/>
          <w:szCs w:val="28"/>
          <w:u w:val="single"/>
        </w:rPr>
        <w:t>其中生活垃圾委托环卫部门处理；</w:t>
      </w:r>
      <w:r>
        <w:rPr>
          <w:rFonts w:hint="eastAsia"/>
          <w:i/>
          <w:iCs/>
          <w:szCs w:val="28"/>
          <w:u w:val="single"/>
          <w:lang w:eastAsia="zh-CN"/>
        </w:rPr>
        <w:t>收集到的粉尘、</w:t>
      </w:r>
      <w:r>
        <w:rPr>
          <w:rFonts w:hint="eastAsia"/>
          <w:i/>
          <w:iCs/>
          <w:color w:val="000000"/>
          <w:u w:val="single"/>
        </w:rPr>
        <w:t>废包装材料</w:t>
      </w:r>
      <w:r>
        <w:rPr>
          <w:rFonts w:hint="eastAsia"/>
          <w:i/>
          <w:iCs/>
          <w:color w:val="000000"/>
          <w:u w:val="single"/>
          <w:lang w:eastAsia="zh-CN"/>
        </w:rPr>
        <w:t>、废滤材（初中高效过滤器、过滤芯）收集后</w:t>
      </w:r>
      <w:r>
        <w:rPr>
          <w:rFonts w:hint="eastAsia"/>
          <w:i/>
          <w:iCs/>
          <w:szCs w:val="28"/>
          <w:u w:val="single"/>
        </w:rPr>
        <w:t>外卖，污水站污泥</w:t>
      </w:r>
      <w:r>
        <w:rPr>
          <w:rFonts w:hint="eastAsia"/>
          <w:i/>
          <w:iCs/>
          <w:szCs w:val="28"/>
          <w:u w:val="single"/>
          <w:lang w:eastAsia="zh-CN"/>
        </w:rPr>
        <w:t>送至白山绿能新能源有限公司处置，废机油</w:t>
      </w:r>
      <w:r>
        <w:rPr>
          <w:rFonts w:hint="eastAsia" w:ascii="Times New Roman" w:hAnsi="Times New Roman" w:eastAsia="宋体" w:cs="Times New Roman"/>
          <w:i/>
          <w:iCs/>
          <w:u w:val="single"/>
          <w:lang w:val="en-US" w:eastAsia="zh-CN"/>
        </w:rPr>
        <w:t>及废机油桶</w:t>
      </w:r>
      <w:r>
        <w:rPr>
          <w:rFonts w:hint="eastAsia"/>
          <w:i/>
          <w:iCs/>
          <w:szCs w:val="28"/>
          <w:u w:val="single"/>
          <w:lang w:eastAsia="zh-CN"/>
        </w:rPr>
        <w:t>、</w:t>
      </w:r>
      <w:r>
        <w:rPr>
          <w:rFonts w:hint="eastAsia"/>
          <w:i/>
          <w:iCs/>
          <w:szCs w:val="28"/>
          <w:u w:val="single"/>
        </w:rPr>
        <w:t>废活性炭</w:t>
      </w:r>
      <w:r>
        <w:rPr>
          <w:rFonts w:hint="eastAsia"/>
          <w:i/>
          <w:iCs/>
          <w:u w:val="single"/>
          <w:lang w:eastAsia="zh-CN"/>
        </w:rPr>
        <w:t>、实验废液及废包装瓶</w:t>
      </w:r>
      <w:r>
        <w:rPr>
          <w:rFonts w:hint="eastAsia"/>
          <w:i/>
          <w:iCs/>
          <w:szCs w:val="28"/>
          <w:u w:val="single"/>
        </w:rPr>
        <w:t>委托有资质单位处理。</w:t>
      </w:r>
    </w:p>
    <w:p>
      <w:pPr>
        <w:spacing w:line="360" w:lineRule="auto"/>
        <w:ind w:firstLine="480" w:firstLineChars="200"/>
        <w:rPr>
          <w:rFonts w:hint="eastAsia"/>
          <w:i/>
          <w:iCs/>
          <w:u w:val="single"/>
        </w:rPr>
      </w:pPr>
      <w:r>
        <w:rPr>
          <w:rFonts w:hint="eastAsia"/>
          <w:i/>
          <w:iCs/>
          <w:u w:val="single"/>
        </w:rPr>
        <w:t>1、职工生活垃圾</w:t>
      </w:r>
    </w:p>
    <w:p>
      <w:pPr>
        <w:spacing w:line="360" w:lineRule="auto"/>
        <w:ind w:firstLine="480" w:firstLineChars="200"/>
        <w:rPr>
          <w:i/>
          <w:iCs/>
          <w:szCs w:val="22"/>
          <w:u w:val="single"/>
        </w:rPr>
      </w:pPr>
      <w:r>
        <w:rPr>
          <w:rFonts w:hint="eastAsia"/>
          <w:i/>
          <w:iCs/>
          <w:u w:val="single"/>
        </w:rPr>
        <w:t>本项目职工人员80人，</w:t>
      </w:r>
      <w:r>
        <w:rPr>
          <w:i/>
          <w:iCs/>
          <w:szCs w:val="22"/>
          <w:u w:val="single"/>
        </w:rPr>
        <w:t>生活垃圾产生量按每人0.5kg/d计算，年工作</w:t>
      </w:r>
      <w:r>
        <w:rPr>
          <w:rFonts w:hint="eastAsia"/>
          <w:i/>
          <w:iCs/>
          <w:szCs w:val="22"/>
          <w:u w:val="single"/>
        </w:rPr>
        <w:t>3</w:t>
      </w:r>
      <w:r>
        <w:rPr>
          <w:rFonts w:hint="eastAsia"/>
          <w:i/>
          <w:iCs/>
          <w:szCs w:val="22"/>
          <w:u w:val="single"/>
          <w:lang w:val="en-US" w:eastAsia="zh-CN"/>
        </w:rPr>
        <w:t>25</w:t>
      </w:r>
      <w:r>
        <w:rPr>
          <w:i/>
          <w:iCs/>
          <w:szCs w:val="22"/>
          <w:u w:val="single"/>
        </w:rPr>
        <w:t>d，则生活垃圾产生量为</w:t>
      </w:r>
      <w:r>
        <w:rPr>
          <w:rFonts w:hint="eastAsia"/>
          <w:i/>
          <w:iCs/>
          <w:szCs w:val="22"/>
          <w:u w:val="single"/>
        </w:rPr>
        <w:t>1</w:t>
      </w:r>
      <w:r>
        <w:rPr>
          <w:rFonts w:hint="eastAsia"/>
          <w:i/>
          <w:iCs/>
          <w:szCs w:val="22"/>
          <w:u w:val="single"/>
          <w:lang w:val="en-US" w:eastAsia="zh-CN"/>
        </w:rPr>
        <w:t>3</w:t>
      </w:r>
      <w:r>
        <w:rPr>
          <w:i/>
          <w:iCs/>
          <w:szCs w:val="22"/>
          <w:u w:val="single"/>
        </w:rPr>
        <w:t>t/a，</w:t>
      </w:r>
      <w:r>
        <w:rPr>
          <w:rFonts w:hint="eastAsia"/>
          <w:i/>
          <w:iCs/>
          <w:szCs w:val="22"/>
          <w:u w:val="single"/>
        </w:rPr>
        <w:t>暂存防渗垃圾桶</w:t>
      </w:r>
      <w:r>
        <w:rPr>
          <w:i/>
          <w:iCs/>
          <w:szCs w:val="22"/>
          <w:u w:val="single"/>
        </w:rPr>
        <w:t>，由环卫部门定期清运。</w:t>
      </w:r>
    </w:p>
    <w:p>
      <w:pPr>
        <w:spacing w:line="360" w:lineRule="auto"/>
        <w:ind w:firstLine="480" w:firstLineChars="200"/>
        <w:rPr>
          <w:i/>
          <w:iCs/>
          <w:u w:val="single"/>
        </w:rPr>
      </w:pPr>
      <w:r>
        <w:rPr>
          <w:rFonts w:hint="eastAsia"/>
          <w:i/>
          <w:iCs/>
          <w:u w:val="single"/>
        </w:rPr>
        <w:t>2、污泥</w:t>
      </w:r>
    </w:p>
    <w:p>
      <w:pPr>
        <w:spacing w:line="360" w:lineRule="auto"/>
        <w:ind w:firstLine="480" w:firstLineChars="200"/>
        <w:rPr>
          <w:rFonts w:hint="eastAsia"/>
          <w:i/>
          <w:iCs/>
          <w:u w:val="single"/>
        </w:rPr>
      </w:pPr>
      <w:r>
        <w:rPr>
          <w:rFonts w:hint="eastAsia"/>
          <w:i/>
          <w:iCs/>
          <w:u w:val="single"/>
        </w:rPr>
        <w:t>本项目污水站主要用来处理生活污水、生产废水，其中生产废水主要为</w:t>
      </w:r>
      <w:r>
        <w:rPr>
          <w:rFonts w:hint="eastAsia" w:hAnsi="宋体"/>
          <w:i/>
          <w:iCs/>
          <w:color w:val="000000"/>
          <w:u w:val="single"/>
        </w:rPr>
        <w:t>发酵车间</w:t>
      </w:r>
      <w:r>
        <w:rPr>
          <w:rFonts w:hint="eastAsia" w:hAnsi="宋体"/>
          <w:i/>
          <w:iCs/>
          <w:color w:val="000000"/>
          <w:u w:val="single"/>
          <w:lang w:val="en-US" w:eastAsia="zh-CN"/>
        </w:rPr>
        <w:t>洗罐</w:t>
      </w:r>
      <w:r>
        <w:rPr>
          <w:rFonts w:hint="eastAsia" w:hAnsi="宋体"/>
          <w:i/>
          <w:iCs/>
          <w:color w:val="000000"/>
          <w:u w:val="single"/>
        </w:rPr>
        <w:t>废水、分离干燥车间离心洗涤废水、车间冲洗地面水</w:t>
      </w:r>
      <w:r>
        <w:rPr>
          <w:rFonts w:hint="eastAsia" w:hAnsi="宋体"/>
          <w:i/>
          <w:iCs/>
          <w:color w:val="000000"/>
          <w:u w:val="single"/>
          <w:lang w:eastAsia="zh-CN"/>
        </w:rPr>
        <w:t>、</w:t>
      </w:r>
      <w:r>
        <w:rPr>
          <w:rFonts w:hint="eastAsia" w:hAnsi="宋体"/>
          <w:i/>
          <w:iCs/>
          <w:color w:val="000000"/>
          <w:u w:val="single"/>
          <w:lang w:val="en-US" w:eastAsia="zh-CN"/>
        </w:rPr>
        <w:t>喷淋废水、化验废水、循环水系统排水及冷凝水</w:t>
      </w:r>
      <w:r>
        <w:rPr>
          <w:rFonts w:hint="eastAsia"/>
          <w:i/>
          <w:iCs/>
          <w:u w:val="single"/>
        </w:rPr>
        <w:t>等，根据废水处理量核算，污泥产生量约为316t/a，经脱水后</w:t>
      </w:r>
      <w:r>
        <w:rPr>
          <w:rFonts w:hint="eastAsia"/>
          <w:i/>
          <w:iCs/>
          <w:u w:val="single"/>
          <w:lang w:eastAsia="zh-CN"/>
        </w:rPr>
        <w:t>送至白山绿能新能源有限公司处置</w:t>
      </w:r>
      <w:r>
        <w:rPr>
          <w:rFonts w:hint="eastAsia"/>
          <w:i/>
          <w:iCs/>
          <w:u w:val="single"/>
        </w:rPr>
        <w:t>。</w:t>
      </w:r>
    </w:p>
    <w:p>
      <w:pPr>
        <w:spacing w:line="360" w:lineRule="auto"/>
        <w:ind w:firstLine="480" w:firstLineChars="200"/>
        <w:rPr>
          <w:rFonts w:hint="eastAsia" w:eastAsia="宋体"/>
          <w:i/>
          <w:iCs/>
          <w:u w:val="single"/>
          <w:lang w:val="en-US" w:eastAsia="zh-CN"/>
        </w:rPr>
      </w:pPr>
      <w:r>
        <w:rPr>
          <w:rFonts w:hint="eastAsia"/>
          <w:i/>
          <w:iCs/>
          <w:u w:val="single"/>
          <w:lang w:val="en-US" w:eastAsia="zh-CN"/>
        </w:rPr>
        <w:t>3、收集到的粉尘</w:t>
      </w:r>
    </w:p>
    <w:p>
      <w:pPr>
        <w:spacing w:line="360" w:lineRule="auto"/>
        <w:ind w:firstLine="480" w:firstLineChars="200"/>
        <w:rPr>
          <w:rFonts w:hint="eastAsia" w:eastAsia="宋体"/>
          <w:i/>
          <w:iCs/>
          <w:u w:val="single"/>
          <w:lang w:eastAsia="zh-CN"/>
        </w:rPr>
      </w:pPr>
      <w:r>
        <w:rPr>
          <w:rFonts w:hint="eastAsia"/>
          <w:i/>
          <w:iCs/>
          <w:u w:val="single"/>
          <w:lang w:eastAsia="zh-CN"/>
        </w:rPr>
        <w:t>本项目布袋除尘器收集到的粉尘量为</w:t>
      </w:r>
      <w:r>
        <w:rPr>
          <w:rFonts w:hint="eastAsia"/>
          <w:i/>
          <w:iCs/>
          <w:u w:val="single"/>
          <w:lang w:val="en-US" w:eastAsia="zh-CN"/>
        </w:rPr>
        <w:t>220.681</w:t>
      </w:r>
      <w:r>
        <w:rPr>
          <w:rFonts w:hint="eastAsia"/>
          <w:i/>
          <w:iCs/>
          <w:u w:val="single"/>
        </w:rPr>
        <w:t>5t/a</w:t>
      </w:r>
      <w:r>
        <w:rPr>
          <w:rFonts w:hint="eastAsia"/>
          <w:i/>
          <w:iCs/>
          <w:u w:val="single"/>
          <w:lang w:eastAsia="zh-CN"/>
        </w:rPr>
        <w:t>，</w:t>
      </w:r>
      <w:r>
        <w:rPr>
          <w:rFonts w:hint="eastAsia"/>
          <w:i/>
          <w:iCs/>
          <w:u w:val="single"/>
        </w:rPr>
        <w:t>存于一般固体废物暂存间内，</w:t>
      </w:r>
      <w:r>
        <w:rPr>
          <w:rFonts w:hint="eastAsia"/>
          <w:i/>
          <w:iCs/>
          <w:u w:val="single"/>
          <w:lang w:eastAsia="zh-CN"/>
        </w:rPr>
        <w:t>定期外卖。</w:t>
      </w:r>
    </w:p>
    <w:p>
      <w:pPr>
        <w:spacing w:line="360" w:lineRule="auto"/>
        <w:ind w:firstLine="480" w:firstLineChars="200"/>
        <w:rPr>
          <w:rFonts w:hint="eastAsia"/>
          <w:i/>
          <w:iCs/>
          <w:u w:val="single"/>
        </w:rPr>
      </w:pPr>
      <w:r>
        <w:rPr>
          <w:rFonts w:hint="eastAsia"/>
          <w:i/>
          <w:iCs/>
          <w:u w:val="single"/>
          <w:lang w:val="en-US" w:eastAsia="zh-CN"/>
        </w:rPr>
        <w:t>4</w:t>
      </w:r>
      <w:r>
        <w:rPr>
          <w:rFonts w:hint="eastAsia"/>
          <w:i/>
          <w:iCs/>
          <w:u w:val="single"/>
        </w:rPr>
        <w:t>、废包装材料</w:t>
      </w:r>
    </w:p>
    <w:p>
      <w:pPr>
        <w:spacing w:line="360" w:lineRule="auto"/>
        <w:ind w:firstLine="480" w:firstLineChars="200"/>
        <w:rPr>
          <w:rFonts w:hint="eastAsia"/>
          <w:i/>
          <w:iCs/>
          <w:u w:val="single"/>
        </w:rPr>
      </w:pPr>
      <w:r>
        <w:rPr>
          <w:rFonts w:hint="eastAsia"/>
          <w:i/>
          <w:iCs/>
          <w:u w:val="single"/>
        </w:rPr>
        <w:t>本项目原辅材料会产生一些废包装材料，产生量为5t/a，存于一般固体废物暂存间内，</w:t>
      </w:r>
      <w:r>
        <w:rPr>
          <w:rFonts w:hint="eastAsia"/>
          <w:i/>
          <w:iCs/>
          <w:u w:val="single"/>
          <w:lang w:eastAsia="zh-CN"/>
        </w:rPr>
        <w:t>定期</w:t>
      </w:r>
      <w:r>
        <w:rPr>
          <w:rFonts w:hint="eastAsia"/>
          <w:i/>
          <w:iCs/>
          <w:u w:val="single"/>
        </w:rPr>
        <w:t>外卖。</w:t>
      </w:r>
    </w:p>
    <w:p>
      <w:pPr>
        <w:spacing w:line="360" w:lineRule="auto"/>
        <w:ind w:firstLine="480" w:firstLineChars="200"/>
        <w:rPr>
          <w:rFonts w:hint="default"/>
          <w:i/>
          <w:iCs/>
          <w:u w:val="single"/>
          <w:lang w:val="en-US" w:eastAsia="zh-CN"/>
        </w:rPr>
      </w:pPr>
      <w:r>
        <w:rPr>
          <w:rFonts w:hint="eastAsia"/>
          <w:i/>
          <w:iCs/>
          <w:u w:val="single"/>
          <w:lang w:val="en-US" w:eastAsia="zh-CN"/>
        </w:rPr>
        <w:t>5、</w:t>
      </w:r>
      <w:r>
        <w:rPr>
          <w:rFonts w:hint="eastAsia"/>
          <w:i/>
          <w:iCs/>
          <w:color w:val="000000"/>
          <w:u w:val="single"/>
        </w:rPr>
        <w:t>废滤材（初中高效过滤器、过滤芯）</w:t>
      </w:r>
    </w:p>
    <w:p>
      <w:pPr>
        <w:spacing w:line="360" w:lineRule="auto"/>
        <w:ind w:firstLine="480" w:firstLineChars="200"/>
        <w:rPr>
          <w:rFonts w:hint="eastAsia" w:eastAsia="宋体"/>
          <w:i/>
          <w:iCs/>
          <w:u w:val="single"/>
          <w:lang w:val="en-US" w:eastAsia="zh-CN"/>
        </w:rPr>
      </w:pPr>
      <w:r>
        <w:rPr>
          <w:rFonts w:hint="eastAsia"/>
          <w:i/>
          <w:iCs/>
          <w:u w:val="single"/>
        </w:rPr>
        <w:t>本项目原辅材料</w:t>
      </w:r>
      <w:r>
        <w:rPr>
          <w:rFonts w:hint="eastAsia"/>
          <w:i/>
          <w:iCs/>
          <w:u w:val="single"/>
          <w:lang w:val="en-US" w:eastAsia="zh-CN"/>
        </w:rPr>
        <w:t>空调过滤器</w:t>
      </w:r>
      <w:r>
        <w:rPr>
          <w:rFonts w:hint="eastAsia"/>
          <w:i/>
          <w:iCs/>
          <w:u w:val="single"/>
        </w:rPr>
        <w:t>会产生一些废包装材料</w:t>
      </w:r>
      <w:r>
        <w:rPr>
          <w:rFonts w:hint="eastAsia"/>
          <w:i/>
          <w:iCs/>
          <w:color w:val="000000"/>
          <w:u w:val="single"/>
        </w:rPr>
        <w:t>废滤材（初中高效过滤器、过滤芯）</w:t>
      </w:r>
      <w:r>
        <w:rPr>
          <w:rFonts w:hint="eastAsia"/>
          <w:i/>
          <w:iCs/>
          <w:color w:val="000000"/>
          <w:u w:val="single"/>
          <w:lang w:eastAsia="zh-CN"/>
        </w:rPr>
        <w:t>，</w:t>
      </w:r>
      <w:r>
        <w:rPr>
          <w:rFonts w:hint="eastAsia"/>
          <w:i/>
          <w:iCs/>
          <w:u w:val="single"/>
        </w:rPr>
        <w:t>产生量为</w:t>
      </w:r>
      <w:r>
        <w:rPr>
          <w:rFonts w:hint="eastAsia"/>
          <w:i/>
          <w:iCs/>
          <w:u w:val="single"/>
          <w:lang w:val="en-US" w:eastAsia="zh-CN"/>
        </w:rPr>
        <w:t>0.</w:t>
      </w:r>
      <w:r>
        <w:rPr>
          <w:rFonts w:hint="eastAsia"/>
          <w:i/>
          <w:iCs/>
          <w:u w:val="single"/>
        </w:rPr>
        <w:t>5t/a，存于一般固体废物暂存间内，</w:t>
      </w:r>
      <w:r>
        <w:rPr>
          <w:rFonts w:hint="eastAsia"/>
          <w:i/>
          <w:iCs/>
          <w:u w:val="single"/>
          <w:lang w:eastAsia="zh-CN"/>
        </w:rPr>
        <w:t>定期</w:t>
      </w:r>
      <w:r>
        <w:rPr>
          <w:rFonts w:hint="eastAsia"/>
          <w:i/>
          <w:iCs/>
          <w:u w:val="single"/>
        </w:rPr>
        <w:t>外卖。</w:t>
      </w:r>
    </w:p>
    <w:p>
      <w:pPr>
        <w:spacing w:line="360" w:lineRule="auto"/>
        <w:ind w:firstLine="480" w:firstLineChars="200"/>
        <w:rPr>
          <w:rFonts w:hint="eastAsia"/>
          <w:i/>
          <w:iCs/>
          <w:u w:val="single"/>
        </w:rPr>
      </w:pPr>
      <w:r>
        <w:rPr>
          <w:rFonts w:hint="eastAsia"/>
          <w:i/>
          <w:iCs/>
          <w:u w:val="single"/>
          <w:lang w:val="en-US" w:eastAsia="zh-CN"/>
        </w:rPr>
        <w:t>9</w:t>
      </w:r>
      <w:r>
        <w:rPr>
          <w:rFonts w:hint="eastAsia"/>
          <w:i/>
          <w:iCs/>
          <w:u w:val="single"/>
        </w:rPr>
        <w:t>、废活性炭</w:t>
      </w:r>
    </w:p>
    <w:p>
      <w:pPr>
        <w:spacing w:line="360" w:lineRule="auto"/>
        <w:ind w:firstLine="480" w:firstLineChars="200"/>
        <w:rPr>
          <w:i/>
          <w:iCs/>
          <w:u w:val="single"/>
        </w:rPr>
      </w:pPr>
      <w:r>
        <w:rPr>
          <w:rFonts w:hint="eastAsia"/>
          <w:i/>
          <w:iCs/>
          <w:u w:val="single"/>
        </w:rPr>
        <w:t>本项目在废气治理过程会产生废活性炭，废活性炭产生量为0.5t/a，暂存于危险废物暂存间内，定期委托有资质单位处理。</w:t>
      </w:r>
    </w:p>
    <w:p>
      <w:pPr>
        <w:spacing w:line="360" w:lineRule="auto"/>
        <w:ind w:firstLine="480" w:firstLineChars="200"/>
        <w:rPr>
          <w:rFonts w:hint="eastAsia" w:ascii="Times New Roman" w:hAnsi="Times New Roman" w:eastAsia="宋体" w:cs="Times New Roman"/>
          <w:i/>
          <w:iCs/>
          <w:u w:val="single"/>
          <w:lang w:val="en-US" w:eastAsia="zh-CN"/>
        </w:rPr>
      </w:pPr>
      <w:r>
        <w:rPr>
          <w:rFonts w:hint="eastAsia" w:cs="Times New Roman"/>
          <w:i/>
          <w:iCs/>
          <w:u w:val="single"/>
          <w:lang w:val="en-US" w:eastAsia="zh-CN"/>
        </w:rPr>
        <w:t>7</w:t>
      </w:r>
      <w:r>
        <w:rPr>
          <w:rFonts w:hint="eastAsia" w:ascii="Times New Roman" w:hAnsi="Times New Roman" w:eastAsia="宋体" w:cs="Times New Roman"/>
          <w:i/>
          <w:iCs/>
          <w:u w:val="single"/>
          <w:lang w:val="en-US" w:eastAsia="zh-CN"/>
        </w:rPr>
        <w:t>、</w:t>
      </w:r>
      <w:r>
        <w:rPr>
          <w:rFonts w:hint="eastAsia" w:cs="Times New Roman"/>
          <w:i/>
          <w:iCs/>
          <w:u w:val="single"/>
          <w:lang w:val="en-US" w:eastAsia="zh-CN"/>
        </w:rPr>
        <w:t>实验废液</w:t>
      </w:r>
    </w:p>
    <w:p>
      <w:pPr>
        <w:spacing w:line="360" w:lineRule="auto"/>
        <w:ind w:firstLine="480" w:firstLineChars="200"/>
        <w:rPr>
          <w:rFonts w:hint="eastAsia" w:ascii="Times New Roman" w:hAnsi="Times New Roman" w:eastAsia="宋体" w:cs="Times New Roman"/>
          <w:i/>
          <w:iCs/>
          <w:u w:val="single"/>
          <w:lang w:val="en-US" w:eastAsia="zh-CN"/>
        </w:rPr>
      </w:pPr>
      <w:r>
        <w:rPr>
          <w:rFonts w:hint="eastAsia"/>
          <w:i/>
          <w:iCs/>
          <w:u w:val="single"/>
        </w:rPr>
        <w:t>本项目</w:t>
      </w:r>
      <w:r>
        <w:rPr>
          <w:rFonts w:hint="eastAsia"/>
          <w:i/>
          <w:iCs/>
          <w:u w:val="single"/>
          <w:lang w:eastAsia="zh-CN"/>
        </w:rPr>
        <w:t>质检及实验过程会产生废液，实验废液的产生量为</w:t>
      </w:r>
      <w:r>
        <w:rPr>
          <w:rFonts w:hint="eastAsia"/>
          <w:i/>
          <w:iCs/>
          <w:u w:val="single"/>
          <w:lang w:val="en-US" w:eastAsia="zh-CN"/>
        </w:rPr>
        <w:t>0.07</w:t>
      </w:r>
      <w:r>
        <w:rPr>
          <w:rFonts w:hint="eastAsia"/>
          <w:i/>
          <w:iCs/>
          <w:u w:val="single"/>
        </w:rPr>
        <w:t>t/a</w:t>
      </w:r>
      <w:r>
        <w:rPr>
          <w:rFonts w:hint="eastAsia"/>
          <w:i/>
          <w:iCs/>
          <w:u w:val="single"/>
          <w:lang w:eastAsia="zh-CN"/>
        </w:rPr>
        <w:t>，</w:t>
      </w:r>
      <w:r>
        <w:rPr>
          <w:rFonts w:hint="eastAsia"/>
          <w:i/>
          <w:iCs/>
          <w:u w:val="single"/>
        </w:rPr>
        <w:t>暂存于危险废物暂存间内，定期委托有资质单位处理。</w:t>
      </w:r>
    </w:p>
    <w:p>
      <w:pPr>
        <w:spacing w:line="360" w:lineRule="auto"/>
        <w:ind w:firstLine="480" w:firstLineChars="200"/>
        <w:rPr>
          <w:rFonts w:hint="default" w:ascii="Times New Roman" w:hAnsi="Times New Roman" w:eastAsia="宋体" w:cs="Times New Roman"/>
          <w:i/>
          <w:iCs/>
          <w:u w:val="single"/>
          <w:lang w:val="en-US" w:eastAsia="zh-CN"/>
        </w:rPr>
      </w:pPr>
      <w:r>
        <w:rPr>
          <w:rFonts w:hint="eastAsia" w:ascii="Times New Roman" w:hAnsi="Times New Roman" w:eastAsia="宋体" w:cs="Times New Roman"/>
          <w:i/>
          <w:iCs/>
          <w:u w:val="single"/>
          <w:lang w:val="en-US" w:eastAsia="zh-CN"/>
        </w:rPr>
        <w:t>8、废包装瓶</w:t>
      </w:r>
    </w:p>
    <w:p>
      <w:pPr>
        <w:spacing w:line="360" w:lineRule="auto"/>
        <w:ind w:firstLine="480" w:firstLineChars="200"/>
        <w:rPr>
          <w:rFonts w:hint="eastAsia" w:ascii="Times New Roman" w:hAnsi="Times New Roman" w:eastAsia="宋体" w:cs="Times New Roman"/>
          <w:i/>
          <w:iCs/>
          <w:u w:val="single"/>
          <w:lang w:val="en-US" w:eastAsia="zh-CN"/>
        </w:rPr>
      </w:pPr>
      <w:r>
        <w:rPr>
          <w:rFonts w:hint="eastAsia" w:ascii="Times New Roman" w:hAnsi="Times New Roman" w:eastAsia="宋体" w:cs="Times New Roman"/>
          <w:i/>
          <w:iCs/>
          <w:u w:val="single"/>
          <w:lang w:val="en-US" w:eastAsia="zh-CN"/>
        </w:rPr>
        <w:t>本项目质检及实验过程会产生废包装瓶，废包装瓶的产生量为0.05t/a，暂存于危险废物暂存间内，定期委托有资质单位处理。</w:t>
      </w:r>
    </w:p>
    <w:p>
      <w:pPr>
        <w:spacing w:line="360" w:lineRule="auto"/>
        <w:ind w:firstLine="480" w:firstLineChars="200"/>
        <w:rPr>
          <w:rFonts w:hint="eastAsia" w:ascii="Times New Roman" w:hAnsi="Times New Roman" w:eastAsia="宋体" w:cs="Times New Roman"/>
          <w:i/>
          <w:iCs/>
          <w:u w:val="single"/>
          <w:lang w:val="en-US" w:eastAsia="zh-CN"/>
        </w:rPr>
      </w:pPr>
      <w:r>
        <w:rPr>
          <w:rFonts w:hint="eastAsia" w:ascii="Times New Roman" w:hAnsi="Times New Roman" w:eastAsia="宋体" w:cs="Times New Roman"/>
          <w:i/>
          <w:iCs/>
          <w:u w:val="single"/>
          <w:lang w:val="en-US" w:eastAsia="zh-CN"/>
        </w:rPr>
        <w:t>9、废机油及废机油桶</w:t>
      </w:r>
    </w:p>
    <w:p>
      <w:pPr>
        <w:spacing w:line="360" w:lineRule="auto"/>
        <w:ind w:firstLine="480" w:firstLineChars="200"/>
        <w:rPr>
          <w:rFonts w:hint="default" w:ascii="Times New Roman" w:hAnsi="Times New Roman" w:eastAsia="宋体" w:cs="Times New Roman"/>
          <w:i/>
          <w:iCs/>
          <w:u w:val="single"/>
          <w:lang w:val="en-US" w:eastAsia="zh-CN"/>
        </w:rPr>
      </w:pPr>
      <w:r>
        <w:rPr>
          <w:rFonts w:hint="default" w:ascii="Times New Roman" w:hAnsi="Times New Roman" w:eastAsia="宋体" w:cs="Times New Roman"/>
          <w:i/>
          <w:iCs/>
          <w:u w:val="single"/>
          <w:lang w:val="en-US" w:eastAsia="zh-CN"/>
        </w:rPr>
        <w:t>设备维护、维修过程中，会产生</w:t>
      </w:r>
      <w:r>
        <w:rPr>
          <w:rFonts w:hint="eastAsia" w:ascii="Times New Roman" w:hAnsi="Times New Roman" w:eastAsia="宋体" w:cs="Times New Roman"/>
          <w:i/>
          <w:iCs/>
          <w:u w:val="single"/>
          <w:lang w:val="en-US" w:eastAsia="zh-CN"/>
        </w:rPr>
        <w:t>废机油</w:t>
      </w:r>
      <w:r>
        <w:rPr>
          <w:rFonts w:hint="default" w:ascii="Times New Roman" w:hAnsi="Times New Roman" w:eastAsia="宋体" w:cs="Times New Roman"/>
          <w:i/>
          <w:iCs/>
          <w:u w:val="single"/>
          <w:lang w:val="en-US" w:eastAsia="zh-CN"/>
        </w:rPr>
        <w:t>，根据业主经验，本项目</w:t>
      </w:r>
      <w:r>
        <w:rPr>
          <w:rFonts w:hint="eastAsia" w:ascii="Times New Roman" w:hAnsi="Times New Roman" w:eastAsia="宋体" w:cs="Times New Roman"/>
          <w:i/>
          <w:iCs/>
          <w:u w:val="single"/>
          <w:lang w:val="en-US" w:eastAsia="zh-CN"/>
        </w:rPr>
        <w:t>废机油</w:t>
      </w:r>
      <w:r>
        <w:rPr>
          <w:rFonts w:hint="default" w:ascii="Times New Roman" w:hAnsi="Times New Roman" w:eastAsia="宋体" w:cs="Times New Roman"/>
          <w:i/>
          <w:iCs/>
          <w:u w:val="single"/>
          <w:lang w:val="en-US" w:eastAsia="zh-CN"/>
        </w:rPr>
        <w:t>、</w:t>
      </w:r>
      <w:r>
        <w:rPr>
          <w:rFonts w:hint="eastAsia" w:ascii="Times New Roman" w:hAnsi="Times New Roman" w:eastAsia="宋体" w:cs="Times New Roman"/>
          <w:i/>
          <w:iCs/>
          <w:u w:val="single"/>
          <w:lang w:val="en-US" w:eastAsia="zh-CN"/>
        </w:rPr>
        <w:t>废机油</w:t>
      </w:r>
      <w:r>
        <w:rPr>
          <w:rFonts w:hint="default" w:ascii="Times New Roman" w:hAnsi="Times New Roman" w:eastAsia="宋体" w:cs="Times New Roman"/>
          <w:i/>
          <w:iCs/>
          <w:u w:val="single"/>
          <w:lang w:val="en-US" w:eastAsia="zh-CN"/>
        </w:rPr>
        <w:t>桶产生量约为0.05t，</w:t>
      </w:r>
      <w:r>
        <w:rPr>
          <w:rFonts w:hint="eastAsia" w:ascii="Times New Roman" w:hAnsi="Times New Roman" w:eastAsia="宋体" w:cs="Times New Roman"/>
          <w:i/>
          <w:iCs/>
          <w:u w:val="single"/>
          <w:lang w:val="en-US" w:eastAsia="zh-CN"/>
        </w:rPr>
        <w:t>暂存于危险废物暂存间内，定期委托有资质单位处理。</w:t>
      </w:r>
    </w:p>
    <w:p>
      <w:pPr>
        <w:pStyle w:val="90"/>
        <w:jc w:val="center"/>
        <w:rPr>
          <w:rFonts w:hint="eastAsia"/>
          <w:b/>
          <w:bCs/>
          <w:i w:val="0"/>
          <w:iCs w:val="0"/>
        </w:rPr>
      </w:pPr>
      <w:r>
        <w:rPr>
          <w:rFonts w:hint="eastAsia"/>
          <w:b/>
          <w:bCs/>
          <w:i w:val="0"/>
          <w:iCs w:val="0"/>
        </w:rPr>
        <w:t>表3-</w:t>
      </w:r>
      <w:r>
        <w:rPr>
          <w:rFonts w:hint="eastAsia"/>
          <w:b/>
          <w:bCs/>
          <w:i w:val="0"/>
          <w:iCs w:val="0"/>
          <w:lang w:val="en-US" w:eastAsia="zh-CN"/>
        </w:rPr>
        <w:t>35</w:t>
      </w:r>
      <w:r>
        <w:rPr>
          <w:rFonts w:hint="eastAsia"/>
          <w:b/>
          <w:bCs/>
          <w:i w:val="0"/>
          <w:iCs w:val="0"/>
        </w:rPr>
        <w:t xml:space="preserve"> 本项目固体废物产排情况</w:t>
      </w:r>
    </w:p>
    <w:tbl>
      <w:tblPr>
        <w:tblStyle w:val="58"/>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07"/>
        <w:gridCol w:w="1928"/>
        <w:gridCol w:w="1350"/>
        <w:gridCol w:w="1358"/>
        <w:gridCol w:w="25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3" w:type="pct"/>
            <w:noWrap w:val="0"/>
            <w:vAlign w:val="center"/>
          </w:tcPr>
          <w:p>
            <w:pPr>
              <w:jc w:val="center"/>
              <w:rPr>
                <w:rFonts w:hint="eastAsia"/>
                <w:i w:val="0"/>
                <w:iCs w:val="0"/>
                <w:sz w:val="21"/>
                <w:szCs w:val="21"/>
              </w:rPr>
            </w:pPr>
            <w:bookmarkStart w:id="92" w:name="_Toc236046176"/>
            <w:r>
              <w:rPr>
                <w:rFonts w:hint="eastAsia"/>
                <w:i w:val="0"/>
                <w:iCs w:val="0"/>
                <w:sz w:val="21"/>
                <w:szCs w:val="21"/>
              </w:rPr>
              <w:t>种类</w:t>
            </w:r>
          </w:p>
        </w:tc>
        <w:tc>
          <w:tcPr>
            <w:tcW w:w="1014" w:type="pct"/>
            <w:noWrap w:val="0"/>
            <w:vAlign w:val="center"/>
          </w:tcPr>
          <w:p>
            <w:pPr>
              <w:jc w:val="center"/>
              <w:rPr>
                <w:rFonts w:hint="eastAsia"/>
                <w:i w:val="0"/>
                <w:iCs w:val="0"/>
                <w:sz w:val="21"/>
                <w:szCs w:val="21"/>
              </w:rPr>
            </w:pPr>
            <w:r>
              <w:rPr>
                <w:rFonts w:hint="eastAsia"/>
                <w:i w:val="0"/>
                <w:iCs w:val="0"/>
                <w:sz w:val="21"/>
                <w:szCs w:val="21"/>
              </w:rPr>
              <w:t>类别</w:t>
            </w:r>
          </w:p>
        </w:tc>
        <w:tc>
          <w:tcPr>
            <w:tcW w:w="710" w:type="pct"/>
            <w:noWrap w:val="0"/>
            <w:vAlign w:val="center"/>
          </w:tcPr>
          <w:p>
            <w:pPr>
              <w:jc w:val="center"/>
              <w:rPr>
                <w:rFonts w:hint="eastAsia"/>
                <w:i w:val="0"/>
                <w:iCs w:val="0"/>
                <w:sz w:val="21"/>
                <w:szCs w:val="21"/>
              </w:rPr>
            </w:pPr>
            <w:r>
              <w:rPr>
                <w:rFonts w:hint="eastAsia"/>
                <w:i w:val="0"/>
                <w:iCs w:val="0"/>
                <w:sz w:val="21"/>
                <w:szCs w:val="21"/>
              </w:rPr>
              <w:t>产生量（t/a）</w:t>
            </w:r>
          </w:p>
        </w:tc>
        <w:tc>
          <w:tcPr>
            <w:tcW w:w="714" w:type="pct"/>
            <w:noWrap w:val="0"/>
            <w:vAlign w:val="center"/>
          </w:tcPr>
          <w:p>
            <w:pPr>
              <w:jc w:val="center"/>
              <w:rPr>
                <w:rFonts w:hint="eastAsia"/>
                <w:i w:val="0"/>
                <w:iCs w:val="0"/>
                <w:sz w:val="21"/>
                <w:szCs w:val="21"/>
              </w:rPr>
            </w:pPr>
            <w:r>
              <w:rPr>
                <w:rFonts w:hint="eastAsia"/>
                <w:i w:val="0"/>
                <w:iCs w:val="0"/>
                <w:sz w:val="21"/>
                <w:szCs w:val="21"/>
              </w:rPr>
              <w:t>排放量（t/a）</w:t>
            </w:r>
          </w:p>
        </w:tc>
        <w:tc>
          <w:tcPr>
            <w:tcW w:w="1347" w:type="pct"/>
            <w:noWrap w:val="0"/>
            <w:vAlign w:val="center"/>
          </w:tcPr>
          <w:p>
            <w:pPr>
              <w:jc w:val="center"/>
              <w:rPr>
                <w:rFonts w:hint="eastAsia"/>
                <w:i w:val="0"/>
                <w:iCs w:val="0"/>
                <w:sz w:val="21"/>
                <w:szCs w:val="21"/>
              </w:rPr>
            </w:pPr>
            <w:r>
              <w:rPr>
                <w:rFonts w:hint="eastAsia"/>
                <w:i w:val="0"/>
                <w:iCs w:val="0"/>
                <w:sz w:val="21"/>
                <w:szCs w:val="21"/>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2" w:hRule="atLeast"/>
          <w:jc w:val="center"/>
        </w:trPr>
        <w:tc>
          <w:tcPr>
            <w:tcW w:w="1213" w:type="pct"/>
            <w:noWrap w:val="0"/>
            <w:vAlign w:val="center"/>
          </w:tcPr>
          <w:p>
            <w:pPr>
              <w:jc w:val="center"/>
              <w:rPr>
                <w:rFonts w:hint="eastAsia"/>
                <w:i w:val="0"/>
                <w:iCs w:val="0"/>
                <w:sz w:val="21"/>
                <w:szCs w:val="21"/>
              </w:rPr>
            </w:pPr>
            <w:r>
              <w:rPr>
                <w:rFonts w:hint="eastAsia"/>
                <w:i w:val="0"/>
                <w:iCs w:val="0"/>
                <w:sz w:val="21"/>
                <w:szCs w:val="21"/>
              </w:rPr>
              <w:t>生活垃圾</w:t>
            </w:r>
          </w:p>
        </w:tc>
        <w:tc>
          <w:tcPr>
            <w:tcW w:w="1014" w:type="pct"/>
            <w:noWrap w:val="0"/>
            <w:vAlign w:val="center"/>
          </w:tcPr>
          <w:p>
            <w:pPr>
              <w:jc w:val="center"/>
              <w:rPr>
                <w:rFonts w:hint="eastAsia"/>
                <w:i w:val="0"/>
                <w:iCs w:val="0"/>
                <w:sz w:val="21"/>
                <w:szCs w:val="21"/>
              </w:rPr>
            </w:pPr>
            <w:r>
              <w:rPr>
                <w:rFonts w:hint="eastAsia"/>
                <w:i w:val="0"/>
                <w:iCs w:val="0"/>
                <w:sz w:val="21"/>
                <w:szCs w:val="21"/>
              </w:rPr>
              <w:t>一般固体废物</w:t>
            </w:r>
          </w:p>
          <w:p>
            <w:pPr>
              <w:jc w:val="center"/>
              <w:rPr>
                <w:i w:val="0"/>
                <w:iCs w:val="0"/>
                <w:sz w:val="21"/>
                <w:szCs w:val="21"/>
              </w:rPr>
            </w:pPr>
            <w:r>
              <w:rPr>
                <w:i w:val="0"/>
                <w:iCs w:val="0"/>
                <w:sz w:val="21"/>
                <w:szCs w:val="21"/>
              </w:rPr>
              <w:t>900-999-99</w:t>
            </w:r>
          </w:p>
        </w:tc>
        <w:tc>
          <w:tcPr>
            <w:tcW w:w="710" w:type="pct"/>
            <w:noWrap w:val="0"/>
            <w:vAlign w:val="center"/>
          </w:tcPr>
          <w:p>
            <w:pPr>
              <w:jc w:val="center"/>
              <w:rPr>
                <w:rFonts w:hint="default" w:eastAsia="宋体"/>
                <w:i w:val="0"/>
                <w:iCs w:val="0"/>
                <w:sz w:val="21"/>
                <w:szCs w:val="21"/>
                <w:lang w:val="en-US" w:eastAsia="zh-CN"/>
              </w:rPr>
            </w:pPr>
            <w:r>
              <w:rPr>
                <w:rFonts w:hint="eastAsia"/>
                <w:i w:val="0"/>
                <w:iCs w:val="0"/>
                <w:sz w:val="21"/>
                <w:szCs w:val="21"/>
                <w:lang w:val="en-US" w:eastAsia="zh-CN"/>
              </w:rPr>
              <w:t>13</w:t>
            </w:r>
          </w:p>
        </w:tc>
        <w:tc>
          <w:tcPr>
            <w:tcW w:w="714" w:type="pct"/>
            <w:noWrap w:val="0"/>
            <w:vAlign w:val="center"/>
          </w:tcPr>
          <w:p>
            <w:pPr>
              <w:jc w:val="center"/>
              <w:rPr>
                <w:rFonts w:hint="default" w:eastAsia="宋体"/>
                <w:i w:val="0"/>
                <w:iCs w:val="0"/>
                <w:sz w:val="21"/>
                <w:szCs w:val="21"/>
                <w:lang w:val="en-US" w:eastAsia="zh-CN"/>
              </w:rPr>
            </w:pPr>
            <w:r>
              <w:rPr>
                <w:rFonts w:hint="eastAsia"/>
                <w:i w:val="0"/>
                <w:iCs w:val="0"/>
                <w:sz w:val="21"/>
                <w:szCs w:val="21"/>
                <w:lang w:val="en-US" w:eastAsia="zh-CN"/>
              </w:rPr>
              <w:t>13</w:t>
            </w:r>
          </w:p>
        </w:tc>
        <w:tc>
          <w:tcPr>
            <w:tcW w:w="1347" w:type="pct"/>
            <w:noWrap w:val="0"/>
            <w:vAlign w:val="center"/>
          </w:tcPr>
          <w:p>
            <w:pPr>
              <w:jc w:val="center"/>
              <w:rPr>
                <w:rFonts w:hint="eastAsia"/>
                <w:i w:val="0"/>
                <w:iCs w:val="0"/>
                <w:sz w:val="21"/>
                <w:szCs w:val="21"/>
              </w:rPr>
            </w:pPr>
            <w:r>
              <w:rPr>
                <w:rFonts w:hint="eastAsia"/>
                <w:i w:val="0"/>
                <w:iCs w:val="0"/>
                <w:sz w:val="21"/>
                <w:szCs w:val="21"/>
              </w:rPr>
              <w:t>暂存防渗垃圾桶，由环卫部门定期清运。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2" w:hRule="atLeast"/>
          <w:jc w:val="center"/>
        </w:trPr>
        <w:tc>
          <w:tcPr>
            <w:tcW w:w="1213" w:type="pct"/>
            <w:noWrap w:val="0"/>
            <w:vAlign w:val="center"/>
          </w:tcPr>
          <w:p>
            <w:pPr>
              <w:jc w:val="center"/>
              <w:rPr>
                <w:rFonts w:hint="eastAsia"/>
                <w:i w:val="0"/>
                <w:iCs w:val="0"/>
                <w:sz w:val="21"/>
                <w:szCs w:val="21"/>
              </w:rPr>
            </w:pPr>
            <w:r>
              <w:rPr>
                <w:rFonts w:hint="eastAsia"/>
                <w:i w:val="0"/>
                <w:iCs w:val="0"/>
                <w:sz w:val="21"/>
                <w:szCs w:val="21"/>
              </w:rPr>
              <w:t>污泥</w:t>
            </w:r>
          </w:p>
        </w:tc>
        <w:tc>
          <w:tcPr>
            <w:tcW w:w="1014" w:type="pct"/>
            <w:noWrap w:val="0"/>
            <w:vAlign w:val="center"/>
          </w:tcPr>
          <w:p>
            <w:pPr>
              <w:jc w:val="center"/>
              <w:rPr>
                <w:i w:val="0"/>
                <w:iCs w:val="0"/>
                <w:sz w:val="21"/>
                <w:szCs w:val="21"/>
              </w:rPr>
            </w:pPr>
            <w:r>
              <w:rPr>
                <w:i w:val="0"/>
                <w:iCs w:val="0"/>
                <w:sz w:val="21"/>
                <w:szCs w:val="21"/>
              </w:rPr>
              <w:t>一般固体废物</w:t>
            </w:r>
          </w:p>
          <w:p>
            <w:pPr>
              <w:jc w:val="center"/>
              <w:rPr>
                <w:i w:val="0"/>
                <w:iCs w:val="0"/>
                <w:sz w:val="21"/>
                <w:szCs w:val="21"/>
              </w:rPr>
            </w:pPr>
            <w:r>
              <w:rPr>
                <w:i w:val="0"/>
                <w:iCs w:val="0"/>
                <w:sz w:val="21"/>
                <w:szCs w:val="21"/>
              </w:rPr>
              <w:t>900-999-61</w:t>
            </w:r>
          </w:p>
        </w:tc>
        <w:tc>
          <w:tcPr>
            <w:tcW w:w="710" w:type="pct"/>
            <w:noWrap w:val="0"/>
            <w:vAlign w:val="center"/>
          </w:tcPr>
          <w:p>
            <w:pPr>
              <w:jc w:val="center"/>
              <w:rPr>
                <w:i w:val="0"/>
                <w:iCs w:val="0"/>
                <w:sz w:val="21"/>
                <w:szCs w:val="21"/>
              </w:rPr>
            </w:pPr>
            <w:r>
              <w:rPr>
                <w:rFonts w:hint="eastAsia"/>
                <w:i w:val="0"/>
                <w:iCs w:val="0"/>
                <w:sz w:val="21"/>
                <w:szCs w:val="21"/>
              </w:rPr>
              <w:t>316</w:t>
            </w:r>
          </w:p>
        </w:tc>
        <w:tc>
          <w:tcPr>
            <w:tcW w:w="714" w:type="pct"/>
            <w:noWrap w:val="0"/>
            <w:vAlign w:val="center"/>
          </w:tcPr>
          <w:p>
            <w:pPr>
              <w:jc w:val="center"/>
              <w:rPr>
                <w:i w:val="0"/>
                <w:iCs w:val="0"/>
                <w:sz w:val="21"/>
                <w:szCs w:val="21"/>
              </w:rPr>
            </w:pPr>
            <w:r>
              <w:rPr>
                <w:rFonts w:hint="eastAsia"/>
                <w:i w:val="0"/>
                <w:iCs w:val="0"/>
                <w:sz w:val="21"/>
                <w:szCs w:val="21"/>
              </w:rPr>
              <w:t>316</w:t>
            </w:r>
          </w:p>
        </w:tc>
        <w:tc>
          <w:tcPr>
            <w:tcW w:w="1347" w:type="pct"/>
            <w:noWrap w:val="0"/>
            <w:vAlign w:val="center"/>
          </w:tcPr>
          <w:p>
            <w:pPr>
              <w:jc w:val="center"/>
              <w:rPr>
                <w:rFonts w:hint="eastAsia"/>
                <w:i w:val="0"/>
                <w:iCs w:val="0"/>
                <w:sz w:val="21"/>
                <w:szCs w:val="21"/>
              </w:rPr>
            </w:pPr>
            <w:r>
              <w:rPr>
                <w:rFonts w:hint="eastAsia"/>
                <w:i w:val="0"/>
                <w:iCs w:val="0"/>
                <w:sz w:val="21"/>
                <w:szCs w:val="21"/>
              </w:rPr>
              <w:t>送至白山绿能新能源有限公司处置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2" w:hRule="atLeast"/>
          <w:jc w:val="center"/>
        </w:trPr>
        <w:tc>
          <w:tcPr>
            <w:tcW w:w="1213" w:type="pct"/>
            <w:noWrap w:val="0"/>
            <w:vAlign w:val="center"/>
          </w:tcPr>
          <w:p>
            <w:pPr>
              <w:jc w:val="center"/>
              <w:rPr>
                <w:rFonts w:hint="eastAsia"/>
                <w:i w:val="0"/>
                <w:iCs w:val="0"/>
                <w:sz w:val="21"/>
                <w:szCs w:val="21"/>
              </w:rPr>
            </w:pPr>
            <w:r>
              <w:rPr>
                <w:rFonts w:hint="eastAsia"/>
                <w:i w:val="0"/>
                <w:iCs w:val="0"/>
                <w:sz w:val="21"/>
                <w:szCs w:val="21"/>
                <w:lang w:eastAsia="zh-CN"/>
              </w:rPr>
              <w:t>收集到的粉尘</w:t>
            </w:r>
          </w:p>
        </w:tc>
        <w:tc>
          <w:tcPr>
            <w:tcW w:w="1014" w:type="pct"/>
            <w:noWrap w:val="0"/>
            <w:vAlign w:val="center"/>
          </w:tcPr>
          <w:p>
            <w:pPr>
              <w:jc w:val="center"/>
              <w:rPr>
                <w:rFonts w:hint="eastAsia"/>
                <w:i w:val="0"/>
                <w:iCs w:val="0"/>
                <w:sz w:val="21"/>
                <w:szCs w:val="21"/>
                <w:lang w:val="en-US" w:eastAsia="zh-CN"/>
              </w:rPr>
            </w:pPr>
            <w:r>
              <w:rPr>
                <w:rFonts w:hint="eastAsia"/>
                <w:i w:val="0"/>
                <w:iCs w:val="0"/>
                <w:sz w:val="21"/>
                <w:szCs w:val="21"/>
                <w:lang w:val="en-US" w:eastAsia="zh-CN"/>
              </w:rPr>
              <w:t>一般固体废物</w:t>
            </w:r>
          </w:p>
          <w:p>
            <w:pPr>
              <w:jc w:val="center"/>
              <w:rPr>
                <w:rFonts w:hint="default" w:eastAsia="宋体"/>
                <w:i w:val="0"/>
                <w:iCs w:val="0"/>
                <w:sz w:val="21"/>
                <w:szCs w:val="21"/>
                <w:lang w:val="en-US" w:eastAsia="zh-CN"/>
              </w:rPr>
            </w:pPr>
            <w:r>
              <w:rPr>
                <w:rFonts w:hint="eastAsia"/>
                <w:i w:val="0"/>
                <w:iCs w:val="0"/>
                <w:sz w:val="21"/>
                <w:szCs w:val="21"/>
                <w:lang w:val="en-US" w:eastAsia="zh-CN"/>
              </w:rPr>
              <w:t>900-999-66</w:t>
            </w:r>
          </w:p>
        </w:tc>
        <w:tc>
          <w:tcPr>
            <w:tcW w:w="710" w:type="pct"/>
            <w:noWrap w:val="0"/>
            <w:vAlign w:val="center"/>
          </w:tcPr>
          <w:p>
            <w:pPr>
              <w:jc w:val="center"/>
              <w:rPr>
                <w:rFonts w:hint="default" w:eastAsia="宋体"/>
                <w:i w:val="0"/>
                <w:iCs w:val="0"/>
                <w:sz w:val="21"/>
                <w:szCs w:val="21"/>
                <w:lang w:val="en-US" w:eastAsia="zh-CN"/>
              </w:rPr>
            </w:pPr>
            <w:r>
              <w:rPr>
                <w:rFonts w:hint="eastAsia"/>
                <w:i w:val="0"/>
                <w:iCs w:val="0"/>
                <w:sz w:val="21"/>
                <w:szCs w:val="21"/>
                <w:lang w:val="en-US" w:eastAsia="zh-CN"/>
              </w:rPr>
              <w:t>220.681</w:t>
            </w:r>
          </w:p>
        </w:tc>
        <w:tc>
          <w:tcPr>
            <w:tcW w:w="714" w:type="pct"/>
            <w:noWrap w:val="0"/>
            <w:vAlign w:val="center"/>
          </w:tcPr>
          <w:p>
            <w:pPr>
              <w:jc w:val="center"/>
              <w:rPr>
                <w:rFonts w:hint="eastAsia"/>
                <w:i w:val="0"/>
                <w:iCs w:val="0"/>
                <w:sz w:val="21"/>
                <w:szCs w:val="21"/>
              </w:rPr>
            </w:pPr>
            <w:r>
              <w:rPr>
                <w:rFonts w:hint="eastAsia"/>
                <w:i w:val="0"/>
                <w:iCs w:val="0"/>
                <w:sz w:val="21"/>
                <w:szCs w:val="21"/>
                <w:lang w:val="en-US" w:eastAsia="zh-CN"/>
              </w:rPr>
              <w:t>220.681</w:t>
            </w:r>
          </w:p>
        </w:tc>
        <w:tc>
          <w:tcPr>
            <w:tcW w:w="1347" w:type="pct"/>
            <w:noWrap w:val="0"/>
            <w:vAlign w:val="center"/>
          </w:tcPr>
          <w:p>
            <w:pPr>
              <w:jc w:val="center"/>
              <w:rPr>
                <w:rFonts w:hint="eastAsia"/>
                <w:i w:val="0"/>
                <w:iCs w:val="0"/>
                <w:sz w:val="21"/>
                <w:szCs w:val="21"/>
              </w:rPr>
            </w:pPr>
            <w:r>
              <w:rPr>
                <w:rFonts w:hint="eastAsia"/>
                <w:i w:val="0"/>
                <w:iCs w:val="0"/>
                <w:sz w:val="21"/>
                <w:szCs w:val="21"/>
                <w:lang w:eastAsia="zh-CN"/>
              </w:rPr>
              <w:t>外卖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3" w:type="pct"/>
            <w:noWrap w:val="0"/>
            <w:vAlign w:val="center"/>
          </w:tcPr>
          <w:p>
            <w:pPr>
              <w:jc w:val="center"/>
              <w:rPr>
                <w:rFonts w:hint="eastAsia"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rPr>
              <w:t>废包装材料</w:t>
            </w:r>
          </w:p>
        </w:tc>
        <w:tc>
          <w:tcPr>
            <w:tcW w:w="1014" w:type="pct"/>
            <w:noWrap w:val="0"/>
            <w:vAlign w:val="center"/>
          </w:tcPr>
          <w:p>
            <w:pPr>
              <w:jc w:val="center"/>
              <w:rPr>
                <w:rFonts w:hint="eastAsia"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rPr>
              <w:t>一般固体废物999-999-99</w:t>
            </w:r>
          </w:p>
        </w:tc>
        <w:tc>
          <w:tcPr>
            <w:tcW w:w="710" w:type="pct"/>
            <w:noWrap w:val="0"/>
            <w:vAlign w:val="center"/>
          </w:tcPr>
          <w:p>
            <w:pPr>
              <w:jc w:val="center"/>
              <w:rPr>
                <w:rFonts w:hint="eastAsia"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rPr>
              <w:t>5</w:t>
            </w:r>
          </w:p>
        </w:tc>
        <w:tc>
          <w:tcPr>
            <w:tcW w:w="714" w:type="pct"/>
            <w:noWrap w:val="0"/>
            <w:vAlign w:val="center"/>
          </w:tcPr>
          <w:p>
            <w:pPr>
              <w:jc w:val="center"/>
              <w:rPr>
                <w:rFonts w:hint="eastAsia"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rPr>
              <w:t>5</w:t>
            </w:r>
          </w:p>
        </w:tc>
        <w:tc>
          <w:tcPr>
            <w:tcW w:w="1347" w:type="pct"/>
            <w:vMerge w:val="restart"/>
            <w:noWrap w:val="0"/>
            <w:vAlign w:val="center"/>
          </w:tcPr>
          <w:p>
            <w:pPr>
              <w:jc w:val="center"/>
              <w:rPr>
                <w:rFonts w:hint="eastAsia"/>
                <w:i w:val="0"/>
                <w:iCs w:val="0"/>
                <w:sz w:val="21"/>
                <w:szCs w:val="21"/>
              </w:rPr>
            </w:pPr>
            <w:r>
              <w:rPr>
                <w:rFonts w:hint="eastAsia"/>
                <w:i w:val="0"/>
                <w:iCs w:val="0"/>
                <w:sz w:val="21"/>
                <w:szCs w:val="21"/>
              </w:rPr>
              <w:t>外卖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3" w:type="pct"/>
            <w:noWrap w:val="0"/>
            <w:vAlign w:val="center"/>
          </w:tcPr>
          <w:p>
            <w:pPr>
              <w:jc w:val="center"/>
              <w:rPr>
                <w:rFonts w:hint="eastAsia"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rPr>
              <w:t>废滤材（初中高效过滤器、过滤芯）</w:t>
            </w:r>
          </w:p>
        </w:tc>
        <w:tc>
          <w:tcPr>
            <w:tcW w:w="1014" w:type="pct"/>
            <w:noWrap w:val="0"/>
            <w:vAlign w:val="center"/>
          </w:tcPr>
          <w:p>
            <w:pPr>
              <w:jc w:val="center"/>
              <w:rPr>
                <w:rFonts w:hint="eastAsia"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rPr>
              <w:t>一般固体废物999-999-99</w:t>
            </w:r>
          </w:p>
        </w:tc>
        <w:tc>
          <w:tcPr>
            <w:tcW w:w="710" w:type="pct"/>
            <w:noWrap w:val="0"/>
            <w:vAlign w:val="center"/>
          </w:tcPr>
          <w:p>
            <w:pPr>
              <w:jc w:val="center"/>
              <w:rPr>
                <w:rFonts w:hint="default" w:ascii="Times New Roman" w:hAnsi="Times New Roman" w:eastAsia="宋体" w:cs="Times New Roman"/>
                <w:i w:val="0"/>
                <w:iCs w:val="0"/>
                <w:sz w:val="21"/>
                <w:szCs w:val="21"/>
                <w:lang w:val="en-US" w:eastAsia="zh-CN"/>
              </w:rPr>
            </w:pPr>
            <w:r>
              <w:rPr>
                <w:rFonts w:hint="eastAsia" w:ascii="Times New Roman" w:hAnsi="Times New Roman" w:eastAsia="宋体" w:cs="Times New Roman"/>
                <w:i w:val="0"/>
                <w:iCs w:val="0"/>
                <w:sz w:val="21"/>
                <w:szCs w:val="21"/>
                <w:lang w:val="en-US" w:eastAsia="zh-CN"/>
              </w:rPr>
              <w:t>0.5</w:t>
            </w:r>
          </w:p>
        </w:tc>
        <w:tc>
          <w:tcPr>
            <w:tcW w:w="714" w:type="pct"/>
            <w:noWrap w:val="0"/>
            <w:vAlign w:val="center"/>
          </w:tcPr>
          <w:p>
            <w:pPr>
              <w:jc w:val="center"/>
              <w:rPr>
                <w:rFonts w:hint="eastAsia"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lang w:val="en-US" w:eastAsia="zh-CN"/>
              </w:rPr>
              <w:t>0.5</w:t>
            </w:r>
          </w:p>
        </w:tc>
        <w:tc>
          <w:tcPr>
            <w:tcW w:w="1347" w:type="pct"/>
            <w:vMerge w:val="continue"/>
            <w:noWrap w:val="0"/>
            <w:vAlign w:val="center"/>
          </w:tcPr>
          <w:p>
            <w:pPr>
              <w:jc w:val="center"/>
              <w:rPr>
                <w:rFonts w:hint="eastAsia"/>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2" w:hRule="atLeast"/>
          <w:jc w:val="center"/>
        </w:trPr>
        <w:tc>
          <w:tcPr>
            <w:tcW w:w="1213" w:type="pct"/>
            <w:noWrap w:val="0"/>
            <w:vAlign w:val="center"/>
          </w:tcPr>
          <w:p>
            <w:pPr>
              <w:jc w:val="center"/>
              <w:rPr>
                <w:rFonts w:hint="eastAsia"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rPr>
              <w:t>废活性炭</w:t>
            </w:r>
          </w:p>
        </w:tc>
        <w:tc>
          <w:tcPr>
            <w:tcW w:w="1014" w:type="pct"/>
            <w:noWrap w:val="0"/>
            <w:vAlign w:val="center"/>
          </w:tcPr>
          <w:p>
            <w:pPr>
              <w:jc w:val="center"/>
              <w:rPr>
                <w:rFonts w:hint="eastAsia"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rPr>
              <w:t>危险废物（代码：HW49 900-041-49）</w:t>
            </w:r>
          </w:p>
        </w:tc>
        <w:tc>
          <w:tcPr>
            <w:tcW w:w="710" w:type="pct"/>
            <w:noWrap w:val="0"/>
            <w:vAlign w:val="center"/>
          </w:tcPr>
          <w:p>
            <w:pPr>
              <w:jc w:val="center"/>
              <w:rPr>
                <w:rFonts w:hint="eastAsia"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rPr>
              <w:t>0.5</w:t>
            </w:r>
          </w:p>
        </w:tc>
        <w:tc>
          <w:tcPr>
            <w:tcW w:w="714" w:type="pct"/>
            <w:noWrap w:val="0"/>
            <w:vAlign w:val="center"/>
          </w:tcPr>
          <w:p>
            <w:pPr>
              <w:jc w:val="center"/>
              <w:rPr>
                <w:rFonts w:hint="eastAsia"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rPr>
              <w:t>0.5</w:t>
            </w:r>
          </w:p>
        </w:tc>
        <w:tc>
          <w:tcPr>
            <w:tcW w:w="1347" w:type="pct"/>
            <w:vMerge w:val="restart"/>
            <w:noWrap w:val="0"/>
            <w:vAlign w:val="center"/>
          </w:tcPr>
          <w:p>
            <w:pPr>
              <w:jc w:val="center"/>
              <w:rPr>
                <w:rFonts w:hint="eastAsia"/>
                <w:i w:val="0"/>
                <w:iCs w:val="0"/>
                <w:sz w:val="21"/>
                <w:szCs w:val="21"/>
              </w:rPr>
            </w:pPr>
            <w:r>
              <w:rPr>
                <w:i w:val="0"/>
                <w:iCs w:val="0"/>
                <w:sz w:val="21"/>
                <w:szCs w:val="21"/>
              </w:rPr>
              <w:t>暂存危险废物</w:t>
            </w:r>
            <w:r>
              <w:rPr>
                <w:rFonts w:hint="eastAsia"/>
                <w:i w:val="0"/>
                <w:iCs w:val="0"/>
                <w:sz w:val="21"/>
                <w:szCs w:val="21"/>
              </w:rPr>
              <w:t>暂存间内</w:t>
            </w:r>
            <w:r>
              <w:rPr>
                <w:i w:val="0"/>
                <w:iCs w:val="0"/>
                <w:sz w:val="21"/>
                <w:szCs w:val="21"/>
              </w:rPr>
              <w:t>，委托</w:t>
            </w:r>
            <w:r>
              <w:rPr>
                <w:rFonts w:hint="eastAsia"/>
                <w:i w:val="0"/>
                <w:iCs w:val="0"/>
                <w:sz w:val="21"/>
                <w:szCs w:val="21"/>
              </w:rPr>
              <w:t>有资质单位处理</w:t>
            </w:r>
            <w:r>
              <w:rPr>
                <w:i w:val="0"/>
                <w:iCs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3" w:type="pct"/>
            <w:noWrap w:val="0"/>
            <w:vAlign w:val="center"/>
          </w:tcPr>
          <w:p>
            <w:pPr>
              <w:jc w:val="center"/>
              <w:rPr>
                <w:rFonts w:hint="eastAsia"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lang w:val="en-US" w:eastAsia="zh-CN"/>
              </w:rPr>
              <w:t>实验废液</w:t>
            </w:r>
          </w:p>
        </w:tc>
        <w:tc>
          <w:tcPr>
            <w:tcW w:w="1014" w:type="pct"/>
            <w:noWrap w:val="0"/>
            <w:vAlign w:val="center"/>
          </w:tcPr>
          <w:p>
            <w:pPr>
              <w:jc w:val="center"/>
              <w:rPr>
                <w:rFonts w:hint="eastAsia"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rPr>
              <w:t>危险废物（代码：HW49 900-047-49</w:t>
            </w:r>
          </w:p>
        </w:tc>
        <w:tc>
          <w:tcPr>
            <w:tcW w:w="710" w:type="pct"/>
            <w:noWrap w:val="0"/>
            <w:vAlign w:val="center"/>
          </w:tcPr>
          <w:p>
            <w:pPr>
              <w:jc w:val="center"/>
              <w:rPr>
                <w:rFonts w:hint="default" w:ascii="Times New Roman" w:hAnsi="Times New Roman" w:eastAsia="宋体" w:cs="Times New Roman"/>
                <w:i w:val="0"/>
                <w:iCs w:val="0"/>
                <w:sz w:val="21"/>
                <w:szCs w:val="21"/>
                <w:lang w:val="en-US" w:eastAsia="zh-CN"/>
              </w:rPr>
            </w:pPr>
            <w:r>
              <w:rPr>
                <w:rFonts w:hint="eastAsia" w:ascii="Times New Roman" w:hAnsi="Times New Roman" w:eastAsia="宋体" w:cs="Times New Roman"/>
                <w:i w:val="0"/>
                <w:iCs w:val="0"/>
                <w:sz w:val="21"/>
                <w:szCs w:val="21"/>
                <w:lang w:val="en-US" w:eastAsia="zh-CN"/>
              </w:rPr>
              <w:t>0.07</w:t>
            </w:r>
          </w:p>
        </w:tc>
        <w:tc>
          <w:tcPr>
            <w:tcW w:w="714" w:type="pct"/>
            <w:noWrap w:val="0"/>
            <w:vAlign w:val="center"/>
          </w:tcPr>
          <w:p>
            <w:pPr>
              <w:jc w:val="center"/>
              <w:rPr>
                <w:rFonts w:hint="eastAsia" w:ascii="Times New Roman" w:hAnsi="Times New Roman" w:eastAsia="宋体" w:cs="Times New Roman"/>
                <w:i w:val="0"/>
                <w:iCs w:val="0"/>
                <w:sz w:val="21"/>
                <w:szCs w:val="21"/>
                <w:lang w:val="en-US" w:eastAsia="zh-CN"/>
              </w:rPr>
            </w:pPr>
            <w:r>
              <w:rPr>
                <w:rFonts w:hint="eastAsia" w:ascii="Times New Roman" w:hAnsi="Times New Roman" w:eastAsia="宋体" w:cs="Times New Roman"/>
                <w:i w:val="0"/>
                <w:iCs w:val="0"/>
                <w:sz w:val="21"/>
                <w:szCs w:val="21"/>
                <w:lang w:val="en-US" w:eastAsia="zh-CN"/>
              </w:rPr>
              <w:t>0.07</w:t>
            </w:r>
          </w:p>
        </w:tc>
        <w:tc>
          <w:tcPr>
            <w:tcW w:w="1347" w:type="pct"/>
            <w:vMerge w:val="continue"/>
            <w:noWrap w:val="0"/>
            <w:vAlign w:val="center"/>
          </w:tcPr>
          <w:p>
            <w:pPr>
              <w:jc w:val="center"/>
              <w:rPr>
                <w:rFonts w:hint="eastAsia"/>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2" w:hRule="atLeast"/>
          <w:jc w:val="center"/>
        </w:trPr>
        <w:tc>
          <w:tcPr>
            <w:tcW w:w="1213" w:type="pct"/>
            <w:noWrap w:val="0"/>
            <w:vAlign w:val="center"/>
          </w:tcPr>
          <w:p>
            <w:pPr>
              <w:jc w:val="center"/>
              <w:rPr>
                <w:rFonts w:hint="eastAsia"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lang w:val="en-US" w:eastAsia="zh-CN"/>
              </w:rPr>
              <w:t>废包装瓶</w:t>
            </w:r>
          </w:p>
        </w:tc>
        <w:tc>
          <w:tcPr>
            <w:tcW w:w="1014" w:type="pct"/>
            <w:noWrap w:val="0"/>
            <w:vAlign w:val="center"/>
          </w:tcPr>
          <w:p>
            <w:pPr>
              <w:jc w:val="center"/>
              <w:rPr>
                <w:rFonts w:hint="eastAsia"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rPr>
              <w:t>危险废物（代码：HW49 900-047-49</w:t>
            </w:r>
          </w:p>
        </w:tc>
        <w:tc>
          <w:tcPr>
            <w:tcW w:w="710" w:type="pct"/>
            <w:noWrap w:val="0"/>
            <w:vAlign w:val="center"/>
          </w:tcPr>
          <w:p>
            <w:pPr>
              <w:jc w:val="center"/>
              <w:rPr>
                <w:rFonts w:hint="default" w:ascii="Times New Roman" w:hAnsi="Times New Roman" w:eastAsia="宋体" w:cs="Times New Roman"/>
                <w:i w:val="0"/>
                <w:iCs w:val="0"/>
                <w:sz w:val="21"/>
                <w:szCs w:val="21"/>
                <w:lang w:val="en-US" w:eastAsia="zh-CN"/>
              </w:rPr>
            </w:pPr>
            <w:r>
              <w:rPr>
                <w:rFonts w:hint="eastAsia" w:ascii="Times New Roman" w:hAnsi="Times New Roman" w:eastAsia="宋体" w:cs="Times New Roman"/>
                <w:i w:val="0"/>
                <w:iCs w:val="0"/>
                <w:sz w:val="21"/>
                <w:szCs w:val="21"/>
                <w:lang w:val="en-US" w:eastAsia="zh-CN"/>
              </w:rPr>
              <w:t>0.05</w:t>
            </w:r>
          </w:p>
        </w:tc>
        <w:tc>
          <w:tcPr>
            <w:tcW w:w="714" w:type="pct"/>
            <w:noWrap w:val="0"/>
            <w:vAlign w:val="center"/>
          </w:tcPr>
          <w:p>
            <w:pPr>
              <w:jc w:val="center"/>
              <w:rPr>
                <w:rFonts w:hint="eastAsia" w:ascii="Times New Roman" w:hAnsi="Times New Roman" w:eastAsia="宋体" w:cs="Times New Roman"/>
                <w:i w:val="0"/>
                <w:iCs w:val="0"/>
                <w:sz w:val="21"/>
                <w:szCs w:val="21"/>
                <w:lang w:val="en-US" w:eastAsia="zh-CN"/>
              </w:rPr>
            </w:pPr>
            <w:r>
              <w:rPr>
                <w:rFonts w:hint="eastAsia" w:ascii="Times New Roman" w:hAnsi="Times New Roman" w:eastAsia="宋体" w:cs="Times New Roman"/>
                <w:i w:val="0"/>
                <w:iCs w:val="0"/>
                <w:sz w:val="21"/>
                <w:szCs w:val="21"/>
                <w:lang w:val="en-US" w:eastAsia="zh-CN"/>
              </w:rPr>
              <w:t>0.05</w:t>
            </w:r>
          </w:p>
        </w:tc>
        <w:tc>
          <w:tcPr>
            <w:tcW w:w="1347" w:type="pct"/>
            <w:vMerge w:val="continue"/>
            <w:noWrap w:val="0"/>
            <w:vAlign w:val="center"/>
          </w:tcPr>
          <w:p>
            <w:pPr>
              <w:jc w:val="center"/>
              <w:rPr>
                <w:rFonts w:hint="eastAsia"/>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2" w:hRule="atLeast"/>
          <w:jc w:val="center"/>
        </w:trPr>
        <w:tc>
          <w:tcPr>
            <w:tcW w:w="1213" w:type="pct"/>
            <w:noWrap w:val="0"/>
            <w:vAlign w:val="center"/>
          </w:tcPr>
          <w:p>
            <w:pPr>
              <w:jc w:val="center"/>
              <w:rPr>
                <w:rFonts w:hint="eastAsia" w:ascii="Times New Roman" w:hAnsi="Times New Roman" w:eastAsia="宋体" w:cs="Times New Roman"/>
                <w:i w:val="0"/>
                <w:iCs w:val="0"/>
                <w:sz w:val="21"/>
                <w:szCs w:val="21"/>
                <w:lang w:val="en-US" w:eastAsia="zh-CN"/>
              </w:rPr>
            </w:pPr>
            <w:r>
              <w:rPr>
                <w:rFonts w:hint="eastAsia" w:cs="Times New Roman"/>
                <w:i w:val="0"/>
                <w:iCs w:val="0"/>
                <w:sz w:val="21"/>
                <w:szCs w:val="21"/>
                <w:lang w:val="en-US" w:eastAsia="zh-CN"/>
              </w:rPr>
              <w:t>废机油及废机油桶</w:t>
            </w:r>
          </w:p>
        </w:tc>
        <w:tc>
          <w:tcPr>
            <w:tcW w:w="1014" w:type="pct"/>
            <w:noWrap w:val="0"/>
            <w:vAlign w:val="center"/>
          </w:tcPr>
          <w:p>
            <w:pPr>
              <w:jc w:val="center"/>
              <w:rPr>
                <w:rFonts w:hint="eastAsia"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rPr>
              <w:t>危险废物（代码：</w:t>
            </w:r>
            <w:r>
              <w:rPr>
                <w:rFonts w:hint="eastAsia" w:ascii="Times New Roman" w:hAnsi="Times New Roman" w:eastAsia="宋体" w:cs="Times New Roman"/>
                <w:i w:val="0"/>
                <w:iCs w:val="0"/>
                <w:sz w:val="21"/>
                <w:szCs w:val="21"/>
                <w:lang w:val="en-US" w:eastAsia="zh-CN"/>
              </w:rPr>
              <w:t>HW08</w:t>
            </w:r>
            <w:r>
              <w:rPr>
                <w:rFonts w:hint="eastAsia" w:cs="Times New Roman"/>
                <w:i w:val="0"/>
                <w:iCs w:val="0"/>
                <w:sz w:val="21"/>
                <w:szCs w:val="21"/>
                <w:lang w:val="en-US" w:eastAsia="zh-CN"/>
              </w:rPr>
              <w:t xml:space="preserve"> </w:t>
            </w:r>
            <w:r>
              <w:rPr>
                <w:rFonts w:hint="eastAsia" w:ascii="Times New Roman" w:hAnsi="Times New Roman" w:eastAsia="宋体" w:cs="Times New Roman"/>
                <w:i w:val="0"/>
                <w:iCs w:val="0"/>
                <w:sz w:val="21"/>
                <w:szCs w:val="21"/>
                <w:lang w:val="en-US" w:eastAsia="zh-CN"/>
              </w:rPr>
              <w:t>900-249-08</w:t>
            </w:r>
            <w:r>
              <w:rPr>
                <w:rFonts w:hint="eastAsia" w:ascii="Times New Roman" w:hAnsi="Times New Roman" w:eastAsia="宋体" w:cs="Times New Roman"/>
                <w:i w:val="0"/>
                <w:iCs w:val="0"/>
                <w:sz w:val="21"/>
                <w:szCs w:val="21"/>
              </w:rPr>
              <w:t>）</w:t>
            </w:r>
          </w:p>
        </w:tc>
        <w:tc>
          <w:tcPr>
            <w:tcW w:w="710" w:type="pct"/>
            <w:noWrap w:val="0"/>
            <w:vAlign w:val="center"/>
          </w:tcPr>
          <w:p>
            <w:pPr>
              <w:jc w:val="center"/>
              <w:rPr>
                <w:rFonts w:hint="eastAsia" w:ascii="Times New Roman" w:hAnsi="Times New Roman" w:eastAsia="宋体" w:cs="Times New Roman"/>
                <w:i w:val="0"/>
                <w:iCs w:val="0"/>
                <w:sz w:val="21"/>
                <w:szCs w:val="21"/>
                <w:lang w:val="en-US" w:eastAsia="zh-CN"/>
              </w:rPr>
            </w:pPr>
            <w:r>
              <w:rPr>
                <w:rFonts w:hint="default" w:ascii="Times New Roman" w:hAnsi="Times New Roman" w:eastAsia="宋体" w:cs="Times New Roman"/>
                <w:i w:val="0"/>
                <w:iCs w:val="0"/>
                <w:sz w:val="21"/>
                <w:szCs w:val="21"/>
                <w:lang w:val="en-US" w:eastAsia="zh-CN"/>
              </w:rPr>
              <w:t>0.05</w:t>
            </w:r>
          </w:p>
        </w:tc>
        <w:tc>
          <w:tcPr>
            <w:tcW w:w="714" w:type="pct"/>
            <w:noWrap w:val="0"/>
            <w:vAlign w:val="center"/>
          </w:tcPr>
          <w:p>
            <w:pPr>
              <w:jc w:val="center"/>
              <w:rPr>
                <w:rFonts w:hint="eastAsia" w:ascii="Times New Roman" w:hAnsi="Times New Roman" w:eastAsia="宋体" w:cs="Times New Roman"/>
                <w:i w:val="0"/>
                <w:iCs w:val="0"/>
                <w:sz w:val="21"/>
                <w:szCs w:val="21"/>
                <w:lang w:val="en-US" w:eastAsia="zh-CN"/>
              </w:rPr>
            </w:pPr>
            <w:r>
              <w:rPr>
                <w:rFonts w:hint="default" w:ascii="Times New Roman" w:hAnsi="Times New Roman" w:eastAsia="宋体" w:cs="Times New Roman"/>
                <w:i w:val="0"/>
                <w:iCs w:val="0"/>
                <w:sz w:val="21"/>
                <w:szCs w:val="21"/>
                <w:lang w:val="en-US" w:eastAsia="zh-CN"/>
              </w:rPr>
              <w:t>0.05</w:t>
            </w:r>
          </w:p>
        </w:tc>
        <w:tc>
          <w:tcPr>
            <w:tcW w:w="1347" w:type="pct"/>
            <w:vMerge w:val="continue"/>
            <w:noWrap w:val="0"/>
            <w:vAlign w:val="center"/>
          </w:tcPr>
          <w:p>
            <w:pPr>
              <w:jc w:val="center"/>
              <w:rPr>
                <w:rFonts w:hint="eastAsia"/>
                <w:i w:val="0"/>
                <w:iCs w:val="0"/>
                <w:sz w:val="21"/>
                <w:szCs w:val="21"/>
              </w:rPr>
            </w:pPr>
          </w:p>
        </w:tc>
      </w:tr>
    </w:tbl>
    <w:p>
      <w:pPr>
        <w:spacing w:line="360" w:lineRule="auto"/>
        <w:ind w:firstLine="480" w:firstLineChars="200"/>
        <w:rPr>
          <w:i w:val="0"/>
          <w:iCs w:val="0"/>
        </w:rPr>
      </w:pPr>
      <w:r>
        <w:rPr>
          <w:i w:val="0"/>
          <w:iCs w:val="0"/>
        </w:rPr>
        <w:t>由上表可知，本项目运营期产生的固体废物均有合理去向。</w:t>
      </w:r>
    </w:p>
    <w:p>
      <w:pPr>
        <w:pStyle w:val="4"/>
        <w:rPr>
          <w:rFonts w:ascii="Times New Roman" w:hAnsi="Times New Roman" w:eastAsia="宋体"/>
          <w:b/>
          <w:i w:val="0"/>
          <w:iCs w:val="0"/>
          <w:sz w:val="28"/>
          <w:szCs w:val="28"/>
        </w:rPr>
      </w:pPr>
      <w:bookmarkStart w:id="93" w:name="_Toc19954"/>
      <w:r>
        <w:rPr>
          <w:rFonts w:hint="eastAsia" w:ascii="Times New Roman" w:hAnsi="Times New Roman" w:eastAsia="宋体"/>
          <w:b/>
          <w:i w:val="0"/>
          <w:iCs w:val="0"/>
          <w:sz w:val="28"/>
          <w:szCs w:val="28"/>
        </w:rPr>
        <w:t>3</w:t>
      </w:r>
      <w:r>
        <w:rPr>
          <w:rFonts w:ascii="Times New Roman" w:hAnsi="Times New Roman" w:eastAsia="宋体"/>
          <w:b/>
          <w:i w:val="0"/>
          <w:iCs w:val="0"/>
          <w:sz w:val="28"/>
          <w:szCs w:val="28"/>
        </w:rPr>
        <w:t>.</w:t>
      </w:r>
      <w:r>
        <w:rPr>
          <w:rFonts w:hint="eastAsia" w:ascii="Times New Roman" w:hAnsi="Times New Roman" w:eastAsia="宋体"/>
          <w:b/>
          <w:i w:val="0"/>
          <w:iCs w:val="0"/>
          <w:sz w:val="28"/>
          <w:szCs w:val="28"/>
        </w:rPr>
        <w:t>8</w:t>
      </w:r>
      <w:r>
        <w:rPr>
          <w:rFonts w:ascii="Times New Roman" w:hAnsi="Times New Roman" w:eastAsia="宋体"/>
          <w:b/>
          <w:i w:val="0"/>
          <w:iCs w:val="0"/>
          <w:sz w:val="28"/>
          <w:szCs w:val="28"/>
        </w:rPr>
        <w:t>非正常工况分析</w:t>
      </w:r>
      <w:bookmarkEnd w:id="93"/>
    </w:p>
    <w:p>
      <w:pPr>
        <w:pStyle w:val="354"/>
        <w:ind w:firstLine="480"/>
        <w:rPr>
          <w:rFonts w:hint="eastAsia"/>
          <w:i w:val="0"/>
          <w:iCs w:val="0"/>
          <w:szCs w:val="24"/>
        </w:rPr>
      </w:pPr>
      <w:r>
        <w:rPr>
          <w:rFonts w:hint="eastAsia"/>
          <w:i w:val="0"/>
          <w:iCs w:val="0"/>
          <w:szCs w:val="24"/>
        </w:rPr>
        <w:t>非正常排放是指非正常工况下的污染物排放，主要是开停车、设备检修、污染物排放控制措施达不到应有效率情况下的排放。结合本项目实际情况，本项目非正常工况主要从环保设施故障时非正常排放</w:t>
      </w:r>
      <w:r>
        <w:rPr>
          <w:rFonts w:hint="eastAsia"/>
          <w:i w:val="0"/>
          <w:iCs w:val="0"/>
          <w:szCs w:val="24"/>
          <w:lang w:val="en-US" w:eastAsia="zh-CN"/>
        </w:rPr>
        <w:t>及</w:t>
      </w:r>
      <w:bookmarkStart w:id="94" w:name="_Toc424219445"/>
      <w:r>
        <w:rPr>
          <w:rFonts w:hint="eastAsia"/>
          <w:i w:val="0"/>
          <w:iCs w:val="0"/>
          <w:szCs w:val="24"/>
          <w:lang w:val="en-US" w:eastAsia="zh-CN"/>
        </w:rPr>
        <w:t>染菌非正常工况分析</w:t>
      </w:r>
      <w:bookmarkEnd w:id="94"/>
      <w:r>
        <w:rPr>
          <w:rFonts w:hint="eastAsia"/>
          <w:i w:val="0"/>
          <w:iCs w:val="0"/>
          <w:szCs w:val="24"/>
        </w:rPr>
        <w:t>进行考虑：</w:t>
      </w:r>
    </w:p>
    <w:p>
      <w:pPr>
        <w:pStyle w:val="354"/>
        <w:ind w:firstLine="480"/>
        <w:rPr>
          <w:rFonts w:hint="eastAsia" w:eastAsia="宋体"/>
          <w:i w:val="0"/>
          <w:iCs w:val="0"/>
          <w:szCs w:val="24"/>
          <w:lang w:val="en-US" w:eastAsia="zh-CN"/>
        </w:rPr>
      </w:pPr>
      <w:r>
        <w:rPr>
          <w:rFonts w:hint="eastAsia"/>
          <w:i w:val="0"/>
          <w:iCs w:val="0"/>
          <w:szCs w:val="24"/>
          <w:lang w:val="en-US" w:eastAsia="zh-CN"/>
        </w:rPr>
        <w:t>1、</w:t>
      </w:r>
      <w:r>
        <w:rPr>
          <w:rFonts w:hint="eastAsia"/>
          <w:i w:val="0"/>
          <w:iCs w:val="0"/>
          <w:szCs w:val="24"/>
        </w:rPr>
        <w:t>环保设施故障时非正常排放</w:t>
      </w:r>
    </w:p>
    <w:p>
      <w:pPr>
        <w:pStyle w:val="354"/>
        <w:ind w:firstLine="480"/>
        <w:rPr>
          <w:i w:val="0"/>
          <w:iCs w:val="0"/>
          <w:szCs w:val="24"/>
        </w:rPr>
      </w:pPr>
      <w:r>
        <w:rPr>
          <w:i w:val="0"/>
          <w:iCs w:val="0"/>
          <w:szCs w:val="24"/>
        </w:rPr>
        <w:t>根据本项目实际情况，本项目环保设施故障事件从废气处理设施故障。当环保措施发生故障，处理效率下降，车间废气处理效率按照</w:t>
      </w:r>
      <w:r>
        <w:rPr>
          <w:rFonts w:hint="eastAsia"/>
          <w:i w:val="0"/>
          <w:iCs w:val="0"/>
          <w:szCs w:val="24"/>
        </w:rPr>
        <w:t>最不利</w:t>
      </w:r>
      <w:r>
        <w:rPr>
          <w:i w:val="0"/>
          <w:iCs w:val="0"/>
          <w:szCs w:val="24"/>
        </w:rPr>
        <w:t>情况下考虑</w:t>
      </w:r>
      <w:r>
        <w:rPr>
          <w:rFonts w:hint="eastAsia"/>
          <w:i w:val="0"/>
          <w:iCs w:val="0"/>
          <w:szCs w:val="24"/>
        </w:rPr>
        <w:t>，</w:t>
      </w:r>
      <w:r>
        <w:rPr>
          <w:i w:val="0"/>
          <w:iCs w:val="0"/>
          <w:szCs w:val="24"/>
        </w:rPr>
        <w:t>废气处理效率</w:t>
      </w:r>
      <w:r>
        <w:rPr>
          <w:rFonts w:hint="eastAsia"/>
          <w:i w:val="0"/>
          <w:iCs w:val="0"/>
          <w:szCs w:val="24"/>
        </w:rPr>
        <w:t>为零</w:t>
      </w:r>
      <w:r>
        <w:rPr>
          <w:i w:val="0"/>
          <w:iCs w:val="0"/>
          <w:szCs w:val="24"/>
        </w:rPr>
        <w:t>，非正常废气排放情况见下表。</w:t>
      </w:r>
    </w:p>
    <w:p>
      <w:pPr>
        <w:ind w:firstLine="482" w:firstLineChars="200"/>
        <w:jc w:val="center"/>
        <w:rPr>
          <w:rFonts w:hint="eastAsia"/>
          <w:b/>
          <w:bCs/>
          <w:i w:val="0"/>
          <w:iCs w:val="0"/>
        </w:rPr>
      </w:pPr>
      <w:r>
        <w:rPr>
          <w:rFonts w:hint="eastAsia"/>
          <w:b/>
          <w:bCs/>
          <w:i w:val="0"/>
          <w:iCs w:val="0"/>
        </w:rPr>
        <w:t>表3-</w:t>
      </w:r>
      <w:r>
        <w:rPr>
          <w:rFonts w:hint="eastAsia"/>
          <w:b/>
          <w:bCs/>
          <w:i w:val="0"/>
          <w:iCs w:val="0"/>
          <w:lang w:val="en-US" w:eastAsia="zh-CN"/>
        </w:rPr>
        <w:t>36</w:t>
      </w:r>
      <w:r>
        <w:rPr>
          <w:rFonts w:hint="eastAsia"/>
          <w:b/>
          <w:bCs/>
          <w:i w:val="0"/>
          <w:iCs w:val="0"/>
        </w:rPr>
        <w:t xml:space="preserve"> 非正常排放特征一览表</w:t>
      </w:r>
    </w:p>
    <w:tbl>
      <w:tblPr>
        <w:tblStyle w:val="58"/>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1"/>
        <w:gridCol w:w="1157"/>
        <w:gridCol w:w="1030"/>
        <w:gridCol w:w="1030"/>
        <w:gridCol w:w="1030"/>
        <w:gridCol w:w="1030"/>
        <w:gridCol w:w="1030"/>
        <w:gridCol w:w="1051"/>
        <w:gridCol w:w="10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476" w:type="pct"/>
            <w:vMerge w:val="restart"/>
            <w:noWrap w:val="0"/>
            <w:vAlign w:val="center"/>
          </w:tcPr>
          <w:p>
            <w:pPr>
              <w:jc w:val="center"/>
              <w:rPr>
                <w:bCs/>
                <w:i w:val="0"/>
                <w:iCs w:val="0"/>
                <w:sz w:val="21"/>
                <w:szCs w:val="21"/>
              </w:rPr>
            </w:pPr>
            <w:r>
              <w:rPr>
                <w:bCs/>
                <w:i w:val="0"/>
                <w:iCs w:val="0"/>
                <w:sz w:val="21"/>
                <w:szCs w:val="21"/>
              </w:rPr>
              <w:t>废气源</w:t>
            </w:r>
          </w:p>
        </w:tc>
        <w:tc>
          <w:tcPr>
            <w:tcW w:w="622" w:type="pct"/>
            <w:vMerge w:val="restart"/>
            <w:noWrap w:val="0"/>
            <w:vAlign w:val="center"/>
          </w:tcPr>
          <w:p>
            <w:pPr>
              <w:jc w:val="center"/>
              <w:rPr>
                <w:bCs/>
                <w:i w:val="0"/>
                <w:iCs w:val="0"/>
                <w:sz w:val="21"/>
                <w:szCs w:val="21"/>
              </w:rPr>
            </w:pPr>
            <w:r>
              <w:rPr>
                <w:bCs/>
                <w:i w:val="0"/>
                <w:iCs w:val="0"/>
                <w:sz w:val="21"/>
                <w:szCs w:val="21"/>
              </w:rPr>
              <w:t>污染物</w:t>
            </w:r>
          </w:p>
        </w:tc>
        <w:tc>
          <w:tcPr>
            <w:tcW w:w="555" w:type="pct"/>
            <w:vMerge w:val="restart"/>
            <w:noWrap w:val="0"/>
            <w:vAlign w:val="center"/>
          </w:tcPr>
          <w:p>
            <w:pPr>
              <w:jc w:val="center"/>
              <w:rPr>
                <w:bCs/>
                <w:i w:val="0"/>
                <w:iCs w:val="0"/>
                <w:sz w:val="21"/>
                <w:szCs w:val="21"/>
              </w:rPr>
            </w:pPr>
            <w:r>
              <w:rPr>
                <w:bCs/>
                <w:i w:val="0"/>
                <w:iCs w:val="0"/>
                <w:sz w:val="21"/>
                <w:szCs w:val="21"/>
              </w:rPr>
              <w:t>废气量m</w:t>
            </w:r>
            <w:r>
              <w:rPr>
                <w:bCs/>
                <w:i w:val="0"/>
                <w:iCs w:val="0"/>
                <w:sz w:val="21"/>
                <w:szCs w:val="21"/>
                <w:vertAlign w:val="superscript"/>
              </w:rPr>
              <w:t>3</w:t>
            </w:r>
            <w:r>
              <w:rPr>
                <w:bCs/>
                <w:i w:val="0"/>
                <w:iCs w:val="0"/>
                <w:sz w:val="21"/>
                <w:szCs w:val="21"/>
              </w:rPr>
              <w:t xml:space="preserve"> /h</w:t>
            </w:r>
          </w:p>
        </w:tc>
        <w:tc>
          <w:tcPr>
            <w:tcW w:w="555" w:type="pct"/>
            <w:vMerge w:val="restart"/>
            <w:noWrap w:val="0"/>
            <w:vAlign w:val="center"/>
          </w:tcPr>
          <w:p>
            <w:pPr>
              <w:jc w:val="center"/>
              <w:rPr>
                <w:bCs/>
                <w:i w:val="0"/>
                <w:iCs w:val="0"/>
                <w:sz w:val="21"/>
                <w:szCs w:val="21"/>
              </w:rPr>
            </w:pPr>
            <w:r>
              <w:rPr>
                <w:bCs/>
                <w:i w:val="0"/>
                <w:iCs w:val="0"/>
                <w:sz w:val="21"/>
                <w:szCs w:val="21"/>
              </w:rPr>
              <w:t>排放速率kg/h</w:t>
            </w:r>
          </w:p>
        </w:tc>
        <w:tc>
          <w:tcPr>
            <w:tcW w:w="555" w:type="pct"/>
            <w:vMerge w:val="restart"/>
            <w:noWrap w:val="0"/>
            <w:vAlign w:val="center"/>
          </w:tcPr>
          <w:p>
            <w:pPr>
              <w:jc w:val="center"/>
              <w:rPr>
                <w:bCs/>
                <w:i w:val="0"/>
                <w:iCs w:val="0"/>
                <w:sz w:val="21"/>
                <w:szCs w:val="21"/>
              </w:rPr>
            </w:pPr>
            <w:r>
              <w:rPr>
                <w:bCs/>
                <w:i w:val="0"/>
                <w:iCs w:val="0"/>
                <w:sz w:val="21"/>
                <w:szCs w:val="21"/>
              </w:rPr>
              <w:t>排放浓度mg/m</w:t>
            </w:r>
            <w:r>
              <w:rPr>
                <w:bCs/>
                <w:i w:val="0"/>
                <w:iCs w:val="0"/>
                <w:sz w:val="21"/>
                <w:szCs w:val="21"/>
                <w:vertAlign w:val="superscript"/>
              </w:rPr>
              <w:t>3</w:t>
            </w:r>
          </w:p>
        </w:tc>
        <w:tc>
          <w:tcPr>
            <w:tcW w:w="1676" w:type="pct"/>
            <w:gridSpan w:val="3"/>
            <w:noWrap w:val="0"/>
            <w:vAlign w:val="center"/>
          </w:tcPr>
          <w:p>
            <w:pPr>
              <w:jc w:val="center"/>
              <w:rPr>
                <w:bCs/>
                <w:i w:val="0"/>
                <w:iCs w:val="0"/>
                <w:sz w:val="21"/>
                <w:szCs w:val="21"/>
              </w:rPr>
            </w:pPr>
            <w:r>
              <w:rPr>
                <w:bCs/>
                <w:i w:val="0"/>
                <w:iCs w:val="0"/>
                <w:sz w:val="21"/>
                <w:szCs w:val="21"/>
              </w:rPr>
              <w:t>排气筒</w:t>
            </w:r>
          </w:p>
        </w:tc>
        <w:tc>
          <w:tcPr>
            <w:tcW w:w="557" w:type="pct"/>
            <w:vMerge w:val="restart"/>
            <w:noWrap w:val="0"/>
            <w:vAlign w:val="center"/>
          </w:tcPr>
          <w:p>
            <w:pPr>
              <w:jc w:val="center"/>
              <w:rPr>
                <w:rFonts w:hint="eastAsia"/>
                <w:bCs/>
                <w:i w:val="0"/>
                <w:iCs w:val="0"/>
                <w:sz w:val="21"/>
                <w:szCs w:val="21"/>
              </w:rPr>
            </w:pPr>
            <w:r>
              <w:rPr>
                <w:rFonts w:hint="eastAsia"/>
                <w:bCs/>
                <w:i w:val="0"/>
                <w:iCs w:val="0"/>
                <w:sz w:val="21"/>
                <w:szCs w:val="21"/>
              </w:rPr>
              <w:t>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476" w:type="pct"/>
            <w:vMerge w:val="continue"/>
            <w:noWrap w:val="0"/>
            <w:vAlign w:val="center"/>
          </w:tcPr>
          <w:p>
            <w:pPr>
              <w:jc w:val="center"/>
              <w:rPr>
                <w:bCs/>
                <w:i w:val="0"/>
                <w:iCs w:val="0"/>
                <w:sz w:val="21"/>
                <w:szCs w:val="21"/>
              </w:rPr>
            </w:pPr>
          </w:p>
        </w:tc>
        <w:tc>
          <w:tcPr>
            <w:tcW w:w="622" w:type="pct"/>
            <w:vMerge w:val="continue"/>
            <w:noWrap w:val="0"/>
            <w:vAlign w:val="center"/>
          </w:tcPr>
          <w:p>
            <w:pPr>
              <w:jc w:val="center"/>
              <w:rPr>
                <w:bCs/>
                <w:i w:val="0"/>
                <w:iCs w:val="0"/>
                <w:sz w:val="21"/>
                <w:szCs w:val="21"/>
              </w:rPr>
            </w:pPr>
          </w:p>
        </w:tc>
        <w:tc>
          <w:tcPr>
            <w:tcW w:w="555" w:type="pct"/>
            <w:vMerge w:val="continue"/>
            <w:noWrap w:val="0"/>
            <w:vAlign w:val="center"/>
          </w:tcPr>
          <w:p>
            <w:pPr>
              <w:jc w:val="center"/>
              <w:rPr>
                <w:bCs/>
                <w:i w:val="0"/>
                <w:iCs w:val="0"/>
                <w:sz w:val="21"/>
                <w:szCs w:val="21"/>
              </w:rPr>
            </w:pPr>
          </w:p>
        </w:tc>
        <w:tc>
          <w:tcPr>
            <w:tcW w:w="555" w:type="pct"/>
            <w:vMerge w:val="continue"/>
            <w:noWrap w:val="0"/>
            <w:vAlign w:val="center"/>
          </w:tcPr>
          <w:p>
            <w:pPr>
              <w:jc w:val="center"/>
              <w:rPr>
                <w:bCs/>
                <w:i w:val="0"/>
                <w:iCs w:val="0"/>
                <w:sz w:val="21"/>
                <w:szCs w:val="21"/>
              </w:rPr>
            </w:pPr>
          </w:p>
        </w:tc>
        <w:tc>
          <w:tcPr>
            <w:tcW w:w="555" w:type="pct"/>
            <w:vMerge w:val="continue"/>
            <w:noWrap w:val="0"/>
            <w:vAlign w:val="center"/>
          </w:tcPr>
          <w:p>
            <w:pPr>
              <w:jc w:val="center"/>
              <w:rPr>
                <w:bCs/>
                <w:i w:val="0"/>
                <w:iCs w:val="0"/>
                <w:sz w:val="21"/>
                <w:szCs w:val="21"/>
              </w:rPr>
            </w:pPr>
          </w:p>
        </w:tc>
        <w:tc>
          <w:tcPr>
            <w:tcW w:w="555" w:type="pct"/>
            <w:noWrap w:val="0"/>
            <w:vAlign w:val="center"/>
          </w:tcPr>
          <w:p>
            <w:pPr>
              <w:jc w:val="center"/>
              <w:rPr>
                <w:bCs/>
                <w:i w:val="0"/>
                <w:iCs w:val="0"/>
                <w:sz w:val="21"/>
                <w:szCs w:val="21"/>
              </w:rPr>
            </w:pPr>
            <w:r>
              <w:rPr>
                <w:rFonts w:hint="eastAsia"/>
                <w:bCs/>
                <w:i w:val="0"/>
                <w:iCs w:val="0"/>
                <w:sz w:val="21"/>
                <w:szCs w:val="21"/>
              </w:rPr>
              <w:t>高度m</w:t>
            </w:r>
          </w:p>
        </w:tc>
        <w:tc>
          <w:tcPr>
            <w:tcW w:w="555" w:type="pct"/>
            <w:noWrap w:val="0"/>
            <w:vAlign w:val="center"/>
          </w:tcPr>
          <w:p>
            <w:pPr>
              <w:jc w:val="center"/>
              <w:rPr>
                <w:bCs/>
                <w:i w:val="0"/>
                <w:iCs w:val="0"/>
                <w:sz w:val="21"/>
                <w:szCs w:val="21"/>
              </w:rPr>
            </w:pPr>
            <w:r>
              <w:rPr>
                <w:rFonts w:hint="eastAsia"/>
                <w:bCs/>
                <w:i w:val="0"/>
                <w:iCs w:val="0"/>
                <w:sz w:val="21"/>
                <w:szCs w:val="21"/>
              </w:rPr>
              <w:t>内径m</w:t>
            </w:r>
          </w:p>
        </w:tc>
        <w:tc>
          <w:tcPr>
            <w:tcW w:w="565" w:type="pct"/>
            <w:noWrap w:val="0"/>
            <w:vAlign w:val="center"/>
          </w:tcPr>
          <w:p>
            <w:pPr>
              <w:jc w:val="center"/>
              <w:rPr>
                <w:bCs/>
                <w:i w:val="0"/>
                <w:iCs w:val="0"/>
                <w:sz w:val="21"/>
                <w:szCs w:val="21"/>
              </w:rPr>
            </w:pPr>
            <w:r>
              <w:rPr>
                <w:rFonts w:hint="eastAsia"/>
                <w:bCs/>
                <w:i w:val="0"/>
                <w:iCs w:val="0"/>
                <w:sz w:val="21"/>
                <w:szCs w:val="21"/>
              </w:rPr>
              <w:t>温度℃</w:t>
            </w:r>
          </w:p>
        </w:tc>
        <w:tc>
          <w:tcPr>
            <w:tcW w:w="557" w:type="pct"/>
            <w:vMerge w:val="continue"/>
            <w:noWrap w:val="0"/>
            <w:vAlign w:val="center"/>
          </w:tcPr>
          <w:p>
            <w:pPr>
              <w:pStyle w:val="37"/>
              <w:spacing w:line="240" w:lineRule="auto"/>
              <w:ind w:left="-72" w:leftChars="-30" w:right="-72" w:rightChars="-30" w:firstLine="0"/>
              <w:jc w:val="center"/>
              <w:rPr>
                <w:bCs/>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5" w:type="dxa"/>
            <w:vMerge w:val="restart"/>
            <w:noWrap w:val="0"/>
            <w:vAlign w:val="center"/>
          </w:tcPr>
          <w:p>
            <w:pPr>
              <w:pStyle w:val="37"/>
              <w:spacing w:line="240" w:lineRule="auto"/>
              <w:ind w:left="-72" w:leftChars="-30" w:right="-72" w:rightChars="-30" w:firstLine="0" w:firstLineChars="0"/>
              <w:jc w:val="center"/>
              <w:rPr>
                <w:bCs/>
                <w:i w:val="0"/>
                <w:iCs w:val="0"/>
                <w:sz w:val="21"/>
                <w:szCs w:val="21"/>
              </w:rPr>
            </w:pPr>
            <w:r>
              <w:rPr>
                <w:rFonts w:hint="eastAsia"/>
                <w:i w:val="0"/>
                <w:iCs w:val="0"/>
                <w:sz w:val="21"/>
                <w:szCs w:val="21"/>
              </w:rPr>
              <w:t>污水站</w:t>
            </w:r>
            <w:r>
              <w:rPr>
                <w:rFonts w:hint="eastAsia"/>
                <w:i w:val="0"/>
                <w:iCs w:val="0"/>
                <w:sz w:val="21"/>
                <w:szCs w:val="21"/>
                <w:lang w:eastAsia="zh-CN"/>
              </w:rPr>
              <w:t>（</w:t>
            </w:r>
            <w:r>
              <w:rPr>
                <w:rFonts w:hint="eastAsia"/>
                <w:i w:val="0"/>
                <w:iCs w:val="0"/>
                <w:sz w:val="21"/>
                <w:szCs w:val="21"/>
                <w:lang w:val="en-US" w:eastAsia="zh-CN"/>
              </w:rPr>
              <w:t>DA001</w:t>
            </w:r>
            <w:r>
              <w:rPr>
                <w:rFonts w:hint="eastAsia"/>
                <w:i w:val="0"/>
                <w:iCs w:val="0"/>
                <w:sz w:val="21"/>
                <w:szCs w:val="21"/>
                <w:lang w:eastAsia="zh-CN"/>
              </w:rPr>
              <w:t>）</w:t>
            </w:r>
          </w:p>
        </w:tc>
        <w:tc>
          <w:tcPr>
            <w:tcW w:w="622" w:type="pct"/>
            <w:noWrap w:val="0"/>
            <w:vAlign w:val="center"/>
          </w:tcPr>
          <w:p>
            <w:pPr>
              <w:pStyle w:val="37"/>
              <w:spacing w:line="240" w:lineRule="auto"/>
              <w:ind w:left="-72" w:leftChars="-30" w:right="-72" w:rightChars="-30" w:firstLine="0"/>
              <w:jc w:val="center"/>
              <w:rPr>
                <w:bCs/>
                <w:i w:val="0"/>
                <w:iCs w:val="0"/>
                <w:sz w:val="21"/>
                <w:szCs w:val="21"/>
              </w:rPr>
            </w:pPr>
            <w:r>
              <w:rPr>
                <w:i w:val="0"/>
                <w:iCs w:val="0"/>
                <w:sz w:val="21"/>
                <w:szCs w:val="21"/>
              </w:rPr>
              <w:t>NH</w:t>
            </w:r>
            <w:r>
              <w:rPr>
                <w:i w:val="0"/>
                <w:iCs w:val="0"/>
                <w:sz w:val="21"/>
                <w:szCs w:val="21"/>
                <w:vertAlign w:val="subscript"/>
              </w:rPr>
              <w:t>3</w:t>
            </w:r>
          </w:p>
        </w:tc>
        <w:tc>
          <w:tcPr>
            <w:tcW w:w="555" w:type="pct"/>
            <w:vMerge w:val="restart"/>
            <w:noWrap w:val="0"/>
            <w:vAlign w:val="center"/>
          </w:tcPr>
          <w:p>
            <w:pPr>
              <w:pStyle w:val="37"/>
              <w:spacing w:line="240" w:lineRule="auto"/>
              <w:ind w:left="-72" w:leftChars="-30" w:right="-72" w:rightChars="-30" w:firstLine="0"/>
              <w:jc w:val="center"/>
              <w:rPr>
                <w:bCs/>
                <w:i w:val="0"/>
                <w:iCs w:val="0"/>
                <w:sz w:val="21"/>
                <w:szCs w:val="21"/>
              </w:rPr>
            </w:pPr>
            <w:r>
              <w:rPr>
                <w:rFonts w:hint="eastAsia"/>
                <w:i w:val="0"/>
                <w:iCs w:val="0"/>
                <w:sz w:val="21"/>
                <w:szCs w:val="21"/>
              </w:rPr>
              <w:t>2000</w:t>
            </w:r>
          </w:p>
        </w:tc>
        <w:tc>
          <w:tcPr>
            <w:tcW w:w="555" w:type="pct"/>
            <w:noWrap w:val="0"/>
            <w:vAlign w:val="center"/>
          </w:tcPr>
          <w:p>
            <w:pPr>
              <w:pStyle w:val="37"/>
              <w:spacing w:line="240" w:lineRule="auto"/>
              <w:ind w:left="-72" w:leftChars="-30" w:right="-72" w:rightChars="-30" w:firstLine="0"/>
              <w:jc w:val="center"/>
              <w:rPr>
                <w:rFonts w:hint="default" w:eastAsia="宋体"/>
                <w:bCs/>
                <w:i w:val="0"/>
                <w:iCs w:val="0"/>
                <w:sz w:val="21"/>
                <w:szCs w:val="21"/>
                <w:lang w:val="en-US" w:eastAsia="zh-CN"/>
              </w:rPr>
            </w:pPr>
            <w:r>
              <w:rPr>
                <w:rFonts w:hint="eastAsia"/>
                <w:i w:val="0"/>
                <w:iCs w:val="0"/>
                <w:sz w:val="21"/>
                <w:szCs w:val="21"/>
                <w:lang w:val="en-US" w:eastAsia="zh-CN"/>
              </w:rPr>
              <w:t>0.048</w:t>
            </w:r>
          </w:p>
        </w:tc>
        <w:tc>
          <w:tcPr>
            <w:tcW w:w="555" w:type="pct"/>
            <w:noWrap w:val="0"/>
            <w:vAlign w:val="center"/>
          </w:tcPr>
          <w:p>
            <w:pPr>
              <w:pStyle w:val="37"/>
              <w:spacing w:line="240" w:lineRule="auto"/>
              <w:ind w:left="-72" w:leftChars="-30" w:right="-72" w:rightChars="-30" w:firstLine="0"/>
              <w:jc w:val="center"/>
              <w:rPr>
                <w:rFonts w:hint="default" w:eastAsia="宋体"/>
                <w:bCs/>
                <w:i w:val="0"/>
                <w:iCs w:val="0"/>
                <w:sz w:val="21"/>
                <w:szCs w:val="21"/>
                <w:lang w:val="en-US" w:eastAsia="zh-CN"/>
              </w:rPr>
            </w:pPr>
            <w:r>
              <w:rPr>
                <w:rFonts w:hint="eastAsia"/>
                <w:i w:val="0"/>
                <w:iCs w:val="0"/>
                <w:sz w:val="21"/>
                <w:szCs w:val="21"/>
                <w:lang w:val="en-US" w:eastAsia="zh-CN"/>
              </w:rPr>
              <w:t>24</w:t>
            </w:r>
          </w:p>
        </w:tc>
        <w:tc>
          <w:tcPr>
            <w:tcW w:w="555" w:type="pct"/>
            <w:vMerge w:val="restart"/>
            <w:noWrap w:val="0"/>
            <w:vAlign w:val="center"/>
          </w:tcPr>
          <w:p>
            <w:pPr>
              <w:pStyle w:val="408"/>
              <w:adjustRightInd w:val="0"/>
              <w:snapToGrid w:val="0"/>
              <w:spacing w:line="240" w:lineRule="auto"/>
              <w:textAlignment w:val="baseline"/>
              <w:rPr>
                <w:bCs/>
                <w:i w:val="0"/>
                <w:iCs w:val="0"/>
                <w:szCs w:val="21"/>
              </w:rPr>
            </w:pPr>
            <w:r>
              <w:rPr>
                <w:rFonts w:hint="eastAsia"/>
                <w:i w:val="0"/>
                <w:iCs w:val="0"/>
                <w:color w:val="000000"/>
                <w:szCs w:val="21"/>
              </w:rPr>
              <w:t>15</w:t>
            </w:r>
          </w:p>
        </w:tc>
        <w:tc>
          <w:tcPr>
            <w:tcW w:w="555" w:type="pct"/>
            <w:vMerge w:val="restart"/>
            <w:noWrap w:val="0"/>
            <w:vAlign w:val="center"/>
          </w:tcPr>
          <w:p>
            <w:pPr>
              <w:pStyle w:val="408"/>
              <w:adjustRightInd w:val="0"/>
              <w:snapToGrid w:val="0"/>
              <w:spacing w:line="240" w:lineRule="auto"/>
              <w:textAlignment w:val="baseline"/>
              <w:rPr>
                <w:bCs/>
                <w:i w:val="0"/>
                <w:iCs w:val="0"/>
                <w:szCs w:val="21"/>
              </w:rPr>
            </w:pPr>
            <w:r>
              <w:rPr>
                <w:rFonts w:hint="eastAsia"/>
                <w:i w:val="0"/>
                <w:iCs w:val="0"/>
                <w:color w:val="000000"/>
                <w:szCs w:val="21"/>
              </w:rPr>
              <w:t>0.3</w:t>
            </w:r>
          </w:p>
        </w:tc>
        <w:tc>
          <w:tcPr>
            <w:tcW w:w="565" w:type="pct"/>
            <w:vMerge w:val="restart"/>
            <w:noWrap w:val="0"/>
            <w:vAlign w:val="center"/>
          </w:tcPr>
          <w:p>
            <w:pPr>
              <w:jc w:val="center"/>
              <w:rPr>
                <w:bCs/>
                <w:i w:val="0"/>
                <w:iCs w:val="0"/>
                <w:sz w:val="21"/>
                <w:szCs w:val="21"/>
              </w:rPr>
            </w:pPr>
            <w:r>
              <w:rPr>
                <w:rFonts w:hint="eastAsia"/>
                <w:bCs/>
                <w:i w:val="0"/>
                <w:iCs w:val="0"/>
                <w:sz w:val="21"/>
                <w:szCs w:val="21"/>
              </w:rPr>
              <w:t>常温</w:t>
            </w:r>
          </w:p>
        </w:tc>
        <w:tc>
          <w:tcPr>
            <w:tcW w:w="557" w:type="pct"/>
            <w:noWrap w:val="0"/>
            <w:vAlign w:val="center"/>
          </w:tcPr>
          <w:p>
            <w:pPr>
              <w:pStyle w:val="37"/>
              <w:spacing w:line="240" w:lineRule="auto"/>
              <w:ind w:left="-72" w:leftChars="-30" w:right="-72" w:rightChars="-30" w:firstLine="0"/>
              <w:jc w:val="center"/>
              <w:rPr>
                <w:bCs/>
                <w:i w:val="0"/>
                <w:iCs w:val="0"/>
                <w:sz w:val="21"/>
                <w:szCs w:val="21"/>
              </w:rPr>
            </w:pPr>
            <w:r>
              <w:rPr>
                <w:rFonts w:hint="eastAsia"/>
                <w:i w:val="0"/>
                <w:iCs w:val="0"/>
                <w:sz w:val="21"/>
                <w:szCs w:val="21"/>
              </w:rPr>
              <w:t>4.9kg/h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6" w:type="pct"/>
            <w:vMerge w:val="continue"/>
            <w:noWrap w:val="0"/>
            <w:vAlign w:val="center"/>
          </w:tcPr>
          <w:p>
            <w:pPr>
              <w:jc w:val="center"/>
              <w:rPr>
                <w:bCs/>
                <w:i w:val="0"/>
                <w:iCs w:val="0"/>
                <w:sz w:val="21"/>
                <w:szCs w:val="21"/>
              </w:rPr>
            </w:pPr>
          </w:p>
        </w:tc>
        <w:tc>
          <w:tcPr>
            <w:tcW w:w="622" w:type="pct"/>
            <w:noWrap w:val="0"/>
            <w:vAlign w:val="center"/>
          </w:tcPr>
          <w:p>
            <w:pPr>
              <w:pStyle w:val="37"/>
              <w:spacing w:line="240" w:lineRule="auto"/>
              <w:ind w:left="-72" w:leftChars="-30" w:right="-72" w:rightChars="-30" w:firstLine="0"/>
              <w:jc w:val="center"/>
              <w:rPr>
                <w:bCs/>
                <w:i w:val="0"/>
                <w:iCs w:val="0"/>
                <w:sz w:val="21"/>
                <w:szCs w:val="21"/>
              </w:rPr>
            </w:pPr>
            <w:r>
              <w:rPr>
                <w:i w:val="0"/>
                <w:iCs w:val="0"/>
                <w:sz w:val="21"/>
                <w:szCs w:val="21"/>
              </w:rPr>
              <w:t>H</w:t>
            </w:r>
            <w:r>
              <w:rPr>
                <w:i w:val="0"/>
                <w:iCs w:val="0"/>
                <w:sz w:val="21"/>
                <w:szCs w:val="21"/>
                <w:vertAlign w:val="subscript"/>
              </w:rPr>
              <w:t>2</w:t>
            </w:r>
            <w:r>
              <w:rPr>
                <w:i w:val="0"/>
                <w:iCs w:val="0"/>
                <w:sz w:val="21"/>
                <w:szCs w:val="21"/>
              </w:rPr>
              <w:t>S</w:t>
            </w:r>
          </w:p>
        </w:tc>
        <w:tc>
          <w:tcPr>
            <w:tcW w:w="555" w:type="pct"/>
            <w:vMerge w:val="continue"/>
            <w:noWrap w:val="0"/>
            <w:vAlign w:val="center"/>
          </w:tcPr>
          <w:p>
            <w:pPr>
              <w:jc w:val="center"/>
              <w:rPr>
                <w:bCs/>
                <w:i w:val="0"/>
                <w:iCs w:val="0"/>
                <w:sz w:val="21"/>
                <w:szCs w:val="21"/>
              </w:rPr>
            </w:pPr>
          </w:p>
        </w:tc>
        <w:tc>
          <w:tcPr>
            <w:tcW w:w="555" w:type="pct"/>
            <w:noWrap w:val="0"/>
            <w:vAlign w:val="center"/>
          </w:tcPr>
          <w:p>
            <w:pPr>
              <w:pStyle w:val="37"/>
              <w:spacing w:line="240" w:lineRule="auto"/>
              <w:ind w:left="-72" w:leftChars="-30" w:right="-72" w:rightChars="-30" w:firstLine="0"/>
              <w:jc w:val="center"/>
              <w:rPr>
                <w:rFonts w:hint="default" w:eastAsia="宋体"/>
                <w:bCs/>
                <w:i w:val="0"/>
                <w:iCs w:val="0"/>
                <w:sz w:val="21"/>
                <w:szCs w:val="21"/>
                <w:lang w:val="en-US" w:eastAsia="zh-CN"/>
              </w:rPr>
            </w:pPr>
            <w:r>
              <w:rPr>
                <w:rFonts w:hint="eastAsia"/>
                <w:i w:val="0"/>
                <w:iCs w:val="0"/>
                <w:sz w:val="21"/>
                <w:szCs w:val="21"/>
              </w:rPr>
              <w:t>0.00</w:t>
            </w:r>
            <w:r>
              <w:rPr>
                <w:rFonts w:hint="eastAsia"/>
                <w:i w:val="0"/>
                <w:iCs w:val="0"/>
                <w:sz w:val="21"/>
                <w:szCs w:val="21"/>
                <w:lang w:val="en-US" w:eastAsia="zh-CN"/>
              </w:rPr>
              <w:t>19</w:t>
            </w:r>
          </w:p>
        </w:tc>
        <w:tc>
          <w:tcPr>
            <w:tcW w:w="555" w:type="pct"/>
            <w:noWrap w:val="0"/>
            <w:vAlign w:val="center"/>
          </w:tcPr>
          <w:p>
            <w:pPr>
              <w:pStyle w:val="37"/>
              <w:spacing w:line="240" w:lineRule="auto"/>
              <w:ind w:left="-72" w:leftChars="-30" w:right="-72" w:rightChars="-30" w:firstLine="0"/>
              <w:jc w:val="center"/>
              <w:rPr>
                <w:rFonts w:hint="default" w:eastAsia="宋体"/>
                <w:bCs/>
                <w:i w:val="0"/>
                <w:iCs w:val="0"/>
                <w:sz w:val="21"/>
                <w:szCs w:val="21"/>
                <w:lang w:val="en-US" w:eastAsia="zh-CN"/>
              </w:rPr>
            </w:pPr>
            <w:r>
              <w:rPr>
                <w:rFonts w:hint="eastAsia"/>
                <w:i w:val="0"/>
                <w:iCs w:val="0"/>
                <w:sz w:val="21"/>
                <w:szCs w:val="21"/>
                <w:lang w:val="en-US" w:eastAsia="zh-CN"/>
              </w:rPr>
              <w:t>0.95</w:t>
            </w:r>
          </w:p>
        </w:tc>
        <w:tc>
          <w:tcPr>
            <w:tcW w:w="555" w:type="pct"/>
            <w:vMerge w:val="continue"/>
            <w:noWrap w:val="0"/>
            <w:vAlign w:val="center"/>
          </w:tcPr>
          <w:p>
            <w:pPr>
              <w:jc w:val="center"/>
              <w:rPr>
                <w:rFonts w:hint="eastAsia"/>
                <w:bCs/>
                <w:i w:val="0"/>
                <w:iCs w:val="0"/>
                <w:sz w:val="21"/>
                <w:szCs w:val="21"/>
              </w:rPr>
            </w:pPr>
          </w:p>
        </w:tc>
        <w:tc>
          <w:tcPr>
            <w:tcW w:w="555" w:type="pct"/>
            <w:vMerge w:val="continue"/>
            <w:noWrap w:val="0"/>
            <w:vAlign w:val="center"/>
          </w:tcPr>
          <w:p>
            <w:pPr>
              <w:jc w:val="center"/>
              <w:rPr>
                <w:rFonts w:hint="eastAsia"/>
                <w:bCs/>
                <w:i w:val="0"/>
                <w:iCs w:val="0"/>
                <w:sz w:val="21"/>
                <w:szCs w:val="21"/>
              </w:rPr>
            </w:pPr>
          </w:p>
        </w:tc>
        <w:tc>
          <w:tcPr>
            <w:tcW w:w="565" w:type="pct"/>
            <w:vMerge w:val="continue"/>
            <w:noWrap w:val="0"/>
            <w:vAlign w:val="center"/>
          </w:tcPr>
          <w:p>
            <w:pPr>
              <w:jc w:val="center"/>
              <w:rPr>
                <w:rFonts w:hint="eastAsia"/>
                <w:bCs/>
                <w:i w:val="0"/>
                <w:iCs w:val="0"/>
                <w:sz w:val="21"/>
                <w:szCs w:val="21"/>
              </w:rPr>
            </w:pPr>
          </w:p>
        </w:tc>
        <w:tc>
          <w:tcPr>
            <w:tcW w:w="557" w:type="pct"/>
            <w:noWrap w:val="0"/>
            <w:vAlign w:val="center"/>
          </w:tcPr>
          <w:p>
            <w:pPr>
              <w:pStyle w:val="37"/>
              <w:spacing w:line="240" w:lineRule="auto"/>
              <w:ind w:left="-72" w:leftChars="-30" w:right="-72" w:rightChars="-30" w:firstLine="0"/>
              <w:jc w:val="center"/>
              <w:rPr>
                <w:bCs/>
                <w:i w:val="0"/>
                <w:iCs w:val="0"/>
                <w:sz w:val="21"/>
                <w:szCs w:val="21"/>
              </w:rPr>
            </w:pPr>
            <w:r>
              <w:rPr>
                <w:i w:val="0"/>
                <w:iCs w:val="0"/>
                <w:sz w:val="21"/>
                <w:szCs w:val="21"/>
              </w:rPr>
              <w:t>0.</w:t>
            </w:r>
            <w:r>
              <w:rPr>
                <w:rFonts w:hint="eastAsia"/>
                <w:i w:val="0"/>
                <w:iCs w:val="0"/>
                <w:sz w:val="21"/>
                <w:szCs w:val="21"/>
              </w:rPr>
              <w:t>33kg/h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5" w:type="dxa"/>
            <w:vMerge w:val="restart"/>
            <w:noWrap w:val="0"/>
            <w:vAlign w:val="center"/>
          </w:tcPr>
          <w:p>
            <w:pPr>
              <w:pStyle w:val="37"/>
              <w:spacing w:line="240" w:lineRule="auto"/>
              <w:ind w:left="-72" w:leftChars="-30" w:right="-72" w:rightChars="-30" w:firstLine="0" w:firstLineChars="0"/>
              <w:jc w:val="center"/>
              <w:rPr>
                <w:bCs/>
                <w:i w:val="0"/>
                <w:iCs w:val="0"/>
                <w:sz w:val="21"/>
                <w:szCs w:val="21"/>
              </w:rPr>
            </w:pPr>
            <w:r>
              <w:rPr>
                <w:rFonts w:hint="eastAsia"/>
                <w:i w:val="0"/>
                <w:iCs w:val="0"/>
                <w:sz w:val="21"/>
                <w:szCs w:val="21"/>
              </w:rPr>
              <w:t>发酵废气</w:t>
            </w:r>
            <w:r>
              <w:rPr>
                <w:rFonts w:hint="eastAsia"/>
                <w:i w:val="0"/>
                <w:iCs w:val="0"/>
                <w:sz w:val="21"/>
                <w:szCs w:val="21"/>
                <w:lang w:eastAsia="zh-CN"/>
              </w:rPr>
              <w:t>（</w:t>
            </w:r>
            <w:r>
              <w:rPr>
                <w:rFonts w:hint="eastAsia"/>
                <w:i w:val="0"/>
                <w:iCs w:val="0"/>
                <w:sz w:val="21"/>
                <w:szCs w:val="21"/>
                <w:lang w:val="en-US" w:eastAsia="zh-CN"/>
              </w:rPr>
              <w:t>DA002</w:t>
            </w:r>
            <w:r>
              <w:rPr>
                <w:rFonts w:hint="eastAsia"/>
                <w:i w:val="0"/>
                <w:iCs w:val="0"/>
                <w:sz w:val="21"/>
                <w:szCs w:val="21"/>
                <w:lang w:eastAsia="zh-CN"/>
              </w:rPr>
              <w:t>）</w:t>
            </w:r>
          </w:p>
        </w:tc>
        <w:tc>
          <w:tcPr>
            <w:tcW w:w="622" w:type="pct"/>
            <w:noWrap w:val="0"/>
            <w:vAlign w:val="center"/>
          </w:tcPr>
          <w:p>
            <w:pPr>
              <w:pStyle w:val="37"/>
              <w:spacing w:line="240" w:lineRule="auto"/>
              <w:ind w:left="-72" w:leftChars="-30" w:right="-72" w:rightChars="-30" w:firstLine="0"/>
              <w:jc w:val="center"/>
              <w:rPr>
                <w:bCs/>
                <w:i w:val="0"/>
                <w:iCs w:val="0"/>
                <w:sz w:val="21"/>
                <w:szCs w:val="21"/>
              </w:rPr>
            </w:pPr>
            <w:r>
              <w:rPr>
                <w:i w:val="0"/>
                <w:iCs w:val="0"/>
                <w:sz w:val="21"/>
                <w:szCs w:val="21"/>
              </w:rPr>
              <w:t>NH</w:t>
            </w:r>
            <w:r>
              <w:rPr>
                <w:i w:val="0"/>
                <w:iCs w:val="0"/>
                <w:sz w:val="21"/>
                <w:szCs w:val="21"/>
                <w:vertAlign w:val="subscript"/>
              </w:rPr>
              <w:t>3</w:t>
            </w:r>
          </w:p>
        </w:tc>
        <w:tc>
          <w:tcPr>
            <w:tcW w:w="555" w:type="pct"/>
            <w:vMerge w:val="restart"/>
            <w:noWrap w:val="0"/>
            <w:vAlign w:val="center"/>
          </w:tcPr>
          <w:p>
            <w:pPr>
              <w:pStyle w:val="37"/>
              <w:spacing w:line="240" w:lineRule="auto"/>
              <w:ind w:left="-72" w:leftChars="-30" w:right="-72" w:rightChars="-30" w:firstLine="0"/>
              <w:jc w:val="center"/>
              <w:rPr>
                <w:bCs/>
                <w:i w:val="0"/>
                <w:iCs w:val="0"/>
                <w:sz w:val="21"/>
                <w:szCs w:val="21"/>
              </w:rPr>
            </w:pPr>
            <w:r>
              <w:rPr>
                <w:rFonts w:hint="eastAsia"/>
                <w:i w:val="0"/>
                <w:iCs w:val="0"/>
                <w:sz w:val="21"/>
                <w:szCs w:val="21"/>
              </w:rPr>
              <w:t>6000</w:t>
            </w:r>
          </w:p>
        </w:tc>
        <w:tc>
          <w:tcPr>
            <w:tcW w:w="555" w:type="pct"/>
            <w:noWrap w:val="0"/>
            <w:vAlign w:val="center"/>
          </w:tcPr>
          <w:p>
            <w:pPr>
              <w:pStyle w:val="37"/>
              <w:spacing w:line="240" w:lineRule="auto"/>
              <w:ind w:left="-72" w:leftChars="-30" w:right="-72" w:rightChars="-30" w:firstLine="0"/>
              <w:jc w:val="center"/>
              <w:rPr>
                <w:rFonts w:hint="default" w:eastAsia="宋体"/>
                <w:bCs/>
                <w:i w:val="0"/>
                <w:iCs w:val="0"/>
                <w:sz w:val="21"/>
                <w:szCs w:val="21"/>
                <w:lang w:val="en-US" w:eastAsia="zh-CN"/>
              </w:rPr>
            </w:pPr>
            <w:r>
              <w:rPr>
                <w:rFonts w:hint="eastAsia"/>
                <w:i w:val="0"/>
                <w:iCs w:val="0"/>
                <w:sz w:val="21"/>
                <w:szCs w:val="21"/>
                <w:lang w:val="en-US" w:eastAsia="zh-CN"/>
              </w:rPr>
              <w:t>0.245</w:t>
            </w:r>
          </w:p>
        </w:tc>
        <w:tc>
          <w:tcPr>
            <w:tcW w:w="555" w:type="pct"/>
            <w:noWrap w:val="0"/>
            <w:vAlign w:val="center"/>
          </w:tcPr>
          <w:p>
            <w:pPr>
              <w:pStyle w:val="37"/>
              <w:spacing w:line="240" w:lineRule="auto"/>
              <w:ind w:left="-72" w:leftChars="-30" w:right="-72" w:rightChars="-30" w:firstLine="0"/>
              <w:jc w:val="center"/>
              <w:rPr>
                <w:rFonts w:hint="default" w:eastAsia="宋体"/>
                <w:bCs/>
                <w:i w:val="0"/>
                <w:iCs w:val="0"/>
                <w:sz w:val="21"/>
                <w:szCs w:val="21"/>
                <w:lang w:val="en-US" w:eastAsia="zh-CN"/>
              </w:rPr>
            </w:pPr>
            <w:r>
              <w:rPr>
                <w:rFonts w:hint="eastAsia"/>
                <w:i w:val="0"/>
                <w:iCs w:val="0"/>
                <w:sz w:val="21"/>
                <w:szCs w:val="21"/>
                <w:lang w:val="en-US" w:eastAsia="zh-CN"/>
              </w:rPr>
              <w:t>40.83</w:t>
            </w:r>
          </w:p>
        </w:tc>
        <w:tc>
          <w:tcPr>
            <w:tcW w:w="555" w:type="pct"/>
            <w:vMerge w:val="restart"/>
            <w:noWrap w:val="0"/>
            <w:vAlign w:val="center"/>
          </w:tcPr>
          <w:p>
            <w:pPr>
              <w:pStyle w:val="408"/>
              <w:adjustRightInd w:val="0"/>
              <w:snapToGrid w:val="0"/>
              <w:spacing w:line="240" w:lineRule="auto"/>
              <w:textAlignment w:val="baseline"/>
              <w:rPr>
                <w:rFonts w:hint="eastAsia" w:eastAsia="宋体"/>
                <w:bCs/>
                <w:i w:val="0"/>
                <w:iCs w:val="0"/>
                <w:szCs w:val="21"/>
                <w:lang w:eastAsia="zh-CN"/>
              </w:rPr>
            </w:pPr>
            <w:r>
              <w:rPr>
                <w:rFonts w:hint="eastAsia"/>
                <w:i w:val="0"/>
                <w:iCs w:val="0"/>
                <w:color w:val="000000"/>
                <w:szCs w:val="21"/>
                <w:lang w:eastAsia="zh-CN"/>
              </w:rPr>
              <w:t>24</w:t>
            </w:r>
          </w:p>
        </w:tc>
        <w:tc>
          <w:tcPr>
            <w:tcW w:w="555" w:type="pct"/>
            <w:vMerge w:val="restart"/>
            <w:noWrap w:val="0"/>
            <w:vAlign w:val="center"/>
          </w:tcPr>
          <w:p>
            <w:pPr>
              <w:pStyle w:val="408"/>
              <w:adjustRightInd w:val="0"/>
              <w:snapToGrid w:val="0"/>
              <w:spacing w:line="240" w:lineRule="auto"/>
              <w:textAlignment w:val="baseline"/>
              <w:rPr>
                <w:rFonts w:hint="eastAsia"/>
                <w:bCs/>
                <w:i w:val="0"/>
                <w:iCs w:val="0"/>
                <w:szCs w:val="21"/>
              </w:rPr>
            </w:pPr>
            <w:r>
              <w:rPr>
                <w:rFonts w:hint="eastAsia"/>
                <w:i w:val="0"/>
                <w:iCs w:val="0"/>
                <w:color w:val="000000"/>
                <w:szCs w:val="21"/>
              </w:rPr>
              <w:t>0.5</w:t>
            </w:r>
          </w:p>
        </w:tc>
        <w:tc>
          <w:tcPr>
            <w:tcW w:w="565" w:type="pct"/>
            <w:vMerge w:val="restart"/>
            <w:noWrap w:val="0"/>
            <w:vAlign w:val="center"/>
          </w:tcPr>
          <w:p>
            <w:pPr>
              <w:jc w:val="center"/>
              <w:rPr>
                <w:rFonts w:hint="eastAsia"/>
                <w:bCs/>
                <w:i w:val="0"/>
                <w:iCs w:val="0"/>
                <w:sz w:val="21"/>
                <w:szCs w:val="21"/>
              </w:rPr>
            </w:pPr>
            <w:r>
              <w:rPr>
                <w:rFonts w:hint="eastAsia"/>
                <w:bCs/>
                <w:i w:val="0"/>
                <w:iCs w:val="0"/>
                <w:sz w:val="21"/>
                <w:szCs w:val="21"/>
              </w:rPr>
              <w:t>常温</w:t>
            </w:r>
          </w:p>
        </w:tc>
        <w:tc>
          <w:tcPr>
            <w:tcW w:w="557" w:type="pct"/>
            <w:noWrap w:val="0"/>
            <w:vAlign w:val="center"/>
          </w:tcPr>
          <w:p>
            <w:pPr>
              <w:pStyle w:val="37"/>
              <w:spacing w:line="240" w:lineRule="auto"/>
              <w:ind w:left="-72" w:leftChars="-30" w:right="-72" w:rightChars="-30" w:firstLine="0"/>
              <w:jc w:val="center"/>
              <w:rPr>
                <w:bCs/>
                <w:i w:val="0"/>
                <w:iCs w:val="0"/>
                <w:sz w:val="21"/>
                <w:szCs w:val="21"/>
              </w:rPr>
            </w:pPr>
            <w:r>
              <w:rPr>
                <w:rFonts w:hint="eastAsia"/>
                <w:i w:val="0"/>
                <w:iCs w:val="0"/>
                <w:sz w:val="21"/>
                <w:szCs w:val="21"/>
              </w:rPr>
              <w:t>4.9kg/h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6" w:type="pct"/>
            <w:vMerge w:val="continue"/>
            <w:noWrap w:val="0"/>
            <w:vAlign w:val="center"/>
          </w:tcPr>
          <w:p>
            <w:pPr>
              <w:jc w:val="center"/>
              <w:rPr>
                <w:bCs/>
                <w:i w:val="0"/>
                <w:iCs w:val="0"/>
                <w:sz w:val="21"/>
                <w:szCs w:val="21"/>
              </w:rPr>
            </w:pPr>
          </w:p>
        </w:tc>
        <w:tc>
          <w:tcPr>
            <w:tcW w:w="622" w:type="pct"/>
            <w:noWrap w:val="0"/>
            <w:vAlign w:val="center"/>
          </w:tcPr>
          <w:p>
            <w:pPr>
              <w:pStyle w:val="37"/>
              <w:spacing w:line="240" w:lineRule="auto"/>
              <w:ind w:left="-72" w:leftChars="-30" w:right="-72" w:rightChars="-30" w:firstLine="0"/>
              <w:jc w:val="center"/>
              <w:rPr>
                <w:bCs/>
                <w:i w:val="0"/>
                <w:iCs w:val="0"/>
                <w:sz w:val="21"/>
                <w:szCs w:val="21"/>
              </w:rPr>
            </w:pPr>
            <w:r>
              <w:rPr>
                <w:rFonts w:hint="eastAsia"/>
                <w:i w:val="0"/>
                <w:iCs w:val="0"/>
                <w:sz w:val="21"/>
                <w:szCs w:val="21"/>
              </w:rPr>
              <w:t>非甲烷总烃</w:t>
            </w:r>
          </w:p>
        </w:tc>
        <w:tc>
          <w:tcPr>
            <w:tcW w:w="555" w:type="pct"/>
            <w:vMerge w:val="continue"/>
            <w:noWrap w:val="0"/>
            <w:vAlign w:val="center"/>
          </w:tcPr>
          <w:p>
            <w:pPr>
              <w:jc w:val="center"/>
              <w:rPr>
                <w:bCs/>
                <w:i w:val="0"/>
                <w:iCs w:val="0"/>
                <w:sz w:val="21"/>
                <w:szCs w:val="21"/>
              </w:rPr>
            </w:pPr>
          </w:p>
        </w:tc>
        <w:tc>
          <w:tcPr>
            <w:tcW w:w="555" w:type="pct"/>
            <w:noWrap w:val="0"/>
            <w:vAlign w:val="center"/>
          </w:tcPr>
          <w:p>
            <w:pPr>
              <w:pStyle w:val="37"/>
              <w:spacing w:line="240" w:lineRule="auto"/>
              <w:ind w:left="-72" w:leftChars="-30" w:right="-72" w:rightChars="-30" w:firstLine="0"/>
              <w:jc w:val="center"/>
              <w:rPr>
                <w:rFonts w:hint="default" w:eastAsia="宋体"/>
                <w:bCs/>
                <w:i w:val="0"/>
                <w:iCs w:val="0"/>
                <w:sz w:val="21"/>
                <w:szCs w:val="21"/>
                <w:lang w:val="en-US" w:eastAsia="zh-CN"/>
              </w:rPr>
            </w:pPr>
            <w:r>
              <w:rPr>
                <w:rFonts w:hint="eastAsia"/>
                <w:i w:val="0"/>
                <w:iCs w:val="0"/>
                <w:sz w:val="21"/>
                <w:szCs w:val="21"/>
                <w:lang w:val="en-US" w:eastAsia="zh-CN"/>
              </w:rPr>
              <w:t>0.078</w:t>
            </w:r>
          </w:p>
        </w:tc>
        <w:tc>
          <w:tcPr>
            <w:tcW w:w="555" w:type="pct"/>
            <w:noWrap w:val="0"/>
            <w:vAlign w:val="center"/>
          </w:tcPr>
          <w:p>
            <w:pPr>
              <w:pStyle w:val="37"/>
              <w:spacing w:line="240" w:lineRule="auto"/>
              <w:ind w:left="-72" w:leftChars="-30" w:right="-72" w:rightChars="-30" w:firstLine="0"/>
              <w:jc w:val="center"/>
              <w:rPr>
                <w:rFonts w:hint="default" w:eastAsia="宋体"/>
                <w:bCs/>
                <w:i w:val="0"/>
                <w:iCs w:val="0"/>
                <w:sz w:val="21"/>
                <w:szCs w:val="21"/>
                <w:lang w:val="en-US" w:eastAsia="zh-CN"/>
              </w:rPr>
            </w:pPr>
            <w:r>
              <w:rPr>
                <w:rFonts w:hint="eastAsia"/>
                <w:i w:val="0"/>
                <w:iCs w:val="0"/>
                <w:sz w:val="21"/>
                <w:szCs w:val="21"/>
                <w:lang w:val="en-US" w:eastAsia="zh-CN"/>
              </w:rPr>
              <w:t>13</w:t>
            </w:r>
          </w:p>
        </w:tc>
        <w:tc>
          <w:tcPr>
            <w:tcW w:w="555" w:type="pct"/>
            <w:vMerge w:val="continue"/>
            <w:noWrap w:val="0"/>
            <w:vAlign w:val="center"/>
          </w:tcPr>
          <w:p>
            <w:pPr>
              <w:jc w:val="center"/>
              <w:rPr>
                <w:rFonts w:hint="eastAsia"/>
                <w:bCs/>
                <w:i w:val="0"/>
                <w:iCs w:val="0"/>
                <w:sz w:val="21"/>
                <w:szCs w:val="21"/>
              </w:rPr>
            </w:pPr>
          </w:p>
        </w:tc>
        <w:tc>
          <w:tcPr>
            <w:tcW w:w="555" w:type="pct"/>
            <w:vMerge w:val="continue"/>
            <w:noWrap w:val="0"/>
            <w:vAlign w:val="center"/>
          </w:tcPr>
          <w:p>
            <w:pPr>
              <w:jc w:val="center"/>
              <w:rPr>
                <w:rFonts w:hint="eastAsia"/>
                <w:bCs/>
                <w:i w:val="0"/>
                <w:iCs w:val="0"/>
                <w:sz w:val="21"/>
                <w:szCs w:val="21"/>
              </w:rPr>
            </w:pPr>
          </w:p>
        </w:tc>
        <w:tc>
          <w:tcPr>
            <w:tcW w:w="565" w:type="pct"/>
            <w:vMerge w:val="continue"/>
            <w:noWrap w:val="0"/>
            <w:vAlign w:val="center"/>
          </w:tcPr>
          <w:p>
            <w:pPr>
              <w:jc w:val="center"/>
              <w:rPr>
                <w:rFonts w:hint="eastAsia"/>
                <w:bCs/>
                <w:i w:val="0"/>
                <w:iCs w:val="0"/>
                <w:sz w:val="21"/>
                <w:szCs w:val="21"/>
              </w:rPr>
            </w:pPr>
          </w:p>
        </w:tc>
        <w:tc>
          <w:tcPr>
            <w:tcW w:w="557" w:type="pct"/>
            <w:noWrap w:val="0"/>
            <w:vAlign w:val="center"/>
          </w:tcPr>
          <w:p>
            <w:pPr>
              <w:pStyle w:val="37"/>
              <w:spacing w:line="240" w:lineRule="auto"/>
              <w:ind w:left="-72" w:leftChars="-30" w:right="-72" w:rightChars="-30" w:firstLine="0"/>
              <w:jc w:val="center"/>
              <w:rPr>
                <w:bCs/>
                <w:i w:val="0"/>
                <w:iCs w:val="0"/>
                <w:sz w:val="21"/>
                <w:szCs w:val="21"/>
              </w:rPr>
            </w:pPr>
            <w:r>
              <w:rPr>
                <w:rFonts w:hint="eastAsia"/>
                <w:i w:val="0"/>
                <w:iCs w:val="0"/>
                <w:sz w:val="21"/>
                <w:szCs w:val="21"/>
              </w:rPr>
              <w:t>120</w:t>
            </w:r>
            <w:r>
              <w:rPr>
                <w:i w:val="0"/>
                <w:iCs w:val="0"/>
                <w:sz w:val="21"/>
                <w:szCs w:val="21"/>
              </w:rPr>
              <w:t>mg/m</w:t>
            </w:r>
            <w:r>
              <w:rPr>
                <w:i w:val="0"/>
                <w:iCs w:val="0"/>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05" w:type="dxa"/>
            <w:vMerge w:val="restart"/>
            <w:noWrap w:val="0"/>
            <w:vAlign w:val="center"/>
          </w:tcPr>
          <w:p>
            <w:pPr>
              <w:pStyle w:val="37"/>
              <w:spacing w:line="240" w:lineRule="auto"/>
              <w:ind w:left="-72" w:leftChars="-30" w:right="-72" w:rightChars="-30" w:firstLine="0" w:firstLineChars="0"/>
              <w:jc w:val="center"/>
              <w:rPr>
                <w:bCs/>
                <w:i w:val="0"/>
                <w:iCs w:val="0"/>
                <w:sz w:val="21"/>
                <w:szCs w:val="21"/>
              </w:rPr>
            </w:pPr>
            <w:r>
              <w:rPr>
                <w:rFonts w:hint="eastAsia"/>
                <w:i w:val="0"/>
                <w:iCs w:val="0"/>
                <w:sz w:val="21"/>
                <w:szCs w:val="21"/>
                <w:lang w:val="en-US" w:eastAsia="zh-CN"/>
              </w:rPr>
              <w:t>热风炉1烟气及</w:t>
            </w:r>
            <w:r>
              <w:rPr>
                <w:rFonts w:hint="eastAsia"/>
                <w:i w:val="0"/>
                <w:iCs w:val="0"/>
                <w:sz w:val="21"/>
                <w:szCs w:val="21"/>
              </w:rPr>
              <w:t>喷雾干燥塔</w:t>
            </w:r>
            <w:r>
              <w:rPr>
                <w:rFonts w:hint="eastAsia"/>
                <w:i w:val="0"/>
                <w:iCs w:val="0"/>
                <w:sz w:val="21"/>
                <w:szCs w:val="21"/>
                <w:lang w:val="en-US" w:eastAsia="zh-CN"/>
              </w:rPr>
              <w:t>1</w:t>
            </w:r>
            <w:r>
              <w:rPr>
                <w:rFonts w:hint="eastAsia"/>
                <w:i w:val="0"/>
                <w:iCs w:val="0"/>
                <w:sz w:val="21"/>
                <w:szCs w:val="21"/>
              </w:rPr>
              <w:t>喷雾干燥废气</w:t>
            </w:r>
            <w:r>
              <w:rPr>
                <w:rFonts w:hint="eastAsia"/>
                <w:i w:val="0"/>
                <w:iCs w:val="0"/>
                <w:sz w:val="21"/>
                <w:szCs w:val="21"/>
                <w:lang w:eastAsia="zh-CN"/>
              </w:rPr>
              <w:t>（</w:t>
            </w:r>
            <w:r>
              <w:rPr>
                <w:rFonts w:hint="eastAsia"/>
                <w:i w:val="0"/>
                <w:iCs w:val="0"/>
                <w:sz w:val="21"/>
                <w:szCs w:val="21"/>
                <w:lang w:val="en-US" w:eastAsia="zh-CN"/>
              </w:rPr>
              <w:t>DA003</w:t>
            </w:r>
            <w:r>
              <w:rPr>
                <w:rFonts w:hint="eastAsia"/>
                <w:i w:val="0"/>
                <w:iCs w:val="0"/>
                <w:sz w:val="21"/>
                <w:szCs w:val="21"/>
                <w:lang w:eastAsia="zh-CN"/>
              </w:rPr>
              <w:t>）</w:t>
            </w:r>
          </w:p>
        </w:tc>
        <w:tc>
          <w:tcPr>
            <w:tcW w:w="622" w:type="pct"/>
            <w:noWrap w:val="0"/>
            <w:vAlign w:val="center"/>
          </w:tcPr>
          <w:p>
            <w:pPr>
              <w:pStyle w:val="37"/>
              <w:spacing w:line="240" w:lineRule="auto"/>
              <w:ind w:left="-72" w:leftChars="-30" w:right="-72" w:rightChars="-30" w:firstLine="0"/>
              <w:jc w:val="center"/>
              <w:rPr>
                <w:bCs/>
                <w:i w:val="0"/>
                <w:iCs w:val="0"/>
                <w:sz w:val="21"/>
                <w:szCs w:val="21"/>
              </w:rPr>
            </w:pPr>
            <w:r>
              <w:rPr>
                <w:rFonts w:hint="eastAsia"/>
                <w:i w:val="0"/>
                <w:iCs w:val="0"/>
                <w:sz w:val="21"/>
                <w:szCs w:val="21"/>
              </w:rPr>
              <w:t>颗粒物</w:t>
            </w:r>
          </w:p>
        </w:tc>
        <w:tc>
          <w:tcPr>
            <w:tcW w:w="555" w:type="pct"/>
            <w:vMerge w:val="restart"/>
            <w:noWrap w:val="0"/>
            <w:vAlign w:val="center"/>
          </w:tcPr>
          <w:p>
            <w:pPr>
              <w:pStyle w:val="37"/>
              <w:spacing w:line="240" w:lineRule="auto"/>
              <w:ind w:left="-72" w:leftChars="-30" w:right="-72" w:rightChars="-30" w:firstLine="0"/>
              <w:jc w:val="center"/>
              <w:rPr>
                <w:rFonts w:hint="default" w:eastAsia="宋体"/>
                <w:bCs/>
                <w:i w:val="0"/>
                <w:iCs w:val="0"/>
                <w:sz w:val="21"/>
                <w:szCs w:val="21"/>
                <w:lang w:val="en-US" w:eastAsia="zh-CN"/>
              </w:rPr>
            </w:pPr>
            <w:r>
              <w:rPr>
                <w:rFonts w:hint="eastAsia"/>
                <w:i w:val="0"/>
                <w:iCs w:val="0"/>
                <w:sz w:val="21"/>
                <w:szCs w:val="21"/>
                <w:lang w:val="en-US" w:eastAsia="zh-CN"/>
              </w:rPr>
              <w:t>20000</w:t>
            </w:r>
          </w:p>
        </w:tc>
        <w:tc>
          <w:tcPr>
            <w:tcW w:w="555" w:type="pct"/>
            <w:noWrap w:val="0"/>
            <w:vAlign w:val="center"/>
          </w:tcPr>
          <w:p>
            <w:pPr>
              <w:pStyle w:val="37"/>
              <w:spacing w:line="240" w:lineRule="auto"/>
              <w:ind w:left="-72" w:leftChars="-30" w:right="-72" w:rightChars="-30" w:firstLine="0"/>
              <w:jc w:val="center"/>
              <w:rPr>
                <w:rFonts w:hint="default" w:eastAsia="宋体"/>
                <w:bCs/>
                <w:i w:val="0"/>
                <w:iCs w:val="0"/>
                <w:sz w:val="21"/>
                <w:szCs w:val="21"/>
                <w:lang w:val="en-US" w:eastAsia="zh-CN"/>
              </w:rPr>
            </w:pPr>
            <w:r>
              <w:rPr>
                <w:rFonts w:hint="eastAsia"/>
                <w:i w:val="0"/>
                <w:iCs w:val="0"/>
                <w:sz w:val="21"/>
                <w:szCs w:val="21"/>
                <w:lang w:val="en-US" w:eastAsia="zh-CN"/>
              </w:rPr>
              <w:t>22.29</w:t>
            </w:r>
          </w:p>
        </w:tc>
        <w:tc>
          <w:tcPr>
            <w:tcW w:w="555" w:type="pct"/>
            <w:noWrap w:val="0"/>
            <w:vAlign w:val="center"/>
          </w:tcPr>
          <w:p>
            <w:pPr>
              <w:pStyle w:val="37"/>
              <w:spacing w:line="240" w:lineRule="auto"/>
              <w:ind w:left="-72" w:leftChars="-30" w:right="-72" w:rightChars="-30" w:firstLine="0"/>
              <w:jc w:val="center"/>
              <w:rPr>
                <w:rFonts w:hint="default" w:eastAsia="宋体"/>
                <w:bCs/>
                <w:i w:val="0"/>
                <w:iCs w:val="0"/>
                <w:sz w:val="21"/>
                <w:szCs w:val="21"/>
                <w:lang w:val="en-US" w:eastAsia="zh-CN"/>
              </w:rPr>
            </w:pPr>
            <w:r>
              <w:rPr>
                <w:rFonts w:hint="eastAsia"/>
                <w:i w:val="0"/>
                <w:iCs w:val="0"/>
                <w:sz w:val="21"/>
                <w:szCs w:val="21"/>
                <w:lang w:val="en-US" w:eastAsia="zh-CN"/>
              </w:rPr>
              <w:t>1114.5</w:t>
            </w:r>
          </w:p>
        </w:tc>
        <w:tc>
          <w:tcPr>
            <w:tcW w:w="555" w:type="pct"/>
            <w:vMerge w:val="restart"/>
            <w:noWrap w:val="0"/>
            <w:vAlign w:val="center"/>
          </w:tcPr>
          <w:p>
            <w:pPr>
              <w:pStyle w:val="408"/>
              <w:adjustRightInd w:val="0"/>
              <w:snapToGrid w:val="0"/>
              <w:spacing w:line="240" w:lineRule="auto"/>
              <w:textAlignment w:val="baseline"/>
              <w:rPr>
                <w:rFonts w:hint="eastAsia" w:eastAsia="宋体"/>
                <w:bCs/>
                <w:i w:val="0"/>
                <w:iCs w:val="0"/>
                <w:szCs w:val="21"/>
                <w:lang w:eastAsia="zh-CN"/>
              </w:rPr>
            </w:pPr>
            <w:r>
              <w:rPr>
                <w:rFonts w:hint="eastAsia"/>
                <w:i w:val="0"/>
                <w:iCs w:val="0"/>
                <w:color w:val="000000"/>
                <w:szCs w:val="21"/>
                <w:lang w:eastAsia="zh-CN"/>
              </w:rPr>
              <w:t>24</w:t>
            </w:r>
          </w:p>
        </w:tc>
        <w:tc>
          <w:tcPr>
            <w:tcW w:w="555" w:type="pct"/>
            <w:vMerge w:val="restart"/>
            <w:noWrap w:val="0"/>
            <w:vAlign w:val="center"/>
          </w:tcPr>
          <w:p>
            <w:pPr>
              <w:pStyle w:val="408"/>
              <w:adjustRightInd w:val="0"/>
              <w:snapToGrid w:val="0"/>
              <w:spacing w:line="240" w:lineRule="auto"/>
              <w:textAlignment w:val="baseline"/>
              <w:rPr>
                <w:rFonts w:hint="eastAsia"/>
                <w:bCs/>
                <w:i w:val="0"/>
                <w:iCs w:val="0"/>
                <w:szCs w:val="21"/>
              </w:rPr>
            </w:pPr>
            <w:r>
              <w:rPr>
                <w:rFonts w:hint="eastAsia"/>
                <w:i w:val="0"/>
                <w:iCs w:val="0"/>
                <w:color w:val="000000"/>
                <w:szCs w:val="21"/>
              </w:rPr>
              <w:t>0.5</w:t>
            </w:r>
          </w:p>
        </w:tc>
        <w:tc>
          <w:tcPr>
            <w:tcW w:w="565" w:type="pct"/>
            <w:vMerge w:val="restart"/>
            <w:noWrap w:val="0"/>
            <w:vAlign w:val="center"/>
          </w:tcPr>
          <w:p>
            <w:pPr>
              <w:jc w:val="center"/>
              <w:rPr>
                <w:bCs/>
                <w:i w:val="0"/>
                <w:iCs w:val="0"/>
                <w:sz w:val="21"/>
                <w:szCs w:val="21"/>
              </w:rPr>
            </w:pPr>
            <w:r>
              <w:rPr>
                <w:rFonts w:hint="eastAsia"/>
                <w:bCs/>
                <w:i w:val="0"/>
                <w:iCs w:val="0"/>
                <w:sz w:val="21"/>
                <w:szCs w:val="21"/>
              </w:rPr>
              <w:t>45</w:t>
            </w:r>
          </w:p>
        </w:tc>
        <w:tc>
          <w:tcPr>
            <w:tcW w:w="557" w:type="pct"/>
            <w:noWrap w:val="0"/>
            <w:vAlign w:val="center"/>
          </w:tcPr>
          <w:p>
            <w:pPr>
              <w:pStyle w:val="37"/>
              <w:spacing w:line="240" w:lineRule="auto"/>
              <w:ind w:left="-72" w:leftChars="-30" w:right="-72" w:rightChars="-30" w:firstLine="0"/>
              <w:jc w:val="center"/>
              <w:rPr>
                <w:bCs/>
                <w:i w:val="0"/>
                <w:iCs w:val="0"/>
                <w:sz w:val="21"/>
                <w:szCs w:val="21"/>
              </w:rPr>
            </w:pPr>
            <w:r>
              <w:rPr>
                <w:rFonts w:hint="eastAsia"/>
                <w:i w:val="0"/>
                <w:iCs w:val="0"/>
                <w:sz w:val="21"/>
                <w:szCs w:val="21"/>
                <w:lang w:val="en-US" w:eastAsia="zh-CN"/>
              </w:rPr>
              <w:t>20</w:t>
            </w:r>
            <w:r>
              <w:rPr>
                <w:i w:val="0"/>
                <w:iCs w:val="0"/>
                <w:sz w:val="21"/>
                <w:szCs w:val="21"/>
              </w:rPr>
              <w:t>/m</w:t>
            </w:r>
            <w:r>
              <w:rPr>
                <w:i w:val="0"/>
                <w:iCs w:val="0"/>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76" w:type="pct"/>
            <w:vMerge w:val="continue"/>
            <w:noWrap w:val="0"/>
            <w:vAlign w:val="center"/>
          </w:tcPr>
          <w:p>
            <w:pPr>
              <w:pStyle w:val="37"/>
              <w:spacing w:line="240" w:lineRule="auto"/>
              <w:ind w:left="-72" w:leftChars="-30" w:right="-72" w:rightChars="-30" w:firstLine="0"/>
              <w:jc w:val="center"/>
              <w:rPr>
                <w:rFonts w:hint="eastAsia"/>
                <w:i w:val="0"/>
                <w:iCs w:val="0"/>
                <w:sz w:val="21"/>
                <w:szCs w:val="21"/>
              </w:rPr>
            </w:pPr>
          </w:p>
        </w:tc>
        <w:tc>
          <w:tcPr>
            <w:tcW w:w="622" w:type="pct"/>
            <w:noWrap w:val="0"/>
            <w:vAlign w:val="center"/>
          </w:tcPr>
          <w:p>
            <w:pPr>
              <w:pStyle w:val="37"/>
              <w:spacing w:line="240" w:lineRule="auto"/>
              <w:ind w:left="-72" w:leftChars="-30" w:right="-72" w:rightChars="-30" w:firstLine="0"/>
              <w:jc w:val="center"/>
              <w:rPr>
                <w:rFonts w:hint="eastAsia" w:eastAsia="宋体"/>
                <w:i w:val="0"/>
                <w:iCs w:val="0"/>
                <w:sz w:val="21"/>
                <w:szCs w:val="21"/>
                <w:lang w:val="en-US" w:eastAsia="zh-CN"/>
              </w:rPr>
            </w:pPr>
            <w:r>
              <w:rPr>
                <w:rFonts w:hint="eastAsia"/>
                <w:i w:val="0"/>
                <w:iCs w:val="0"/>
                <w:sz w:val="21"/>
                <w:szCs w:val="21"/>
                <w:lang w:val="en-US" w:eastAsia="zh-CN"/>
              </w:rPr>
              <w:t>二氧化硫</w:t>
            </w:r>
          </w:p>
        </w:tc>
        <w:tc>
          <w:tcPr>
            <w:tcW w:w="555" w:type="pct"/>
            <w:vMerge w:val="continue"/>
            <w:noWrap w:val="0"/>
            <w:vAlign w:val="center"/>
          </w:tcPr>
          <w:p>
            <w:pPr>
              <w:pStyle w:val="37"/>
              <w:spacing w:line="240" w:lineRule="auto"/>
              <w:ind w:left="-72" w:leftChars="-30" w:right="-72" w:rightChars="-30" w:firstLine="0"/>
              <w:jc w:val="center"/>
              <w:rPr>
                <w:rFonts w:hint="eastAsia"/>
                <w:i w:val="0"/>
                <w:iCs w:val="0"/>
                <w:sz w:val="21"/>
                <w:szCs w:val="21"/>
              </w:rPr>
            </w:pPr>
          </w:p>
        </w:tc>
        <w:tc>
          <w:tcPr>
            <w:tcW w:w="555" w:type="pct"/>
            <w:noWrap w:val="0"/>
            <w:vAlign w:val="center"/>
          </w:tcPr>
          <w:p>
            <w:pPr>
              <w:pStyle w:val="37"/>
              <w:spacing w:line="240" w:lineRule="auto"/>
              <w:ind w:left="-72" w:leftChars="-30" w:right="-72" w:rightChars="-30" w:firstLine="0"/>
              <w:jc w:val="center"/>
              <w:rPr>
                <w:rFonts w:hint="default" w:eastAsia="宋体"/>
                <w:i w:val="0"/>
                <w:iCs w:val="0"/>
                <w:sz w:val="21"/>
                <w:szCs w:val="21"/>
                <w:lang w:val="en-US" w:eastAsia="zh-CN"/>
              </w:rPr>
            </w:pPr>
            <w:r>
              <w:rPr>
                <w:rFonts w:hint="eastAsia"/>
                <w:i w:val="0"/>
                <w:iCs w:val="0"/>
                <w:sz w:val="21"/>
                <w:szCs w:val="21"/>
                <w:lang w:val="en-US" w:eastAsia="zh-CN"/>
              </w:rPr>
              <w:t>4.8</w:t>
            </w:r>
          </w:p>
        </w:tc>
        <w:tc>
          <w:tcPr>
            <w:tcW w:w="555" w:type="pct"/>
            <w:noWrap w:val="0"/>
            <w:vAlign w:val="center"/>
          </w:tcPr>
          <w:p>
            <w:pPr>
              <w:pStyle w:val="37"/>
              <w:spacing w:line="240" w:lineRule="auto"/>
              <w:ind w:left="-72" w:leftChars="-30" w:right="-72" w:rightChars="-30" w:firstLine="0"/>
              <w:jc w:val="center"/>
              <w:rPr>
                <w:rFonts w:hint="default" w:eastAsia="宋体"/>
                <w:i w:val="0"/>
                <w:iCs w:val="0"/>
                <w:sz w:val="21"/>
                <w:szCs w:val="21"/>
                <w:lang w:val="en-US" w:eastAsia="zh-CN"/>
              </w:rPr>
            </w:pPr>
            <w:r>
              <w:rPr>
                <w:rFonts w:hint="eastAsia"/>
                <w:i w:val="0"/>
                <w:iCs w:val="0"/>
                <w:sz w:val="21"/>
                <w:szCs w:val="21"/>
                <w:lang w:val="en-US" w:eastAsia="zh-CN"/>
              </w:rPr>
              <w:t>0.096</w:t>
            </w:r>
          </w:p>
        </w:tc>
        <w:tc>
          <w:tcPr>
            <w:tcW w:w="555" w:type="pct"/>
            <w:vMerge w:val="continue"/>
            <w:noWrap w:val="0"/>
            <w:vAlign w:val="center"/>
          </w:tcPr>
          <w:p>
            <w:pPr>
              <w:pStyle w:val="408"/>
              <w:adjustRightInd w:val="0"/>
              <w:snapToGrid w:val="0"/>
              <w:spacing w:line="240" w:lineRule="auto"/>
              <w:textAlignment w:val="baseline"/>
              <w:rPr>
                <w:rFonts w:hint="eastAsia"/>
                <w:i w:val="0"/>
                <w:iCs w:val="0"/>
                <w:color w:val="000000"/>
                <w:szCs w:val="21"/>
                <w:lang w:eastAsia="zh-CN"/>
              </w:rPr>
            </w:pPr>
          </w:p>
        </w:tc>
        <w:tc>
          <w:tcPr>
            <w:tcW w:w="555"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565" w:type="pct"/>
            <w:vMerge w:val="continue"/>
            <w:noWrap w:val="0"/>
            <w:vAlign w:val="center"/>
          </w:tcPr>
          <w:p>
            <w:pPr>
              <w:jc w:val="center"/>
              <w:rPr>
                <w:rFonts w:hint="eastAsia"/>
                <w:bCs/>
                <w:i w:val="0"/>
                <w:iCs w:val="0"/>
                <w:sz w:val="21"/>
                <w:szCs w:val="21"/>
              </w:rPr>
            </w:pPr>
          </w:p>
        </w:tc>
        <w:tc>
          <w:tcPr>
            <w:tcW w:w="557" w:type="pct"/>
            <w:noWrap w:val="0"/>
            <w:vAlign w:val="center"/>
          </w:tcPr>
          <w:p>
            <w:pPr>
              <w:pStyle w:val="37"/>
              <w:spacing w:line="240" w:lineRule="auto"/>
              <w:ind w:left="-72" w:leftChars="-30" w:right="-72" w:rightChars="-30" w:firstLine="0"/>
              <w:jc w:val="center"/>
              <w:rPr>
                <w:rFonts w:hint="default" w:eastAsia="宋体"/>
                <w:i w:val="0"/>
                <w:iCs w:val="0"/>
                <w:sz w:val="21"/>
                <w:szCs w:val="21"/>
                <w:lang w:val="en-US" w:eastAsia="zh-CN"/>
              </w:rPr>
            </w:pPr>
            <w:r>
              <w:rPr>
                <w:rFonts w:hint="eastAsia"/>
                <w:i w:val="0"/>
                <w:iCs w:val="0"/>
                <w:sz w:val="21"/>
                <w:szCs w:val="21"/>
                <w:lang w:val="en-US" w:eastAsia="zh-CN"/>
              </w:rPr>
              <w:t>200</w:t>
            </w:r>
            <w:r>
              <w:rPr>
                <w:i w:val="0"/>
                <w:iCs w:val="0"/>
                <w:sz w:val="21"/>
                <w:szCs w:val="21"/>
              </w:rPr>
              <w:t>mg/m</w:t>
            </w:r>
            <w:r>
              <w:rPr>
                <w:i w:val="0"/>
                <w:iCs w:val="0"/>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6" w:type="pct"/>
            <w:vMerge w:val="continue"/>
            <w:noWrap w:val="0"/>
            <w:vAlign w:val="center"/>
          </w:tcPr>
          <w:p>
            <w:pPr>
              <w:jc w:val="center"/>
              <w:rPr>
                <w:bCs/>
                <w:i w:val="0"/>
                <w:iCs w:val="0"/>
                <w:sz w:val="21"/>
                <w:szCs w:val="21"/>
              </w:rPr>
            </w:pPr>
          </w:p>
        </w:tc>
        <w:tc>
          <w:tcPr>
            <w:tcW w:w="622" w:type="pct"/>
            <w:noWrap w:val="0"/>
            <w:vAlign w:val="center"/>
          </w:tcPr>
          <w:p>
            <w:pPr>
              <w:pStyle w:val="37"/>
              <w:spacing w:line="240" w:lineRule="auto"/>
              <w:ind w:left="-72" w:leftChars="-30" w:right="-72" w:rightChars="-30" w:firstLine="0"/>
              <w:jc w:val="center"/>
              <w:rPr>
                <w:rFonts w:hint="eastAsia" w:eastAsia="宋体"/>
                <w:bCs/>
                <w:i w:val="0"/>
                <w:iCs w:val="0"/>
                <w:sz w:val="21"/>
                <w:szCs w:val="21"/>
                <w:lang w:eastAsia="zh-CN"/>
              </w:rPr>
            </w:pPr>
            <w:r>
              <w:rPr>
                <w:rFonts w:hint="eastAsia"/>
                <w:i w:val="0"/>
                <w:iCs w:val="0"/>
                <w:sz w:val="21"/>
                <w:szCs w:val="21"/>
                <w:lang w:val="en-US" w:eastAsia="zh-CN"/>
              </w:rPr>
              <w:t>氮氧化物</w:t>
            </w:r>
          </w:p>
        </w:tc>
        <w:tc>
          <w:tcPr>
            <w:tcW w:w="555" w:type="pct"/>
            <w:vMerge w:val="continue"/>
            <w:noWrap w:val="0"/>
            <w:vAlign w:val="center"/>
          </w:tcPr>
          <w:p>
            <w:pPr>
              <w:jc w:val="center"/>
              <w:rPr>
                <w:bCs/>
                <w:i w:val="0"/>
                <w:iCs w:val="0"/>
                <w:sz w:val="21"/>
                <w:szCs w:val="21"/>
              </w:rPr>
            </w:pPr>
          </w:p>
        </w:tc>
        <w:tc>
          <w:tcPr>
            <w:tcW w:w="555" w:type="pct"/>
            <w:noWrap w:val="0"/>
            <w:vAlign w:val="center"/>
          </w:tcPr>
          <w:p>
            <w:pPr>
              <w:pStyle w:val="37"/>
              <w:spacing w:line="240" w:lineRule="auto"/>
              <w:ind w:left="-72" w:leftChars="-30" w:right="-72" w:rightChars="-30" w:firstLine="0"/>
              <w:jc w:val="center"/>
              <w:rPr>
                <w:rFonts w:hint="default" w:eastAsia="宋体"/>
                <w:bCs/>
                <w:i w:val="0"/>
                <w:iCs w:val="0"/>
                <w:sz w:val="21"/>
                <w:szCs w:val="21"/>
                <w:lang w:val="en-US" w:eastAsia="zh-CN"/>
              </w:rPr>
            </w:pPr>
            <w:r>
              <w:rPr>
                <w:rFonts w:hint="eastAsia"/>
                <w:bCs/>
                <w:i w:val="0"/>
                <w:iCs w:val="0"/>
                <w:sz w:val="21"/>
                <w:szCs w:val="21"/>
                <w:lang w:val="en-US" w:eastAsia="zh-CN"/>
              </w:rPr>
              <w:t>22.45</w:t>
            </w:r>
          </w:p>
        </w:tc>
        <w:tc>
          <w:tcPr>
            <w:tcW w:w="555" w:type="pct"/>
            <w:noWrap w:val="0"/>
            <w:vAlign w:val="center"/>
          </w:tcPr>
          <w:p>
            <w:pPr>
              <w:pStyle w:val="37"/>
              <w:spacing w:line="240" w:lineRule="auto"/>
              <w:ind w:left="-72" w:leftChars="-30" w:right="-72" w:rightChars="-30" w:firstLine="0"/>
              <w:jc w:val="center"/>
              <w:rPr>
                <w:rFonts w:hint="default" w:eastAsia="宋体"/>
                <w:bCs/>
                <w:i w:val="0"/>
                <w:iCs w:val="0"/>
                <w:sz w:val="21"/>
                <w:szCs w:val="21"/>
                <w:lang w:val="en-US" w:eastAsia="zh-CN"/>
              </w:rPr>
            </w:pPr>
            <w:r>
              <w:rPr>
                <w:rFonts w:hint="eastAsia"/>
                <w:bCs/>
                <w:i w:val="0"/>
                <w:iCs w:val="0"/>
                <w:sz w:val="21"/>
                <w:szCs w:val="21"/>
                <w:lang w:val="en-US" w:eastAsia="zh-CN"/>
              </w:rPr>
              <w:t>0.449</w:t>
            </w:r>
          </w:p>
        </w:tc>
        <w:tc>
          <w:tcPr>
            <w:tcW w:w="555" w:type="pct"/>
            <w:vMerge w:val="continue"/>
            <w:noWrap w:val="0"/>
            <w:vAlign w:val="center"/>
          </w:tcPr>
          <w:p>
            <w:pPr>
              <w:jc w:val="center"/>
              <w:rPr>
                <w:rFonts w:hint="eastAsia"/>
                <w:bCs/>
                <w:i w:val="0"/>
                <w:iCs w:val="0"/>
                <w:sz w:val="21"/>
                <w:szCs w:val="21"/>
              </w:rPr>
            </w:pPr>
          </w:p>
        </w:tc>
        <w:tc>
          <w:tcPr>
            <w:tcW w:w="555" w:type="pct"/>
            <w:vMerge w:val="continue"/>
            <w:noWrap w:val="0"/>
            <w:vAlign w:val="center"/>
          </w:tcPr>
          <w:p>
            <w:pPr>
              <w:jc w:val="center"/>
              <w:rPr>
                <w:rFonts w:hint="eastAsia"/>
                <w:bCs/>
                <w:i w:val="0"/>
                <w:iCs w:val="0"/>
                <w:sz w:val="21"/>
                <w:szCs w:val="21"/>
              </w:rPr>
            </w:pPr>
          </w:p>
        </w:tc>
        <w:tc>
          <w:tcPr>
            <w:tcW w:w="565" w:type="pct"/>
            <w:vMerge w:val="continue"/>
            <w:noWrap w:val="0"/>
            <w:vAlign w:val="center"/>
          </w:tcPr>
          <w:p>
            <w:pPr>
              <w:jc w:val="center"/>
              <w:rPr>
                <w:rFonts w:hint="eastAsia"/>
                <w:bCs/>
                <w:i w:val="0"/>
                <w:iCs w:val="0"/>
                <w:sz w:val="21"/>
                <w:szCs w:val="21"/>
              </w:rPr>
            </w:pPr>
          </w:p>
        </w:tc>
        <w:tc>
          <w:tcPr>
            <w:tcW w:w="557" w:type="pct"/>
            <w:noWrap w:val="0"/>
            <w:vAlign w:val="center"/>
          </w:tcPr>
          <w:p>
            <w:pPr>
              <w:pStyle w:val="37"/>
              <w:spacing w:line="240" w:lineRule="auto"/>
              <w:ind w:left="-72" w:leftChars="-30" w:right="-72" w:rightChars="-30" w:firstLine="0"/>
              <w:jc w:val="center"/>
              <w:rPr>
                <w:bCs/>
                <w:i w:val="0"/>
                <w:iCs w:val="0"/>
                <w:sz w:val="21"/>
                <w:szCs w:val="21"/>
              </w:rPr>
            </w:pPr>
            <w:r>
              <w:rPr>
                <w:rFonts w:hint="eastAsia"/>
                <w:i w:val="0"/>
                <w:iCs w:val="0"/>
                <w:sz w:val="21"/>
                <w:szCs w:val="21"/>
                <w:lang w:val="en-US" w:eastAsia="zh-CN"/>
              </w:rPr>
              <w:t>50</w:t>
            </w:r>
            <w:r>
              <w:rPr>
                <w:i w:val="0"/>
                <w:iCs w:val="0"/>
                <w:sz w:val="21"/>
                <w:szCs w:val="21"/>
              </w:rPr>
              <w:t>mg/m</w:t>
            </w:r>
            <w:r>
              <w:rPr>
                <w:i w:val="0"/>
                <w:iCs w:val="0"/>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5" w:type="dxa"/>
            <w:vMerge w:val="restart"/>
            <w:noWrap w:val="0"/>
            <w:vAlign w:val="center"/>
          </w:tcPr>
          <w:p>
            <w:pPr>
              <w:pStyle w:val="37"/>
              <w:spacing w:line="240" w:lineRule="auto"/>
              <w:ind w:left="-72" w:leftChars="-30" w:right="-72" w:rightChars="-30" w:firstLine="0" w:firstLineChars="0"/>
              <w:jc w:val="center"/>
              <w:rPr>
                <w:rFonts w:hint="eastAsia" w:eastAsia="宋体"/>
                <w:bCs/>
                <w:i w:val="0"/>
                <w:iCs w:val="0"/>
                <w:sz w:val="21"/>
                <w:szCs w:val="21"/>
                <w:lang w:eastAsia="zh-CN"/>
              </w:rPr>
            </w:pPr>
            <w:r>
              <w:rPr>
                <w:rFonts w:hint="eastAsia"/>
                <w:i w:val="0"/>
                <w:iCs w:val="0"/>
                <w:sz w:val="21"/>
                <w:szCs w:val="21"/>
                <w:lang w:val="en-US" w:eastAsia="zh-CN"/>
              </w:rPr>
              <w:t>热风炉2烟气及</w:t>
            </w:r>
            <w:r>
              <w:rPr>
                <w:rFonts w:hint="eastAsia"/>
                <w:i w:val="0"/>
                <w:iCs w:val="0"/>
                <w:sz w:val="21"/>
                <w:szCs w:val="21"/>
              </w:rPr>
              <w:t>喷雾干燥塔</w:t>
            </w:r>
            <w:r>
              <w:rPr>
                <w:rFonts w:hint="eastAsia"/>
                <w:i w:val="0"/>
                <w:iCs w:val="0"/>
                <w:sz w:val="21"/>
                <w:szCs w:val="21"/>
                <w:lang w:val="en-US" w:eastAsia="zh-CN"/>
              </w:rPr>
              <w:t>2</w:t>
            </w:r>
            <w:r>
              <w:rPr>
                <w:rFonts w:hint="eastAsia"/>
                <w:i w:val="0"/>
                <w:iCs w:val="0"/>
                <w:sz w:val="21"/>
                <w:szCs w:val="21"/>
              </w:rPr>
              <w:t>喷雾干燥废气</w:t>
            </w:r>
            <w:r>
              <w:rPr>
                <w:rFonts w:hint="eastAsia"/>
                <w:i w:val="0"/>
                <w:iCs w:val="0"/>
                <w:sz w:val="21"/>
                <w:szCs w:val="21"/>
                <w:lang w:eastAsia="zh-CN"/>
              </w:rPr>
              <w:t>（</w:t>
            </w:r>
            <w:r>
              <w:rPr>
                <w:rFonts w:hint="eastAsia"/>
                <w:i w:val="0"/>
                <w:iCs w:val="0"/>
                <w:sz w:val="21"/>
                <w:szCs w:val="21"/>
                <w:lang w:val="en-US" w:eastAsia="zh-CN"/>
              </w:rPr>
              <w:t>DA004</w:t>
            </w:r>
            <w:r>
              <w:rPr>
                <w:rFonts w:hint="eastAsia"/>
                <w:i w:val="0"/>
                <w:iCs w:val="0"/>
                <w:sz w:val="21"/>
                <w:szCs w:val="21"/>
                <w:lang w:eastAsia="zh-CN"/>
              </w:rPr>
              <w:t>）</w:t>
            </w:r>
          </w:p>
        </w:tc>
        <w:tc>
          <w:tcPr>
            <w:tcW w:w="1182" w:type="dxa"/>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sz w:val="21"/>
                <w:szCs w:val="21"/>
              </w:rPr>
              <w:t>颗粒物</w:t>
            </w:r>
          </w:p>
        </w:tc>
        <w:tc>
          <w:tcPr>
            <w:tcW w:w="1056" w:type="dxa"/>
            <w:vMerge w:val="restart"/>
            <w:noWrap w:val="0"/>
            <w:vAlign w:val="center"/>
          </w:tcPr>
          <w:p>
            <w:pPr>
              <w:pStyle w:val="37"/>
              <w:spacing w:line="240" w:lineRule="auto"/>
              <w:ind w:left="-72" w:leftChars="-30" w:right="-72" w:rightChars="-30" w:firstLine="0" w:firstLineChars="0"/>
              <w:jc w:val="center"/>
              <w:rPr>
                <w:bCs/>
                <w:i w:val="0"/>
                <w:iCs w:val="0"/>
                <w:sz w:val="21"/>
                <w:szCs w:val="21"/>
              </w:rPr>
            </w:pPr>
            <w:r>
              <w:rPr>
                <w:rFonts w:hint="eastAsia"/>
                <w:i w:val="0"/>
                <w:iCs w:val="0"/>
                <w:sz w:val="21"/>
                <w:szCs w:val="21"/>
                <w:lang w:val="en-US" w:eastAsia="zh-CN"/>
              </w:rPr>
              <w:t>20000</w:t>
            </w:r>
          </w:p>
        </w:tc>
        <w:tc>
          <w:tcPr>
            <w:tcW w:w="1056" w:type="dxa"/>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sz w:val="21"/>
                <w:szCs w:val="21"/>
                <w:lang w:val="en-US" w:eastAsia="zh-CN"/>
              </w:rPr>
              <w:t>22.29</w:t>
            </w:r>
          </w:p>
        </w:tc>
        <w:tc>
          <w:tcPr>
            <w:tcW w:w="1056" w:type="dxa"/>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sz w:val="21"/>
                <w:szCs w:val="21"/>
                <w:lang w:val="en-US" w:eastAsia="zh-CN"/>
              </w:rPr>
              <w:t>1114.5</w:t>
            </w:r>
          </w:p>
        </w:tc>
        <w:tc>
          <w:tcPr>
            <w:tcW w:w="1056" w:type="dxa"/>
            <w:vMerge w:val="restart"/>
            <w:noWrap w:val="0"/>
            <w:vAlign w:val="center"/>
          </w:tcPr>
          <w:p>
            <w:pPr>
              <w:pStyle w:val="408"/>
              <w:adjustRightInd w:val="0"/>
              <w:snapToGrid w:val="0"/>
              <w:spacing w:line="240" w:lineRule="auto"/>
              <w:textAlignment w:val="baseline"/>
              <w:rPr>
                <w:rFonts w:hint="eastAsia"/>
                <w:bCs/>
                <w:i w:val="0"/>
                <w:iCs w:val="0"/>
                <w:sz w:val="21"/>
                <w:szCs w:val="21"/>
              </w:rPr>
            </w:pPr>
            <w:r>
              <w:rPr>
                <w:rFonts w:hint="eastAsia"/>
                <w:i w:val="0"/>
                <w:iCs w:val="0"/>
                <w:color w:val="000000"/>
                <w:szCs w:val="21"/>
                <w:lang w:eastAsia="zh-CN"/>
              </w:rPr>
              <w:t>24</w:t>
            </w:r>
          </w:p>
        </w:tc>
        <w:tc>
          <w:tcPr>
            <w:tcW w:w="1056" w:type="dxa"/>
            <w:vMerge w:val="restart"/>
            <w:noWrap w:val="0"/>
            <w:vAlign w:val="center"/>
          </w:tcPr>
          <w:p>
            <w:pPr>
              <w:pStyle w:val="408"/>
              <w:adjustRightInd w:val="0"/>
              <w:snapToGrid w:val="0"/>
              <w:spacing w:line="240" w:lineRule="auto"/>
              <w:textAlignment w:val="baseline"/>
              <w:rPr>
                <w:rFonts w:hint="eastAsia"/>
                <w:bCs/>
                <w:i w:val="0"/>
                <w:iCs w:val="0"/>
                <w:sz w:val="21"/>
                <w:szCs w:val="21"/>
              </w:rPr>
            </w:pPr>
            <w:r>
              <w:rPr>
                <w:rFonts w:hint="eastAsia"/>
                <w:i w:val="0"/>
                <w:iCs w:val="0"/>
                <w:color w:val="000000"/>
                <w:szCs w:val="21"/>
              </w:rPr>
              <w:t>0.5</w:t>
            </w:r>
          </w:p>
        </w:tc>
        <w:tc>
          <w:tcPr>
            <w:tcW w:w="1077" w:type="dxa"/>
            <w:vMerge w:val="restart"/>
            <w:noWrap w:val="0"/>
            <w:vAlign w:val="center"/>
          </w:tcPr>
          <w:p>
            <w:pPr>
              <w:jc w:val="center"/>
              <w:rPr>
                <w:rFonts w:hint="eastAsia"/>
                <w:bCs/>
                <w:i w:val="0"/>
                <w:iCs w:val="0"/>
                <w:sz w:val="21"/>
                <w:szCs w:val="21"/>
              </w:rPr>
            </w:pPr>
            <w:r>
              <w:rPr>
                <w:rFonts w:hint="eastAsia"/>
                <w:bCs/>
                <w:i w:val="0"/>
                <w:iCs w:val="0"/>
                <w:sz w:val="21"/>
                <w:szCs w:val="21"/>
              </w:rPr>
              <w:t>45</w:t>
            </w:r>
          </w:p>
        </w:tc>
        <w:tc>
          <w:tcPr>
            <w:tcW w:w="1060" w:type="dxa"/>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sz w:val="21"/>
                <w:szCs w:val="21"/>
                <w:lang w:val="en-US" w:eastAsia="zh-CN"/>
              </w:rPr>
              <w:t>20</w:t>
            </w:r>
            <w:r>
              <w:rPr>
                <w:i w:val="0"/>
                <w:iCs w:val="0"/>
                <w:sz w:val="21"/>
                <w:szCs w:val="21"/>
              </w:rPr>
              <w:t>/m</w:t>
            </w:r>
            <w:r>
              <w:rPr>
                <w:i w:val="0"/>
                <w:iCs w:val="0"/>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5" w:type="dxa"/>
            <w:vMerge w:val="continue"/>
            <w:noWrap w:val="0"/>
            <w:vAlign w:val="center"/>
          </w:tcPr>
          <w:p>
            <w:pPr>
              <w:pStyle w:val="37"/>
              <w:spacing w:line="240" w:lineRule="auto"/>
              <w:ind w:left="-72" w:leftChars="-30" w:right="-72" w:rightChars="-30" w:firstLine="0" w:firstLineChars="0"/>
              <w:jc w:val="center"/>
              <w:rPr>
                <w:bCs/>
                <w:i w:val="0"/>
                <w:iCs w:val="0"/>
                <w:sz w:val="21"/>
                <w:szCs w:val="21"/>
              </w:rPr>
            </w:pPr>
          </w:p>
        </w:tc>
        <w:tc>
          <w:tcPr>
            <w:tcW w:w="1182" w:type="dxa"/>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sz w:val="21"/>
                <w:szCs w:val="21"/>
                <w:lang w:val="en-US" w:eastAsia="zh-CN"/>
              </w:rPr>
              <w:t>二氧化硫</w:t>
            </w:r>
          </w:p>
        </w:tc>
        <w:tc>
          <w:tcPr>
            <w:tcW w:w="1056" w:type="dxa"/>
            <w:vMerge w:val="continue"/>
            <w:noWrap w:val="0"/>
            <w:vAlign w:val="center"/>
          </w:tcPr>
          <w:p>
            <w:pPr>
              <w:pStyle w:val="37"/>
              <w:spacing w:line="240" w:lineRule="auto"/>
              <w:ind w:left="-72" w:leftChars="-30" w:right="-72" w:rightChars="-30" w:firstLine="0" w:firstLineChars="0"/>
              <w:jc w:val="center"/>
              <w:rPr>
                <w:bCs/>
                <w:i w:val="0"/>
                <w:iCs w:val="0"/>
                <w:sz w:val="21"/>
                <w:szCs w:val="21"/>
              </w:rPr>
            </w:pPr>
          </w:p>
        </w:tc>
        <w:tc>
          <w:tcPr>
            <w:tcW w:w="1056" w:type="dxa"/>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sz w:val="21"/>
                <w:szCs w:val="21"/>
                <w:lang w:val="en-US" w:eastAsia="zh-CN"/>
              </w:rPr>
              <w:t>4.8</w:t>
            </w:r>
          </w:p>
        </w:tc>
        <w:tc>
          <w:tcPr>
            <w:tcW w:w="1056" w:type="dxa"/>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sz w:val="21"/>
                <w:szCs w:val="21"/>
                <w:lang w:val="en-US" w:eastAsia="zh-CN"/>
              </w:rPr>
              <w:t>0.096</w:t>
            </w:r>
          </w:p>
        </w:tc>
        <w:tc>
          <w:tcPr>
            <w:tcW w:w="1056" w:type="dxa"/>
            <w:vMerge w:val="continue"/>
            <w:noWrap w:val="0"/>
            <w:vAlign w:val="center"/>
          </w:tcPr>
          <w:p>
            <w:pPr>
              <w:pStyle w:val="408"/>
              <w:adjustRightInd w:val="0"/>
              <w:snapToGrid w:val="0"/>
              <w:spacing w:line="240" w:lineRule="auto"/>
              <w:textAlignment w:val="baseline"/>
              <w:rPr>
                <w:rFonts w:hint="eastAsia"/>
                <w:bCs/>
                <w:i w:val="0"/>
                <w:iCs w:val="0"/>
                <w:sz w:val="21"/>
                <w:szCs w:val="21"/>
              </w:rPr>
            </w:pPr>
          </w:p>
        </w:tc>
        <w:tc>
          <w:tcPr>
            <w:tcW w:w="1056" w:type="dxa"/>
            <w:vMerge w:val="continue"/>
            <w:noWrap w:val="0"/>
            <w:vAlign w:val="center"/>
          </w:tcPr>
          <w:p>
            <w:pPr>
              <w:pStyle w:val="408"/>
              <w:adjustRightInd w:val="0"/>
              <w:snapToGrid w:val="0"/>
              <w:spacing w:line="240" w:lineRule="auto"/>
              <w:textAlignment w:val="baseline"/>
              <w:rPr>
                <w:rFonts w:hint="eastAsia"/>
                <w:bCs/>
                <w:i w:val="0"/>
                <w:iCs w:val="0"/>
                <w:sz w:val="21"/>
                <w:szCs w:val="21"/>
              </w:rPr>
            </w:pPr>
          </w:p>
        </w:tc>
        <w:tc>
          <w:tcPr>
            <w:tcW w:w="1077" w:type="dxa"/>
            <w:vMerge w:val="continue"/>
            <w:noWrap w:val="0"/>
            <w:vAlign w:val="center"/>
          </w:tcPr>
          <w:p>
            <w:pPr>
              <w:jc w:val="center"/>
              <w:rPr>
                <w:rFonts w:hint="eastAsia"/>
                <w:bCs/>
                <w:i w:val="0"/>
                <w:iCs w:val="0"/>
                <w:sz w:val="21"/>
                <w:szCs w:val="21"/>
              </w:rPr>
            </w:pPr>
          </w:p>
        </w:tc>
        <w:tc>
          <w:tcPr>
            <w:tcW w:w="1060" w:type="dxa"/>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sz w:val="21"/>
                <w:szCs w:val="21"/>
                <w:lang w:val="en-US" w:eastAsia="zh-CN"/>
              </w:rPr>
              <w:t>200</w:t>
            </w:r>
            <w:r>
              <w:rPr>
                <w:i w:val="0"/>
                <w:iCs w:val="0"/>
                <w:sz w:val="21"/>
                <w:szCs w:val="21"/>
              </w:rPr>
              <w:t>mg/m</w:t>
            </w:r>
            <w:r>
              <w:rPr>
                <w:i w:val="0"/>
                <w:iCs w:val="0"/>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5" w:type="dxa"/>
            <w:vMerge w:val="continue"/>
            <w:noWrap w:val="0"/>
            <w:vAlign w:val="center"/>
          </w:tcPr>
          <w:p>
            <w:pPr>
              <w:jc w:val="center"/>
              <w:rPr>
                <w:bCs/>
                <w:i w:val="0"/>
                <w:iCs w:val="0"/>
                <w:sz w:val="21"/>
                <w:szCs w:val="21"/>
              </w:rPr>
            </w:pPr>
          </w:p>
        </w:tc>
        <w:tc>
          <w:tcPr>
            <w:tcW w:w="1182" w:type="dxa"/>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sz w:val="21"/>
                <w:szCs w:val="21"/>
                <w:lang w:val="en-US" w:eastAsia="zh-CN"/>
              </w:rPr>
              <w:t>氮氧化物</w:t>
            </w:r>
          </w:p>
        </w:tc>
        <w:tc>
          <w:tcPr>
            <w:tcW w:w="1056" w:type="dxa"/>
            <w:vMerge w:val="continue"/>
            <w:noWrap w:val="0"/>
            <w:vAlign w:val="center"/>
          </w:tcPr>
          <w:p>
            <w:pPr>
              <w:jc w:val="center"/>
              <w:rPr>
                <w:bCs/>
                <w:i w:val="0"/>
                <w:iCs w:val="0"/>
                <w:sz w:val="21"/>
                <w:szCs w:val="21"/>
              </w:rPr>
            </w:pPr>
          </w:p>
        </w:tc>
        <w:tc>
          <w:tcPr>
            <w:tcW w:w="1056" w:type="dxa"/>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bCs/>
                <w:i w:val="0"/>
                <w:iCs w:val="0"/>
                <w:sz w:val="21"/>
                <w:szCs w:val="21"/>
                <w:lang w:val="en-US" w:eastAsia="zh-CN"/>
              </w:rPr>
              <w:t>22.45</w:t>
            </w:r>
          </w:p>
        </w:tc>
        <w:tc>
          <w:tcPr>
            <w:tcW w:w="1056" w:type="dxa"/>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bCs/>
                <w:i w:val="0"/>
                <w:iCs w:val="0"/>
                <w:sz w:val="21"/>
                <w:szCs w:val="21"/>
                <w:lang w:val="en-US" w:eastAsia="zh-CN"/>
              </w:rPr>
              <w:t>0.449</w:t>
            </w:r>
          </w:p>
        </w:tc>
        <w:tc>
          <w:tcPr>
            <w:tcW w:w="1056" w:type="dxa"/>
            <w:vMerge w:val="continue"/>
            <w:noWrap w:val="0"/>
            <w:vAlign w:val="center"/>
          </w:tcPr>
          <w:p>
            <w:pPr>
              <w:jc w:val="center"/>
              <w:rPr>
                <w:rFonts w:hint="eastAsia"/>
                <w:bCs/>
                <w:i w:val="0"/>
                <w:iCs w:val="0"/>
                <w:sz w:val="21"/>
                <w:szCs w:val="21"/>
              </w:rPr>
            </w:pPr>
          </w:p>
        </w:tc>
        <w:tc>
          <w:tcPr>
            <w:tcW w:w="1056" w:type="dxa"/>
            <w:vMerge w:val="continue"/>
            <w:noWrap w:val="0"/>
            <w:vAlign w:val="center"/>
          </w:tcPr>
          <w:p>
            <w:pPr>
              <w:jc w:val="center"/>
              <w:rPr>
                <w:rFonts w:hint="eastAsia"/>
                <w:bCs/>
                <w:i w:val="0"/>
                <w:iCs w:val="0"/>
                <w:sz w:val="21"/>
                <w:szCs w:val="21"/>
              </w:rPr>
            </w:pPr>
          </w:p>
        </w:tc>
        <w:tc>
          <w:tcPr>
            <w:tcW w:w="1077" w:type="dxa"/>
            <w:vMerge w:val="continue"/>
            <w:noWrap w:val="0"/>
            <w:vAlign w:val="center"/>
          </w:tcPr>
          <w:p>
            <w:pPr>
              <w:jc w:val="center"/>
              <w:rPr>
                <w:rFonts w:hint="eastAsia"/>
                <w:bCs/>
                <w:i w:val="0"/>
                <w:iCs w:val="0"/>
                <w:sz w:val="21"/>
                <w:szCs w:val="21"/>
              </w:rPr>
            </w:pPr>
          </w:p>
        </w:tc>
        <w:tc>
          <w:tcPr>
            <w:tcW w:w="1060" w:type="dxa"/>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sz w:val="21"/>
                <w:szCs w:val="21"/>
                <w:lang w:val="en-US" w:eastAsia="zh-CN"/>
              </w:rPr>
              <w:t>50</w:t>
            </w:r>
            <w:r>
              <w:rPr>
                <w:i w:val="0"/>
                <w:iCs w:val="0"/>
                <w:sz w:val="21"/>
                <w:szCs w:val="21"/>
              </w:rPr>
              <w:t>mg/m</w:t>
            </w:r>
            <w:r>
              <w:rPr>
                <w:i w:val="0"/>
                <w:iCs w:val="0"/>
                <w:sz w:val="21"/>
                <w:szCs w:val="21"/>
                <w:vertAlign w:val="superscript"/>
              </w:rPr>
              <w:t>3</w:t>
            </w:r>
          </w:p>
        </w:tc>
      </w:tr>
    </w:tbl>
    <w:p>
      <w:pPr>
        <w:pStyle w:val="354"/>
        <w:ind w:firstLine="480"/>
        <w:rPr>
          <w:i w:val="0"/>
          <w:iCs w:val="0"/>
          <w:szCs w:val="24"/>
        </w:rPr>
      </w:pPr>
      <w:r>
        <w:rPr>
          <w:i w:val="0"/>
          <w:iCs w:val="0"/>
          <w:szCs w:val="24"/>
        </w:rPr>
        <w:t>根据核算，废气治理措施非正常工况下</w:t>
      </w:r>
      <w:r>
        <w:rPr>
          <w:rFonts w:hint="eastAsia"/>
          <w:i w:val="0"/>
          <w:iCs w:val="0"/>
          <w:szCs w:val="24"/>
        </w:rPr>
        <w:t>部分</w:t>
      </w:r>
      <w:r>
        <w:rPr>
          <w:i w:val="0"/>
          <w:iCs w:val="0"/>
          <w:szCs w:val="24"/>
        </w:rPr>
        <w:t>废气污染物排放</w:t>
      </w:r>
      <w:r>
        <w:rPr>
          <w:rFonts w:hint="eastAsia"/>
          <w:i w:val="0"/>
          <w:iCs w:val="0"/>
          <w:szCs w:val="24"/>
        </w:rPr>
        <w:t>不</w:t>
      </w:r>
      <w:r>
        <w:rPr>
          <w:i w:val="0"/>
          <w:iCs w:val="0"/>
          <w:szCs w:val="24"/>
        </w:rPr>
        <w:t>满足相应排放标准要求。一旦发现废气非正常排放现象，立即查找事故原因并进行抢修，及时更维修，确保环保措施正常稳定运行。此外，在平时日常生产过程中应加强生产设备和环保设施的维护及检修，避免治理措施发生故障导致的异常排放。</w:t>
      </w:r>
    </w:p>
    <w:p>
      <w:pPr>
        <w:pStyle w:val="354"/>
        <w:ind w:firstLine="480"/>
        <w:rPr>
          <w:rFonts w:hint="eastAsia" w:ascii="Times New Roman" w:hAnsi="Times New Roman" w:eastAsia="宋体" w:cs="Times New Roman"/>
          <w:i w:val="0"/>
          <w:iCs w:val="0"/>
          <w:szCs w:val="24"/>
          <w:lang w:val="en-US" w:eastAsia="zh-CN"/>
        </w:rPr>
      </w:pPr>
      <w:r>
        <w:rPr>
          <w:rFonts w:hint="eastAsia" w:ascii="Times New Roman" w:hAnsi="Times New Roman" w:eastAsia="宋体" w:cs="Times New Roman"/>
          <w:i w:val="0"/>
          <w:iCs w:val="0"/>
          <w:szCs w:val="24"/>
          <w:lang w:val="en-US" w:eastAsia="zh-CN"/>
        </w:rPr>
        <w:t>2、染菌非正常工况</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i/>
          <w:iCs/>
          <w:kern w:val="2"/>
          <w:sz w:val="24"/>
          <w:szCs w:val="24"/>
          <w:u w:val="single"/>
          <w:lang w:val="en-US" w:eastAsia="zh-CN" w:bidi="ar-SA"/>
        </w:rPr>
      </w:pPr>
      <w:r>
        <w:rPr>
          <w:rFonts w:hint="eastAsia" w:ascii="Times New Roman" w:hAnsi="Times New Roman" w:eastAsia="宋体" w:cs="Times New Roman"/>
          <w:i/>
          <w:iCs/>
          <w:kern w:val="2"/>
          <w:sz w:val="24"/>
          <w:szCs w:val="24"/>
          <w:u w:val="single"/>
          <w:lang w:val="en-US" w:eastAsia="zh-CN" w:bidi="ar-SA"/>
        </w:rPr>
        <w:t>项目生产过程中如控制不当时会出现环境污染噬菌体，环境污染噬菌体是造成噬菌体感染的主要根源。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i/>
          <w:iCs/>
          <w:kern w:val="2"/>
          <w:sz w:val="24"/>
          <w:szCs w:val="24"/>
          <w:u w:val="single"/>
          <w:lang w:val="en-US" w:eastAsia="zh-CN" w:bidi="ar-SA"/>
        </w:rPr>
      </w:pPr>
      <w:r>
        <w:rPr>
          <w:rFonts w:hint="eastAsia" w:ascii="Times New Roman" w:hAnsi="Times New Roman" w:eastAsia="宋体" w:cs="Times New Roman"/>
          <w:i/>
          <w:iCs/>
          <w:kern w:val="2"/>
          <w:sz w:val="24"/>
          <w:szCs w:val="24"/>
          <w:u w:val="single"/>
          <w:lang w:val="en-US" w:eastAsia="zh-CN" w:bidi="ar-SA"/>
        </w:rPr>
        <w:t>环境污染噬菌体后会产生以下症状：发酵液光密度不上升或回降；pH值逐渐上升；氨利用停止；糖耗、温升缓慢或停止；产生大量泡沫，使发酵液呈粘胶状；镜检时菌体数量显著减少，甚至找不到完整菌体；发酵周期延长、产物生成量减少或停止等。</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i/>
          <w:iCs/>
          <w:kern w:val="2"/>
          <w:sz w:val="24"/>
          <w:szCs w:val="24"/>
          <w:u w:val="single"/>
          <w:lang w:val="en-US" w:eastAsia="zh-CN" w:bidi="ar-SA"/>
        </w:rPr>
      </w:pPr>
      <w:r>
        <w:rPr>
          <w:rFonts w:hint="eastAsia" w:ascii="Times New Roman" w:hAnsi="Times New Roman" w:eastAsia="宋体" w:cs="Times New Roman"/>
          <w:i/>
          <w:iCs/>
          <w:kern w:val="2"/>
          <w:sz w:val="24"/>
          <w:szCs w:val="24"/>
          <w:u w:val="single"/>
          <w:lang w:val="en-US" w:eastAsia="zh-CN" w:bidi="ar-SA"/>
        </w:rPr>
        <w:t>为防治出现环境污染噬菌体，项目生产采取以下措施：严禁活菌体排放，切断噬菌体的“根源”；做好环境卫生，消灭噬菌体与杂菌；严防噬菌体与杂菌进入种子罐或发酵罐内；抑制罐内噬菌体的生长；轮换使用菌种或使用抗性菌株。</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i/>
          <w:iCs/>
          <w:kern w:val="2"/>
          <w:sz w:val="24"/>
          <w:szCs w:val="24"/>
          <w:u w:val="single"/>
          <w:lang w:val="en-US" w:eastAsia="zh-CN" w:bidi="ar-SA"/>
        </w:rPr>
      </w:pPr>
      <w:r>
        <w:rPr>
          <w:rFonts w:hint="eastAsia" w:ascii="Times New Roman" w:hAnsi="Times New Roman" w:eastAsia="宋体" w:cs="Times New Roman"/>
          <w:i/>
          <w:iCs/>
          <w:kern w:val="2"/>
          <w:sz w:val="24"/>
          <w:szCs w:val="24"/>
          <w:u w:val="single"/>
          <w:lang w:val="en-US" w:eastAsia="zh-CN" w:bidi="ar-SA"/>
        </w:rPr>
        <w:t>为了提高产品产率，项目严格控制工艺条件，对关键参数进行实时监测，发酵培养过程中出现染菌的机率极低。一旦出现染菌情况，项目采取以下挽救措施：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i/>
          <w:iCs/>
          <w:kern w:val="2"/>
          <w:sz w:val="24"/>
          <w:szCs w:val="24"/>
          <w:u w:val="single"/>
          <w:lang w:val="en-US" w:eastAsia="zh-CN" w:bidi="ar-SA"/>
        </w:rPr>
      </w:pPr>
      <w:r>
        <w:rPr>
          <w:rFonts w:hint="eastAsia" w:ascii="Times New Roman" w:hAnsi="Times New Roman" w:eastAsia="宋体" w:cs="Times New Roman"/>
          <w:i/>
          <w:iCs/>
          <w:kern w:val="2"/>
          <w:sz w:val="24"/>
          <w:szCs w:val="24"/>
          <w:u w:val="single"/>
          <w:lang w:val="en-US" w:eastAsia="zh-CN" w:bidi="ar-SA"/>
        </w:rPr>
        <w:t>（1）尽快提取产品（2）药物抵抗（如四环素可抵抗乳糖杆菌噬菌体；吐温60等表面活性剂可抑制噬菌体的增殖和吸附）（3）罐内灭噬菌体法（60-70℃，5min可灭活）。</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i/>
          <w:iCs/>
          <w:kern w:val="2"/>
          <w:sz w:val="24"/>
          <w:szCs w:val="24"/>
          <w:u w:val="single"/>
          <w:lang w:val="en-US" w:eastAsia="zh-CN" w:bidi="ar-SA"/>
        </w:rPr>
      </w:pPr>
      <w:r>
        <w:rPr>
          <w:rFonts w:hint="eastAsia" w:ascii="Times New Roman" w:hAnsi="Times New Roman" w:eastAsia="宋体" w:cs="Times New Roman"/>
          <w:i/>
          <w:iCs/>
          <w:kern w:val="2"/>
          <w:sz w:val="24"/>
          <w:szCs w:val="24"/>
          <w:u w:val="single"/>
          <w:lang w:val="en-US" w:eastAsia="zh-CN" w:bidi="ar-SA"/>
        </w:rPr>
        <w:t>项目不同时间染菌的处理处置措施情况见表3</w:t>
      </w:r>
      <w:r>
        <w:rPr>
          <w:rFonts w:hint="eastAsia" w:cs="Times New Roman"/>
          <w:i/>
          <w:iCs/>
          <w:kern w:val="2"/>
          <w:sz w:val="24"/>
          <w:szCs w:val="24"/>
          <w:u w:val="single"/>
          <w:lang w:val="en-US" w:eastAsia="zh-CN" w:bidi="ar-SA"/>
        </w:rPr>
        <w:t>-37</w:t>
      </w:r>
      <w:r>
        <w:rPr>
          <w:rFonts w:hint="eastAsia" w:ascii="Times New Roman" w:hAnsi="Times New Roman" w:eastAsia="宋体" w:cs="Times New Roman"/>
          <w:i/>
          <w:iCs/>
          <w:kern w:val="2"/>
          <w:sz w:val="24"/>
          <w:szCs w:val="24"/>
          <w:u w:val="single"/>
          <w:lang w:val="en-US" w:eastAsia="zh-CN" w:bidi="ar-SA"/>
        </w:rPr>
        <w:t>。</w:t>
      </w:r>
    </w:p>
    <w:p>
      <w:pPr>
        <w:keepNext w:val="0"/>
        <w:keepLines w:val="0"/>
        <w:pageBreakBefore w:val="0"/>
        <w:widowControl w:val="0"/>
        <w:kinsoku/>
        <w:wordWrap/>
        <w:overflowPunct/>
        <w:topLinePunct w:val="0"/>
        <w:autoSpaceDE/>
        <w:autoSpaceDN/>
        <w:bidi w:val="0"/>
        <w:adjustRightInd/>
        <w:snapToGrid/>
        <w:ind w:firstLine="482" w:firstLineChars="200"/>
        <w:jc w:val="center"/>
        <w:textAlignment w:val="auto"/>
        <w:rPr>
          <w:rFonts w:hint="eastAsia" w:ascii="Times New Roman" w:hAnsi="Times New Roman" w:eastAsia="宋体" w:cs="Times New Roman"/>
          <w:b/>
          <w:bCs/>
          <w:i w:val="0"/>
          <w:iCs w:val="0"/>
          <w:u w:val="none"/>
        </w:rPr>
      </w:pPr>
      <w:r>
        <w:rPr>
          <w:rFonts w:hint="eastAsia" w:ascii="Times New Roman" w:hAnsi="Times New Roman" w:eastAsia="宋体" w:cs="Times New Roman"/>
          <w:b/>
          <w:bCs/>
          <w:i w:val="0"/>
          <w:iCs w:val="0"/>
          <w:u w:val="none"/>
        </w:rPr>
        <w:t>表3</w:t>
      </w:r>
      <w:r>
        <w:rPr>
          <w:rFonts w:hint="eastAsia" w:cs="Times New Roman"/>
          <w:b/>
          <w:bCs/>
          <w:i w:val="0"/>
          <w:iCs w:val="0"/>
          <w:u w:val="none"/>
          <w:lang w:val="en-US" w:eastAsia="zh-CN"/>
        </w:rPr>
        <w:t>-37</w:t>
      </w:r>
      <w:r>
        <w:rPr>
          <w:rFonts w:hint="eastAsia" w:ascii="Times New Roman" w:hAnsi="Times New Roman" w:eastAsia="宋体" w:cs="Times New Roman"/>
          <w:b/>
          <w:bCs/>
          <w:i w:val="0"/>
          <w:iCs w:val="0"/>
          <w:u w:val="none"/>
        </w:rPr>
        <w:t xml:space="preserve">  染菌处置情况一览表</w:t>
      </w:r>
    </w:p>
    <w:tbl>
      <w:tblPr>
        <w:tblStyle w:val="5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3305"/>
        <w:gridCol w:w="2379"/>
        <w:gridCol w:w="23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2" w:type="dxa"/>
            <w:tcBorders>
              <w:tl2br w:val="nil"/>
              <w:tr2bl w:val="nil"/>
            </w:tcBorders>
            <w:vAlign w:val="center"/>
          </w:tcPr>
          <w:p>
            <w:pPr>
              <w:pStyle w:val="37"/>
              <w:spacing w:line="240" w:lineRule="auto"/>
              <w:ind w:left="-72" w:leftChars="-30" w:right="-72" w:rightChars="-30" w:firstLine="0" w:firstLineChars="0"/>
              <w:jc w:val="center"/>
              <w:rPr>
                <w:rFonts w:hint="eastAsia" w:ascii="Times New Roman" w:hAnsi="Times New Roman" w:eastAsia="宋体" w:cs="Times New Roman"/>
                <w:i w:val="0"/>
                <w:iCs w:val="0"/>
                <w:kern w:val="2"/>
                <w:sz w:val="24"/>
                <w:szCs w:val="24"/>
                <w:u w:val="none"/>
                <w:vertAlign w:val="baseline"/>
                <w:lang w:val="en-US" w:eastAsia="zh-CN" w:bidi="ar-SA"/>
              </w:rPr>
            </w:pPr>
            <w:r>
              <w:rPr>
                <w:rFonts w:hint="eastAsia" w:ascii="Times New Roman" w:hAnsi="Times New Roman" w:eastAsia="宋体" w:cs="Times New Roman"/>
                <w:bCs/>
                <w:i w:val="0"/>
                <w:iCs w:val="0"/>
                <w:sz w:val="21"/>
                <w:szCs w:val="21"/>
                <w:u w:val="none"/>
              </w:rPr>
              <w:t>分期</w:t>
            </w:r>
          </w:p>
        </w:tc>
        <w:tc>
          <w:tcPr>
            <w:tcW w:w="3305" w:type="dxa"/>
            <w:tcBorders>
              <w:tl2br w:val="nil"/>
              <w:tr2bl w:val="nil"/>
            </w:tcBorders>
            <w:vAlign w:val="center"/>
          </w:tcPr>
          <w:p>
            <w:pPr>
              <w:pStyle w:val="37"/>
              <w:spacing w:line="240" w:lineRule="auto"/>
              <w:ind w:left="-72" w:leftChars="-30" w:right="-72" w:rightChars="-30" w:firstLine="0" w:firstLineChars="0"/>
              <w:jc w:val="center"/>
              <w:rPr>
                <w:rFonts w:hint="eastAsia" w:ascii="Times New Roman" w:hAnsi="Times New Roman" w:eastAsia="宋体" w:cs="Times New Roman"/>
                <w:i w:val="0"/>
                <w:iCs w:val="0"/>
                <w:kern w:val="2"/>
                <w:sz w:val="24"/>
                <w:szCs w:val="24"/>
                <w:u w:val="none"/>
                <w:vertAlign w:val="baseline"/>
                <w:lang w:val="en-US" w:eastAsia="zh-CN" w:bidi="ar-SA"/>
              </w:rPr>
            </w:pPr>
            <w:r>
              <w:rPr>
                <w:rFonts w:hint="eastAsia" w:ascii="Times New Roman" w:hAnsi="Times New Roman" w:eastAsia="宋体" w:cs="Times New Roman"/>
                <w:bCs/>
                <w:i w:val="0"/>
                <w:iCs w:val="0"/>
                <w:sz w:val="21"/>
                <w:szCs w:val="21"/>
                <w:u w:val="none"/>
              </w:rPr>
              <w:t>染菌发生的不同时间对发酵的影响</w:t>
            </w:r>
          </w:p>
        </w:tc>
        <w:tc>
          <w:tcPr>
            <w:tcW w:w="2379" w:type="dxa"/>
            <w:tcBorders>
              <w:tl2br w:val="nil"/>
              <w:tr2bl w:val="nil"/>
            </w:tcBorders>
            <w:vAlign w:val="center"/>
          </w:tcPr>
          <w:p>
            <w:pPr>
              <w:pStyle w:val="37"/>
              <w:spacing w:line="240" w:lineRule="auto"/>
              <w:ind w:left="-72" w:leftChars="-30" w:right="-72" w:rightChars="-30" w:firstLine="0" w:firstLineChars="0"/>
              <w:jc w:val="center"/>
              <w:rPr>
                <w:rFonts w:hint="eastAsia" w:ascii="Times New Roman" w:hAnsi="Times New Roman" w:eastAsia="宋体" w:cs="Times New Roman"/>
                <w:i w:val="0"/>
                <w:iCs w:val="0"/>
                <w:kern w:val="2"/>
                <w:sz w:val="24"/>
                <w:szCs w:val="24"/>
                <w:u w:val="none"/>
                <w:vertAlign w:val="baseline"/>
                <w:lang w:val="en-US" w:eastAsia="zh-CN" w:bidi="ar-SA"/>
              </w:rPr>
            </w:pPr>
            <w:r>
              <w:rPr>
                <w:rFonts w:hint="eastAsia" w:ascii="Times New Roman" w:hAnsi="Times New Roman" w:eastAsia="宋体" w:cs="Times New Roman"/>
                <w:bCs/>
                <w:i w:val="0"/>
                <w:iCs w:val="0"/>
                <w:sz w:val="21"/>
                <w:szCs w:val="21"/>
                <w:u w:val="none"/>
              </w:rPr>
              <w:t>处理方法</w:t>
            </w:r>
          </w:p>
        </w:tc>
        <w:tc>
          <w:tcPr>
            <w:tcW w:w="2379" w:type="dxa"/>
            <w:tcBorders>
              <w:tl2br w:val="nil"/>
              <w:tr2bl w:val="nil"/>
            </w:tcBorders>
            <w:vAlign w:val="center"/>
          </w:tcPr>
          <w:p>
            <w:pPr>
              <w:pStyle w:val="37"/>
              <w:spacing w:line="240" w:lineRule="auto"/>
              <w:ind w:left="-72" w:leftChars="-30" w:right="-72" w:rightChars="-30" w:firstLine="0" w:firstLineChars="0"/>
              <w:jc w:val="center"/>
              <w:rPr>
                <w:rFonts w:hint="eastAsia" w:ascii="Times New Roman" w:hAnsi="Times New Roman" w:eastAsia="宋体" w:cs="Times New Roman"/>
                <w:i w:val="0"/>
                <w:iCs w:val="0"/>
                <w:kern w:val="2"/>
                <w:sz w:val="24"/>
                <w:szCs w:val="24"/>
                <w:u w:val="none"/>
                <w:vertAlign w:val="baseline"/>
                <w:lang w:val="en-US" w:eastAsia="zh-CN" w:bidi="ar-SA"/>
              </w:rPr>
            </w:pPr>
            <w:r>
              <w:rPr>
                <w:rFonts w:hint="eastAsia" w:ascii="Times New Roman" w:hAnsi="Times New Roman" w:eastAsia="宋体" w:cs="Times New Roman"/>
                <w:bCs/>
                <w:i w:val="0"/>
                <w:iCs w:val="0"/>
                <w:sz w:val="21"/>
                <w:szCs w:val="21"/>
                <w:u w:val="none"/>
              </w:rPr>
              <w:t>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2" w:type="dxa"/>
            <w:tcBorders>
              <w:tl2br w:val="nil"/>
              <w:tr2bl w:val="nil"/>
            </w:tcBorders>
            <w:vAlign w:val="center"/>
          </w:tcPr>
          <w:p>
            <w:pPr>
              <w:pStyle w:val="37"/>
              <w:spacing w:line="240" w:lineRule="auto"/>
              <w:ind w:left="-72" w:leftChars="-30" w:right="-72" w:rightChars="-30" w:firstLine="0" w:firstLineChars="0"/>
              <w:jc w:val="center"/>
              <w:rPr>
                <w:rFonts w:hint="eastAsia" w:ascii="Times New Roman" w:hAnsi="Times New Roman" w:eastAsia="宋体" w:cs="Times New Roman"/>
                <w:i w:val="0"/>
                <w:iCs w:val="0"/>
                <w:kern w:val="2"/>
                <w:sz w:val="24"/>
                <w:szCs w:val="24"/>
                <w:u w:val="none"/>
                <w:vertAlign w:val="baseline"/>
                <w:lang w:val="en-US" w:eastAsia="zh-CN" w:bidi="ar-SA"/>
              </w:rPr>
            </w:pPr>
            <w:r>
              <w:rPr>
                <w:rFonts w:hint="eastAsia" w:ascii="Times New Roman" w:hAnsi="Times New Roman" w:eastAsia="宋体" w:cs="Times New Roman"/>
                <w:bCs/>
                <w:i w:val="0"/>
                <w:iCs w:val="0"/>
                <w:sz w:val="21"/>
                <w:szCs w:val="21"/>
                <w:u w:val="none"/>
              </w:rPr>
              <w:t>种子培养期</w:t>
            </w:r>
          </w:p>
        </w:tc>
        <w:tc>
          <w:tcPr>
            <w:tcW w:w="3305" w:type="dxa"/>
            <w:tcBorders>
              <w:tl2br w:val="nil"/>
              <w:tr2bl w:val="nil"/>
            </w:tcBorders>
            <w:vAlign w:val="center"/>
          </w:tcPr>
          <w:p>
            <w:pPr>
              <w:pStyle w:val="37"/>
              <w:spacing w:line="240" w:lineRule="auto"/>
              <w:ind w:left="-72" w:leftChars="-30" w:right="-72" w:rightChars="-30" w:firstLine="0" w:firstLineChars="0"/>
              <w:jc w:val="both"/>
              <w:rPr>
                <w:rFonts w:hint="eastAsia" w:ascii="Times New Roman" w:hAnsi="Times New Roman" w:eastAsia="宋体" w:cs="Times New Roman"/>
                <w:i w:val="0"/>
                <w:iCs w:val="0"/>
                <w:kern w:val="2"/>
                <w:sz w:val="24"/>
                <w:szCs w:val="24"/>
                <w:u w:val="none"/>
                <w:vertAlign w:val="baseline"/>
                <w:lang w:val="en-US" w:eastAsia="zh-CN" w:bidi="ar-SA"/>
              </w:rPr>
            </w:pPr>
            <w:r>
              <w:rPr>
                <w:rFonts w:hint="eastAsia" w:ascii="Times New Roman" w:hAnsi="Times New Roman" w:eastAsia="宋体" w:cs="Times New Roman"/>
                <w:bCs/>
                <w:i w:val="0"/>
                <w:iCs w:val="0"/>
                <w:sz w:val="21"/>
                <w:szCs w:val="21"/>
                <w:u w:val="none"/>
              </w:rPr>
              <w:t>种子培养主要是使微生物细胞生长与繁殖，此时，微生物菌体浓度低，培养基地营养十分丰富，比较容易染菌。若将污染的种子带入发酵罐，则危害极大，因此应严格控制种子染菌的发生。</w:t>
            </w:r>
          </w:p>
        </w:tc>
        <w:tc>
          <w:tcPr>
            <w:tcW w:w="2379" w:type="dxa"/>
            <w:tcBorders>
              <w:tl2br w:val="nil"/>
              <w:tr2bl w:val="nil"/>
            </w:tcBorders>
            <w:vAlign w:val="center"/>
          </w:tcPr>
          <w:p>
            <w:pPr>
              <w:pStyle w:val="37"/>
              <w:spacing w:line="240" w:lineRule="auto"/>
              <w:ind w:left="-72" w:leftChars="-30" w:right="-72" w:rightChars="-30" w:firstLine="0" w:firstLineChars="0"/>
              <w:jc w:val="both"/>
              <w:rPr>
                <w:rFonts w:hint="eastAsia" w:ascii="Times New Roman" w:hAnsi="Times New Roman" w:eastAsia="宋体" w:cs="Times New Roman"/>
                <w:i w:val="0"/>
                <w:iCs w:val="0"/>
                <w:kern w:val="2"/>
                <w:sz w:val="24"/>
                <w:szCs w:val="24"/>
                <w:u w:val="none"/>
                <w:vertAlign w:val="baseline"/>
                <w:lang w:val="en-US" w:eastAsia="zh-CN" w:bidi="ar-SA"/>
              </w:rPr>
            </w:pPr>
            <w:r>
              <w:rPr>
                <w:rFonts w:hint="eastAsia" w:ascii="Times New Roman" w:hAnsi="Times New Roman" w:eastAsia="宋体" w:cs="Times New Roman"/>
                <w:bCs/>
                <w:i w:val="0"/>
                <w:iCs w:val="0"/>
                <w:sz w:val="21"/>
                <w:szCs w:val="21"/>
                <w:u w:val="none"/>
              </w:rPr>
              <w:t>一旦发现种子受到杂菌的污染，应经灭菌后弃去，并对种子罐、管道等进行仔细检查和彻底灭菌。</w:t>
            </w:r>
          </w:p>
        </w:tc>
        <w:tc>
          <w:tcPr>
            <w:tcW w:w="2379" w:type="dxa"/>
            <w:tcBorders>
              <w:tl2br w:val="nil"/>
              <w:tr2bl w:val="nil"/>
            </w:tcBorders>
            <w:vAlign w:val="center"/>
          </w:tcPr>
          <w:p>
            <w:pPr>
              <w:pStyle w:val="37"/>
              <w:spacing w:line="240" w:lineRule="auto"/>
              <w:ind w:left="-72" w:leftChars="-30" w:right="-72" w:rightChars="-30" w:firstLine="0" w:firstLineChars="0"/>
              <w:jc w:val="both"/>
              <w:rPr>
                <w:rFonts w:hint="eastAsia" w:ascii="Times New Roman" w:hAnsi="Times New Roman" w:eastAsia="宋体" w:cs="Times New Roman"/>
                <w:i w:val="0"/>
                <w:iCs w:val="0"/>
                <w:kern w:val="2"/>
                <w:sz w:val="24"/>
                <w:szCs w:val="24"/>
                <w:u w:val="none"/>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2" w:type="dxa"/>
            <w:tcBorders>
              <w:tl2br w:val="nil"/>
              <w:tr2bl w:val="nil"/>
            </w:tcBorders>
            <w:vAlign w:val="center"/>
          </w:tcPr>
          <w:p>
            <w:pPr>
              <w:pStyle w:val="37"/>
              <w:spacing w:line="240" w:lineRule="auto"/>
              <w:ind w:left="-72" w:leftChars="-30" w:right="-72" w:rightChars="-30" w:firstLine="0" w:firstLineChars="0"/>
              <w:jc w:val="center"/>
              <w:rPr>
                <w:rFonts w:hint="eastAsia" w:ascii="Times New Roman" w:hAnsi="Times New Roman" w:eastAsia="宋体" w:cs="Times New Roman"/>
                <w:i w:val="0"/>
                <w:iCs w:val="0"/>
                <w:kern w:val="2"/>
                <w:sz w:val="24"/>
                <w:szCs w:val="24"/>
                <w:u w:val="none"/>
                <w:vertAlign w:val="baseline"/>
                <w:lang w:val="en-US" w:eastAsia="zh-CN" w:bidi="ar-SA"/>
              </w:rPr>
            </w:pPr>
            <w:r>
              <w:rPr>
                <w:rFonts w:hint="eastAsia" w:ascii="Times New Roman" w:hAnsi="Times New Roman" w:eastAsia="宋体" w:cs="Times New Roman"/>
                <w:bCs/>
                <w:i w:val="0"/>
                <w:iCs w:val="0"/>
                <w:sz w:val="21"/>
                <w:szCs w:val="21"/>
                <w:u w:val="none"/>
              </w:rPr>
              <w:t>发酵前期染菌</w:t>
            </w:r>
          </w:p>
        </w:tc>
        <w:tc>
          <w:tcPr>
            <w:tcW w:w="3305" w:type="dxa"/>
            <w:tcBorders>
              <w:tl2br w:val="nil"/>
              <w:tr2bl w:val="nil"/>
            </w:tcBorders>
            <w:vAlign w:val="center"/>
          </w:tcPr>
          <w:p>
            <w:pPr>
              <w:pStyle w:val="37"/>
              <w:spacing w:line="240" w:lineRule="auto"/>
              <w:ind w:left="-72" w:leftChars="-30" w:right="-72" w:rightChars="-30" w:firstLine="0" w:firstLineChars="0"/>
              <w:jc w:val="center"/>
              <w:rPr>
                <w:rFonts w:hint="eastAsia" w:ascii="Times New Roman" w:hAnsi="Times New Roman" w:eastAsia="宋体" w:cs="Times New Roman"/>
                <w:i w:val="0"/>
                <w:iCs w:val="0"/>
                <w:kern w:val="2"/>
                <w:sz w:val="24"/>
                <w:szCs w:val="24"/>
                <w:u w:val="none"/>
                <w:vertAlign w:val="baseline"/>
                <w:lang w:val="en-US" w:eastAsia="zh-CN" w:bidi="ar-SA"/>
              </w:rPr>
            </w:pPr>
            <w:r>
              <w:rPr>
                <w:rFonts w:hint="eastAsia" w:ascii="Times New Roman" w:hAnsi="Times New Roman" w:eastAsia="宋体" w:cs="Times New Roman"/>
                <w:bCs/>
                <w:i w:val="0"/>
                <w:iCs w:val="0"/>
                <w:sz w:val="21"/>
                <w:szCs w:val="21"/>
                <w:u w:val="none"/>
              </w:rPr>
              <w:t>在发酵前期，微生物菌体主要是处于生长、繁殖阶段，此时期代谢的产物很少，相对而言这个时期也容易染菌。染菌后的杂菌将迅速繁殖，与生产菌争夺培养基中的营养物质，严重干扰生产菌的正常生长、繁殖及产物的生成。</w:t>
            </w:r>
          </w:p>
        </w:tc>
        <w:tc>
          <w:tcPr>
            <w:tcW w:w="2379" w:type="dxa"/>
            <w:tcBorders>
              <w:tl2br w:val="nil"/>
              <w:tr2bl w:val="nil"/>
            </w:tcBorders>
            <w:vAlign w:val="center"/>
          </w:tcPr>
          <w:p>
            <w:pPr>
              <w:pStyle w:val="37"/>
              <w:spacing w:line="240" w:lineRule="auto"/>
              <w:ind w:left="-72" w:leftChars="-30" w:right="-72" w:rightChars="-30" w:firstLine="0" w:firstLineChars="0"/>
              <w:jc w:val="center"/>
              <w:rPr>
                <w:rFonts w:hint="eastAsia" w:ascii="Times New Roman" w:hAnsi="Times New Roman" w:eastAsia="宋体" w:cs="Times New Roman"/>
                <w:i w:val="0"/>
                <w:iCs w:val="0"/>
                <w:kern w:val="2"/>
                <w:sz w:val="24"/>
                <w:szCs w:val="24"/>
                <w:u w:val="none"/>
                <w:vertAlign w:val="baseline"/>
                <w:lang w:val="en-US" w:eastAsia="zh-CN" w:bidi="ar-SA"/>
              </w:rPr>
            </w:pPr>
          </w:p>
        </w:tc>
        <w:tc>
          <w:tcPr>
            <w:tcW w:w="2379" w:type="dxa"/>
            <w:tcBorders>
              <w:tl2br w:val="nil"/>
              <w:tr2bl w:val="nil"/>
            </w:tcBorders>
          </w:tcPr>
          <w:p>
            <w:pPr>
              <w:pStyle w:val="37"/>
              <w:spacing w:line="240" w:lineRule="auto"/>
              <w:ind w:left="-72" w:leftChars="-30" w:right="-72" w:rightChars="-30" w:firstLine="0"/>
              <w:jc w:val="both"/>
              <w:rPr>
                <w:rFonts w:hint="eastAsia" w:ascii="Times New Roman" w:hAnsi="Times New Roman" w:eastAsia="宋体" w:cs="Times New Roman"/>
                <w:bCs/>
                <w:i w:val="0"/>
                <w:iCs w:val="0"/>
                <w:sz w:val="21"/>
                <w:szCs w:val="21"/>
                <w:u w:val="none"/>
              </w:rPr>
            </w:pPr>
            <w:r>
              <w:rPr>
                <w:rFonts w:hint="eastAsia" w:ascii="Times New Roman" w:hAnsi="Times New Roman" w:eastAsia="宋体" w:cs="Times New Roman"/>
                <w:bCs/>
                <w:i w:val="0"/>
                <w:iCs w:val="0"/>
                <w:sz w:val="21"/>
                <w:szCs w:val="21"/>
                <w:u w:val="none"/>
              </w:rPr>
              <w:t>1、当发酵前期发生染菌后，如培养基中的碳、氮源含量还比较高时，终止发酵，将培养基加热至规定温度，重新进行灭菌处理后，再接入种子进行发酵；</w:t>
            </w:r>
          </w:p>
          <w:p>
            <w:pPr>
              <w:pStyle w:val="37"/>
              <w:spacing w:line="240" w:lineRule="auto"/>
              <w:ind w:left="-72" w:leftChars="-30" w:right="-72" w:rightChars="-30" w:firstLine="0"/>
              <w:jc w:val="both"/>
              <w:rPr>
                <w:rFonts w:hint="eastAsia" w:ascii="Times New Roman" w:hAnsi="Times New Roman" w:eastAsia="宋体" w:cs="Times New Roman"/>
                <w:bCs/>
                <w:i w:val="0"/>
                <w:iCs w:val="0"/>
                <w:sz w:val="21"/>
                <w:szCs w:val="21"/>
                <w:u w:val="none"/>
              </w:rPr>
            </w:pPr>
            <w:r>
              <w:rPr>
                <w:rFonts w:hint="eastAsia" w:ascii="Times New Roman" w:hAnsi="Times New Roman" w:eastAsia="宋体" w:cs="Times New Roman"/>
                <w:bCs/>
                <w:i w:val="0"/>
                <w:iCs w:val="0"/>
                <w:sz w:val="21"/>
                <w:szCs w:val="21"/>
                <w:u w:val="none"/>
              </w:rPr>
              <w:t>2、如果此时染菌已造成较大的危害，培养基中的碳、氮源的消耗量已比较多，则可放掉部分料液，补充新鲜的培养基，重新进行灭菌处理后，再接种进行发酵。</w:t>
            </w:r>
          </w:p>
          <w:p>
            <w:pPr>
              <w:pStyle w:val="37"/>
              <w:spacing w:line="240" w:lineRule="auto"/>
              <w:ind w:left="-72" w:leftChars="-30" w:right="-72" w:rightChars="-30" w:firstLine="0"/>
              <w:jc w:val="both"/>
              <w:rPr>
                <w:rFonts w:hint="eastAsia" w:ascii="Times New Roman" w:hAnsi="Times New Roman" w:eastAsia="宋体" w:cs="Times New Roman"/>
                <w:i w:val="0"/>
                <w:iCs w:val="0"/>
                <w:kern w:val="2"/>
                <w:sz w:val="24"/>
                <w:szCs w:val="24"/>
                <w:u w:val="none"/>
                <w:vertAlign w:val="baseline"/>
                <w:lang w:val="en-US" w:eastAsia="zh-CN" w:bidi="ar-SA"/>
              </w:rPr>
            </w:pPr>
            <w:r>
              <w:rPr>
                <w:rFonts w:hint="eastAsia" w:ascii="Times New Roman" w:hAnsi="Times New Roman" w:eastAsia="宋体" w:cs="Times New Roman"/>
                <w:bCs/>
                <w:i w:val="0"/>
                <w:iCs w:val="0"/>
                <w:sz w:val="21"/>
                <w:szCs w:val="21"/>
                <w:u w:val="none"/>
              </w:rPr>
              <w:t>3、也可采取降温培养、调节pH值、调整补料量、补加培养基等措施进行处理。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2" w:type="dxa"/>
            <w:tcBorders>
              <w:tl2br w:val="nil"/>
              <w:tr2bl w:val="nil"/>
            </w:tcBorders>
            <w:vAlign w:val="center"/>
          </w:tcPr>
          <w:p>
            <w:pPr>
              <w:widowControl/>
              <w:jc w:val="center"/>
              <w:textAlignment w:val="center"/>
              <w:rPr>
                <w:rFonts w:hint="eastAsia" w:ascii="Times New Roman" w:hAnsi="Times New Roman" w:eastAsia="宋体" w:cs="Times New Roman"/>
                <w:i w:val="0"/>
                <w:iCs w:val="0"/>
                <w:kern w:val="0"/>
                <w:sz w:val="21"/>
                <w:szCs w:val="21"/>
                <w:u w:val="none"/>
                <w:lang w:val="en-US" w:eastAsia="zh-CN"/>
              </w:rPr>
            </w:pPr>
            <w:r>
              <w:rPr>
                <w:rFonts w:hint="eastAsia" w:ascii="Times New Roman" w:hAnsi="Times New Roman" w:eastAsia="宋体" w:cs="Times New Roman"/>
                <w:i w:val="0"/>
                <w:iCs w:val="0"/>
                <w:kern w:val="0"/>
                <w:sz w:val="21"/>
                <w:szCs w:val="21"/>
                <w:u w:val="none"/>
              </w:rPr>
              <w:t>发酵中期染菌</w:t>
            </w:r>
          </w:p>
        </w:tc>
        <w:tc>
          <w:tcPr>
            <w:tcW w:w="3305" w:type="dxa"/>
            <w:tcBorders>
              <w:tl2br w:val="nil"/>
              <w:tr2bl w:val="nil"/>
            </w:tcBorders>
            <w:vAlign w:val="center"/>
          </w:tcPr>
          <w:p>
            <w:pPr>
              <w:widowControl/>
              <w:jc w:val="center"/>
              <w:textAlignment w:val="center"/>
              <w:rPr>
                <w:rFonts w:hint="eastAsia" w:ascii="Times New Roman" w:hAnsi="Times New Roman" w:eastAsia="宋体" w:cs="Times New Roman"/>
                <w:i w:val="0"/>
                <w:iCs w:val="0"/>
                <w:kern w:val="0"/>
                <w:sz w:val="21"/>
                <w:szCs w:val="21"/>
                <w:u w:val="none"/>
                <w:lang w:val="en-US" w:eastAsia="zh-CN"/>
              </w:rPr>
            </w:pPr>
            <w:r>
              <w:rPr>
                <w:rFonts w:hint="eastAsia" w:ascii="Times New Roman" w:hAnsi="Times New Roman" w:eastAsia="宋体" w:cs="Times New Roman"/>
                <w:i w:val="0"/>
                <w:iCs w:val="0"/>
                <w:kern w:val="0"/>
                <w:sz w:val="21"/>
                <w:szCs w:val="21"/>
                <w:u w:val="none"/>
              </w:rPr>
              <w:t>发酵中期染菌将会导致培养基中的营养物质大量消耗，并严重干扰生产菌的代谢，影响产物的生成。有的染菌后杂菌大量繁殖，产生酸性物质，使pH值下降，糖、氮等的消耗加速；菌体自溶，致使发酵液发粘，产生大量的泡沫，代谢产物的积累减少或停止；有的染菌后会使已生成的产物被利用或破坏。</w:t>
            </w:r>
          </w:p>
        </w:tc>
        <w:tc>
          <w:tcPr>
            <w:tcW w:w="2379" w:type="dxa"/>
            <w:tcBorders>
              <w:tl2br w:val="nil"/>
              <w:tr2bl w:val="nil"/>
            </w:tcBorders>
            <w:vAlign w:val="center"/>
          </w:tcPr>
          <w:p>
            <w:pPr>
              <w:widowControl/>
              <w:jc w:val="center"/>
              <w:textAlignment w:val="center"/>
              <w:rPr>
                <w:rFonts w:hint="eastAsia" w:ascii="Times New Roman" w:hAnsi="Times New Roman" w:eastAsia="宋体" w:cs="Times New Roman"/>
                <w:i w:val="0"/>
                <w:iCs w:val="0"/>
                <w:kern w:val="0"/>
                <w:sz w:val="21"/>
                <w:szCs w:val="21"/>
                <w:u w:val="none"/>
              </w:rPr>
            </w:pPr>
            <w:r>
              <w:rPr>
                <w:rFonts w:hint="eastAsia" w:ascii="Times New Roman" w:hAnsi="Times New Roman" w:eastAsia="宋体" w:cs="Times New Roman"/>
                <w:i w:val="0"/>
                <w:iCs w:val="0"/>
                <w:kern w:val="0"/>
                <w:sz w:val="21"/>
                <w:szCs w:val="21"/>
                <w:u w:val="none"/>
              </w:rPr>
              <w:t>从目前的情况来看，发酵中期染菌一般较难挽救，危害性较大，在生产过程中应尽力做到早发现、快处理。</w:t>
            </w:r>
          </w:p>
          <w:p>
            <w:pPr>
              <w:widowControl/>
              <w:jc w:val="center"/>
              <w:textAlignment w:val="center"/>
              <w:rPr>
                <w:rFonts w:hint="eastAsia" w:ascii="Times New Roman" w:hAnsi="Times New Roman" w:eastAsia="宋体" w:cs="Times New Roman"/>
                <w:i w:val="0"/>
                <w:iCs w:val="0"/>
                <w:kern w:val="0"/>
                <w:sz w:val="21"/>
                <w:szCs w:val="21"/>
                <w:u w:val="none"/>
                <w:lang w:val="en-US" w:eastAsia="zh-CN"/>
              </w:rPr>
            </w:pPr>
          </w:p>
        </w:tc>
        <w:tc>
          <w:tcPr>
            <w:tcW w:w="2379" w:type="dxa"/>
            <w:vMerge w:val="restart"/>
            <w:tcBorders>
              <w:tl2br w:val="nil"/>
              <w:tr2bl w:val="nil"/>
            </w:tcBorders>
          </w:tcPr>
          <w:p>
            <w:pPr>
              <w:widowControl/>
              <w:jc w:val="both"/>
              <w:textAlignment w:val="center"/>
              <w:rPr>
                <w:rFonts w:hint="eastAsia" w:ascii="Times New Roman" w:hAnsi="Times New Roman" w:eastAsia="宋体" w:cs="Times New Roman"/>
                <w:i w:val="0"/>
                <w:iCs w:val="0"/>
                <w:kern w:val="0"/>
                <w:sz w:val="21"/>
                <w:szCs w:val="21"/>
                <w:u w:val="none"/>
              </w:rPr>
            </w:pPr>
            <w:r>
              <w:rPr>
                <w:rFonts w:hint="eastAsia" w:ascii="Times New Roman" w:hAnsi="Times New Roman" w:eastAsia="宋体" w:cs="Times New Roman"/>
                <w:i w:val="0"/>
                <w:iCs w:val="0"/>
                <w:kern w:val="0"/>
                <w:sz w:val="21"/>
                <w:szCs w:val="21"/>
                <w:u w:val="none"/>
              </w:rPr>
              <w:t xml:space="preserve">1、发酵中、后期染菌或发酵前期轻微染菌而发现较晚时，可以加入适当地杀菌剂或抗生素以及正常的发酵液，以抑制杂菌的生长速度，也可采取降低培养温度、降低通风量、停止搅拌、少量补糖等其它措施，进行处理。 </w:t>
            </w:r>
          </w:p>
          <w:p>
            <w:pPr>
              <w:widowControl/>
              <w:jc w:val="both"/>
              <w:textAlignment w:val="center"/>
              <w:rPr>
                <w:rFonts w:hint="eastAsia" w:ascii="Times New Roman" w:hAnsi="Times New Roman" w:eastAsia="宋体" w:cs="Times New Roman"/>
                <w:i w:val="0"/>
                <w:iCs w:val="0"/>
                <w:kern w:val="0"/>
                <w:sz w:val="21"/>
                <w:szCs w:val="21"/>
                <w:u w:val="none"/>
              </w:rPr>
            </w:pPr>
            <w:r>
              <w:rPr>
                <w:rFonts w:hint="eastAsia" w:ascii="Times New Roman" w:hAnsi="Times New Roman" w:eastAsia="宋体" w:cs="Times New Roman"/>
                <w:i w:val="0"/>
                <w:iCs w:val="0"/>
                <w:kern w:val="0"/>
                <w:sz w:val="21"/>
                <w:szCs w:val="21"/>
                <w:u w:val="none"/>
              </w:rPr>
              <w:t>2、如果发酵过程的产物代谢已达到一定水平，此时产品的含量若达一定值，只要明确是染菌也可放罐。</w:t>
            </w:r>
          </w:p>
          <w:p>
            <w:pPr>
              <w:widowControl/>
              <w:jc w:val="both"/>
              <w:textAlignment w:val="center"/>
              <w:rPr>
                <w:rFonts w:hint="eastAsia" w:ascii="Times New Roman" w:hAnsi="Times New Roman" w:eastAsia="宋体" w:cs="Times New Roman"/>
                <w:i w:val="0"/>
                <w:iCs w:val="0"/>
                <w:kern w:val="0"/>
                <w:sz w:val="21"/>
                <w:szCs w:val="21"/>
                <w:u w:val="none"/>
              </w:rPr>
            </w:pPr>
            <w:r>
              <w:rPr>
                <w:rFonts w:hint="eastAsia" w:ascii="Times New Roman" w:hAnsi="Times New Roman" w:eastAsia="宋体" w:cs="Times New Roman"/>
                <w:i w:val="0"/>
                <w:iCs w:val="0"/>
                <w:kern w:val="0"/>
                <w:sz w:val="21"/>
                <w:szCs w:val="21"/>
                <w:u w:val="none"/>
                <w:lang w:val="en-US" w:eastAsia="zh-CN"/>
              </w:rPr>
              <w:t>3</w:t>
            </w:r>
            <w:r>
              <w:rPr>
                <w:rFonts w:hint="eastAsia" w:ascii="Times New Roman" w:hAnsi="Times New Roman" w:eastAsia="宋体" w:cs="Times New Roman"/>
                <w:i w:val="0"/>
                <w:iCs w:val="0"/>
                <w:kern w:val="0"/>
                <w:sz w:val="21"/>
                <w:szCs w:val="21"/>
                <w:u w:val="none"/>
              </w:rPr>
              <w:t>、对于没有提取价值得发酵液，废弃前应加热至120℃以上、保持30min后才能排放到事故水池。</w:t>
            </w:r>
          </w:p>
          <w:p>
            <w:pPr>
              <w:widowControl/>
              <w:jc w:val="both"/>
              <w:textAlignment w:val="center"/>
              <w:rPr>
                <w:rFonts w:hint="eastAsia" w:ascii="Times New Roman" w:hAnsi="Times New Roman" w:eastAsia="宋体" w:cs="Times New Roman"/>
                <w:i w:val="0"/>
                <w:iCs w:val="0"/>
                <w:kern w:val="0"/>
                <w:sz w:val="21"/>
                <w:szCs w:val="21"/>
                <w:u w:val="none"/>
              </w:rPr>
            </w:pPr>
            <w:r>
              <w:rPr>
                <w:rFonts w:hint="eastAsia" w:ascii="Times New Roman" w:hAnsi="Times New Roman" w:eastAsia="宋体" w:cs="Times New Roman"/>
                <w:i w:val="0"/>
                <w:iCs w:val="0"/>
                <w:kern w:val="0"/>
                <w:sz w:val="21"/>
                <w:szCs w:val="21"/>
                <w:u w:val="none"/>
              </w:rPr>
              <w:t xml:space="preserve">4、染菌后对设备的处理 </w:t>
            </w:r>
          </w:p>
          <w:p>
            <w:pPr>
              <w:widowControl/>
              <w:jc w:val="center"/>
              <w:textAlignment w:val="center"/>
              <w:rPr>
                <w:rFonts w:hint="eastAsia" w:ascii="Times New Roman" w:hAnsi="Times New Roman" w:eastAsia="宋体" w:cs="Times New Roman"/>
                <w:i w:val="0"/>
                <w:iCs w:val="0"/>
                <w:kern w:val="0"/>
                <w:sz w:val="21"/>
                <w:szCs w:val="21"/>
                <w:u w:val="none"/>
                <w:lang w:val="en-US" w:eastAsia="zh-CN"/>
              </w:rPr>
            </w:pPr>
            <w:r>
              <w:rPr>
                <w:rFonts w:hint="eastAsia" w:ascii="Times New Roman" w:hAnsi="Times New Roman" w:eastAsia="宋体" w:cs="Times New Roman"/>
                <w:i w:val="0"/>
                <w:iCs w:val="0"/>
                <w:kern w:val="0"/>
                <w:sz w:val="21"/>
                <w:szCs w:val="21"/>
                <w:u w:val="none"/>
              </w:rPr>
              <w:t>染菌后的发酵罐在重新使用前，必须在放罐后进行彻底清洗，空罐加热灭菌至120℃以上、保持30min后才能使用。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2" w:type="dxa"/>
            <w:tcBorders>
              <w:tl2br w:val="nil"/>
              <w:tr2bl w:val="nil"/>
            </w:tcBorders>
            <w:vAlign w:val="center"/>
          </w:tcPr>
          <w:p>
            <w:pPr>
              <w:widowControl/>
              <w:jc w:val="center"/>
              <w:textAlignment w:val="center"/>
              <w:rPr>
                <w:rFonts w:hint="eastAsia" w:ascii="Times New Roman" w:hAnsi="Times New Roman" w:eastAsia="宋体" w:cs="Times New Roman"/>
                <w:i w:val="0"/>
                <w:iCs w:val="0"/>
                <w:kern w:val="0"/>
                <w:sz w:val="21"/>
                <w:szCs w:val="21"/>
                <w:u w:val="none"/>
                <w:lang w:val="en-US" w:eastAsia="zh-CN"/>
              </w:rPr>
            </w:pPr>
            <w:r>
              <w:rPr>
                <w:rFonts w:hint="eastAsia" w:ascii="Times New Roman" w:hAnsi="Times New Roman" w:eastAsia="宋体" w:cs="Times New Roman"/>
                <w:i w:val="0"/>
                <w:iCs w:val="0"/>
                <w:kern w:val="0"/>
                <w:sz w:val="21"/>
                <w:szCs w:val="21"/>
                <w:u w:val="none"/>
              </w:rPr>
              <w:t>发酵后期染菌</w:t>
            </w:r>
          </w:p>
        </w:tc>
        <w:tc>
          <w:tcPr>
            <w:tcW w:w="3305" w:type="dxa"/>
            <w:tcBorders>
              <w:tl2br w:val="nil"/>
              <w:tr2bl w:val="nil"/>
            </w:tcBorders>
            <w:vAlign w:val="center"/>
          </w:tcPr>
          <w:p>
            <w:pPr>
              <w:widowControl/>
              <w:jc w:val="center"/>
              <w:textAlignment w:val="center"/>
              <w:rPr>
                <w:rFonts w:hint="eastAsia" w:ascii="Times New Roman" w:hAnsi="Times New Roman" w:eastAsia="宋体" w:cs="Times New Roman"/>
                <w:i w:val="0"/>
                <w:iCs w:val="0"/>
                <w:kern w:val="0"/>
                <w:sz w:val="21"/>
                <w:szCs w:val="21"/>
                <w:u w:val="none"/>
                <w:lang w:val="en-US" w:eastAsia="zh-CN"/>
              </w:rPr>
            </w:pPr>
            <w:r>
              <w:rPr>
                <w:rFonts w:hint="eastAsia" w:ascii="Times New Roman" w:hAnsi="Times New Roman" w:eastAsia="宋体" w:cs="Times New Roman"/>
                <w:i w:val="0"/>
                <w:iCs w:val="0"/>
                <w:kern w:val="0"/>
                <w:sz w:val="21"/>
                <w:szCs w:val="21"/>
                <w:u w:val="none"/>
              </w:rPr>
              <w:t>由于发酵后期培养基中的糖等营养物质已接近耗尽，且发酵的产物也已积累较多，如果染菌量不太多，对发酵影响相对来说就要小一些，可继续进行发酵。</w:t>
            </w:r>
          </w:p>
        </w:tc>
        <w:tc>
          <w:tcPr>
            <w:tcW w:w="2379" w:type="dxa"/>
            <w:tcBorders>
              <w:tl2br w:val="nil"/>
              <w:tr2bl w:val="nil"/>
            </w:tcBorders>
            <w:vAlign w:val="center"/>
          </w:tcPr>
          <w:p>
            <w:pPr>
              <w:widowControl/>
              <w:jc w:val="both"/>
              <w:textAlignment w:val="center"/>
              <w:rPr>
                <w:rFonts w:hint="eastAsia" w:ascii="Times New Roman" w:hAnsi="Times New Roman" w:eastAsia="宋体" w:cs="Times New Roman"/>
                <w:i w:val="0"/>
                <w:iCs w:val="0"/>
                <w:kern w:val="0"/>
                <w:sz w:val="21"/>
                <w:szCs w:val="21"/>
                <w:u w:val="none"/>
                <w:lang w:val="en-US" w:eastAsia="zh-CN"/>
              </w:rPr>
            </w:pPr>
            <w:r>
              <w:rPr>
                <w:rFonts w:hint="eastAsia" w:ascii="Times New Roman" w:hAnsi="Times New Roman" w:eastAsia="宋体" w:cs="Times New Roman"/>
                <w:i w:val="0"/>
                <w:iCs w:val="0"/>
                <w:kern w:val="0"/>
                <w:sz w:val="21"/>
                <w:szCs w:val="21"/>
                <w:u w:val="none"/>
              </w:rPr>
              <w:t>对发酵产物来说，发酵后期染菌对不同的产物的影响也是不同的，如抗生素、柠檬酸的发酵，染菌对产物的影响不大；肌苷酸、谷氨酸等地发酵，后期染菌也会影响产物的产量、提取和产品的质量。</w:t>
            </w:r>
          </w:p>
        </w:tc>
        <w:tc>
          <w:tcPr>
            <w:tcW w:w="2379" w:type="dxa"/>
            <w:vMerge w:val="continue"/>
            <w:tcBorders>
              <w:tl2br w:val="nil"/>
              <w:tr2bl w:val="nil"/>
            </w:tcBorders>
          </w:tcPr>
          <w:p>
            <w:pPr>
              <w:widowControl/>
              <w:jc w:val="center"/>
              <w:textAlignment w:val="center"/>
              <w:rPr>
                <w:rFonts w:hint="eastAsia" w:ascii="Times New Roman" w:hAnsi="Times New Roman" w:eastAsia="宋体" w:cs="Times New Roman"/>
                <w:i w:val="0"/>
                <w:iCs w:val="0"/>
                <w:kern w:val="0"/>
                <w:sz w:val="21"/>
                <w:szCs w:val="21"/>
                <w:u w:val="none"/>
                <w:lang w:val="en-US" w:eastAsia="zh-CN"/>
              </w:rPr>
            </w:pPr>
          </w:p>
        </w:tc>
      </w:tr>
    </w:tbl>
    <w:p>
      <w:pPr>
        <w:pStyle w:val="4"/>
        <w:rPr>
          <w:rFonts w:hint="eastAsia" w:ascii="Times New Roman" w:hAnsi="Times New Roman" w:eastAsia="宋体"/>
          <w:b/>
          <w:i w:val="0"/>
          <w:iCs w:val="0"/>
          <w:sz w:val="28"/>
          <w:szCs w:val="28"/>
        </w:rPr>
      </w:pPr>
      <w:bookmarkStart w:id="95" w:name="_Toc9776"/>
      <w:r>
        <w:rPr>
          <w:rFonts w:hint="eastAsia" w:ascii="Times New Roman" w:hAnsi="Times New Roman" w:eastAsia="宋体"/>
          <w:b/>
          <w:i w:val="0"/>
          <w:iCs w:val="0"/>
          <w:sz w:val="28"/>
          <w:szCs w:val="28"/>
        </w:rPr>
        <w:t>3</w:t>
      </w:r>
      <w:r>
        <w:rPr>
          <w:rFonts w:ascii="Times New Roman" w:hAnsi="Times New Roman" w:eastAsia="宋体"/>
          <w:b/>
          <w:i w:val="0"/>
          <w:iCs w:val="0"/>
          <w:sz w:val="28"/>
          <w:szCs w:val="28"/>
        </w:rPr>
        <w:t>.</w:t>
      </w:r>
      <w:r>
        <w:rPr>
          <w:rFonts w:hint="eastAsia" w:ascii="Times New Roman" w:hAnsi="Times New Roman" w:eastAsia="宋体"/>
          <w:b/>
          <w:i w:val="0"/>
          <w:iCs w:val="0"/>
          <w:sz w:val="28"/>
          <w:szCs w:val="28"/>
        </w:rPr>
        <w:t>9全厂污染物核算</w:t>
      </w:r>
      <w:bookmarkEnd w:id="95"/>
    </w:p>
    <w:p>
      <w:pPr>
        <w:pStyle w:val="354"/>
        <w:ind w:firstLine="480"/>
        <w:rPr>
          <w:i w:val="0"/>
          <w:iCs w:val="0"/>
          <w:szCs w:val="24"/>
        </w:rPr>
      </w:pPr>
      <w:bookmarkStart w:id="96" w:name="_Toc150247943"/>
      <w:bookmarkStart w:id="97" w:name="_Toc27092"/>
      <w:bookmarkStart w:id="98" w:name="_Toc78180513"/>
      <w:bookmarkStart w:id="99" w:name="_Toc407191420"/>
      <w:bookmarkStart w:id="100" w:name="_Toc266175872"/>
      <w:bookmarkStart w:id="101" w:name="_Toc265426407"/>
      <w:bookmarkStart w:id="102" w:name="_Toc402422556"/>
      <w:bookmarkStart w:id="103" w:name="_Toc264978802"/>
      <w:bookmarkStart w:id="104" w:name="_Toc402422216"/>
      <w:bookmarkStart w:id="105" w:name="_Toc185908248"/>
      <w:bookmarkStart w:id="106" w:name="_Toc72910541"/>
      <w:r>
        <w:rPr>
          <w:rFonts w:hint="eastAsia"/>
          <w:i w:val="0"/>
          <w:iCs w:val="0"/>
          <w:szCs w:val="24"/>
        </w:rPr>
        <w:t>本项目投产后全厂污染物核算情况见表3-3</w:t>
      </w:r>
      <w:r>
        <w:rPr>
          <w:rFonts w:hint="eastAsia"/>
          <w:i w:val="0"/>
          <w:iCs w:val="0"/>
          <w:szCs w:val="24"/>
          <w:lang w:val="en-US" w:eastAsia="zh-CN"/>
        </w:rPr>
        <w:t>8</w:t>
      </w:r>
      <w:r>
        <w:rPr>
          <w:i w:val="0"/>
          <w:iCs w:val="0"/>
        </w:rPr>
        <w:t>。</w:t>
      </w:r>
    </w:p>
    <w:p>
      <w:pPr>
        <w:ind w:firstLine="482" w:firstLineChars="200"/>
        <w:jc w:val="center"/>
        <w:rPr>
          <w:rFonts w:hint="eastAsia"/>
          <w:b/>
          <w:bCs/>
          <w:i w:val="0"/>
          <w:iCs w:val="0"/>
        </w:rPr>
      </w:pPr>
      <w:r>
        <w:rPr>
          <w:rFonts w:hint="eastAsia"/>
          <w:b/>
          <w:bCs/>
          <w:i w:val="0"/>
          <w:iCs w:val="0"/>
        </w:rPr>
        <w:t>表3-3</w:t>
      </w:r>
      <w:r>
        <w:rPr>
          <w:rFonts w:hint="eastAsia"/>
          <w:b/>
          <w:bCs/>
          <w:i w:val="0"/>
          <w:iCs w:val="0"/>
          <w:lang w:val="en-US" w:eastAsia="zh-CN"/>
        </w:rPr>
        <w:t>8</w:t>
      </w:r>
      <w:r>
        <w:rPr>
          <w:rFonts w:hint="eastAsia"/>
          <w:b/>
          <w:bCs/>
          <w:i w:val="0"/>
          <w:iCs w:val="0"/>
        </w:rPr>
        <w:t xml:space="preserve"> 全厂污染物排放“三本帐”核算一览表   单位（</w:t>
      </w:r>
      <w:r>
        <w:rPr>
          <w:rFonts w:hint="eastAsia"/>
          <w:b/>
          <w:bCs/>
          <w:i w:val="0"/>
          <w:iCs w:val="0"/>
          <w:lang w:val="en-GB"/>
        </w:rPr>
        <w:t>t/a</w:t>
      </w:r>
      <w:r>
        <w:rPr>
          <w:rFonts w:hint="eastAsia"/>
          <w:b/>
          <w:bCs/>
          <w:i w:val="0"/>
          <w:iCs w:val="0"/>
        </w:rPr>
        <w:t>）</w:t>
      </w:r>
    </w:p>
    <w:tbl>
      <w:tblPr>
        <w:tblStyle w:val="58"/>
        <w:tblW w:w="4994"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816"/>
        <w:gridCol w:w="1274"/>
        <w:gridCol w:w="4589"/>
        <w:gridCol w:w="182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5" w:hRule="atLeast"/>
        </w:trPr>
        <w:tc>
          <w:tcPr>
            <w:tcW w:w="4039" w:type="pct"/>
            <w:gridSpan w:val="3"/>
            <w:noWrap w:val="0"/>
            <w:vAlign w:val="center"/>
          </w:tcPr>
          <w:p>
            <w:pPr>
              <w:jc w:val="center"/>
              <w:rPr>
                <w:bCs/>
                <w:i w:val="0"/>
                <w:iCs w:val="0"/>
                <w:sz w:val="21"/>
                <w:szCs w:val="21"/>
              </w:rPr>
            </w:pPr>
            <w:r>
              <w:rPr>
                <w:bCs/>
                <w:i w:val="0"/>
                <w:iCs w:val="0"/>
                <w:sz w:val="21"/>
                <w:szCs w:val="21"/>
              </w:rPr>
              <w:t>污染物</w:t>
            </w:r>
          </w:p>
        </w:tc>
        <w:tc>
          <w:tcPr>
            <w:tcW w:w="960" w:type="pct"/>
            <w:noWrap w:val="0"/>
            <w:vAlign w:val="center"/>
          </w:tcPr>
          <w:p>
            <w:pPr>
              <w:jc w:val="center"/>
              <w:rPr>
                <w:rFonts w:hint="eastAsia"/>
                <w:bCs/>
                <w:i w:val="0"/>
                <w:iCs w:val="0"/>
                <w:sz w:val="21"/>
                <w:szCs w:val="21"/>
              </w:rPr>
            </w:pPr>
            <w:r>
              <w:rPr>
                <w:rFonts w:hint="eastAsia"/>
                <w:bCs/>
                <w:i w:val="0"/>
                <w:iCs w:val="0"/>
                <w:sz w:val="21"/>
                <w:szCs w:val="21"/>
              </w:rPr>
              <w:t>本项目排放量</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5" w:hRule="atLeast"/>
        </w:trPr>
        <w:tc>
          <w:tcPr>
            <w:tcW w:w="955" w:type="pct"/>
            <w:vMerge w:val="restart"/>
            <w:noWrap w:val="0"/>
            <w:vAlign w:val="center"/>
          </w:tcPr>
          <w:p>
            <w:pPr>
              <w:jc w:val="center"/>
              <w:rPr>
                <w:bCs/>
                <w:i w:val="0"/>
                <w:iCs w:val="0"/>
                <w:sz w:val="21"/>
                <w:szCs w:val="21"/>
              </w:rPr>
            </w:pPr>
            <w:r>
              <w:rPr>
                <w:bCs/>
                <w:i w:val="0"/>
                <w:iCs w:val="0"/>
                <w:sz w:val="21"/>
                <w:szCs w:val="21"/>
              </w:rPr>
              <w:t>废水</w:t>
            </w:r>
          </w:p>
        </w:tc>
        <w:tc>
          <w:tcPr>
            <w:tcW w:w="3084" w:type="pct"/>
            <w:gridSpan w:val="2"/>
            <w:noWrap w:val="0"/>
            <w:vAlign w:val="center"/>
          </w:tcPr>
          <w:p>
            <w:pPr>
              <w:jc w:val="center"/>
              <w:rPr>
                <w:bCs/>
                <w:i w:val="0"/>
                <w:iCs w:val="0"/>
                <w:sz w:val="21"/>
                <w:szCs w:val="21"/>
              </w:rPr>
            </w:pPr>
            <w:r>
              <w:rPr>
                <w:bCs/>
                <w:i w:val="0"/>
                <w:iCs w:val="0"/>
                <w:sz w:val="21"/>
                <w:szCs w:val="21"/>
              </w:rPr>
              <w:t>污水量(m</w:t>
            </w:r>
            <w:r>
              <w:rPr>
                <w:bCs/>
                <w:i w:val="0"/>
                <w:iCs w:val="0"/>
                <w:sz w:val="21"/>
                <w:szCs w:val="21"/>
                <w:vertAlign w:val="superscript"/>
              </w:rPr>
              <w:t>3</w:t>
            </w:r>
            <w:r>
              <w:rPr>
                <w:bCs/>
                <w:i w:val="0"/>
                <w:iCs w:val="0"/>
                <w:sz w:val="21"/>
                <w:szCs w:val="21"/>
              </w:rPr>
              <w:t>/a)</w:t>
            </w:r>
          </w:p>
        </w:tc>
        <w:tc>
          <w:tcPr>
            <w:tcW w:w="960" w:type="pct"/>
            <w:noWrap w:val="0"/>
            <w:vAlign w:val="center"/>
          </w:tcPr>
          <w:p>
            <w:pPr>
              <w:widowControl/>
              <w:jc w:val="center"/>
              <w:textAlignment w:val="center"/>
              <w:rPr>
                <w:rFonts w:hint="default" w:eastAsia="宋体"/>
                <w:i w:val="0"/>
                <w:iCs w:val="0"/>
                <w:color w:val="000000"/>
                <w:sz w:val="21"/>
                <w:szCs w:val="21"/>
                <w:lang w:val="en-US" w:eastAsia="zh-CN"/>
              </w:rPr>
            </w:pPr>
            <w:r>
              <w:rPr>
                <w:rFonts w:hint="eastAsia"/>
                <w:i w:val="0"/>
                <w:iCs w:val="0"/>
                <w:color w:val="000000"/>
                <w:kern w:val="0"/>
                <w:sz w:val="21"/>
                <w:szCs w:val="21"/>
                <w:lang w:val="en-US" w:eastAsia="zh-CN" w:bidi="ar"/>
              </w:rPr>
              <w:t>35568.02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0" w:hRule="atLeast"/>
        </w:trPr>
        <w:tc>
          <w:tcPr>
            <w:tcW w:w="955" w:type="pct"/>
            <w:vMerge w:val="continue"/>
            <w:noWrap w:val="0"/>
            <w:vAlign w:val="center"/>
          </w:tcPr>
          <w:p>
            <w:pPr>
              <w:jc w:val="center"/>
              <w:rPr>
                <w:bCs/>
                <w:i w:val="0"/>
                <w:iCs w:val="0"/>
                <w:sz w:val="21"/>
                <w:szCs w:val="21"/>
              </w:rPr>
            </w:pPr>
          </w:p>
        </w:tc>
        <w:tc>
          <w:tcPr>
            <w:tcW w:w="3084" w:type="pct"/>
            <w:gridSpan w:val="2"/>
            <w:noWrap w:val="0"/>
            <w:vAlign w:val="center"/>
          </w:tcPr>
          <w:p>
            <w:pPr>
              <w:jc w:val="center"/>
              <w:rPr>
                <w:bCs/>
                <w:i w:val="0"/>
                <w:iCs w:val="0"/>
                <w:sz w:val="21"/>
                <w:szCs w:val="21"/>
              </w:rPr>
            </w:pPr>
            <w:r>
              <w:rPr>
                <w:bCs/>
                <w:i w:val="0"/>
                <w:iCs w:val="0"/>
                <w:sz w:val="21"/>
                <w:szCs w:val="21"/>
              </w:rPr>
              <w:t>COD</w:t>
            </w:r>
            <w:r>
              <w:rPr>
                <w:rFonts w:hint="eastAsia"/>
                <w:bCs/>
                <w:i w:val="0"/>
                <w:iCs w:val="0"/>
                <w:sz w:val="21"/>
                <w:szCs w:val="21"/>
              </w:rPr>
              <w:t>（t/a）</w:t>
            </w:r>
          </w:p>
        </w:tc>
        <w:tc>
          <w:tcPr>
            <w:tcW w:w="960" w:type="pct"/>
            <w:noWrap w:val="0"/>
            <w:vAlign w:val="center"/>
          </w:tcPr>
          <w:p>
            <w:pPr>
              <w:widowControl/>
              <w:jc w:val="center"/>
              <w:textAlignment w:val="center"/>
              <w:rPr>
                <w:rFonts w:hint="default" w:eastAsia="宋体"/>
                <w:i w:val="0"/>
                <w:iCs w:val="0"/>
                <w:kern w:val="0"/>
                <w:sz w:val="21"/>
                <w:szCs w:val="21"/>
                <w:lang w:val="en-US" w:eastAsia="zh-CN"/>
              </w:rPr>
            </w:pPr>
            <w:r>
              <w:rPr>
                <w:rFonts w:hint="eastAsia"/>
                <w:i w:val="0"/>
                <w:iCs w:val="0"/>
                <w:kern w:val="0"/>
                <w:sz w:val="21"/>
                <w:szCs w:val="21"/>
                <w:lang w:val="en-US" w:eastAsia="zh-CN"/>
              </w:rPr>
              <w:t>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5" w:hRule="atLeast"/>
        </w:trPr>
        <w:tc>
          <w:tcPr>
            <w:tcW w:w="955" w:type="pct"/>
            <w:vMerge w:val="continue"/>
            <w:noWrap w:val="0"/>
            <w:vAlign w:val="center"/>
          </w:tcPr>
          <w:p>
            <w:pPr>
              <w:jc w:val="center"/>
              <w:rPr>
                <w:bCs/>
                <w:i w:val="0"/>
                <w:iCs w:val="0"/>
                <w:sz w:val="21"/>
                <w:szCs w:val="21"/>
              </w:rPr>
            </w:pPr>
          </w:p>
        </w:tc>
        <w:tc>
          <w:tcPr>
            <w:tcW w:w="3084" w:type="pct"/>
            <w:gridSpan w:val="2"/>
            <w:noWrap w:val="0"/>
            <w:vAlign w:val="center"/>
          </w:tcPr>
          <w:p>
            <w:pPr>
              <w:jc w:val="center"/>
              <w:rPr>
                <w:bCs/>
                <w:i w:val="0"/>
                <w:iCs w:val="0"/>
                <w:sz w:val="21"/>
                <w:szCs w:val="21"/>
              </w:rPr>
            </w:pPr>
            <w:r>
              <w:rPr>
                <w:rFonts w:hint="eastAsia"/>
                <w:bCs/>
                <w:i w:val="0"/>
                <w:iCs w:val="0"/>
                <w:sz w:val="21"/>
                <w:szCs w:val="21"/>
              </w:rPr>
              <w:t>BOD</w:t>
            </w:r>
            <w:r>
              <w:rPr>
                <w:rFonts w:hint="eastAsia"/>
                <w:bCs/>
                <w:i w:val="0"/>
                <w:iCs w:val="0"/>
                <w:sz w:val="21"/>
                <w:szCs w:val="21"/>
                <w:vertAlign w:val="subscript"/>
              </w:rPr>
              <w:t>5</w:t>
            </w:r>
            <w:r>
              <w:rPr>
                <w:rFonts w:hint="eastAsia"/>
                <w:bCs/>
                <w:i w:val="0"/>
                <w:iCs w:val="0"/>
                <w:sz w:val="21"/>
                <w:szCs w:val="21"/>
              </w:rPr>
              <w:t>（t/a）</w:t>
            </w:r>
          </w:p>
        </w:tc>
        <w:tc>
          <w:tcPr>
            <w:tcW w:w="960" w:type="pct"/>
            <w:noWrap w:val="0"/>
            <w:vAlign w:val="center"/>
          </w:tcPr>
          <w:p>
            <w:pPr>
              <w:widowControl/>
              <w:jc w:val="center"/>
              <w:textAlignment w:val="center"/>
              <w:rPr>
                <w:rFonts w:hint="default" w:eastAsia="宋体"/>
                <w:i w:val="0"/>
                <w:iCs w:val="0"/>
                <w:sz w:val="21"/>
                <w:szCs w:val="21"/>
                <w:lang w:val="en-US" w:eastAsia="zh-CN"/>
              </w:rPr>
            </w:pPr>
            <w:r>
              <w:rPr>
                <w:rFonts w:hint="eastAsia"/>
                <w:i w:val="0"/>
                <w:iCs w:val="0"/>
                <w:sz w:val="21"/>
                <w:szCs w:val="21"/>
                <w:lang w:val="en-US" w:eastAsia="zh-CN"/>
              </w:rPr>
              <w:t>0.17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5" w:hRule="atLeast"/>
        </w:trPr>
        <w:tc>
          <w:tcPr>
            <w:tcW w:w="955" w:type="pct"/>
            <w:vMerge w:val="continue"/>
            <w:noWrap w:val="0"/>
            <w:vAlign w:val="center"/>
          </w:tcPr>
          <w:p>
            <w:pPr>
              <w:jc w:val="center"/>
              <w:rPr>
                <w:bCs/>
                <w:i w:val="0"/>
                <w:iCs w:val="0"/>
                <w:sz w:val="21"/>
                <w:szCs w:val="21"/>
              </w:rPr>
            </w:pPr>
          </w:p>
        </w:tc>
        <w:tc>
          <w:tcPr>
            <w:tcW w:w="3084" w:type="pct"/>
            <w:gridSpan w:val="2"/>
            <w:noWrap w:val="0"/>
            <w:vAlign w:val="center"/>
          </w:tcPr>
          <w:p>
            <w:pPr>
              <w:jc w:val="center"/>
              <w:rPr>
                <w:bCs/>
                <w:i w:val="0"/>
                <w:iCs w:val="0"/>
                <w:sz w:val="21"/>
                <w:szCs w:val="21"/>
              </w:rPr>
            </w:pPr>
            <w:r>
              <w:rPr>
                <w:rFonts w:hint="eastAsia"/>
                <w:bCs/>
                <w:i w:val="0"/>
                <w:iCs w:val="0"/>
                <w:sz w:val="21"/>
                <w:szCs w:val="21"/>
              </w:rPr>
              <w:t>SS（t/a）</w:t>
            </w:r>
          </w:p>
        </w:tc>
        <w:tc>
          <w:tcPr>
            <w:tcW w:w="960" w:type="pct"/>
            <w:noWrap w:val="0"/>
            <w:vAlign w:val="center"/>
          </w:tcPr>
          <w:p>
            <w:pPr>
              <w:widowControl/>
              <w:jc w:val="center"/>
              <w:textAlignment w:val="center"/>
              <w:rPr>
                <w:rFonts w:hint="default" w:eastAsia="宋体"/>
                <w:i w:val="0"/>
                <w:iCs w:val="0"/>
                <w:sz w:val="21"/>
                <w:szCs w:val="21"/>
                <w:lang w:val="en-US" w:eastAsia="zh-CN"/>
              </w:rPr>
            </w:pPr>
            <w:r>
              <w:rPr>
                <w:rFonts w:hint="eastAsia"/>
                <w:i w:val="0"/>
                <w:iCs w:val="0"/>
                <w:sz w:val="21"/>
                <w:szCs w:val="21"/>
                <w:lang w:val="en-US" w:eastAsia="zh-CN"/>
              </w:rPr>
              <w:t>0.13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5" w:hRule="atLeast"/>
        </w:trPr>
        <w:tc>
          <w:tcPr>
            <w:tcW w:w="955" w:type="pct"/>
            <w:vMerge w:val="continue"/>
            <w:noWrap w:val="0"/>
            <w:vAlign w:val="center"/>
          </w:tcPr>
          <w:p>
            <w:pPr>
              <w:jc w:val="center"/>
              <w:rPr>
                <w:bCs/>
                <w:i w:val="0"/>
                <w:iCs w:val="0"/>
                <w:sz w:val="21"/>
                <w:szCs w:val="21"/>
              </w:rPr>
            </w:pPr>
          </w:p>
        </w:tc>
        <w:tc>
          <w:tcPr>
            <w:tcW w:w="3084" w:type="pct"/>
            <w:gridSpan w:val="2"/>
            <w:noWrap w:val="0"/>
            <w:vAlign w:val="center"/>
          </w:tcPr>
          <w:p>
            <w:pPr>
              <w:jc w:val="center"/>
              <w:rPr>
                <w:rFonts w:hint="eastAsia"/>
                <w:bCs/>
                <w:i w:val="0"/>
                <w:iCs w:val="0"/>
                <w:sz w:val="21"/>
                <w:szCs w:val="21"/>
              </w:rPr>
            </w:pPr>
            <w:r>
              <w:rPr>
                <w:rFonts w:hint="eastAsia"/>
                <w:bCs/>
                <w:i w:val="0"/>
                <w:iCs w:val="0"/>
                <w:sz w:val="21"/>
                <w:szCs w:val="21"/>
              </w:rPr>
              <w:t>氨氮（t/a）</w:t>
            </w:r>
          </w:p>
        </w:tc>
        <w:tc>
          <w:tcPr>
            <w:tcW w:w="960" w:type="pct"/>
            <w:noWrap w:val="0"/>
            <w:vAlign w:val="center"/>
          </w:tcPr>
          <w:p>
            <w:pPr>
              <w:widowControl/>
              <w:jc w:val="center"/>
              <w:textAlignment w:val="center"/>
              <w:rPr>
                <w:rFonts w:hint="default" w:eastAsia="宋体"/>
                <w:i w:val="0"/>
                <w:iCs w:val="0"/>
                <w:sz w:val="21"/>
                <w:szCs w:val="21"/>
                <w:lang w:val="en-US" w:eastAsia="zh-CN"/>
              </w:rPr>
            </w:pPr>
            <w:r>
              <w:rPr>
                <w:rFonts w:hint="eastAsia"/>
                <w:i w:val="0"/>
                <w:iCs w:val="0"/>
                <w:sz w:val="21"/>
                <w:szCs w:val="21"/>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7" w:hRule="atLeast"/>
        </w:trPr>
        <w:tc>
          <w:tcPr>
            <w:tcW w:w="955" w:type="pct"/>
            <w:vMerge w:val="restart"/>
            <w:noWrap w:val="0"/>
            <w:vAlign w:val="center"/>
          </w:tcPr>
          <w:p>
            <w:pPr>
              <w:jc w:val="center"/>
              <w:rPr>
                <w:rFonts w:hint="eastAsia"/>
                <w:bCs/>
                <w:i w:val="0"/>
                <w:iCs w:val="0"/>
                <w:sz w:val="21"/>
                <w:szCs w:val="21"/>
              </w:rPr>
            </w:pPr>
            <w:r>
              <w:rPr>
                <w:rFonts w:hint="eastAsia"/>
                <w:bCs/>
                <w:i w:val="0"/>
                <w:iCs w:val="0"/>
                <w:sz w:val="21"/>
                <w:szCs w:val="21"/>
              </w:rPr>
              <w:t>废气</w:t>
            </w:r>
          </w:p>
        </w:tc>
        <w:tc>
          <w:tcPr>
            <w:tcW w:w="3084" w:type="pct"/>
            <w:gridSpan w:val="2"/>
            <w:tcBorders>
              <w:bottom w:val="single" w:color="000000" w:sz="2" w:space="0"/>
            </w:tcBorders>
            <w:noWrap w:val="0"/>
            <w:vAlign w:val="center"/>
          </w:tcPr>
          <w:p>
            <w:pPr>
              <w:jc w:val="center"/>
              <w:rPr>
                <w:bCs/>
                <w:i w:val="0"/>
                <w:iCs w:val="0"/>
                <w:sz w:val="21"/>
                <w:szCs w:val="21"/>
              </w:rPr>
            </w:pPr>
            <w:r>
              <w:rPr>
                <w:rFonts w:hint="eastAsia"/>
                <w:bCs/>
                <w:i w:val="0"/>
                <w:iCs w:val="0"/>
                <w:sz w:val="21"/>
                <w:szCs w:val="21"/>
              </w:rPr>
              <w:t>颗粒物（t/a）</w:t>
            </w:r>
          </w:p>
        </w:tc>
        <w:tc>
          <w:tcPr>
            <w:tcW w:w="960" w:type="pct"/>
            <w:noWrap w:val="0"/>
            <w:vAlign w:val="center"/>
          </w:tcPr>
          <w:p>
            <w:pPr>
              <w:widowControl/>
              <w:jc w:val="center"/>
              <w:textAlignment w:val="center"/>
              <w:rPr>
                <w:rFonts w:hint="default" w:eastAsia="宋体"/>
                <w:i w:val="0"/>
                <w:iCs w:val="0"/>
                <w:kern w:val="0"/>
                <w:sz w:val="21"/>
                <w:szCs w:val="21"/>
                <w:lang w:val="en-US" w:eastAsia="zh-CN" w:bidi="ar"/>
              </w:rPr>
            </w:pPr>
            <w:r>
              <w:rPr>
                <w:rFonts w:hint="eastAsia"/>
                <w:i w:val="0"/>
                <w:iCs w:val="0"/>
                <w:kern w:val="0"/>
                <w:sz w:val="21"/>
                <w:szCs w:val="21"/>
                <w:lang w:val="en-US" w:eastAsia="zh-CN" w:bidi="ar"/>
              </w:rPr>
              <w:t>1.11343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7" w:hRule="atLeast"/>
        </w:trPr>
        <w:tc>
          <w:tcPr>
            <w:tcW w:w="955" w:type="pct"/>
            <w:vMerge w:val="continue"/>
            <w:noWrap w:val="0"/>
            <w:vAlign w:val="center"/>
          </w:tcPr>
          <w:p>
            <w:pPr>
              <w:jc w:val="center"/>
              <w:rPr>
                <w:rFonts w:hint="eastAsia"/>
                <w:bCs/>
                <w:i w:val="0"/>
                <w:iCs w:val="0"/>
                <w:sz w:val="21"/>
                <w:szCs w:val="21"/>
              </w:rPr>
            </w:pPr>
          </w:p>
        </w:tc>
        <w:tc>
          <w:tcPr>
            <w:tcW w:w="3084" w:type="pct"/>
            <w:gridSpan w:val="2"/>
            <w:tcBorders>
              <w:bottom w:val="single" w:color="000000" w:sz="2" w:space="0"/>
            </w:tcBorders>
            <w:noWrap w:val="0"/>
            <w:vAlign w:val="center"/>
          </w:tcPr>
          <w:p>
            <w:pPr>
              <w:jc w:val="center"/>
              <w:rPr>
                <w:rFonts w:hint="eastAsia" w:eastAsia="宋体"/>
                <w:bCs/>
                <w:i w:val="0"/>
                <w:iCs w:val="0"/>
                <w:sz w:val="21"/>
                <w:szCs w:val="21"/>
                <w:lang w:val="en-US" w:eastAsia="zh-CN"/>
              </w:rPr>
            </w:pPr>
            <w:r>
              <w:rPr>
                <w:rFonts w:hint="eastAsia"/>
                <w:bCs/>
                <w:i w:val="0"/>
                <w:iCs w:val="0"/>
                <w:sz w:val="21"/>
                <w:szCs w:val="21"/>
                <w:lang w:val="en-US" w:eastAsia="zh-CN"/>
              </w:rPr>
              <w:t>二氧化硫</w:t>
            </w:r>
          </w:p>
        </w:tc>
        <w:tc>
          <w:tcPr>
            <w:tcW w:w="960" w:type="pct"/>
            <w:noWrap w:val="0"/>
            <w:vAlign w:val="center"/>
          </w:tcPr>
          <w:p>
            <w:pPr>
              <w:widowControl/>
              <w:jc w:val="center"/>
              <w:textAlignment w:val="center"/>
              <w:rPr>
                <w:rFonts w:hint="default" w:eastAsia="宋体"/>
                <w:i w:val="0"/>
                <w:iCs w:val="0"/>
                <w:kern w:val="0"/>
                <w:sz w:val="21"/>
                <w:szCs w:val="21"/>
                <w:lang w:val="en-US" w:eastAsia="zh-CN" w:bidi="ar"/>
              </w:rPr>
            </w:pPr>
            <w:r>
              <w:rPr>
                <w:rFonts w:hint="eastAsia"/>
                <w:i w:val="0"/>
                <w:iCs w:val="0"/>
                <w:kern w:val="0"/>
                <w:sz w:val="21"/>
                <w:szCs w:val="21"/>
                <w:lang w:val="en-US" w:eastAsia="zh-CN" w:bidi="ar"/>
              </w:rPr>
              <w:t>0.96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7" w:hRule="atLeast"/>
        </w:trPr>
        <w:tc>
          <w:tcPr>
            <w:tcW w:w="955" w:type="pct"/>
            <w:vMerge w:val="continue"/>
            <w:noWrap w:val="0"/>
            <w:vAlign w:val="center"/>
          </w:tcPr>
          <w:p>
            <w:pPr>
              <w:jc w:val="center"/>
              <w:rPr>
                <w:rFonts w:hint="eastAsia"/>
                <w:bCs/>
                <w:i w:val="0"/>
                <w:iCs w:val="0"/>
                <w:sz w:val="21"/>
                <w:szCs w:val="21"/>
              </w:rPr>
            </w:pPr>
          </w:p>
        </w:tc>
        <w:tc>
          <w:tcPr>
            <w:tcW w:w="3084" w:type="pct"/>
            <w:gridSpan w:val="2"/>
            <w:tcBorders>
              <w:bottom w:val="single" w:color="000000" w:sz="2" w:space="0"/>
            </w:tcBorders>
            <w:noWrap w:val="0"/>
            <w:vAlign w:val="center"/>
          </w:tcPr>
          <w:p>
            <w:pPr>
              <w:jc w:val="center"/>
              <w:rPr>
                <w:rFonts w:hint="eastAsia" w:eastAsia="宋体"/>
                <w:bCs/>
                <w:i w:val="0"/>
                <w:iCs w:val="0"/>
                <w:sz w:val="21"/>
                <w:szCs w:val="21"/>
                <w:lang w:val="en-US" w:eastAsia="zh-CN"/>
              </w:rPr>
            </w:pPr>
            <w:r>
              <w:rPr>
                <w:rFonts w:hint="eastAsia"/>
                <w:bCs/>
                <w:i w:val="0"/>
                <w:iCs w:val="0"/>
                <w:sz w:val="21"/>
                <w:szCs w:val="21"/>
                <w:lang w:val="en-US" w:eastAsia="zh-CN"/>
              </w:rPr>
              <w:t>氮氧化物</w:t>
            </w:r>
          </w:p>
        </w:tc>
        <w:tc>
          <w:tcPr>
            <w:tcW w:w="960" w:type="pct"/>
            <w:noWrap w:val="0"/>
            <w:vAlign w:val="center"/>
          </w:tcPr>
          <w:p>
            <w:pPr>
              <w:widowControl/>
              <w:jc w:val="center"/>
              <w:textAlignment w:val="center"/>
              <w:rPr>
                <w:rFonts w:hint="default" w:eastAsia="宋体"/>
                <w:i w:val="0"/>
                <w:iCs w:val="0"/>
                <w:kern w:val="0"/>
                <w:sz w:val="21"/>
                <w:szCs w:val="21"/>
                <w:lang w:val="en-US" w:eastAsia="zh-CN" w:bidi="ar"/>
              </w:rPr>
            </w:pPr>
            <w:r>
              <w:rPr>
                <w:rFonts w:hint="eastAsia"/>
                <w:i w:val="0"/>
                <w:iCs w:val="0"/>
                <w:kern w:val="0"/>
                <w:sz w:val="21"/>
                <w:szCs w:val="21"/>
                <w:lang w:val="en-US" w:eastAsia="zh-CN" w:bidi="ar"/>
              </w:rPr>
              <w:t>4.49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5" w:hRule="atLeast"/>
        </w:trPr>
        <w:tc>
          <w:tcPr>
            <w:tcW w:w="955" w:type="pct"/>
            <w:vMerge w:val="continue"/>
            <w:noWrap w:val="0"/>
            <w:vAlign w:val="center"/>
          </w:tcPr>
          <w:p>
            <w:pPr>
              <w:jc w:val="center"/>
              <w:rPr>
                <w:bCs/>
                <w:i w:val="0"/>
                <w:iCs w:val="0"/>
                <w:sz w:val="21"/>
                <w:szCs w:val="21"/>
              </w:rPr>
            </w:pPr>
          </w:p>
        </w:tc>
        <w:tc>
          <w:tcPr>
            <w:tcW w:w="3084" w:type="pct"/>
            <w:gridSpan w:val="2"/>
            <w:tcBorders>
              <w:top w:val="single" w:color="000000" w:sz="2" w:space="0"/>
              <w:bottom w:val="single" w:color="000000" w:sz="2" w:space="0"/>
            </w:tcBorders>
            <w:noWrap w:val="0"/>
            <w:vAlign w:val="center"/>
          </w:tcPr>
          <w:p>
            <w:pPr>
              <w:jc w:val="center"/>
              <w:rPr>
                <w:bCs/>
                <w:i w:val="0"/>
                <w:iCs w:val="0"/>
                <w:sz w:val="21"/>
                <w:szCs w:val="21"/>
              </w:rPr>
            </w:pPr>
            <w:r>
              <w:rPr>
                <w:rFonts w:hint="eastAsia"/>
                <w:bCs/>
                <w:i w:val="0"/>
                <w:iCs w:val="0"/>
                <w:sz w:val="21"/>
                <w:szCs w:val="21"/>
              </w:rPr>
              <w:t>非甲烷总烃（t/a）</w:t>
            </w:r>
          </w:p>
        </w:tc>
        <w:tc>
          <w:tcPr>
            <w:tcW w:w="960" w:type="pct"/>
            <w:noWrap w:val="0"/>
            <w:vAlign w:val="center"/>
          </w:tcPr>
          <w:p>
            <w:pPr>
              <w:widowControl/>
              <w:jc w:val="center"/>
              <w:textAlignment w:val="center"/>
              <w:rPr>
                <w:rFonts w:hint="default" w:eastAsia="宋体"/>
                <w:i w:val="0"/>
                <w:iCs w:val="0"/>
                <w:kern w:val="0"/>
                <w:sz w:val="21"/>
                <w:szCs w:val="21"/>
                <w:lang w:val="en-US" w:eastAsia="zh-CN" w:bidi="ar"/>
              </w:rPr>
            </w:pPr>
            <w:r>
              <w:rPr>
                <w:rFonts w:hint="eastAsia"/>
                <w:i w:val="0"/>
                <w:iCs w:val="0"/>
                <w:kern w:val="0"/>
                <w:sz w:val="21"/>
                <w:szCs w:val="21"/>
                <w:lang w:val="en-US" w:eastAsia="zh-CN" w:bidi="ar"/>
              </w:rPr>
              <w:t>0.27275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5" w:hRule="atLeast"/>
        </w:trPr>
        <w:tc>
          <w:tcPr>
            <w:tcW w:w="955" w:type="pct"/>
            <w:vMerge w:val="continue"/>
            <w:noWrap w:val="0"/>
            <w:vAlign w:val="center"/>
          </w:tcPr>
          <w:p>
            <w:pPr>
              <w:jc w:val="center"/>
              <w:rPr>
                <w:bCs/>
                <w:i w:val="0"/>
                <w:iCs w:val="0"/>
                <w:sz w:val="21"/>
                <w:szCs w:val="21"/>
              </w:rPr>
            </w:pPr>
          </w:p>
        </w:tc>
        <w:tc>
          <w:tcPr>
            <w:tcW w:w="3084" w:type="pct"/>
            <w:gridSpan w:val="2"/>
            <w:tcBorders>
              <w:top w:val="single" w:color="000000" w:sz="2" w:space="0"/>
              <w:bottom w:val="single" w:color="000000" w:sz="2" w:space="0"/>
            </w:tcBorders>
            <w:noWrap w:val="0"/>
            <w:vAlign w:val="center"/>
          </w:tcPr>
          <w:p>
            <w:pPr>
              <w:jc w:val="center"/>
              <w:rPr>
                <w:bCs/>
                <w:i w:val="0"/>
                <w:iCs w:val="0"/>
                <w:sz w:val="21"/>
                <w:szCs w:val="21"/>
              </w:rPr>
            </w:pPr>
            <w:r>
              <w:rPr>
                <w:rFonts w:hint="eastAsia"/>
                <w:bCs/>
                <w:i w:val="0"/>
                <w:iCs w:val="0"/>
                <w:sz w:val="21"/>
                <w:szCs w:val="21"/>
              </w:rPr>
              <w:t>NH</w:t>
            </w:r>
            <w:r>
              <w:rPr>
                <w:rFonts w:hint="eastAsia"/>
                <w:bCs/>
                <w:i w:val="0"/>
                <w:iCs w:val="0"/>
                <w:sz w:val="21"/>
                <w:szCs w:val="21"/>
                <w:vertAlign w:val="subscript"/>
              </w:rPr>
              <w:t>3</w:t>
            </w:r>
            <w:r>
              <w:rPr>
                <w:rFonts w:hint="eastAsia"/>
                <w:bCs/>
                <w:i w:val="0"/>
                <w:iCs w:val="0"/>
                <w:sz w:val="21"/>
                <w:szCs w:val="21"/>
              </w:rPr>
              <w:t>（t/a）</w:t>
            </w:r>
          </w:p>
        </w:tc>
        <w:tc>
          <w:tcPr>
            <w:tcW w:w="960" w:type="pct"/>
            <w:noWrap w:val="0"/>
            <w:vAlign w:val="center"/>
          </w:tcPr>
          <w:p>
            <w:pPr>
              <w:widowControl/>
              <w:jc w:val="center"/>
              <w:textAlignment w:val="center"/>
              <w:rPr>
                <w:rFonts w:hint="default" w:eastAsia="宋体"/>
                <w:i w:val="0"/>
                <w:iCs w:val="0"/>
                <w:kern w:val="0"/>
                <w:sz w:val="21"/>
                <w:szCs w:val="21"/>
                <w:lang w:val="en-US" w:eastAsia="zh-CN" w:bidi="ar"/>
              </w:rPr>
            </w:pPr>
            <w:r>
              <w:rPr>
                <w:rFonts w:hint="eastAsia"/>
                <w:i w:val="0"/>
                <w:iCs w:val="0"/>
                <w:kern w:val="0"/>
                <w:sz w:val="21"/>
                <w:szCs w:val="21"/>
                <w:lang w:val="en-US" w:eastAsia="zh-CN" w:bidi="ar"/>
              </w:rPr>
              <w:t>0.429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5" w:hRule="atLeast"/>
        </w:trPr>
        <w:tc>
          <w:tcPr>
            <w:tcW w:w="955" w:type="pct"/>
            <w:vMerge w:val="continue"/>
            <w:noWrap w:val="0"/>
            <w:vAlign w:val="center"/>
          </w:tcPr>
          <w:p>
            <w:pPr>
              <w:jc w:val="center"/>
              <w:rPr>
                <w:bCs/>
                <w:i w:val="0"/>
                <w:iCs w:val="0"/>
                <w:sz w:val="21"/>
                <w:szCs w:val="21"/>
              </w:rPr>
            </w:pPr>
          </w:p>
        </w:tc>
        <w:tc>
          <w:tcPr>
            <w:tcW w:w="3084" w:type="pct"/>
            <w:gridSpan w:val="2"/>
            <w:tcBorders>
              <w:top w:val="single" w:color="000000" w:sz="2" w:space="0"/>
              <w:bottom w:val="single" w:color="000000" w:sz="2" w:space="0"/>
            </w:tcBorders>
            <w:noWrap w:val="0"/>
            <w:vAlign w:val="center"/>
          </w:tcPr>
          <w:p>
            <w:pPr>
              <w:jc w:val="center"/>
              <w:rPr>
                <w:bCs/>
                <w:i w:val="0"/>
                <w:iCs w:val="0"/>
                <w:sz w:val="21"/>
                <w:szCs w:val="21"/>
              </w:rPr>
            </w:pPr>
            <w:r>
              <w:rPr>
                <w:rFonts w:hint="eastAsia"/>
                <w:bCs/>
                <w:i w:val="0"/>
                <w:iCs w:val="0"/>
                <w:sz w:val="21"/>
                <w:szCs w:val="21"/>
              </w:rPr>
              <w:t>H</w:t>
            </w:r>
            <w:r>
              <w:rPr>
                <w:rFonts w:hint="eastAsia"/>
                <w:bCs/>
                <w:i w:val="0"/>
                <w:iCs w:val="0"/>
                <w:sz w:val="21"/>
                <w:szCs w:val="21"/>
                <w:vertAlign w:val="subscript"/>
              </w:rPr>
              <w:t>2</w:t>
            </w:r>
            <w:r>
              <w:rPr>
                <w:rFonts w:hint="eastAsia"/>
                <w:bCs/>
                <w:i w:val="0"/>
                <w:iCs w:val="0"/>
                <w:sz w:val="21"/>
                <w:szCs w:val="21"/>
              </w:rPr>
              <w:t>S（t/a）</w:t>
            </w:r>
          </w:p>
        </w:tc>
        <w:tc>
          <w:tcPr>
            <w:tcW w:w="960" w:type="pct"/>
            <w:noWrap w:val="0"/>
            <w:vAlign w:val="center"/>
          </w:tcPr>
          <w:p>
            <w:pPr>
              <w:widowControl/>
              <w:jc w:val="center"/>
              <w:textAlignment w:val="center"/>
              <w:rPr>
                <w:rFonts w:hint="default" w:eastAsia="宋体"/>
                <w:i w:val="0"/>
                <w:iCs w:val="0"/>
                <w:kern w:val="0"/>
                <w:sz w:val="21"/>
                <w:szCs w:val="21"/>
                <w:lang w:val="en-US" w:eastAsia="zh-CN" w:bidi="ar"/>
              </w:rPr>
            </w:pPr>
            <w:r>
              <w:rPr>
                <w:rFonts w:hint="eastAsia"/>
                <w:i w:val="0"/>
                <w:iCs w:val="0"/>
                <w:kern w:val="0"/>
                <w:sz w:val="21"/>
                <w:szCs w:val="21"/>
                <w:lang w:val="en-US" w:eastAsia="zh-CN" w:bidi="ar"/>
              </w:rPr>
              <w:t>0.0029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955" w:type="pct"/>
            <w:vMerge w:val="restart"/>
            <w:noWrap w:val="0"/>
            <w:vAlign w:val="center"/>
          </w:tcPr>
          <w:p>
            <w:pPr>
              <w:jc w:val="center"/>
              <w:rPr>
                <w:bCs/>
                <w:i w:val="0"/>
                <w:iCs w:val="0"/>
                <w:sz w:val="21"/>
                <w:szCs w:val="21"/>
              </w:rPr>
            </w:pPr>
            <w:bookmarkStart w:id="403" w:name="_GoBack" w:colFirst="2" w:colLast="3"/>
            <w:r>
              <w:rPr>
                <w:bCs/>
                <w:i w:val="0"/>
                <w:iCs w:val="0"/>
                <w:sz w:val="21"/>
                <w:szCs w:val="21"/>
              </w:rPr>
              <w:t>固体废物</w:t>
            </w:r>
          </w:p>
        </w:tc>
        <w:tc>
          <w:tcPr>
            <w:tcW w:w="670" w:type="pct"/>
            <w:vMerge w:val="restart"/>
            <w:tcBorders>
              <w:right w:val="single" w:color="000000" w:sz="2" w:space="0"/>
            </w:tcBorders>
            <w:noWrap w:val="0"/>
            <w:vAlign w:val="center"/>
          </w:tcPr>
          <w:p>
            <w:pPr>
              <w:autoSpaceDE w:val="0"/>
              <w:autoSpaceDN w:val="0"/>
              <w:adjustRightInd w:val="0"/>
              <w:jc w:val="center"/>
              <w:rPr>
                <w:rFonts w:hint="eastAsia"/>
                <w:bCs/>
                <w:i w:val="0"/>
                <w:iCs w:val="0"/>
                <w:sz w:val="21"/>
                <w:szCs w:val="21"/>
              </w:rPr>
            </w:pPr>
            <w:r>
              <w:rPr>
                <w:rFonts w:hint="eastAsia"/>
                <w:bCs/>
                <w:i w:val="0"/>
                <w:iCs w:val="0"/>
                <w:sz w:val="21"/>
                <w:szCs w:val="21"/>
              </w:rPr>
              <w:t>一般固废</w:t>
            </w:r>
          </w:p>
        </w:tc>
        <w:tc>
          <w:tcPr>
            <w:tcW w:w="2414" w:type="pct"/>
            <w:tcBorders>
              <w:left w:val="single" w:color="000000" w:sz="2" w:space="0"/>
              <w:bottom w:val="single" w:color="auto" w:sz="4" w:space="0"/>
            </w:tcBorders>
            <w:noWrap w:val="0"/>
            <w:vAlign w:val="center"/>
          </w:tcPr>
          <w:p>
            <w:pPr>
              <w:jc w:val="center"/>
              <w:rPr>
                <w:bCs/>
                <w:i w:val="0"/>
                <w:iCs w:val="0"/>
                <w:sz w:val="21"/>
                <w:szCs w:val="21"/>
              </w:rPr>
            </w:pPr>
            <w:r>
              <w:rPr>
                <w:rFonts w:hint="eastAsia"/>
                <w:i w:val="0"/>
                <w:iCs w:val="0"/>
                <w:sz w:val="21"/>
                <w:szCs w:val="21"/>
              </w:rPr>
              <w:t>生活垃圾</w:t>
            </w:r>
          </w:p>
        </w:tc>
        <w:tc>
          <w:tcPr>
            <w:tcW w:w="960" w:type="pct"/>
            <w:tcBorders>
              <w:bottom w:val="single" w:color="auto" w:sz="4" w:space="0"/>
            </w:tcBorders>
            <w:noWrap w:val="0"/>
            <w:vAlign w:val="center"/>
          </w:tcPr>
          <w:p>
            <w:pPr>
              <w:jc w:val="center"/>
              <w:rPr>
                <w:rFonts w:hint="default" w:eastAsia="宋体"/>
                <w:i w:val="0"/>
                <w:iCs w:val="0"/>
                <w:kern w:val="0"/>
                <w:sz w:val="21"/>
                <w:szCs w:val="21"/>
                <w:lang w:val="en-US" w:eastAsia="zh-CN" w:bidi="ar"/>
              </w:rPr>
            </w:pPr>
            <w:r>
              <w:rPr>
                <w:rFonts w:hint="eastAsia"/>
                <w:i w:val="0"/>
                <w:iCs w:val="0"/>
                <w:sz w:val="21"/>
                <w:szCs w:val="21"/>
                <w:lang w:val="en-US" w:eastAsia="zh-CN"/>
              </w:rPr>
              <w:t>13</w:t>
            </w:r>
          </w:p>
        </w:tc>
      </w:tr>
      <w:bookmarkEnd w:id="403"/>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955" w:type="pct"/>
            <w:vMerge w:val="continue"/>
            <w:noWrap w:val="0"/>
            <w:vAlign w:val="center"/>
          </w:tcPr>
          <w:p>
            <w:pPr>
              <w:jc w:val="center"/>
              <w:rPr>
                <w:bCs/>
                <w:i w:val="0"/>
                <w:iCs w:val="0"/>
                <w:sz w:val="21"/>
                <w:szCs w:val="21"/>
              </w:rPr>
            </w:pPr>
          </w:p>
        </w:tc>
        <w:tc>
          <w:tcPr>
            <w:tcW w:w="670" w:type="pct"/>
            <w:vMerge w:val="continue"/>
            <w:tcBorders>
              <w:right w:val="single" w:color="000000" w:sz="2" w:space="0"/>
            </w:tcBorders>
            <w:noWrap w:val="0"/>
            <w:vAlign w:val="center"/>
          </w:tcPr>
          <w:p>
            <w:pPr>
              <w:autoSpaceDE w:val="0"/>
              <w:autoSpaceDN w:val="0"/>
              <w:adjustRightInd w:val="0"/>
              <w:jc w:val="center"/>
              <w:rPr>
                <w:rFonts w:hint="eastAsia"/>
                <w:bCs/>
                <w:i w:val="0"/>
                <w:iCs w:val="0"/>
                <w:sz w:val="21"/>
                <w:szCs w:val="21"/>
              </w:rPr>
            </w:pPr>
          </w:p>
        </w:tc>
        <w:tc>
          <w:tcPr>
            <w:tcW w:w="2414" w:type="pct"/>
            <w:tcBorders>
              <w:top w:val="single" w:color="auto" w:sz="4" w:space="0"/>
              <w:left w:val="single" w:color="000000" w:sz="2" w:space="0"/>
            </w:tcBorders>
            <w:noWrap w:val="0"/>
            <w:vAlign w:val="center"/>
          </w:tcPr>
          <w:p>
            <w:pPr>
              <w:jc w:val="center"/>
              <w:rPr>
                <w:rFonts w:hint="eastAsia" w:ascii="Times New Roman" w:hAnsi="Times New Roman" w:eastAsia="宋体" w:cs="Times New Roman"/>
                <w:bCs/>
                <w:i w:val="0"/>
                <w:iCs w:val="0"/>
                <w:sz w:val="21"/>
                <w:szCs w:val="21"/>
              </w:rPr>
            </w:pPr>
            <w:r>
              <w:rPr>
                <w:rFonts w:hint="eastAsia" w:ascii="Times New Roman" w:hAnsi="Times New Roman" w:eastAsia="宋体" w:cs="Times New Roman"/>
                <w:bCs/>
                <w:i w:val="0"/>
                <w:iCs w:val="0"/>
                <w:sz w:val="21"/>
                <w:szCs w:val="21"/>
              </w:rPr>
              <w:t>污泥</w:t>
            </w:r>
          </w:p>
        </w:tc>
        <w:tc>
          <w:tcPr>
            <w:tcW w:w="960" w:type="pct"/>
            <w:tcBorders>
              <w:top w:val="single" w:color="auto" w:sz="4" w:space="0"/>
            </w:tcBorders>
            <w:noWrap w:val="0"/>
            <w:vAlign w:val="center"/>
          </w:tcPr>
          <w:p>
            <w:pPr>
              <w:jc w:val="center"/>
              <w:rPr>
                <w:rFonts w:hint="eastAsia" w:ascii="Times New Roman" w:hAnsi="Times New Roman" w:eastAsia="宋体" w:cs="Times New Roman"/>
                <w:bCs/>
                <w:i w:val="0"/>
                <w:iCs w:val="0"/>
                <w:sz w:val="21"/>
                <w:szCs w:val="21"/>
              </w:rPr>
            </w:pPr>
            <w:r>
              <w:rPr>
                <w:rFonts w:hint="eastAsia" w:ascii="Times New Roman" w:hAnsi="Times New Roman" w:eastAsia="宋体" w:cs="Times New Roman"/>
                <w:bCs/>
                <w:i w:val="0"/>
                <w:iCs w:val="0"/>
                <w:sz w:val="21"/>
                <w:szCs w:val="21"/>
              </w:rPr>
              <w:t>316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955" w:type="pct"/>
            <w:vMerge w:val="continue"/>
            <w:noWrap w:val="0"/>
            <w:vAlign w:val="center"/>
          </w:tcPr>
          <w:p>
            <w:pPr>
              <w:jc w:val="center"/>
              <w:rPr>
                <w:bCs/>
                <w:i w:val="0"/>
                <w:iCs w:val="0"/>
                <w:sz w:val="21"/>
                <w:szCs w:val="21"/>
              </w:rPr>
            </w:pPr>
          </w:p>
        </w:tc>
        <w:tc>
          <w:tcPr>
            <w:tcW w:w="670" w:type="pct"/>
            <w:vMerge w:val="continue"/>
            <w:tcBorders>
              <w:right w:val="single" w:color="000000" w:sz="2" w:space="0"/>
            </w:tcBorders>
            <w:noWrap w:val="0"/>
            <w:vAlign w:val="center"/>
          </w:tcPr>
          <w:p>
            <w:pPr>
              <w:autoSpaceDE w:val="0"/>
              <w:autoSpaceDN w:val="0"/>
              <w:adjustRightInd w:val="0"/>
              <w:jc w:val="center"/>
              <w:rPr>
                <w:rFonts w:hint="eastAsia"/>
                <w:bCs/>
                <w:i w:val="0"/>
                <w:iCs w:val="0"/>
                <w:sz w:val="21"/>
                <w:szCs w:val="21"/>
              </w:rPr>
            </w:pPr>
          </w:p>
        </w:tc>
        <w:tc>
          <w:tcPr>
            <w:tcW w:w="2414" w:type="pct"/>
            <w:tcBorders>
              <w:top w:val="single" w:color="auto" w:sz="4" w:space="0"/>
              <w:left w:val="single" w:color="000000" w:sz="2" w:space="0"/>
            </w:tcBorders>
            <w:noWrap w:val="0"/>
            <w:vAlign w:val="center"/>
          </w:tcPr>
          <w:p>
            <w:pPr>
              <w:jc w:val="center"/>
              <w:rPr>
                <w:rFonts w:hint="eastAsia" w:ascii="Times New Roman" w:hAnsi="Times New Roman" w:eastAsia="宋体" w:cs="Times New Roman"/>
                <w:bCs/>
                <w:i w:val="0"/>
                <w:iCs w:val="0"/>
                <w:sz w:val="21"/>
                <w:szCs w:val="21"/>
                <w:lang w:eastAsia="zh-CN"/>
              </w:rPr>
            </w:pPr>
            <w:r>
              <w:rPr>
                <w:rFonts w:hint="eastAsia" w:cs="Times New Roman"/>
                <w:bCs/>
                <w:i w:val="0"/>
                <w:iCs w:val="0"/>
                <w:sz w:val="21"/>
                <w:szCs w:val="21"/>
                <w:lang w:eastAsia="zh-CN"/>
              </w:rPr>
              <w:t>收集到的粉尘</w:t>
            </w:r>
          </w:p>
        </w:tc>
        <w:tc>
          <w:tcPr>
            <w:tcW w:w="960" w:type="pct"/>
            <w:tcBorders>
              <w:top w:val="single" w:color="auto" w:sz="4" w:space="0"/>
            </w:tcBorders>
            <w:noWrap w:val="0"/>
            <w:vAlign w:val="center"/>
          </w:tcPr>
          <w:p>
            <w:pPr>
              <w:jc w:val="center"/>
              <w:rPr>
                <w:rFonts w:hint="default" w:ascii="Times New Roman" w:hAnsi="Times New Roman" w:eastAsia="宋体" w:cs="Times New Roman"/>
                <w:bCs/>
                <w:i w:val="0"/>
                <w:iCs w:val="0"/>
                <w:sz w:val="21"/>
                <w:szCs w:val="21"/>
                <w:lang w:val="en-US" w:eastAsia="zh-CN"/>
              </w:rPr>
            </w:pPr>
            <w:r>
              <w:rPr>
                <w:rFonts w:hint="eastAsia" w:cs="Times New Roman"/>
                <w:bCs/>
                <w:i w:val="0"/>
                <w:iCs w:val="0"/>
                <w:sz w:val="21"/>
                <w:szCs w:val="21"/>
                <w:lang w:val="en-US" w:eastAsia="zh-CN"/>
              </w:rPr>
              <w:t>220.681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955" w:type="pct"/>
            <w:vMerge w:val="continue"/>
            <w:noWrap w:val="0"/>
            <w:vAlign w:val="center"/>
          </w:tcPr>
          <w:p>
            <w:pPr>
              <w:jc w:val="center"/>
              <w:rPr>
                <w:bCs/>
                <w:i w:val="0"/>
                <w:iCs w:val="0"/>
                <w:sz w:val="21"/>
                <w:szCs w:val="21"/>
              </w:rPr>
            </w:pPr>
          </w:p>
        </w:tc>
        <w:tc>
          <w:tcPr>
            <w:tcW w:w="670" w:type="pct"/>
            <w:vMerge w:val="continue"/>
            <w:tcBorders>
              <w:right w:val="single" w:color="000000" w:sz="2" w:space="0"/>
            </w:tcBorders>
            <w:noWrap w:val="0"/>
            <w:vAlign w:val="center"/>
          </w:tcPr>
          <w:p>
            <w:pPr>
              <w:autoSpaceDE w:val="0"/>
              <w:autoSpaceDN w:val="0"/>
              <w:adjustRightInd w:val="0"/>
              <w:jc w:val="center"/>
              <w:rPr>
                <w:rFonts w:hint="eastAsia"/>
                <w:bCs/>
                <w:i w:val="0"/>
                <w:iCs w:val="0"/>
                <w:sz w:val="21"/>
                <w:szCs w:val="21"/>
              </w:rPr>
            </w:pPr>
          </w:p>
        </w:tc>
        <w:tc>
          <w:tcPr>
            <w:tcW w:w="2414" w:type="pct"/>
            <w:tcBorders>
              <w:top w:val="single" w:color="auto" w:sz="4" w:space="0"/>
              <w:left w:val="single" w:color="000000" w:sz="2" w:space="0"/>
            </w:tcBorders>
            <w:noWrap w:val="0"/>
            <w:vAlign w:val="center"/>
          </w:tcPr>
          <w:p>
            <w:pPr>
              <w:jc w:val="center"/>
              <w:rPr>
                <w:rFonts w:hint="eastAsia" w:ascii="Times New Roman" w:hAnsi="Times New Roman" w:eastAsia="宋体" w:cs="Times New Roman"/>
                <w:bCs/>
                <w:i w:val="0"/>
                <w:iCs w:val="0"/>
                <w:sz w:val="21"/>
                <w:szCs w:val="21"/>
              </w:rPr>
            </w:pPr>
            <w:r>
              <w:rPr>
                <w:rFonts w:hint="eastAsia" w:ascii="Times New Roman" w:hAnsi="Times New Roman" w:eastAsia="宋体" w:cs="Times New Roman"/>
                <w:bCs/>
                <w:i w:val="0"/>
                <w:iCs w:val="0"/>
                <w:sz w:val="21"/>
                <w:szCs w:val="21"/>
              </w:rPr>
              <w:t>废包装材料</w:t>
            </w:r>
          </w:p>
        </w:tc>
        <w:tc>
          <w:tcPr>
            <w:tcW w:w="960" w:type="pct"/>
            <w:tcBorders>
              <w:top w:val="single" w:color="auto" w:sz="4" w:space="0"/>
            </w:tcBorders>
            <w:noWrap w:val="0"/>
            <w:vAlign w:val="center"/>
          </w:tcPr>
          <w:p>
            <w:pPr>
              <w:jc w:val="center"/>
              <w:rPr>
                <w:rFonts w:hint="eastAsia" w:ascii="Times New Roman" w:hAnsi="Times New Roman" w:eastAsia="宋体" w:cs="Times New Roman"/>
                <w:bCs/>
                <w:i w:val="0"/>
                <w:iCs w:val="0"/>
                <w:sz w:val="21"/>
                <w:szCs w:val="21"/>
              </w:rPr>
            </w:pPr>
            <w:r>
              <w:rPr>
                <w:rFonts w:hint="eastAsia" w:ascii="Times New Roman" w:hAnsi="Times New Roman" w:eastAsia="宋体" w:cs="Times New Roman"/>
                <w:bCs/>
                <w:i w:val="0"/>
                <w:iCs w:val="0"/>
                <w:sz w:val="21"/>
                <w:szCs w:val="21"/>
              </w:rPr>
              <w:t>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955" w:type="pct"/>
            <w:vMerge w:val="continue"/>
            <w:noWrap w:val="0"/>
            <w:vAlign w:val="center"/>
          </w:tcPr>
          <w:p>
            <w:pPr>
              <w:jc w:val="center"/>
              <w:rPr>
                <w:bCs/>
                <w:i w:val="0"/>
                <w:iCs w:val="0"/>
                <w:sz w:val="21"/>
                <w:szCs w:val="21"/>
              </w:rPr>
            </w:pPr>
          </w:p>
        </w:tc>
        <w:tc>
          <w:tcPr>
            <w:tcW w:w="670" w:type="pct"/>
            <w:vMerge w:val="continue"/>
            <w:tcBorders>
              <w:right w:val="single" w:color="000000" w:sz="2" w:space="0"/>
            </w:tcBorders>
            <w:noWrap w:val="0"/>
            <w:vAlign w:val="center"/>
          </w:tcPr>
          <w:p>
            <w:pPr>
              <w:autoSpaceDE w:val="0"/>
              <w:autoSpaceDN w:val="0"/>
              <w:adjustRightInd w:val="0"/>
              <w:jc w:val="center"/>
              <w:rPr>
                <w:rFonts w:hint="eastAsia"/>
                <w:bCs/>
                <w:i w:val="0"/>
                <w:iCs w:val="0"/>
                <w:sz w:val="21"/>
                <w:szCs w:val="21"/>
              </w:rPr>
            </w:pPr>
          </w:p>
        </w:tc>
        <w:tc>
          <w:tcPr>
            <w:tcW w:w="2414" w:type="pct"/>
            <w:tcBorders>
              <w:top w:val="single" w:color="auto" w:sz="4" w:space="0"/>
              <w:left w:val="single" w:color="000000" w:sz="2" w:space="0"/>
            </w:tcBorders>
            <w:noWrap w:val="0"/>
            <w:vAlign w:val="center"/>
          </w:tcPr>
          <w:p>
            <w:pPr>
              <w:jc w:val="center"/>
              <w:rPr>
                <w:rFonts w:hint="eastAsia" w:ascii="Times New Roman" w:hAnsi="Times New Roman" w:eastAsia="宋体" w:cs="Times New Roman"/>
                <w:bCs/>
                <w:i w:val="0"/>
                <w:iCs w:val="0"/>
                <w:sz w:val="21"/>
                <w:szCs w:val="21"/>
              </w:rPr>
            </w:pPr>
            <w:r>
              <w:rPr>
                <w:rFonts w:hint="eastAsia" w:ascii="Times New Roman" w:hAnsi="Times New Roman" w:eastAsia="宋体" w:cs="Times New Roman"/>
                <w:bCs/>
                <w:i w:val="0"/>
                <w:iCs w:val="0"/>
                <w:sz w:val="21"/>
                <w:szCs w:val="21"/>
              </w:rPr>
              <w:t>废滤材（初中高效过滤器、过滤芯）</w:t>
            </w:r>
          </w:p>
        </w:tc>
        <w:tc>
          <w:tcPr>
            <w:tcW w:w="960" w:type="pct"/>
            <w:tcBorders>
              <w:top w:val="single" w:color="auto" w:sz="4" w:space="0"/>
            </w:tcBorders>
            <w:noWrap w:val="0"/>
            <w:vAlign w:val="center"/>
          </w:tcPr>
          <w:p>
            <w:pPr>
              <w:jc w:val="center"/>
              <w:rPr>
                <w:rFonts w:hint="default" w:ascii="Times New Roman" w:hAnsi="Times New Roman" w:eastAsia="宋体" w:cs="Times New Roman"/>
                <w:bCs/>
                <w:i w:val="0"/>
                <w:iCs w:val="0"/>
                <w:sz w:val="21"/>
                <w:szCs w:val="21"/>
                <w:lang w:val="en-US" w:eastAsia="zh-CN"/>
              </w:rPr>
            </w:pPr>
            <w:r>
              <w:rPr>
                <w:rFonts w:hint="eastAsia" w:ascii="Times New Roman" w:hAnsi="Times New Roman" w:eastAsia="宋体" w:cs="Times New Roman"/>
                <w:bCs/>
                <w:i w:val="0"/>
                <w:iCs w:val="0"/>
                <w:sz w:val="21"/>
                <w:szCs w:val="21"/>
                <w:lang w:val="en-US" w:eastAsia="zh-CN"/>
              </w:rPr>
              <w:t>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955" w:type="pct"/>
            <w:vMerge w:val="continue"/>
            <w:noWrap w:val="0"/>
            <w:vAlign w:val="center"/>
          </w:tcPr>
          <w:p>
            <w:pPr>
              <w:jc w:val="center"/>
              <w:rPr>
                <w:bCs/>
                <w:i w:val="0"/>
                <w:iCs w:val="0"/>
                <w:sz w:val="21"/>
                <w:szCs w:val="21"/>
              </w:rPr>
            </w:pPr>
          </w:p>
        </w:tc>
        <w:tc>
          <w:tcPr>
            <w:tcW w:w="670" w:type="pct"/>
            <w:vMerge w:val="restart"/>
            <w:tcBorders>
              <w:right w:val="single" w:color="000000" w:sz="2" w:space="0"/>
            </w:tcBorders>
            <w:noWrap w:val="0"/>
            <w:vAlign w:val="center"/>
          </w:tcPr>
          <w:p>
            <w:pPr>
              <w:autoSpaceDE w:val="0"/>
              <w:autoSpaceDN w:val="0"/>
              <w:adjustRightInd w:val="0"/>
              <w:jc w:val="center"/>
              <w:rPr>
                <w:rFonts w:hint="eastAsia"/>
                <w:bCs/>
                <w:i w:val="0"/>
                <w:iCs w:val="0"/>
                <w:sz w:val="21"/>
                <w:szCs w:val="21"/>
              </w:rPr>
            </w:pPr>
            <w:r>
              <w:rPr>
                <w:rFonts w:hint="eastAsia"/>
                <w:bCs/>
                <w:i w:val="0"/>
                <w:iCs w:val="0"/>
                <w:sz w:val="21"/>
                <w:szCs w:val="21"/>
              </w:rPr>
              <w:t>危险废物</w:t>
            </w:r>
          </w:p>
        </w:tc>
        <w:tc>
          <w:tcPr>
            <w:tcW w:w="2414" w:type="pct"/>
            <w:tcBorders>
              <w:top w:val="single" w:color="auto" w:sz="4" w:space="0"/>
              <w:left w:val="single" w:color="000000" w:sz="2" w:space="0"/>
              <w:bottom w:val="single" w:color="auto" w:sz="4" w:space="0"/>
            </w:tcBorders>
            <w:noWrap w:val="0"/>
            <w:vAlign w:val="center"/>
          </w:tcPr>
          <w:p>
            <w:pPr>
              <w:jc w:val="center"/>
              <w:rPr>
                <w:rFonts w:hint="eastAsia" w:ascii="Times New Roman" w:hAnsi="Times New Roman" w:eastAsia="宋体" w:cs="Times New Roman"/>
                <w:bCs/>
                <w:i w:val="0"/>
                <w:iCs w:val="0"/>
                <w:sz w:val="21"/>
                <w:szCs w:val="21"/>
              </w:rPr>
            </w:pPr>
            <w:r>
              <w:rPr>
                <w:rFonts w:hint="eastAsia" w:ascii="Times New Roman" w:hAnsi="Times New Roman" w:eastAsia="宋体" w:cs="Times New Roman"/>
                <w:bCs/>
                <w:i w:val="0"/>
                <w:iCs w:val="0"/>
                <w:sz w:val="21"/>
                <w:szCs w:val="21"/>
              </w:rPr>
              <w:t>废活性炭（HW49 900-041-49）</w:t>
            </w:r>
          </w:p>
        </w:tc>
        <w:tc>
          <w:tcPr>
            <w:tcW w:w="960" w:type="pct"/>
            <w:tcBorders>
              <w:top w:val="single" w:color="auto" w:sz="4" w:space="0"/>
              <w:bottom w:val="single" w:color="auto" w:sz="4" w:space="0"/>
            </w:tcBorders>
            <w:noWrap w:val="0"/>
            <w:vAlign w:val="center"/>
          </w:tcPr>
          <w:p>
            <w:pPr>
              <w:jc w:val="center"/>
              <w:rPr>
                <w:rFonts w:hint="eastAsia" w:ascii="Times New Roman" w:hAnsi="Times New Roman" w:eastAsia="宋体" w:cs="Times New Roman"/>
                <w:bCs/>
                <w:i w:val="0"/>
                <w:iCs w:val="0"/>
                <w:sz w:val="21"/>
                <w:szCs w:val="21"/>
              </w:rPr>
            </w:pPr>
            <w:r>
              <w:rPr>
                <w:rFonts w:hint="eastAsia" w:ascii="Times New Roman" w:hAnsi="Times New Roman" w:eastAsia="宋体" w:cs="Times New Roman"/>
                <w:bCs/>
                <w:i w:val="0"/>
                <w:iCs w:val="0"/>
                <w:sz w:val="21"/>
                <w:szCs w:val="21"/>
              </w:rPr>
              <w:t>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955" w:type="pct"/>
            <w:vMerge w:val="continue"/>
            <w:noWrap w:val="0"/>
            <w:vAlign w:val="center"/>
          </w:tcPr>
          <w:p>
            <w:pPr>
              <w:jc w:val="center"/>
              <w:rPr>
                <w:bCs/>
                <w:i w:val="0"/>
                <w:iCs w:val="0"/>
                <w:sz w:val="21"/>
                <w:szCs w:val="21"/>
              </w:rPr>
            </w:pPr>
          </w:p>
        </w:tc>
        <w:tc>
          <w:tcPr>
            <w:tcW w:w="670" w:type="pct"/>
            <w:vMerge w:val="continue"/>
            <w:tcBorders>
              <w:right w:val="single" w:color="000000" w:sz="2" w:space="0"/>
            </w:tcBorders>
            <w:noWrap w:val="0"/>
            <w:vAlign w:val="center"/>
          </w:tcPr>
          <w:p>
            <w:pPr>
              <w:autoSpaceDE w:val="0"/>
              <w:autoSpaceDN w:val="0"/>
              <w:adjustRightInd w:val="0"/>
              <w:jc w:val="center"/>
              <w:rPr>
                <w:rFonts w:hint="eastAsia"/>
                <w:bCs/>
                <w:i w:val="0"/>
                <w:iCs w:val="0"/>
                <w:sz w:val="21"/>
                <w:szCs w:val="21"/>
              </w:rPr>
            </w:pPr>
          </w:p>
        </w:tc>
        <w:tc>
          <w:tcPr>
            <w:tcW w:w="2414" w:type="pct"/>
            <w:tcBorders>
              <w:top w:val="single" w:color="auto" w:sz="4" w:space="0"/>
              <w:left w:val="single" w:color="000000" w:sz="2" w:space="0"/>
              <w:bottom w:val="single" w:color="auto" w:sz="4" w:space="0"/>
            </w:tcBorders>
            <w:noWrap w:val="0"/>
            <w:vAlign w:val="center"/>
          </w:tcPr>
          <w:p>
            <w:pPr>
              <w:jc w:val="center"/>
              <w:rPr>
                <w:rFonts w:hint="eastAsia" w:ascii="Times New Roman" w:hAnsi="Times New Roman" w:eastAsia="宋体" w:cs="Times New Roman"/>
                <w:bCs/>
                <w:i w:val="0"/>
                <w:iCs w:val="0"/>
                <w:sz w:val="21"/>
                <w:szCs w:val="21"/>
              </w:rPr>
            </w:pPr>
            <w:r>
              <w:rPr>
                <w:rFonts w:hint="eastAsia" w:ascii="Times New Roman" w:hAnsi="Times New Roman" w:eastAsia="宋体" w:cs="Times New Roman"/>
                <w:bCs/>
                <w:i w:val="0"/>
                <w:iCs w:val="0"/>
                <w:sz w:val="21"/>
                <w:szCs w:val="21"/>
                <w:lang w:val="en-US" w:eastAsia="zh-CN"/>
              </w:rPr>
              <w:t>实验废液</w:t>
            </w:r>
            <w:r>
              <w:rPr>
                <w:rFonts w:hint="eastAsia" w:ascii="Times New Roman" w:hAnsi="Times New Roman" w:eastAsia="宋体" w:cs="Times New Roman"/>
                <w:bCs/>
                <w:i w:val="0"/>
                <w:iCs w:val="0"/>
                <w:sz w:val="21"/>
                <w:szCs w:val="21"/>
              </w:rPr>
              <w:t>（HW49 900-047-49）</w:t>
            </w:r>
          </w:p>
        </w:tc>
        <w:tc>
          <w:tcPr>
            <w:tcW w:w="960" w:type="pct"/>
            <w:tcBorders>
              <w:top w:val="single" w:color="auto" w:sz="4" w:space="0"/>
              <w:bottom w:val="single" w:color="auto" w:sz="4" w:space="0"/>
            </w:tcBorders>
            <w:noWrap w:val="0"/>
            <w:vAlign w:val="center"/>
          </w:tcPr>
          <w:p>
            <w:pPr>
              <w:jc w:val="center"/>
              <w:rPr>
                <w:rFonts w:hint="default" w:ascii="Times New Roman" w:hAnsi="Times New Roman" w:eastAsia="宋体" w:cs="Times New Roman"/>
                <w:bCs/>
                <w:i w:val="0"/>
                <w:iCs w:val="0"/>
                <w:sz w:val="21"/>
                <w:szCs w:val="21"/>
                <w:lang w:val="en-US" w:eastAsia="zh-CN"/>
              </w:rPr>
            </w:pPr>
            <w:r>
              <w:rPr>
                <w:rFonts w:hint="eastAsia" w:ascii="Times New Roman" w:hAnsi="Times New Roman" w:eastAsia="宋体" w:cs="Times New Roman"/>
                <w:bCs/>
                <w:i w:val="0"/>
                <w:iCs w:val="0"/>
                <w:sz w:val="21"/>
                <w:szCs w:val="21"/>
                <w:lang w:val="en-US" w:eastAsia="zh-CN"/>
              </w:rPr>
              <w:t>0.07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955" w:type="pct"/>
            <w:vMerge w:val="continue"/>
            <w:noWrap w:val="0"/>
            <w:vAlign w:val="center"/>
          </w:tcPr>
          <w:p>
            <w:pPr>
              <w:jc w:val="center"/>
              <w:rPr>
                <w:bCs/>
                <w:i w:val="0"/>
                <w:iCs w:val="0"/>
                <w:sz w:val="21"/>
                <w:szCs w:val="21"/>
              </w:rPr>
            </w:pPr>
          </w:p>
        </w:tc>
        <w:tc>
          <w:tcPr>
            <w:tcW w:w="670" w:type="pct"/>
            <w:vMerge w:val="continue"/>
            <w:tcBorders>
              <w:right w:val="single" w:color="000000" w:sz="2" w:space="0"/>
            </w:tcBorders>
            <w:noWrap w:val="0"/>
            <w:vAlign w:val="center"/>
          </w:tcPr>
          <w:p>
            <w:pPr>
              <w:autoSpaceDE w:val="0"/>
              <w:autoSpaceDN w:val="0"/>
              <w:adjustRightInd w:val="0"/>
              <w:jc w:val="center"/>
              <w:rPr>
                <w:rFonts w:hint="eastAsia"/>
                <w:bCs/>
                <w:i w:val="0"/>
                <w:iCs w:val="0"/>
                <w:sz w:val="21"/>
                <w:szCs w:val="21"/>
              </w:rPr>
            </w:pPr>
          </w:p>
        </w:tc>
        <w:tc>
          <w:tcPr>
            <w:tcW w:w="2414" w:type="pct"/>
            <w:tcBorders>
              <w:top w:val="single" w:color="auto" w:sz="4" w:space="0"/>
              <w:left w:val="single" w:color="000000" w:sz="2" w:space="0"/>
              <w:bottom w:val="single" w:color="auto" w:sz="4" w:space="0"/>
            </w:tcBorders>
            <w:noWrap w:val="0"/>
            <w:vAlign w:val="center"/>
          </w:tcPr>
          <w:p>
            <w:pPr>
              <w:jc w:val="center"/>
              <w:rPr>
                <w:rFonts w:hint="eastAsia"/>
                <w:i w:val="0"/>
                <w:iCs w:val="0"/>
                <w:sz w:val="21"/>
                <w:szCs w:val="21"/>
              </w:rPr>
            </w:pPr>
            <w:r>
              <w:rPr>
                <w:rFonts w:hint="eastAsia" w:ascii="Times New Roman" w:hAnsi="Times New Roman" w:eastAsia="宋体" w:cs="Times New Roman"/>
                <w:i w:val="0"/>
                <w:iCs w:val="0"/>
                <w:sz w:val="21"/>
                <w:szCs w:val="21"/>
                <w:lang w:val="en-US" w:eastAsia="zh-CN"/>
              </w:rPr>
              <w:t>废包装瓶</w:t>
            </w:r>
            <w:r>
              <w:rPr>
                <w:rFonts w:hint="eastAsia"/>
                <w:i w:val="0"/>
                <w:iCs w:val="0"/>
                <w:sz w:val="21"/>
                <w:szCs w:val="21"/>
              </w:rPr>
              <w:t>（</w:t>
            </w:r>
            <w:r>
              <w:rPr>
                <w:rFonts w:hint="eastAsia" w:ascii="Times New Roman" w:hAnsi="Times New Roman" w:eastAsia="宋体" w:cs="Times New Roman"/>
                <w:i w:val="0"/>
                <w:iCs w:val="0"/>
                <w:sz w:val="21"/>
                <w:szCs w:val="21"/>
              </w:rPr>
              <w:t>HW49 900-047-49</w:t>
            </w:r>
            <w:r>
              <w:rPr>
                <w:rFonts w:hint="eastAsia"/>
                <w:i w:val="0"/>
                <w:iCs w:val="0"/>
                <w:sz w:val="21"/>
                <w:szCs w:val="21"/>
              </w:rPr>
              <w:t>）</w:t>
            </w:r>
          </w:p>
        </w:tc>
        <w:tc>
          <w:tcPr>
            <w:tcW w:w="960" w:type="pct"/>
            <w:tcBorders>
              <w:top w:val="single" w:color="auto" w:sz="4" w:space="0"/>
              <w:bottom w:val="single" w:color="auto" w:sz="4" w:space="0"/>
            </w:tcBorders>
            <w:noWrap w:val="0"/>
            <w:vAlign w:val="center"/>
          </w:tcPr>
          <w:p>
            <w:pPr>
              <w:widowControl/>
              <w:jc w:val="center"/>
              <w:textAlignment w:val="center"/>
              <w:rPr>
                <w:rFonts w:hint="default" w:eastAsia="宋体"/>
                <w:i w:val="0"/>
                <w:iCs w:val="0"/>
                <w:sz w:val="21"/>
                <w:szCs w:val="21"/>
                <w:lang w:val="en-US" w:eastAsia="zh-CN"/>
              </w:rPr>
            </w:pPr>
            <w:r>
              <w:rPr>
                <w:rFonts w:hint="eastAsia"/>
                <w:i w:val="0"/>
                <w:iCs w:val="0"/>
                <w:sz w:val="21"/>
                <w:szCs w:val="21"/>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955" w:type="pct"/>
            <w:vMerge w:val="continue"/>
            <w:noWrap w:val="0"/>
            <w:vAlign w:val="center"/>
          </w:tcPr>
          <w:p>
            <w:pPr>
              <w:jc w:val="center"/>
              <w:rPr>
                <w:bCs/>
                <w:i w:val="0"/>
                <w:iCs w:val="0"/>
                <w:sz w:val="21"/>
                <w:szCs w:val="21"/>
              </w:rPr>
            </w:pPr>
          </w:p>
        </w:tc>
        <w:tc>
          <w:tcPr>
            <w:tcW w:w="670" w:type="pct"/>
            <w:vMerge w:val="continue"/>
            <w:tcBorders>
              <w:right w:val="single" w:color="000000" w:sz="2" w:space="0"/>
            </w:tcBorders>
            <w:noWrap w:val="0"/>
            <w:vAlign w:val="center"/>
          </w:tcPr>
          <w:p>
            <w:pPr>
              <w:autoSpaceDE w:val="0"/>
              <w:autoSpaceDN w:val="0"/>
              <w:adjustRightInd w:val="0"/>
              <w:jc w:val="center"/>
              <w:rPr>
                <w:rFonts w:hint="eastAsia"/>
                <w:bCs/>
                <w:i w:val="0"/>
                <w:iCs w:val="0"/>
                <w:sz w:val="21"/>
                <w:szCs w:val="21"/>
              </w:rPr>
            </w:pPr>
          </w:p>
        </w:tc>
        <w:tc>
          <w:tcPr>
            <w:tcW w:w="2414" w:type="pct"/>
            <w:tcBorders>
              <w:top w:val="single" w:color="auto" w:sz="4" w:space="0"/>
              <w:left w:val="single" w:color="000000" w:sz="2" w:space="0"/>
            </w:tcBorders>
            <w:noWrap w:val="0"/>
            <w:vAlign w:val="center"/>
          </w:tcPr>
          <w:p>
            <w:pPr>
              <w:jc w:val="center"/>
              <w:rPr>
                <w:rFonts w:hint="eastAsia" w:ascii="Times New Roman" w:hAnsi="Times New Roman" w:eastAsia="宋体" w:cs="Times New Roman"/>
                <w:i w:val="0"/>
                <w:iCs w:val="0"/>
                <w:sz w:val="21"/>
                <w:szCs w:val="21"/>
                <w:lang w:val="en-US" w:eastAsia="zh-CN"/>
              </w:rPr>
            </w:pPr>
            <w:r>
              <w:rPr>
                <w:rFonts w:hint="eastAsia" w:cs="Times New Roman"/>
                <w:i w:val="0"/>
                <w:iCs w:val="0"/>
                <w:sz w:val="21"/>
                <w:szCs w:val="21"/>
                <w:lang w:val="en-US" w:eastAsia="zh-CN"/>
              </w:rPr>
              <w:t>废机油及废机油桶（HW08-900-249-08）</w:t>
            </w:r>
          </w:p>
        </w:tc>
        <w:tc>
          <w:tcPr>
            <w:tcW w:w="960" w:type="pct"/>
            <w:tcBorders>
              <w:top w:val="single" w:color="auto" w:sz="4" w:space="0"/>
            </w:tcBorders>
            <w:noWrap w:val="0"/>
            <w:vAlign w:val="center"/>
          </w:tcPr>
          <w:p>
            <w:pPr>
              <w:widowControl/>
              <w:jc w:val="center"/>
              <w:textAlignment w:val="center"/>
              <w:rPr>
                <w:rFonts w:hint="eastAsia"/>
                <w:i w:val="0"/>
                <w:iCs w:val="0"/>
                <w:sz w:val="21"/>
                <w:szCs w:val="21"/>
                <w:lang w:val="en-US" w:eastAsia="zh-CN"/>
              </w:rPr>
            </w:pPr>
            <w:r>
              <w:rPr>
                <w:rFonts w:hint="eastAsia"/>
                <w:i w:val="0"/>
                <w:iCs w:val="0"/>
                <w:sz w:val="21"/>
                <w:szCs w:val="21"/>
                <w:lang w:val="en-US" w:eastAsia="zh-CN"/>
              </w:rPr>
              <w:t>0.05</w:t>
            </w:r>
          </w:p>
        </w:tc>
      </w:tr>
    </w:tbl>
    <w:p>
      <w:pPr>
        <w:spacing w:line="360" w:lineRule="auto"/>
        <w:rPr>
          <w:rFonts w:hint="eastAsia"/>
          <w:i w:val="0"/>
          <w:iCs w:val="0"/>
          <w:sz w:val="18"/>
          <w:szCs w:val="18"/>
        </w:rPr>
      </w:pPr>
      <w:r>
        <w:rPr>
          <w:rFonts w:hint="eastAsia"/>
          <w:i w:val="0"/>
          <w:iCs w:val="0"/>
          <w:sz w:val="18"/>
          <w:szCs w:val="18"/>
        </w:rPr>
        <w:t>*现状按满负荷进行核算</w:t>
      </w:r>
    </w:p>
    <w:bookmarkEnd w:id="96"/>
    <w:bookmarkEnd w:id="97"/>
    <w:bookmarkEnd w:id="98"/>
    <w:bookmarkEnd w:id="99"/>
    <w:bookmarkEnd w:id="100"/>
    <w:bookmarkEnd w:id="101"/>
    <w:bookmarkEnd w:id="102"/>
    <w:bookmarkEnd w:id="103"/>
    <w:bookmarkEnd w:id="104"/>
    <w:bookmarkEnd w:id="105"/>
    <w:bookmarkEnd w:id="106"/>
    <w:p>
      <w:pPr>
        <w:pStyle w:val="4"/>
        <w:rPr>
          <w:rFonts w:hint="eastAsia" w:ascii="Times New Roman" w:hAnsi="Times New Roman" w:eastAsia="宋体"/>
          <w:b/>
          <w:i w:val="0"/>
          <w:iCs w:val="0"/>
          <w:sz w:val="28"/>
          <w:szCs w:val="28"/>
        </w:rPr>
      </w:pPr>
      <w:bookmarkStart w:id="107" w:name="_Toc437"/>
      <w:r>
        <w:rPr>
          <w:rFonts w:hint="eastAsia" w:ascii="Times New Roman" w:hAnsi="Times New Roman" w:eastAsia="宋体"/>
          <w:b/>
          <w:i w:val="0"/>
          <w:iCs w:val="0"/>
          <w:sz w:val="28"/>
          <w:szCs w:val="28"/>
        </w:rPr>
        <w:t>3</w:t>
      </w:r>
      <w:r>
        <w:rPr>
          <w:rFonts w:ascii="Times New Roman" w:hAnsi="Times New Roman" w:eastAsia="宋体"/>
          <w:b/>
          <w:i w:val="0"/>
          <w:iCs w:val="0"/>
          <w:sz w:val="28"/>
          <w:szCs w:val="28"/>
        </w:rPr>
        <w:t>.1</w:t>
      </w:r>
      <w:r>
        <w:rPr>
          <w:rFonts w:hint="eastAsia" w:ascii="Times New Roman" w:hAnsi="Times New Roman" w:eastAsia="宋体"/>
          <w:b/>
          <w:i w:val="0"/>
          <w:iCs w:val="0"/>
          <w:sz w:val="28"/>
          <w:szCs w:val="28"/>
        </w:rPr>
        <w:t>0</w:t>
      </w:r>
      <w:r>
        <w:rPr>
          <w:rFonts w:ascii="Times New Roman" w:hAnsi="Times New Roman" w:eastAsia="宋体"/>
          <w:b/>
          <w:i w:val="0"/>
          <w:iCs w:val="0"/>
          <w:sz w:val="28"/>
          <w:szCs w:val="28"/>
        </w:rPr>
        <w:t>污染物总量控制</w:t>
      </w:r>
      <w:bookmarkEnd w:id="107"/>
    </w:p>
    <w:p>
      <w:pPr>
        <w:pStyle w:val="354"/>
        <w:ind w:firstLine="480"/>
        <w:rPr>
          <w:i w:val="0"/>
          <w:iCs w:val="0"/>
          <w:szCs w:val="24"/>
        </w:rPr>
      </w:pPr>
      <w:r>
        <w:rPr>
          <w:i w:val="0"/>
          <w:iCs w:val="0"/>
          <w:szCs w:val="24"/>
        </w:rPr>
        <w:t>根据吉林省生态环境厅2022年5月10日出具的《关于进一步明确建设项目主要污染物排放总量审核有关事宜的复函》相关内容，“执行其他行业排放管理的建设项目包括除重点行业外、仅含有按照《排污许可证申请与核发技术规范》确定的一般排放口或无排污口的建设项目”；“其他行业因排污量很少或基本不新增排污量，在环评审批过程中予以豁免主要污染物总量审核。各级环评审批部门应自行建立统计台账，纳入环境管理”</w:t>
      </w:r>
    </w:p>
    <w:p>
      <w:pPr>
        <w:pStyle w:val="354"/>
        <w:ind w:firstLine="480"/>
        <w:rPr>
          <w:i w:val="0"/>
          <w:iCs w:val="0"/>
          <w:szCs w:val="24"/>
        </w:rPr>
      </w:pPr>
      <w:r>
        <w:rPr>
          <w:i w:val="0"/>
          <w:iCs w:val="0"/>
          <w:szCs w:val="24"/>
        </w:rPr>
        <w:t>本项目国民经济行业类别为“</w:t>
      </w:r>
      <w:r>
        <w:rPr>
          <w:rFonts w:hint="eastAsia"/>
          <w:i w:val="0"/>
          <w:iCs w:val="0"/>
          <w:color w:val="000000"/>
          <w:szCs w:val="21"/>
        </w:rPr>
        <w:t>C1495食品及饲料添加剂制造</w:t>
      </w:r>
      <w:r>
        <w:rPr>
          <w:rFonts w:hint="eastAsia"/>
          <w:i w:val="0"/>
          <w:iCs w:val="0"/>
          <w:szCs w:val="24"/>
        </w:rPr>
        <w:t>”</w:t>
      </w:r>
      <w:r>
        <w:rPr>
          <w:i w:val="0"/>
          <w:iCs w:val="0"/>
          <w:szCs w:val="24"/>
        </w:rPr>
        <w:t>，不属于石化、煤化工、燃煤发电、钢铁、有色金属冶炼、建材、造纸纸浆、印染、集中供热等执行重点行业排放管理的建设项目；本项目不涉及主要排放口，不属于执行一般行业排放管理的建设项目；本项目属于除重点行业外、仅含有按照《排污许可证申请与核发技术规范》确定的一般排放口的建设项目，故本项目属于执行其他行业排放管理的建设项目。</w:t>
      </w:r>
    </w:p>
    <w:p>
      <w:pPr>
        <w:pStyle w:val="354"/>
        <w:ind w:firstLine="480"/>
        <w:rPr>
          <w:i w:val="0"/>
          <w:iCs w:val="0"/>
          <w:szCs w:val="24"/>
        </w:rPr>
      </w:pPr>
      <w:r>
        <w:rPr>
          <w:i w:val="0"/>
          <w:iCs w:val="0"/>
          <w:szCs w:val="24"/>
        </w:rPr>
        <w:t>根据吉林省生态环境厅《关于进一步明确建设项目主要污染物排放总量审核有关事宜的复函》相关内容，本项目在环评审批过程中予以豁免主要污染物总量审核，应自行建立统计台账，纳入环境管理。</w:t>
      </w:r>
    </w:p>
    <w:p>
      <w:pPr>
        <w:pStyle w:val="76"/>
        <w:spacing w:line="360" w:lineRule="auto"/>
        <w:rPr>
          <w:i w:val="0"/>
          <w:iCs w:val="0"/>
        </w:rPr>
        <w:sectPr>
          <w:pgSz w:w="11907" w:h="16840"/>
          <w:pgMar w:top="1418" w:right="1304" w:bottom="1418" w:left="1304" w:header="851" w:footer="1134" w:gutter="0"/>
          <w:pgBorders>
            <w:top w:val="none" w:sz="0" w:space="0"/>
            <w:left w:val="none" w:sz="0" w:space="0"/>
            <w:bottom w:val="none" w:sz="0" w:space="0"/>
            <w:right w:val="none" w:sz="0" w:space="0"/>
          </w:pgBorders>
          <w:pgNumType w:fmt="decimal"/>
          <w:cols w:space="720" w:num="1"/>
          <w:docGrid w:linePitch="312" w:charSpace="0"/>
        </w:sectPr>
      </w:pPr>
    </w:p>
    <w:p>
      <w:pPr>
        <w:pStyle w:val="3"/>
        <w:spacing w:before="120" w:after="360" w:line="360" w:lineRule="auto"/>
        <w:jc w:val="center"/>
        <w:rPr>
          <w:i w:val="0"/>
          <w:iCs w:val="0"/>
          <w:sz w:val="36"/>
        </w:rPr>
      </w:pPr>
      <w:bookmarkStart w:id="108" w:name="_Toc22359"/>
      <w:r>
        <w:rPr>
          <w:i w:val="0"/>
          <w:iCs w:val="0"/>
          <w:sz w:val="36"/>
        </w:rPr>
        <w:t>第</w:t>
      </w:r>
      <w:r>
        <w:rPr>
          <w:rFonts w:hint="eastAsia"/>
          <w:i w:val="0"/>
          <w:iCs w:val="0"/>
          <w:sz w:val="36"/>
        </w:rPr>
        <w:t>四</w:t>
      </w:r>
      <w:r>
        <w:rPr>
          <w:i w:val="0"/>
          <w:iCs w:val="0"/>
          <w:sz w:val="36"/>
        </w:rPr>
        <w:t>章环境现状调查与评价</w:t>
      </w:r>
      <w:bookmarkEnd w:id="108"/>
    </w:p>
    <w:p>
      <w:pPr>
        <w:pStyle w:val="4"/>
        <w:rPr>
          <w:rFonts w:ascii="Times New Roman" w:hAnsi="Times New Roman" w:eastAsia="宋体"/>
          <w:b/>
          <w:i w:val="0"/>
          <w:iCs w:val="0"/>
          <w:sz w:val="28"/>
          <w:szCs w:val="28"/>
        </w:rPr>
      </w:pPr>
      <w:bookmarkStart w:id="109" w:name="_Toc323279950"/>
      <w:bookmarkStart w:id="110" w:name="_Toc7958"/>
      <w:r>
        <w:rPr>
          <w:rFonts w:hint="eastAsia" w:ascii="Times New Roman" w:hAnsi="Times New Roman" w:eastAsia="宋体"/>
          <w:b/>
          <w:i w:val="0"/>
          <w:iCs w:val="0"/>
          <w:sz w:val="28"/>
          <w:szCs w:val="28"/>
        </w:rPr>
        <w:t>4</w:t>
      </w:r>
      <w:r>
        <w:rPr>
          <w:rFonts w:ascii="Times New Roman" w:hAnsi="Times New Roman" w:eastAsia="宋体"/>
          <w:b/>
          <w:i w:val="0"/>
          <w:iCs w:val="0"/>
          <w:sz w:val="28"/>
          <w:szCs w:val="28"/>
        </w:rPr>
        <w:t>.1自然环境概况</w:t>
      </w:r>
      <w:bookmarkEnd w:id="109"/>
      <w:bookmarkEnd w:id="110"/>
    </w:p>
    <w:p>
      <w:pPr>
        <w:spacing w:line="360" w:lineRule="auto"/>
        <w:ind w:firstLine="480" w:firstLineChars="200"/>
        <w:rPr>
          <w:i w:val="0"/>
          <w:iCs w:val="0"/>
        </w:rPr>
      </w:pPr>
      <w:r>
        <w:rPr>
          <w:rFonts w:hint="eastAsia"/>
          <w:i w:val="0"/>
          <w:iCs w:val="0"/>
        </w:rPr>
        <w:t>4</w:t>
      </w:r>
      <w:r>
        <w:rPr>
          <w:i w:val="0"/>
          <w:iCs w:val="0"/>
        </w:rPr>
        <w:t>.1.1地理位置</w:t>
      </w:r>
    </w:p>
    <w:p>
      <w:pPr>
        <w:pStyle w:val="26"/>
        <w:spacing w:line="360" w:lineRule="auto"/>
        <w:rPr>
          <w:rFonts w:hint="eastAsia" w:ascii="Times New Roman" w:hAnsi="Times New Roman"/>
          <w:i w:val="0"/>
          <w:iCs w:val="0"/>
        </w:rPr>
      </w:pPr>
      <w:r>
        <w:rPr>
          <w:rFonts w:hint="eastAsia" w:ascii="Times New Roman" w:hAnsi="Times New Roman"/>
          <w:i w:val="0"/>
          <w:iCs w:val="0"/>
        </w:rPr>
        <w:t>白山市是吉林省下辖地级市，位于吉林长白山西侧，东与延边朝鲜族自治州相邻；西与通化接壤；北与吉林毗连；南与朝鲜惠山市隔鸭绿江相望；辖2个市辖区、2个县、1个自治县，代管1个县级市；地处长白山腹地，长白熔岩台地和靖宇熔岩台地覆盖境内大部分地区，龙岗山脉和老岭山脉斜贯全境；属北温带大陆性季风气候；总面积17485km</w:t>
      </w:r>
      <w:r>
        <w:rPr>
          <w:rFonts w:hint="eastAsia" w:ascii="Times New Roman" w:hAnsi="Times New Roman"/>
          <w:i w:val="0"/>
          <w:iCs w:val="0"/>
          <w:vertAlign w:val="superscript"/>
        </w:rPr>
        <w:t xml:space="preserve">2 </w:t>
      </w:r>
      <w:r>
        <w:rPr>
          <w:rFonts w:hint="eastAsia" w:ascii="Times New Roman" w:hAnsi="Times New Roman"/>
          <w:i w:val="0"/>
          <w:iCs w:val="0"/>
        </w:rPr>
        <w:t>。</w:t>
      </w:r>
    </w:p>
    <w:p>
      <w:pPr>
        <w:pStyle w:val="26"/>
        <w:spacing w:line="360" w:lineRule="auto"/>
        <w:rPr>
          <w:rFonts w:hint="eastAsia" w:ascii="Times New Roman" w:hAnsi="Times New Roman"/>
          <w:i w:val="0"/>
          <w:iCs w:val="0"/>
        </w:rPr>
      </w:pPr>
      <w:r>
        <w:rPr>
          <w:rFonts w:hint="eastAsia" w:ascii="Times New Roman" w:hAnsi="Times New Roman"/>
          <w:i w:val="0"/>
          <w:iCs w:val="0"/>
        </w:rPr>
        <w:t>本项目位于江源工业经济开发区长白山特色食药科技产业园区，地理位置中心坐标：东经126.5886946°，北纬42.0797553°，其地理位置详见附图1-1。</w:t>
      </w:r>
    </w:p>
    <w:p>
      <w:pPr>
        <w:spacing w:line="360" w:lineRule="auto"/>
        <w:ind w:firstLine="480" w:firstLineChars="200"/>
        <w:rPr>
          <w:i w:val="0"/>
          <w:iCs w:val="0"/>
        </w:rPr>
      </w:pPr>
      <w:r>
        <w:rPr>
          <w:rFonts w:hint="eastAsia"/>
          <w:i w:val="0"/>
          <w:iCs w:val="0"/>
        </w:rPr>
        <w:t>4</w:t>
      </w:r>
      <w:r>
        <w:rPr>
          <w:i w:val="0"/>
          <w:iCs w:val="0"/>
        </w:rPr>
        <w:t>.1.2地形地貌</w:t>
      </w:r>
    </w:p>
    <w:p>
      <w:pPr>
        <w:pStyle w:val="26"/>
        <w:spacing w:line="360" w:lineRule="auto"/>
        <w:rPr>
          <w:rFonts w:hint="eastAsia" w:ascii="Times New Roman" w:hAnsi="Times New Roman"/>
          <w:i w:val="0"/>
          <w:iCs w:val="0"/>
        </w:rPr>
      </w:pPr>
      <w:r>
        <w:rPr>
          <w:rFonts w:hint="eastAsia" w:ascii="Times New Roman" w:hAnsi="Times New Roman"/>
          <w:i w:val="0"/>
          <w:iCs w:val="0"/>
        </w:rPr>
        <w:t>白山市地处长白山腹地，境内山峰林立，绵亘起伏，沟谷交错，河流纵横。长白熔岩台地和靖宇熔岩台地覆盖境内大部分地区，龙岗山脉和老岭山脉斜贯全境。龙岗山脉海拔800—1200m，相对高度在500－700m 之间；老岭山脉山体高大，海拔1000－1300m，相对高度500－800m之间。鸭绿江沿岸地形起伏较大，沟谷切割较深，地势较险峻。境内最高点长白山主峰白云峰海拔2691米，为东北地区最高峰；最低点靖宇县的批州口子，海拔279.3m。</w:t>
      </w:r>
    </w:p>
    <w:p>
      <w:pPr>
        <w:spacing w:line="360" w:lineRule="auto"/>
        <w:ind w:firstLine="480" w:firstLineChars="200"/>
        <w:rPr>
          <w:rFonts w:hint="eastAsia"/>
          <w:i w:val="0"/>
          <w:iCs w:val="0"/>
        </w:rPr>
      </w:pPr>
      <w:r>
        <w:rPr>
          <w:rFonts w:hint="eastAsia"/>
          <w:i w:val="0"/>
          <w:iCs w:val="0"/>
        </w:rPr>
        <w:t>4.1.3地质地况</w:t>
      </w:r>
    </w:p>
    <w:p>
      <w:pPr>
        <w:pStyle w:val="26"/>
        <w:spacing w:line="360" w:lineRule="auto"/>
        <w:rPr>
          <w:rFonts w:hint="eastAsia" w:ascii="Times New Roman" w:hAnsi="Times New Roman"/>
          <w:i w:val="0"/>
          <w:iCs w:val="0"/>
        </w:rPr>
      </w:pPr>
      <w:r>
        <w:rPr>
          <w:rFonts w:hint="eastAsia" w:ascii="Times New Roman" w:hAnsi="Times New Roman"/>
          <w:i w:val="0"/>
          <w:iCs w:val="0"/>
        </w:rPr>
        <w:t>本区大地构造位置位于中朝准地台（Ⅰ）、辽东台隆（Ⅱ）、铁岭～靖宇台拱（Ⅲ）、龙岗段块（Ⅳ）的南缘，与太子河—浑江凹陷带之浑江上游凹陷接触。区内构造比较发育，以褶皱构造和断裂构造为主。褶皱构造：该区位于龙岗背斜南翼，故区内褶皱构造亦隶属区域褶皱构造作用的次一级的复式褶皱构造。本区断裂构造比较发育，矿区所见断裂构造，是伴随褶曲构造活动形成的。</w:t>
      </w:r>
    </w:p>
    <w:p>
      <w:pPr>
        <w:spacing w:line="360" w:lineRule="auto"/>
        <w:ind w:firstLine="480" w:firstLineChars="200"/>
        <w:rPr>
          <w:rFonts w:hint="eastAsia"/>
          <w:i w:val="0"/>
          <w:iCs w:val="0"/>
        </w:rPr>
      </w:pPr>
      <w:r>
        <w:rPr>
          <w:rFonts w:hint="eastAsia"/>
          <w:i w:val="0"/>
          <w:iCs w:val="0"/>
        </w:rPr>
        <w:t>4.1.4气候与气象</w:t>
      </w:r>
    </w:p>
    <w:p>
      <w:pPr>
        <w:pStyle w:val="26"/>
        <w:spacing w:line="360" w:lineRule="auto"/>
        <w:rPr>
          <w:rFonts w:hint="eastAsia" w:ascii="Times New Roman" w:hAnsi="Times New Roman"/>
          <w:i w:val="0"/>
          <w:iCs w:val="0"/>
        </w:rPr>
      </w:pPr>
      <w:r>
        <w:rPr>
          <w:rFonts w:hint="eastAsia" w:ascii="Times New Roman" w:hAnsi="Times New Roman"/>
          <w:i w:val="0"/>
          <w:iCs w:val="0"/>
        </w:rPr>
        <w:t>白山市区具有明显的北温带大陆性季风气候特征：夏季温热多雨而短促，冬季寒冷干燥而漫长，四季分明，历年平均气温4℃，最高气温37℃（1958年8月10日），年最低气温-35℃（1959年1月9日），冰冻期193d，冰冻深度最大为1.5m。</w:t>
      </w:r>
    </w:p>
    <w:p>
      <w:pPr>
        <w:pStyle w:val="26"/>
        <w:spacing w:line="360" w:lineRule="auto"/>
        <w:rPr>
          <w:rFonts w:hint="eastAsia"/>
          <w:i w:val="0"/>
          <w:iCs w:val="0"/>
        </w:rPr>
      </w:pPr>
      <w:r>
        <w:rPr>
          <w:rFonts w:hint="eastAsia" w:ascii="Times New Roman" w:hAnsi="Times New Roman"/>
          <w:i w:val="0"/>
          <w:iCs w:val="0"/>
        </w:rPr>
        <w:t>主导风向为西南风，平均频率26%，最大风速12m/s，冬季静风期较多，占全区年33%。年平均降水量860mm，最大日降水量104.3mm（1954年8月22日），每年7-8月份雨量较为集中，约占全年的65%</w:t>
      </w:r>
      <w:r>
        <w:rPr>
          <w:rFonts w:hint="eastAsia"/>
          <w:i w:val="0"/>
          <w:iCs w:val="0"/>
        </w:rPr>
        <w:t>。</w:t>
      </w:r>
    </w:p>
    <w:p>
      <w:pPr>
        <w:spacing w:line="360" w:lineRule="auto"/>
        <w:ind w:firstLine="480" w:firstLineChars="200"/>
        <w:rPr>
          <w:rFonts w:hint="eastAsia"/>
          <w:i w:val="0"/>
          <w:iCs w:val="0"/>
        </w:rPr>
      </w:pPr>
      <w:r>
        <w:rPr>
          <w:rFonts w:hint="eastAsia"/>
          <w:i w:val="0"/>
          <w:iCs w:val="0"/>
        </w:rPr>
        <w:t>4.1.5水文条件</w:t>
      </w:r>
    </w:p>
    <w:p>
      <w:pPr>
        <w:pStyle w:val="26"/>
        <w:spacing w:line="360" w:lineRule="auto"/>
        <w:rPr>
          <w:rFonts w:hint="eastAsia" w:ascii="Times New Roman" w:hAnsi="Times New Roman"/>
          <w:i w:val="0"/>
          <w:iCs w:val="0"/>
        </w:rPr>
      </w:pPr>
      <w:bookmarkStart w:id="111" w:name="_Toc323279951"/>
      <w:r>
        <w:rPr>
          <w:rFonts w:hint="eastAsia" w:ascii="Times New Roman" w:hAnsi="Times New Roman"/>
          <w:i w:val="0"/>
          <w:iCs w:val="0"/>
        </w:rPr>
        <w:t>浑江为鸭绿江水系，也是白山市境内的主要水系。其干流发源于老爷岭山脉西北侧，流经大阳岔、三岔子，三岔子以上为河源区，西南、西北、东北三岔分别发源于长白山龙岗山脉的大板石岭、三长旗岭、枫叶岭，汇于三岔子镇后称为浑江，一般12月至翌年3月水量最小，为枯水期，4月下旬至6月下旬为春汛期，7、8月为夏汛，9—11 月为平水期。白山市位于浑江水系的上游，市区河宽120m，夏季水深1—2m，冬季低于1m；最大流速为1.55m/s，最大流量为246m</w:t>
      </w:r>
      <w:r>
        <w:rPr>
          <w:rFonts w:hint="eastAsia" w:ascii="Times New Roman" w:hAnsi="Times New Roman"/>
          <w:i w:val="0"/>
          <w:iCs w:val="0"/>
          <w:vertAlign w:val="superscript"/>
        </w:rPr>
        <w:t>3</w:t>
      </w:r>
      <w:r>
        <w:rPr>
          <w:rFonts w:hint="eastAsia" w:ascii="Times New Roman" w:hAnsi="Times New Roman"/>
          <w:i w:val="0"/>
          <w:iCs w:val="0"/>
        </w:rPr>
        <w:t>/s，多年平均流量为 20.9m</w:t>
      </w:r>
      <w:r>
        <w:rPr>
          <w:rFonts w:hint="eastAsia" w:ascii="Times New Roman" w:hAnsi="Times New Roman"/>
          <w:i w:val="0"/>
          <w:iCs w:val="0"/>
          <w:vertAlign w:val="superscript"/>
        </w:rPr>
        <w:t>3</w:t>
      </w:r>
      <w:r>
        <w:rPr>
          <w:rFonts w:hint="eastAsia" w:ascii="Times New Roman" w:hAnsi="Times New Roman"/>
          <w:i w:val="0"/>
          <w:iCs w:val="0"/>
        </w:rPr>
        <w:t>/s，年径流量为 4.2亿m</w:t>
      </w:r>
      <w:r>
        <w:rPr>
          <w:rFonts w:hint="eastAsia" w:ascii="Times New Roman" w:hAnsi="Times New Roman"/>
          <w:i w:val="0"/>
          <w:iCs w:val="0"/>
          <w:vertAlign w:val="superscript"/>
        </w:rPr>
        <w:t>3</w:t>
      </w:r>
      <w:r>
        <w:rPr>
          <w:rFonts w:hint="eastAsia" w:ascii="Times New Roman" w:hAnsi="Times New Roman"/>
          <w:i w:val="0"/>
          <w:iCs w:val="0"/>
        </w:rPr>
        <w:t>。</w:t>
      </w:r>
    </w:p>
    <w:p>
      <w:pPr>
        <w:pStyle w:val="26"/>
        <w:spacing w:line="360" w:lineRule="auto"/>
        <w:rPr>
          <w:rFonts w:hint="eastAsia" w:ascii="Times New Roman" w:hAnsi="Times New Roman"/>
          <w:i w:val="0"/>
          <w:iCs w:val="0"/>
        </w:rPr>
      </w:pPr>
      <w:r>
        <w:rPr>
          <w:rFonts w:hint="eastAsia" w:ascii="Times New Roman" w:hAnsi="Times New Roman"/>
          <w:i w:val="0"/>
          <w:iCs w:val="0"/>
        </w:rPr>
        <w:t>板石沟河为山区性河流，河道弯曲，水流湍急，坡陡、谷窄、有跌水。中下游河段地下水发育，受泉水补给，枯季径流丰富，河道常年有水，多年平均流量为10.5m</w:t>
      </w:r>
      <w:r>
        <w:rPr>
          <w:rFonts w:hint="eastAsia" w:ascii="Times New Roman" w:hAnsi="Times New Roman"/>
          <w:i w:val="0"/>
          <w:iCs w:val="0"/>
          <w:vertAlign w:val="superscript"/>
        </w:rPr>
        <w:t>3</w:t>
      </w:r>
      <w:r>
        <w:rPr>
          <w:rFonts w:hint="eastAsia" w:ascii="Times New Roman" w:hAnsi="Times New Roman"/>
          <w:i w:val="0"/>
          <w:iCs w:val="0"/>
        </w:rPr>
        <w:t>/s，年径流量为1140万m</w:t>
      </w:r>
      <w:r>
        <w:rPr>
          <w:rFonts w:hint="eastAsia" w:ascii="Times New Roman" w:hAnsi="Times New Roman"/>
          <w:i w:val="0"/>
          <w:iCs w:val="0"/>
          <w:vertAlign w:val="superscript"/>
        </w:rPr>
        <w:t>3</w:t>
      </w:r>
      <w:r>
        <w:rPr>
          <w:rFonts w:hint="eastAsia" w:ascii="Times New Roman" w:hAnsi="Times New Roman"/>
          <w:i w:val="0"/>
          <w:iCs w:val="0"/>
        </w:rPr>
        <w:t>。</w:t>
      </w:r>
    </w:p>
    <w:p>
      <w:pPr>
        <w:pStyle w:val="26"/>
        <w:spacing w:line="360" w:lineRule="auto"/>
        <w:rPr>
          <w:rFonts w:hint="eastAsia" w:ascii="Times New Roman" w:hAnsi="Times New Roman"/>
          <w:i w:val="0"/>
          <w:iCs w:val="0"/>
        </w:rPr>
      </w:pPr>
      <w:r>
        <w:rPr>
          <w:rFonts w:hint="eastAsia" w:ascii="Times New Roman" w:hAnsi="Times New Roman"/>
          <w:i w:val="0"/>
          <w:iCs w:val="0"/>
        </w:rPr>
        <w:t>白山市地下水较为丰富，埋藏深度一般为0.7m左右，其流向与浑江基本一致，自东向西，市区内透水层江北为3m 以上，河谷下游均在4m以上，江南在2—4m之间。</w:t>
      </w:r>
    </w:p>
    <w:bookmarkEnd w:id="111"/>
    <w:p>
      <w:pPr>
        <w:pStyle w:val="4"/>
        <w:spacing w:before="0" w:after="0"/>
        <w:rPr>
          <w:rFonts w:ascii="Times New Roman" w:hAnsi="Times New Roman" w:eastAsia="宋体"/>
          <w:b/>
          <w:i w:val="0"/>
          <w:iCs w:val="0"/>
          <w:sz w:val="28"/>
          <w:szCs w:val="28"/>
        </w:rPr>
      </w:pPr>
      <w:bookmarkStart w:id="112" w:name="_Toc10843"/>
      <w:bookmarkStart w:id="113" w:name="_Toc323279952"/>
      <w:r>
        <w:rPr>
          <w:rFonts w:hint="eastAsia" w:ascii="Times New Roman" w:hAnsi="Times New Roman" w:eastAsia="宋体"/>
          <w:b/>
          <w:i w:val="0"/>
          <w:iCs w:val="0"/>
          <w:sz w:val="28"/>
          <w:szCs w:val="28"/>
        </w:rPr>
        <w:t>4</w:t>
      </w:r>
      <w:r>
        <w:rPr>
          <w:rFonts w:ascii="Times New Roman" w:hAnsi="Times New Roman" w:eastAsia="宋体"/>
          <w:b/>
          <w:i w:val="0"/>
          <w:iCs w:val="0"/>
          <w:sz w:val="28"/>
          <w:szCs w:val="28"/>
        </w:rPr>
        <w:t>.</w:t>
      </w:r>
      <w:r>
        <w:rPr>
          <w:rFonts w:hint="eastAsia" w:ascii="Times New Roman" w:hAnsi="Times New Roman" w:eastAsia="宋体"/>
          <w:b/>
          <w:i w:val="0"/>
          <w:iCs w:val="0"/>
          <w:sz w:val="28"/>
          <w:szCs w:val="28"/>
        </w:rPr>
        <w:t>2</w:t>
      </w:r>
      <w:r>
        <w:rPr>
          <w:rFonts w:ascii="Times New Roman" w:hAnsi="Times New Roman" w:eastAsia="宋体"/>
          <w:b/>
          <w:i w:val="0"/>
          <w:iCs w:val="0"/>
          <w:sz w:val="28"/>
          <w:szCs w:val="28"/>
        </w:rPr>
        <w:t>区域环境质量概况</w:t>
      </w:r>
      <w:bookmarkEnd w:id="112"/>
      <w:bookmarkEnd w:id="113"/>
    </w:p>
    <w:p>
      <w:pPr>
        <w:spacing w:line="360" w:lineRule="auto"/>
        <w:ind w:firstLine="480" w:firstLineChars="200"/>
        <w:rPr>
          <w:i w:val="0"/>
          <w:iCs w:val="0"/>
        </w:rPr>
      </w:pPr>
      <w:r>
        <w:rPr>
          <w:i w:val="0"/>
          <w:iCs w:val="0"/>
        </w:rPr>
        <w:t>为了了解区域环境质量现状，监测和调查了地表水环境、地下水环境、环境空气和声环境。</w:t>
      </w:r>
    </w:p>
    <w:p>
      <w:pPr>
        <w:adjustRightInd w:val="0"/>
        <w:snapToGrid w:val="0"/>
        <w:spacing w:line="360" w:lineRule="auto"/>
        <w:ind w:firstLine="480" w:firstLineChars="200"/>
        <w:rPr>
          <w:i w:val="0"/>
          <w:iCs w:val="0"/>
        </w:rPr>
      </w:pPr>
      <w:r>
        <w:rPr>
          <w:rFonts w:hint="eastAsia"/>
          <w:i w:val="0"/>
          <w:iCs w:val="0"/>
        </w:rPr>
        <w:t>4</w:t>
      </w:r>
      <w:r>
        <w:rPr>
          <w:i w:val="0"/>
          <w:iCs w:val="0"/>
        </w:rPr>
        <w:t>.</w:t>
      </w:r>
      <w:r>
        <w:rPr>
          <w:rFonts w:hint="eastAsia"/>
          <w:i w:val="0"/>
          <w:iCs w:val="0"/>
        </w:rPr>
        <w:t>3</w:t>
      </w:r>
      <w:r>
        <w:rPr>
          <w:i w:val="0"/>
          <w:iCs w:val="0"/>
        </w:rPr>
        <w:t>.1地表水环境质量现状调查与评价</w:t>
      </w:r>
    </w:p>
    <w:p>
      <w:pPr>
        <w:widowControl/>
        <w:spacing w:line="360" w:lineRule="auto"/>
        <w:ind w:firstLine="488" w:firstLineChars="200"/>
        <w:jc w:val="left"/>
        <w:rPr>
          <w:rFonts w:hint="eastAsia"/>
          <w:i w:val="0"/>
          <w:iCs w:val="0"/>
          <w:spacing w:val="2"/>
        </w:rPr>
      </w:pPr>
      <w:r>
        <w:rPr>
          <w:rFonts w:hint="eastAsia"/>
          <w:i w:val="0"/>
          <w:iCs w:val="0"/>
          <w:spacing w:val="2"/>
        </w:rPr>
        <w:t>1 、地表水环境评价等级判定及区域污染源调查</w:t>
      </w:r>
    </w:p>
    <w:p>
      <w:pPr>
        <w:widowControl/>
        <w:spacing w:line="360" w:lineRule="auto"/>
        <w:ind w:firstLine="488" w:firstLineChars="200"/>
        <w:jc w:val="left"/>
        <w:rPr>
          <w:rFonts w:hint="eastAsia"/>
          <w:i w:val="0"/>
          <w:iCs w:val="0"/>
          <w:spacing w:val="2"/>
        </w:rPr>
      </w:pPr>
      <w:r>
        <w:rPr>
          <w:rFonts w:hint="eastAsia"/>
          <w:i w:val="0"/>
          <w:iCs w:val="0"/>
          <w:spacing w:val="2"/>
        </w:rPr>
        <w:t>根据《环境影响评价技术导则-地表水环境》（HJ2.3-2018）中6.6.3水环境质量现状调查：应优先采用国务院生态环境保护主管部门统一发布的水环境状况信息；当现有资料不能满足要求时，应按照不同等级对应的评价时期要求开展现状监测；水污染影响类型建设项目一级、二级评价时，应调查受纳水体近3年的水环境质量数据，分析其变化趋势。</w:t>
      </w:r>
    </w:p>
    <w:p>
      <w:pPr>
        <w:widowControl/>
        <w:spacing w:line="360" w:lineRule="auto"/>
        <w:ind w:firstLine="488" w:firstLineChars="200"/>
        <w:jc w:val="left"/>
        <w:rPr>
          <w:rFonts w:hint="eastAsia"/>
          <w:i w:val="0"/>
          <w:iCs w:val="0"/>
          <w:spacing w:val="2"/>
        </w:rPr>
      </w:pPr>
      <w:r>
        <w:rPr>
          <w:rFonts w:hint="eastAsia"/>
          <w:i w:val="0"/>
          <w:iCs w:val="0"/>
          <w:spacing w:val="2"/>
        </w:rPr>
        <w:t>经过前文工程分析得出，本项目废水进入城镇污水处理厂处理达标排放。因此地表水评价等级参照间接排放，定为三级B，不需要开展区域污染源调查。</w:t>
      </w:r>
    </w:p>
    <w:p>
      <w:pPr>
        <w:widowControl/>
        <w:spacing w:line="360" w:lineRule="auto"/>
        <w:ind w:firstLine="488" w:firstLineChars="200"/>
        <w:jc w:val="left"/>
        <w:rPr>
          <w:rFonts w:hint="eastAsia"/>
          <w:i w:val="0"/>
          <w:iCs w:val="0"/>
          <w:spacing w:val="2"/>
        </w:rPr>
      </w:pPr>
      <w:r>
        <w:rPr>
          <w:rFonts w:hint="eastAsia"/>
          <w:i w:val="0"/>
          <w:iCs w:val="0"/>
          <w:spacing w:val="2"/>
        </w:rPr>
        <w:t>2 、地表水环境现状调查与评价</w:t>
      </w:r>
    </w:p>
    <w:p>
      <w:pPr>
        <w:autoSpaceDE w:val="0"/>
        <w:autoSpaceDN w:val="0"/>
        <w:adjustRightInd w:val="0"/>
        <w:snapToGrid w:val="0"/>
        <w:spacing w:line="360" w:lineRule="auto"/>
        <w:ind w:firstLine="480" w:firstLineChars="200"/>
        <w:rPr>
          <w:rFonts w:hint="eastAsia"/>
          <w:i w:val="0"/>
          <w:iCs w:val="0"/>
          <w:color w:val="000000"/>
          <w:kern w:val="0"/>
          <w:lang w:bidi="ar"/>
        </w:rPr>
      </w:pPr>
      <w:r>
        <w:rPr>
          <w:rFonts w:hint="eastAsia"/>
          <w:i w:val="0"/>
          <w:iCs w:val="0"/>
          <w:color w:val="000000"/>
          <w:kern w:val="0"/>
          <w:lang w:bidi="ar"/>
        </w:rPr>
        <w:t>本项目所在区域地表水环境现状优先采用吉林省生态环境厅2024年发布的《2024年吉林省地表水国控断面水质月报（5 月）》中相关数据。</w:t>
      </w:r>
    </w:p>
    <w:p>
      <w:pPr>
        <w:jc w:val="center"/>
        <w:rPr>
          <w:rFonts w:hint="eastAsia"/>
          <w:b/>
          <w:i w:val="0"/>
          <w:iCs w:val="0"/>
          <w:color w:val="000000"/>
        </w:rPr>
      </w:pPr>
      <w:r>
        <w:rPr>
          <w:rFonts w:hint="eastAsia"/>
          <w:b/>
          <w:i w:val="0"/>
          <w:iCs w:val="0"/>
          <w:color w:val="000000"/>
        </w:rPr>
        <w:t>表4-1 吉林省</w:t>
      </w:r>
      <w:r>
        <w:rPr>
          <w:b/>
          <w:i w:val="0"/>
          <w:iCs w:val="0"/>
          <w:color w:val="000000"/>
        </w:rPr>
        <w:t>202</w:t>
      </w:r>
      <w:r>
        <w:rPr>
          <w:rFonts w:hint="eastAsia"/>
          <w:b/>
          <w:i w:val="0"/>
          <w:iCs w:val="0"/>
          <w:color w:val="000000"/>
        </w:rPr>
        <w:t>4年白山市水环境质量断面情况</w:t>
      </w:r>
    </w:p>
    <w:tbl>
      <w:tblPr>
        <w:tblStyle w:val="58"/>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869"/>
        <w:gridCol w:w="2502"/>
        <w:gridCol w:w="1125"/>
        <w:gridCol w:w="1785"/>
        <w:gridCol w:w="178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030" w:type="pct"/>
            <w:noWrap w:val="0"/>
            <w:vAlign w:val="center"/>
          </w:tcPr>
          <w:p>
            <w:pPr>
              <w:pStyle w:val="407"/>
              <w:wordWrap w:val="0"/>
              <w:rPr>
                <w:i w:val="0"/>
                <w:iCs w:val="0"/>
                <w:color w:val="000000"/>
                <w:sz w:val="21"/>
              </w:rPr>
            </w:pPr>
            <w:r>
              <w:rPr>
                <w:i w:val="0"/>
                <w:iCs w:val="0"/>
                <w:color w:val="000000"/>
                <w:sz w:val="21"/>
              </w:rPr>
              <w:t>河流名称</w:t>
            </w:r>
          </w:p>
        </w:tc>
        <w:tc>
          <w:tcPr>
            <w:tcW w:w="1379" w:type="pct"/>
            <w:noWrap w:val="0"/>
            <w:vAlign w:val="center"/>
          </w:tcPr>
          <w:p>
            <w:pPr>
              <w:pStyle w:val="407"/>
              <w:wordWrap w:val="0"/>
              <w:rPr>
                <w:i w:val="0"/>
                <w:iCs w:val="0"/>
                <w:color w:val="000000"/>
                <w:sz w:val="21"/>
              </w:rPr>
            </w:pPr>
            <w:r>
              <w:rPr>
                <w:i w:val="0"/>
                <w:iCs w:val="0"/>
                <w:color w:val="000000"/>
                <w:sz w:val="21"/>
              </w:rPr>
              <w:t>断面名称</w:t>
            </w:r>
          </w:p>
        </w:tc>
        <w:tc>
          <w:tcPr>
            <w:tcW w:w="620" w:type="pct"/>
            <w:noWrap w:val="0"/>
            <w:vAlign w:val="center"/>
          </w:tcPr>
          <w:p>
            <w:pPr>
              <w:pStyle w:val="407"/>
              <w:wordWrap w:val="0"/>
              <w:rPr>
                <w:i w:val="0"/>
                <w:iCs w:val="0"/>
                <w:color w:val="000000"/>
                <w:sz w:val="21"/>
              </w:rPr>
            </w:pPr>
            <w:r>
              <w:rPr>
                <w:i w:val="0"/>
                <w:iCs w:val="0"/>
                <w:color w:val="000000"/>
                <w:sz w:val="21"/>
              </w:rPr>
              <w:t>月份</w:t>
            </w:r>
          </w:p>
        </w:tc>
        <w:tc>
          <w:tcPr>
            <w:tcW w:w="984" w:type="pct"/>
            <w:noWrap w:val="0"/>
            <w:vAlign w:val="center"/>
          </w:tcPr>
          <w:p>
            <w:pPr>
              <w:pStyle w:val="407"/>
              <w:wordWrap w:val="0"/>
              <w:rPr>
                <w:i w:val="0"/>
                <w:iCs w:val="0"/>
                <w:color w:val="000000"/>
                <w:sz w:val="21"/>
              </w:rPr>
            </w:pPr>
            <w:r>
              <w:rPr>
                <w:i w:val="0"/>
                <w:iCs w:val="0"/>
                <w:color w:val="000000"/>
                <w:sz w:val="21"/>
              </w:rPr>
              <w:t>水质类别</w:t>
            </w:r>
          </w:p>
        </w:tc>
        <w:tc>
          <w:tcPr>
            <w:tcW w:w="984" w:type="pct"/>
            <w:noWrap w:val="0"/>
            <w:vAlign w:val="center"/>
          </w:tcPr>
          <w:p>
            <w:pPr>
              <w:pStyle w:val="407"/>
              <w:wordWrap w:val="0"/>
              <w:rPr>
                <w:i w:val="0"/>
                <w:iCs w:val="0"/>
                <w:color w:val="000000"/>
                <w:sz w:val="21"/>
              </w:rPr>
            </w:pPr>
            <w:r>
              <w:rPr>
                <w:i w:val="0"/>
                <w:iCs w:val="0"/>
                <w:color w:val="000000"/>
                <w:sz w:val="21"/>
              </w:rPr>
              <w:t>同比去年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30" w:type="pct"/>
            <w:noWrap w:val="0"/>
            <w:vAlign w:val="center"/>
          </w:tcPr>
          <w:p>
            <w:pPr>
              <w:pStyle w:val="407"/>
              <w:wordWrap w:val="0"/>
              <w:rPr>
                <w:i w:val="0"/>
                <w:iCs w:val="0"/>
                <w:color w:val="000000"/>
                <w:sz w:val="21"/>
              </w:rPr>
            </w:pPr>
            <w:r>
              <w:rPr>
                <w:rFonts w:hint="eastAsia"/>
                <w:i w:val="0"/>
                <w:iCs w:val="0"/>
                <w:color w:val="000000"/>
                <w:sz w:val="21"/>
              </w:rPr>
              <w:t>浑江</w:t>
            </w:r>
          </w:p>
        </w:tc>
        <w:tc>
          <w:tcPr>
            <w:tcW w:w="1379" w:type="pct"/>
            <w:noWrap w:val="0"/>
            <w:vAlign w:val="center"/>
          </w:tcPr>
          <w:p>
            <w:pPr>
              <w:pStyle w:val="407"/>
              <w:wordWrap w:val="0"/>
              <w:rPr>
                <w:rFonts w:hint="eastAsia"/>
                <w:i w:val="0"/>
                <w:iCs w:val="0"/>
                <w:color w:val="000000"/>
                <w:sz w:val="21"/>
              </w:rPr>
            </w:pPr>
            <w:r>
              <w:rPr>
                <w:rFonts w:hint="eastAsia"/>
                <w:i w:val="0"/>
                <w:iCs w:val="0"/>
                <w:color w:val="000000"/>
                <w:sz w:val="21"/>
              </w:rPr>
              <w:t>江源（浑）</w:t>
            </w:r>
          </w:p>
        </w:tc>
        <w:tc>
          <w:tcPr>
            <w:tcW w:w="620" w:type="pct"/>
            <w:noWrap w:val="0"/>
            <w:vAlign w:val="center"/>
          </w:tcPr>
          <w:p>
            <w:pPr>
              <w:pStyle w:val="407"/>
              <w:wordWrap w:val="0"/>
              <w:rPr>
                <w:i w:val="0"/>
                <w:iCs w:val="0"/>
                <w:color w:val="000000"/>
                <w:sz w:val="21"/>
              </w:rPr>
            </w:pPr>
            <w:r>
              <w:rPr>
                <w:rFonts w:hint="eastAsia"/>
                <w:i w:val="0"/>
                <w:iCs w:val="0"/>
                <w:color w:val="000000"/>
                <w:sz w:val="21"/>
              </w:rPr>
              <w:t>5</w:t>
            </w:r>
          </w:p>
        </w:tc>
        <w:tc>
          <w:tcPr>
            <w:tcW w:w="984" w:type="pct"/>
            <w:noWrap w:val="0"/>
            <w:vAlign w:val="center"/>
          </w:tcPr>
          <w:p>
            <w:pPr>
              <w:pStyle w:val="407"/>
              <w:wordWrap w:val="0"/>
              <w:rPr>
                <w:i w:val="0"/>
                <w:iCs w:val="0"/>
                <w:color w:val="000000"/>
                <w:sz w:val="21"/>
              </w:rPr>
            </w:pPr>
            <w:r>
              <w:rPr>
                <w:i w:val="0"/>
                <w:iCs w:val="0"/>
                <w:color w:val="000000"/>
                <w:sz w:val="21"/>
              </w:rPr>
              <w:t>Ⅱ</w:t>
            </w:r>
          </w:p>
        </w:tc>
        <w:tc>
          <w:tcPr>
            <w:tcW w:w="984" w:type="pct"/>
            <w:noWrap w:val="0"/>
            <w:vAlign w:val="center"/>
          </w:tcPr>
          <w:p>
            <w:pPr>
              <w:pStyle w:val="407"/>
              <w:wordWrap w:val="0"/>
              <w:rPr>
                <w:i w:val="0"/>
                <w:iCs w:val="0"/>
                <w:color w:val="000000"/>
                <w:sz w:val="21"/>
              </w:rPr>
            </w:pPr>
            <w:r>
              <w:rPr>
                <w:rFonts w:hint="eastAsia" w:ascii="宋体" w:hAnsi="宋体" w:cs="宋体"/>
                <w:i w:val="0"/>
                <w:iCs w:val="0"/>
                <w:color w:val="394351"/>
                <w:sz w:val="21"/>
                <w:shd w:val="clear" w:color="auto" w:fill="FFFFFF"/>
              </w:rPr>
              <w:t>↑</w:t>
            </w:r>
          </w:p>
        </w:tc>
      </w:tr>
    </w:tbl>
    <w:p>
      <w:pPr>
        <w:widowControl/>
        <w:spacing w:line="360" w:lineRule="auto"/>
        <w:ind w:firstLine="488" w:firstLineChars="200"/>
        <w:jc w:val="left"/>
        <w:rPr>
          <w:rFonts w:hint="eastAsia"/>
          <w:i w:val="0"/>
          <w:iCs w:val="0"/>
          <w:spacing w:val="2"/>
        </w:rPr>
      </w:pPr>
      <w:r>
        <w:rPr>
          <w:rFonts w:hint="eastAsia"/>
          <w:i w:val="0"/>
          <w:iCs w:val="0"/>
          <w:spacing w:val="2"/>
        </w:rPr>
        <w:t>由上表可知，同比去年，浑江江源断面明显好转。</w:t>
      </w:r>
    </w:p>
    <w:p>
      <w:pPr>
        <w:tabs>
          <w:tab w:val="right" w:pos="4628"/>
        </w:tabs>
        <w:spacing w:line="360" w:lineRule="auto"/>
        <w:ind w:firstLine="480" w:firstLineChars="200"/>
        <w:rPr>
          <w:i w:val="0"/>
          <w:iCs w:val="0"/>
        </w:rPr>
      </w:pPr>
      <w:r>
        <w:rPr>
          <w:rFonts w:hint="eastAsia"/>
          <w:i w:val="0"/>
          <w:iCs w:val="0"/>
        </w:rPr>
        <w:t>4</w:t>
      </w:r>
      <w:r>
        <w:rPr>
          <w:i w:val="0"/>
          <w:iCs w:val="0"/>
        </w:rPr>
        <w:t>.</w:t>
      </w:r>
      <w:r>
        <w:rPr>
          <w:rFonts w:hint="eastAsia"/>
          <w:i w:val="0"/>
          <w:iCs w:val="0"/>
        </w:rPr>
        <w:t>2</w:t>
      </w:r>
      <w:r>
        <w:rPr>
          <w:i w:val="0"/>
          <w:iCs w:val="0"/>
        </w:rPr>
        <w:t>.2环境空气质量现状调查与评价</w:t>
      </w:r>
    </w:p>
    <w:p>
      <w:pPr>
        <w:widowControl/>
        <w:spacing w:line="360" w:lineRule="auto"/>
        <w:ind w:firstLine="480" w:firstLineChars="200"/>
        <w:jc w:val="left"/>
        <w:rPr>
          <w:i w:val="0"/>
          <w:iCs w:val="0"/>
          <w:snapToGrid w:val="0"/>
        </w:rPr>
      </w:pPr>
      <w:r>
        <w:rPr>
          <w:i w:val="0"/>
          <w:iCs w:val="0"/>
          <w:snapToGrid w:val="0"/>
        </w:rPr>
        <w:t>1、区域环境空气质量现状调查</w:t>
      </w:r>
    </w:p>
    <w:p>
      <w:pPr>
        <w:widowControl/>
        <w:spacing w:line="360" w:lineRule="auto"/>
        <w:ind w:firstLine="482" w:firstLineChars="200"/>
        <w:jc w:val="left"/>
        <w:rPr>
          <w:b/>
          <w:bCs/>
          <w:i w:val="0"/>
          <w:iCs w:val="0"/>
          <w:snapToGrid w:val="0"/>
        </w:rPr>
      </w:pPr>
      <w:r>
        <w:rPr>
          <w:b/>
          <w:bCs/>
          <w:i w:val="0"/>
          <w:iCs w:val="0"/>
          <w:snapToGrid w:val="0"/>
        </w:rPr>
        <w:t>（1）区域环境空气质量达标性判定</w:t>
      </w:r>
    </w:p>
    <w:p>
      <w:pPr>
        <w:widowControl/>
        <w:spacing w:line="360" w:lineRule="auto"/>
        <w:ind w:firstLine="488" w:firstLineChars="200"/>
        <w:jc w:val="left"/>
        <w:rPr>
          <w:rFonts w:hint="eastAsia"/>
          <w:i w:val="0"/>
          <w:iCs w:val="0"/>
          <w:spacing w:val="2"/>
        </w:rPr>
      </w:pPr>
      <w:r>
        <w:rPr>
          <w:i w:val="0"/>
          <w:iCs w:val="0"/>
          <w:spacing w:val="2"/>
        </w:rPr>
        <w:t>根据</w:t>
      </w:r>
      <w:r>
        <w:rPr>
          <w:rFonts w:hint="eastAsia"/>
          <w:i w:val="0"/>
          <w:iCs w:val="0"/>
          <w:spacing w:val="2"/>
        </w:rPr>
        <w:t>HJ2.2-2018大气导则要求，区域环境空气质量现状优先采用生态环境主管部门公开发布的环境空气质量现状数据，对于评价范围内没有公开发布的环境质量现状数据的，可选择与评价范围地理位置邻地形以及气象条件相近的环境空气质量城市点或区域点监测数据。</w:t>
      </w:r>
    </w:p>
    <w:p>
      <w:pPr>
        <w:pStyle w:val="92"/>
        <w:spacing w:before="0" w:after="0"/>
        <w:ind w:firstLine="488"/>
        <w:jc w:val="left"/>
        <w:rPr>
          <w:rFonts w:ascii="Times New Roman" w:eastAsia="宋体"/>
          <w:i w:val="0"/>
          <w:iCs w:val="0"/>
          <w:spacing w:val="2"/>
          <w:szCs w:val="24"/>
        </w:rPr>
      </w:pPr>
      <w:r>
        <w:rPr>
          <w:rFonts w:ascii="Times New Roman" w:hAnsi="宋体" w:eastAsia="宋体"/>
          <w:i w:val="0"/>
          <w:iCs w:val="0"/>
          <w:spacing w:val="2"/>
          <w:szCs w:val="24"/>
        </w:rPr>
        <w:t>根据建设项目所在地理位置，确定该项目所在区域为二类区，根据《环境影响评价技术导则</w:t>
      </w:r>
      <w:r>
        <w:rPr>
          <w:rFonts w:ascii="Times New Roman" w:eastAsia="宋体"/>
          <w:i w:val="0"/>
          <w:iCs w:val="0"/>
          <w:spacing w:val="2"/>
          <w:szCs w:val="24"/>
        </w:rPr>
        <w:t>-</w:t>
      </w:r>
      <w:r>
        <w:rPr>
          <w:rFonts w:ascii="Times New Roman" w:hAnsi="宋体" w:eastAsia="宋体"/>
          <w:i w:val="0"/>
          <w:iCs w:val="0"/>
          <w:spacing w:val="2"/>
          <w:szCs w:val="24"/>
        </w:rPr>
        <w:t>大气环境》</w:t>
      </w:r>
      <w:r>
        <w:rPr>
          <w:rFonts w:ascii="Times New Roman" w:eastAsia="宋体"/>
          <w:i w:val="0"/>
          <w:iCs w:val="0"/>
          <w:spacing w:val="2"/>
          <w:szCs w:val="24"/>
        </w:rPr>
        <w:t>HJ2.2-2018</w:t>
      </w:r>
      <w:r>
        <w:rPr>
          <w:rFonts w:ascii="Times New Roman" w:hAnsi="宋体" w:eastAsia="宋体"/>
          <w:i w:val="0"/>
          <w:iCs w:val="0"/>
          <w:spacing w:val="2"/>
          <w:szCs w:val="24"/>
        </w:rPr>
        <w:t>要求，项目区域环境空气质量优先选用环境空气质量公告数据见表</w:t>
      </w:r>
      <w:r>
        <w:rPr>
          <w:rFonts w:hint="eastAsia" w:ascii="Times New Roman" w:eastAsia="宋体"/>
          <w:i w:val="0"/>
          <w:iCs w:val="0"/>
          <w:spacing w:val="2"/>
          <w:szCs w:val="24"/>
        </w:rPr>
        <w:t>4-2</w:t>
      </w:r>
      <w:r>
        <w:rPr>
          <w:rFonts w:ascii="Times New Roman" w:hAnsi="宋体" w:eastAsia="宋体"/>
          <w:i w:val="0"/>
          <w:iCs w:val="0"/>
          <w:spacing w:val="2"/>
          <w:szCs w:val="24"/>
        </w:rPr>
        <w:t>。</w:t>
      </w:r>
    </w:p>
    <w:p>
      <w:pPr>
        <w:widowControl/>
        <w:ind w:firstLine="482" w:firstLineChars="200"/>
        <w:jc w:val="left"/>
        <w:rPr>
          <w:i w:val="0"/>
          <w:iCs w:val="0"/>
          <w:snapToGrid w:val="0"/>
        </w:rPr>
      </w:pPr>
      <w:r>
        <w:rPr>
          <w:rFonts w:hint="eastAsia"/>
          <w:b/>
          <w:i w:val="0"/>
          <w:iCs w:val="0"/>
          <w:color w:val="000000"/>
          <w:lang w:val="zh-CN"/>
        </w:rPr>
        <w:t>表</w:t>
      </w:r>
      <w:r>
        <w:rPr>
          <w:rFonts w:hint="eastAsia"/>
          <w:b/>
          <w:i w:val="0"/>
          <w:iCs w:val="0"/>
          <w:color w:val="000000"/>
        </w:rPr>
        <w:t>4-2  2023年环境空气质量达标判定表（CO为mg/m</w:t>
      </w:r>
      <w:r>
        <w:rPr>
          <w:rFonts w:hint="eastAsia"/>
          <w:b/>
          <w:i w:val="0"/>
          <w:iCs w:val="0"/>
          <w:color w:val="000000"/>
          <w:vertAlign w:val="superscript"/>
        </w:rPr>
        <w:t>3</w:t>
      </w:r>
      <w:r>
        <w:rPr>
          <w:rFonts w:hint="eastAsia"/>
          <w:b/>
          <w:i w:val="0"/>
          <w:iCs w:val="0"/>
          <w:color w:val="000000"/>
        </w:rPr>
        <w:t>，其余均为ug/m</w:t>
      </w:r>
      <w:r>
        <w:rPr>
          <w:rFonts w:hint="eastAsia"/>
          <w:b/>
          <w:i w:val="0"/>
          <w:iCs w:val="0"/>
          <w:color w:val="000000"/>
          <w:vertAlign w:val="superscript"/>
        </w:rPr>
        <w:t>3</w:t>
      </w:r>
      <w:r>
        <w:rPr>
          <w:rFonts w:hint="eastAsia"/>
          <w:b/>
          <w:i w:val="0"/>
          <w:iCs w:val="0"/>
          <w:color w:val="000000"/>
        </w:rPr>
        <w:t>）</w:t>
      </w:r>
    </w:p>
    <w:tbl>
      <w:tblPr>
        <w:tblStyle w:val="58"/>
        <w:tblW w:w="87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635"/>
        <w:gridCol w:w="1262"/>
        <w:gridCol w:w="1347"/>
        <w:gridCol w:w="1347"/>
        <w:gridCol w:w="13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8" w:hRule="atLeast"/>
          <w:tblHeader/>
          <w:jc w:val="center"/>
        </w:trPr>
        <w:tc>
          <w:tcPr>
            <w:tcW w:w="845" w:type="dxa"/>
            <w:noWrap w:val="0"/>
            <w:tcMar>
              <w:top w:w="0" w:type="dxa"/>
              <w:left w:w="0" w:type="dxa"/>
              <w:bottom w:w="0" w:type="dxa"/>
              <w:right w:w="0" w:type="dxa"/>
            </w:tcMar>
            <w:vAlign w:val="center"/>
          </w:tcPr>
          <w:p>
            <w:pPr>
              <w:widowControl/>
              <w:jc w:val="center"/>
              <w:rPr>
                <w:i w:val="0"/>
                <w:iCs w:val="0"/>
                <w:snapToGrid w:val="0"/>
                <w:sz w:val="21"/>
                <w:szCs w:val="21"/>
              </w:rPr>
            </w:pPr>
            <w:r>
              <w:rPr>
                <w:i w:val="0"/>
                <w:iCs w:val="0"/>
                <w:snapToGrid w:val="0"/>
                <w:sz w:val="21"/>
                <w:szCs w:val="21"/>
              </w:rPr>
              <w:t>污染物</w:t>
            </w:r>
          </w:p>
        </w:tc>
        <w:tc>
          <w:tcPr>
            <w:tcW w:w="2635" w:type="dxa"/>
            <w:noWrap w:val="0"/>
            <w:tcMar>
              <w:top w:w="0" w:type="dxa"/>
              <w:left w:w="0" w:type="dxa"/>
              <w:bottom w:w="0" w:type="dxa"/>
              <w:right w:w="0" w:type="dxa"/>
            </w:tcMar>
            <w:vAlign w:val="center"/>
          </w:tcPr>
          <w:p>
            <w:pPr>
              <w:widowControl/>
              <w:jc w:val="center"/>
              <w:rPr>
                <w:i w:val="0"/>
                <w:iCs w:val="0"/>
                <w:snapToGrid w:val="0"/>
                <w:sz w:val="21"/>
                <w:szCs w:val="21"/>
              </w:rPr>
            </w:pPr>
            <w:r>
              <w:rPr>
                <w:i w:val="0"/>
                <w:iCs w:val="0"/>
                <w:snapToGrid w:val="0"/>
                <w:sz w:val="21"/>
                <w:szCs w:val="21"/>
              </w:rPr>
              <w:t>年评价指标</w:t>
            </w:r>
          </w:p>
        </w:tc>
        <w:tc>
          <w:tcPr>
            <w:tcW w:w="1262" w:type="dxa"/>
            <w:noWrap w:val="0"/>
            <w:tcMar>
              <w:top w:w="0" w:type="dxa"/>
              <w:left w:w="0" w:type="dxa"/>
              <w:bottom w:w="0" w:type="dxa"/>
              <w:right w:w="0" w:type="dxa"/>
            </w:tcMar>
            <w:vAlign w:val="center"/>
          </w:tcPr>
          <w:p>
            <w:pPr>
              <w:widowControl/>
              <w:jc w:val="center"/>
              <w:rPr>
                <w:i w:val="0"/>
                <w:iCs w:val="0"/>
                <w:snapToGrid w:val="0"/>
                <w:sz w:val="21"/>
                <w:szCs w:val="21"/>
              </w:rPr>
            </w:pPr>
            <w:r>
              <w:rPr>
                <w:i w:val="0"/>
                <w:iCs w:val="0"/>
                <w:snapToGrid w:val="0"/>
                <w:sz w:val="21"/>
                <w:szCs w:val="21"/>
              </w:rPr>
              <w:t>现状浓度</w:t>
            </w:r>
          </w:p>
        </w:tc>
        <w:tc>
          <w:tcPr>
            <w:tcW w:w="1347" w:type="dxa"/>
            <w:noWrap w:val="0"/>
            <w:vAlign w:val="center"/>
          </w:tcPr>
          <w:p>
            <w:pPr>
              <w:widowControl/>
              <w:jc w:val="center"/>
              <w:rPr>
                <w:i w:val="0"/>
                <w:iCs w:val="0"/>
                <w:snapToGrid w:val="0"/>
                <w:sz w:val="21"/>
                <w:szCs w:val="21"/>
              </w:rPr>
            </w:pPr>
            <w:r>
              <w:rPr>
                <w:i w:val="0"/>
                <w:iCs w:val="0"/>
                <w:snapToGrid w:val="0"/>
                <w:sz w:val="21"/>
                <w:szCs w:val="21"/>
              </w:rPr>
              <w:t>标准值</w:t>
            </w:r>
          </w:p>
        </w:tc>
        <w:tc>
          <w:tcPr>
            <w:tcW w:w="1347" w:type="dxa"/>
            <w:noWrap w:val="0"/>
            <w:vAlign w:val="center"/>
          </w:tcPr>
          <w:p>
            <w:pPr>
              <w:widowControl/>
              <w:jc w:val="center"/>
              <w:rPr>
                <w:i w:val="0"/>
                <w:iCs w:val="0"/>
                <w:snapToGrid w:val="0"/>
                <w:sz w:val="21"/>
                <w:szCs w:val="21"/>
              </w:rPr>
            </w:pPr>
            <w:r>
              <w:rPr>
                <w:i w:val="0"/>
                <w:iCs w:val="0"/>
                <w:snapToGrid w:val="0"/>
                <w:sz w:val="21"/>
                <w:szCs w:val="21"/>
              </w:rPr>
              <w:t>占标率</w:t>
            </w:r>
          </w:p>
        </w:tc>
        <w:tc>
          <w:tcPr>
            <w:tcW w:w="1340" w:type="dxa"/>
            <w:noWrap w:val="0"/>
            <w:vAlign w:val="center"/>
          </w:tcPr>
          <w:p>
            <w:pPr>
              <w:widowControl/>
              <w:jc w:val="center"/>
              <w:rPr>
                <w:i w:val="0"/>
                <w:iCs w:val="0"/>
                <w:snapToGrid w:val="0"/>
                <w:sz w:val="21"/>
                <w:szCs w:val="21"/>
              </w:rPr>
            </w:pPr>
            <w:r>
              <w:rPr>
                <w:i w:val="0"/>
                <w:iCs w:val="0"/>
                <w:snapToGrid w:val="0"/>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845" w:type="dxa"/>
            <w:noWrap w:val="0"/>
            <w:tcMar>
              <w:top w:w="0" w:type="dxa"/>
              <w:left w:w="0" w:type="dxa"/>
              <w:bottom w:w="0" w:type="dxa"/>
              <w:right w:w="0" w:type="dxa"/>
            </w:tcMar>
            <w:vAlign w:val="center"/>
          </w:tcPr>
          <w:p>
            <w:pPr>
              <w:jc w:val="center"/>
              <w:rPr>
                <w:rFonts w:hint="eastAsia"/>
                <w:i w:val="0"/>
                <w:iCs w:val="0"/>
                <w:sz w:val="21"/>
                <w:szCs w:val="21"/>
              </w:rPr>
            </w:pPr>
            <w:r>
              <w:rPr>
                <w:rFonts w:hint="eastAsia"/>
                <w:i w:val="0"/>
                <w:iCs w:val="0"/>
                <w:sz w:val="21"/>
                <w:szCs w:val="21"/>
              </w:rPr>
              <w:t>PM</w:t>
            </w:r>
            <w:r>
              <w:rPr>
                <w:rFonts w:hint="eastAsia"/>
                <w:i w:val="0"/>
                <w:iCs w:val="0"/>
                <w:sz w:val="21"/>
                <w:szCs w:val="21"/>
                <w:vertAlign w:val="subscript"/>
              </w:rPr>
              <w:t>2.5</w:t>
            </w:r>
          </w:p>
        </w:tc>
        <w:tc>
          <w:tcPr>
            <w:tcW w:w="2635" w:type="dxa"/>
            <w:vMerge w:val="restart"/>
            <w:noWrap w:val="0"/>
            <w:tcMar>
              <w:top w:w="0" w:type="dxa"/>
              <w:left w:w="0" w:type="dxa"/>
              <w:bottom w:w="0" w:type="dxa"/>
              <w:right w:w="0" w:type="dxa"/>
            </w:tcMar>
            <w:vAlign w:val="center"/>
          </w:tcPr>
          <w:p>
            <w:pPr>
              <w:jc w:val="center"/>
              <w:rPr>
                <w:i w:val="0"/>
                <w:iCs w:val="0"/>
                <w:sz w:val="21"/>
                <w:szCs w:val="21"/>
              </w:rPr>
            </w:pPr>
            <w:r>
              <w:rPr>
                <w:i w:val="0"/>
                <w:iCs w:val="0"/>
                <w:sz w:val="21"/>
                <w:szCs w:val="21"/>
              </w:rPr>
              <w:t>年平均质量浓度</w:t>
            </w:r>
          </w:p>
        </w:tc>
        <w:tc>
          <w:tcPr>
            <w:tcW w:w="1262" w:type="dxa"/>
            <w:noWrap w:val="0"/>
            <w:tcMar>
              <w:top w:w="0" w:type="dxa"/>
              <w:left w:w="0" w:type="dxa"/>
              <w:bottom w:w="0" w:type="dxa"/>
              <w:right w:w="0" w:type="dxa"/>
            </w:tcMar>
            <w:vAlign w:val="center"/>
          </w:tcPr>
          <w:p>
            <w:pPr>
              <w:jc w:val="center"/>
              <w:rPr>
                <w:i w:val="0"/>
                <w:iCs w:val="0"/>
                <w:sz w:val="21"/>
                <w:szCs w:val="21"/>
              </w:rPr>
            </w:pPr>
            <w:r>
              <w:rPr>
                <w:rFonts w:hint="eastAsia"/>
                <w:i w:val="0"/>
                <w:iCs w:val="0"/>
                <w:sz w:val="21"/>
                <w:szCs w:val="21"/>
              </w:rPr>
              <w:t>24</w:t>
            </w:r>
          </w:p>
        </w:tc>
        <w:tc>
          <w:tcPr>
            <w:tcW w:w="1347" w:type="dxa"/>
            <w:noWrap w:val="0"/>
            <w:vAlign w:val="center"/>
          </w:tcPr>
          <w:p>
            <w:pPr>
              <w:jc w:val="center"/>
              <w:rPr>
                <w:rFonts w:hint="eastAsia"/>
                <w:i w:val="0"/>
                <w:iCs w:val="0"/>
                <w:sz w:val="21"/>
                <w:szCs w:val="21"/>
              </w:rPr>
            </w:pPr>
            <w:r>
              <w:rPr>
                <w:rFonts w:hint="eastAsia"/>
                <w:i w:val="0"/>
                <w:iCs w:val="0"/>
                <w:sz w:val="21"/>
                <w:szCs w:val="21"/>
              </w:rPr>
              <w:t>35</w:t>
            </w:r>
          </w:p>
        </w:tc>
        <w:tc>
          <w:tcPr>
            <w:tcW w:w="1347" w:type="dxa"/>
            <w:noWrap w:val="0"/>
            <w:vAlign w:val="center"/>
          </w:tcPr>
          <w:p>
            <w:pPr>
              <w:jc w:val="center"/>
              <w:rPr>
                <w:i w:val="0"/>
                <w:iCs w:val="0"/>
                <w:sz w:val="21"/>
                <w:szCs w:val="21"/>
              </w:rPr>
            </w:pPr>
            <w:r>
              <w:rPr>
                <w:rFonts w:hint="eastAsia"/>
                <w:i w:val="0"/>
                <w:iCs w:val="0"/>
                <w:sz w:val="21"/>
                <w:szCs w:val="21"/>
              </w:rPr>
              <w:t>0.68</w:t>
            </w:r>
          </w:p>
        </w:tc>
        <w:tc>
          <w:tcPr>
            <w:tcW w:w="1340" w:type="dxa"/>
            <w:noWrap w:val="0"/>
            <w:vAlign w:val="center"/>
          </w:tcPr>
          <w:p>
            <w:pPr>
              <w:jc w:val="center"/>
              <w:rPr>
                <w:rFonts w:hint="eastAsia"/>
                <w:i w:val="0"/>
                <w:iCs w:val="0"/>
                <w:sz w:val="21"/>
                <w:szCs w:val="21"/>
              </w:rPr>
            </w:pPr>
            <w:r>
              <w:rPr>
                <w:rFonts w:hint="eastAsia"/>
                <w:i w:val="0"/>
                <w:iCs w:val="0"/>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845" w:type="dxa"/>
            <w:noWrap w:val="0"/>
            <w:tcMar>
              <w:top w:w="0" w:type="dxa"/>
              <w:left w:w="0" w:type="dxa"/>
              <w:bottom w:w="0" w:type="dxa"/>
              <w:right w:w="0" w:type="dxa"/>
            </w:tcMar>
            <w:vAlign w:val="center"/>
          </w:tcPr>
          <w:p>
            <w:pPr>
              <w:jc w:val="center"/>
              <w:rPr>
                <w:rFonts w:hint="eastAsia"/>
                <w:i w:val="0"/>
                <w:iCs w:val="0"/>
                <w:sz w:val="21"/>
                <w:szCs w:val="21"/>
              </w:rPr>
            </w:pPr>
            <w:r>
              <w:rPr>
                <w:rFonts w:hint="eastAsia"/>
                <w:i w:val="0"/>
                <w:iCs w:val="0"/>
                <w:sz w:val="21"/>
                <w:szCs w:val="21"/>
              </w:rPr>
              <w:t>PM</w:t>
            </w:r>
            <w:r>
              <w:rPr>
                <w:rFonts w:hint="eastAsia"/>
                <w:i w:val="0"/>
                <w:iCs w:val="0"/>
                <w:sz w:val="21"/>
                <w:szCs w:val="21"/>
                <w:vertAlign w:val="subscript"/>
              </w:rPr>
              <w:t>10</w:t>
            </w:r>
          </w:p>
        </w:tc>
        <w:tc>
          <w:tcPr>
            <w:tcW w:w="2635" w:type="dxa"/>
            <w:vMerge w:val="continue"/>
            <w:noWrap w:val="0"/>
            <w:tcMar>
              <w:top w:w="0" w:type="dxa"/>
              <w:left w:w="0" w:type="dxa"/>
              <w:bottom w:w="0" w:type="dxa"/>
              <w:right w:w="0" w:type="dxa"/>
            </w:tcMar>
            <w:vAlign w:val="center"/>
          </w:tcPr>
          <w:p>
            <w:pPr>
              <w:jc w:val="center"/>
              <w:rPr>
                <w:i w:val="0"/>
                <w:iCs w:val="0"/>
                <w:sz w:val="21"/>
                <w:szCs w:val="21"/>
              </w:rPr>
            </w:pPr>
          </w:p>
        </w:tc>
        <w:tc>
          <w:tcPr>
            <w:tcW w:w="1262" w:type="dxa"/>
            <w:noWrap w:val="0"/>
            <w:tcMar>
              <w:top w:w="0" w:type="dxa"/>
              <w:left w:w="0" w:type="dxa"/>
              <w:bottom w:w="0" w:type="dxa"/>
              <w:right w:w="0" w:type="dxa"/>
            </w:tcMar>
            <w:vAlign w:val="center"/>
          </w:tcPr>
          <w:p>
            <w:pPr>
              <w:jc w:val="center"/>
              <w:rPr>
                <w:i w:val="0"/>
                <w:iCs w:val="0"/>
                <w:sz w:val="21"/>
                <w:szCs w:val="21"/>
              </w:rPr>
            </w:pPr>
            <w:r>
              <w:rPr>
                <w:rFonts w:hint="eastAsia"/>
                <w:i w:val="0"/>
                <w:iCs w:val="0"/>
                <w:sz w:val="21"/>
                <w:szCs w:val="21"/>
              </w:rPr>
              <w:t>58</w:t>
            </w:r>
          </w:p>
        </w:tc>
        <w:tc>
          <w:tcPr>
            <w:tcW w:w="1347" w:type="dxa"/>
            <w:noWrap w:val="0"/>
            <w:vAlign w:val="center"/>
          </w:tcPr>
          <w:p>
            <w:pPr>
              <w:jc w:val="center"/>
              <w:rPr>
                <w:rFonts w:hint="eastAsia"/>
                <w:i w:val="0"/>
                <w:iCs w:val="0"/>
                <w:sz w:val="21"/>
                <w:szCs w:val="21"/>
              </w:rPr>
            </w:pPr>
            <w:r>
              <w:rPr>
                <w:rFonts w:hint="eastAsia"/>
                <w:i w:val="0"/>
                <w:iCs w:val="0"/>
                <w:sz w:val="21"/>
                <w:szCs w:val="21"/>
              </w:rPr>
              <w:t>70</w:t>
            </w:r>
          </w:p>
        </w:tc>
        <w:tc>
          <w:tcPr>
            <w:tcW w:w="1347" w:type="dxa"/>
            <w:noWrap w:val="0"/>
            <w:vAlign w:val="center"/>
          </w:tcPr>
          <w:p>
            <w:pPr>
              <w:jc w:val="center"/>
              <w:rPr>
                <w:i w:val="0"/>
                <w:iCs w:val="0"/>
                <w:sz w:val="21"/>
                <w:szCs w:val="21"/>
              </w:rPr>
            </w:pPr>
            <w:r>
              <w:rPr>
                <w:rFonts w:hint="eastAsia"/>
                <w:i w:val="0"/>
                <w:iCs w:val="0"/>
                <w:sz w:val="21"/>
                <w:szCs w:val="21"/>
              </w:rPr>
              <w:t>0.83</w:t>
            </w:r>
          </w:p>
        </w:tc>
        <w:tc>
          <w:tcPr>
            <w:tcW w:w="1340" w:type="dxa"/>
            <w:noWrap w:val="0"/>
            <w:vAlign w:val="center"/>
          </w:tcPr>
          <w:p>
            <w:pPr>
              <w:jc w:val="center"/>
              <w:rPr>
                <w:rFonts w:hint="eastAsia"/>
                <w:i w:val="0"/>
                <w:iCs w:val="0"/>
                <w:sz w:val="21"/>
                <w:szCs w:val="21"/>
              </w:rPr>
            </w:pPr>
            <w:r>
              <w:rPr>
                <w:rFonts w:hint="eastAsia"/>
                <w:i w:val="0"/>
                <w:iCs w:val="0"/>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845" w:type="dxa"/>
            <w:noWrap w:val="0"/>
            <w:tcMar>
              <w:top w:w="0" w:type="dxa"/>
              <w:left w:w="0" w:type="dxa"/>
              <w:bottom w:w="0" w:type="dxa"/>
              <w:right w:w="0" w:type="dxa"/>
            </w:tcMar>
            <w:vAlign w:val="center"/>
          </w:tcPr>
          <w:p>
            <w:pPr>
              <w:jc w:val="center"/>
              <w:rPr>
                <w:rFonts w:hint="eastAsia"/>
                <w:i w:val="0"/>
                <w:iCs w:val="0"/>
                <w:sz w:val="21"/>
                <w:szCs w:val="21"/>
              </w:rPr>
            </w:pPr>
            <w:r>
              <w:rPr>
                <w:rFonts w:hint="eastAsia"/>
                <w:i w:val="0"/>
                <w:iCs w:val="0"/>
                <w:sz w:val="21"/>
                <w:szCs w:val="21"/>
              </w:rPr>
              <w:t>SO</w:t>
            </w:r>
            <w:r>
              <w:rPr>
                <w:rFonts w:hint="eastAsia"/>
                <w:i w:val="0"/>
                <w:iCs w:val="0"/>
                <w:sz w:val="21"/>
                <w:szCs w:val="21"/>
                <w:vertAlign w:val="subscript"/>
              </w:rPr>
              <w:t>2</w:t>
            </w:r>
          </w:p>
        </w:tc>
        <w:tc>
          <w:tcPr>
            <w:tcW w:w="2635" w:type="dxa"/>
            <w:vMerge w:val="continue"/>
            <w:noWrap w:val="0"/>
            <w:tcMar>
              <w:top w:w="0" w:type="dxa"/>
              <w:left w:w="0" w:type="dxa"/>
              <w:bottom w:w="0" w:type="dxa"/>
              <w:right w:w="0" w:type="dxa"/>
            </w:tcMar>
            <w:vAlign w:val="center"/>
          </w:tcPr>
          <w:p>
            <w:pPr>
              <w:jc w:val="center"/>
              <w:rPr>
                <w:i w:val="0"/>
                <w:iCs w:val="0"/>
                <w:sz w:val="21"/>
                <w:szCs w:val="21"/>
              </w:rPr>
            </w:pPr>
          </w:p>
        </w:tc>
        <w:tc>
          <w:tcPr>
            <w:tcW w:w="1262" w:type="dxa"/>
            <w:noWrap w:val="0"/>
            <w:tcMar>
              <w:top w:w="0" w:type="dxa"/>
              <w:left w:w="0" w:type="dxa"/>
              <w:bottom w:w="0" w:type="dxa"/>
              <w:right w:w="0" w:type="dxa"/>
            </w:tcMar>
            <w:vAlign w:val="center"/>
          </w:tcPr>
          <w:p>
            <w:pPr>
              <w:jc w:val="center"/>
              <w:rPr>
                <w:i w:val="0"/>
                <w:iCs w:val="0"/>
                <w:sz w:val="21"/>
                <w:szCs w:val="21"/>
              </w:rPr>
            </w:pPr>
            <w:r>
              <w:rPr>
                <w:rFonts w:hint="eastAsia"/>
                <w:i w:val="0"/>
                <w:iCs w:val="0"/>
                <w:sz w:val="21"/>
                <w:szCs w:val="21"/>
              </w:rPr>
              <w:t>12</w:t>
            </w:r>
          </w:p>
        </w:tc>
        <w:tc>
          <w:tcPr>
            <w:tcW w:w="1347" w:type="dxa"/>
            <w:noWrap w:val="0"/>
            <w:vAlign w:val="center"/>
          </w:tcPr>
          <w:p>
            <w:pPr>
              <w:jc w:val="center"/>
              <w:rPr>
                <w:rFonts w:hint="eastAsia"/>
                <w:i w:val="0"/>
                <w:iCs w:val="0"/>
                <w:sz w:val="21"/>
                <w:szCs w:val="21"/>
              </w:rPr>
            </w:pPr>
            <w:r>
              <w:rPr>
                <w:rFonts w:hint="eastAsia"/>
                <w:i w:val="0"/>
                <w:iCs w:val="0"/>
                <w:sz w:val="21"/>
                <w:szCs w:val="21"/>
              </w:rPr>
              <w:t>60</w:t>
            </w:r>
          </w:p>
        </w:tc>
        <w:tc>
          <w:tcPr>
            <w:tcW w:w="1347" w:type="dxa"/>
            <w:noWrap w:val="0"/>
            <w:vAlign w:val="center"/>
          </w:tcPr>
          <w:p>
            <w:pPr>
              <w:jc w:val="center"/>
              <w:rPr>
                <w:rFonts w:hint="eastAsia"/>
                <w:i w:val="0"/>
                <w:iCs w:val="0"/>
                <w:sz w:val="21"/>
                <w:szCs w:val="21"/>
              </w:rPr>
            </w:pPr>
            <w:r>
              <w:rPr>
                <w:rFonts w:hint="eastAsia"/>
                <w:i w:val="0"/>
                <w:iCs w:val="0"/>
                <w:sz w:val="21"/>
                <w:szCs w:val="21"/>
              </w:rPr>
              <w:t>0.2</w:t>
            </w:r>
          </w:p>
        </w:tc>
        <w:tc>
          <w:tcPr>
            <w:tcW w:w="1340" w:type="dxa"/>
            <w:noWrap w:val="0"/>
            <w:vAlign w:val="center"/>
          </w:tcPr>
          <w:p>
            <w:pPr>
              <w:jc w:val="center"/>
              <w:rPr>
                <w:rFonts w:hint="eastAsia"/>
                <w:i w:val="0"/>
                <w:iCs w:val="0"/>
                <w:sz w:val="21"/>
                <w:szCs w:val="21"/>
              </w:rPr>
            </w:pPr>
            <w:r>
              <w:rPr>
                <w:rFonts w:hint="eastAsia"/>
                <w:i w:val="0"/>
                <w:iCs w:val="0"/>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845" w:type="dxa"/>
            <w:noWrap w:val="0"/>
            <w:tcMar>
              <w:top w:w="0" w:type="dxa"/>
              <w:left w:w="0" w:type="dxa"/>
              <w:bottom w:w="0" w:type="dxa"/>
              <w:right w:w="0" w:type="dxa"/>
            </w:tcMar>
            <w:vAlign w:val="center"/>
          </w:tcPr>
          <w:p>
            <w:pPr>
              <w:jc w:val="center"/>
              <w:rPr>
                <w:rFonts w:hint="eastAsia"/>
                <w:i w:val="0"/>
                <w:iCs w:val="0"/>
                <w:sz w:val="21"/>
                <w:szCs w:val="21"/>
              </w:rPr>
            </w:pPr>
            <w:r>
              <w:rPr>
                <w:rFonts w:hint="eastAsia"/>
                <w:i w:val="0"/>
                <w:iCs w:val="0"/>
                <w:sz w:val="21"/>
                <w:szCs w:val="21"/>
              </w:rPr>
              <w:t>NO</w:t>
            </w:r>
            <w:r>
              <w:rPr>
                <w:rFonts w:hint="eastAsia"/>
                <w:i w:val="0"/>
                <w:iCs w:val="0"/>
                <w:sz w:val="21"/>
                <w:szCs w:val="21"/>
                <w:vertAlign w:val="subscript"/>
              </w:rPr>
              <w:t>2</w:t>
            </w:r>
          </w:p>
        </w:tc>
        <w:tc>
          <w:tcPr>
            <w:tcW w:w="2635" w:type="dxa"/>
            <w:vMerge w:val="continue"/>
            <w:noWrap w:val="0"/>
            <w:tcMar>
              <w:top w:w="0" w:type="dxa"/>
              <w:left w:w="0" w:type="dxa"/>
              <w:bottom w:w="0" w:type="dxa"/>
              <w:right w:w="0" w:type="dxa"/>
            </w:tcMar>
            <w:vAlign w:val="center"/>
          </w:tcPr>
          <w:p>
            <w:pPr>
              <w:jc w:val="center"/>
              <w:rPr>
                <w:i w:val="0"/>
                <w:iCs w:val="0"/>
                <w:sz w:val="21"/>
                <w:szCs w:val="21"/>
              </w:rPr>
            </w:pPr>
          </w:p>
        </w:tc>
        <w:tc>
          <w:tcPr>
            <w:tcW w:w="1262" w:type="dxa"/>
            <w:noWrap w:val="0"/>
            <w:tcMar>
              <w:top w:w="0" w:type="dxa"/>
              <w:left w:w="0" w:type="dxa"/>
              <w:bottom w:w="0" w:type="dxa"/>
              <w:right w:w="0" w:type="dxa"/>
            </w:tcMar>
            <w:vAlign w:val="center"/>
          </w:tcPr>
          <w:p>
            <w:pPr>
              <w:jc w:val="center"/>
              <w:rPr>
                <w:i w:val="0"/>
                <w:iCs w:val="0"/>
                <w:sz w:val="21"/>
                <w:szCs w:val="21"/>
              </w:rPr>
            </w:pPr>
            <w:r>
              <w:rPr>
                <w:rFonts w:hint="eastAsia"/>
                <w:i w:val="0"/>
                <w:iCs w:val="0"/>
                <w:sz w:val="21"/>
                <w:szCs w:val="21"/>
              </w:rPr>
              <w:t>22</w:t>
            </w:r>
          </w:p>
        </w:tc>
        <w:tc>
          <w:tcPr>
            <w:tcW w:w="1347" w:type="dxa"/>
            <w:noWrap w:val="0"/>
            <w:vAlign w:val="center"/>
          </w:tcPr>
          <w:p>
            <w:pPr>
              <w:jc w:val="center"/>
              <w:rPr>
                <w:rFonts w:hint="eastAsia"/>
                <w:i w:val="0"/>
                <w:iCs w:val="0"/>
                <w:sz w:val="21"/>
                <w:szCs w:val="21"/>
              </w:rPr>
            </w:pPr>
            <w:r>
              <w:rPr>
                <w:rFonts w:hint="eastAsia"/>
                <w:i w:val="0"/>
                <w:iCs w:val="0"/>
                <w:sz w:val="21"/>
                <w:szCs w:val="21"/>
              </w:rPr>
              <w:t>40</w:t>
            </w:r>
          </w:p>
        </w:tc>
        <w:tc>
          <w:tcPr>
            <w:tcW w:w="1347" w:type="dxa"/>
            <w:noWrap w:val="0"/>
            <w:vAlign w:val="center"/>
          </w:tcPr>
          <w:p>
            <w:pPr>
              <w:jc w:val="center"/>
              <w:rPr>
                <w:i w:val="0"/>
                <w:iCs w:val="0"/>
                <w:sz w:val="21"/>
                <w:szCs w:val="21"/>
              </w:rPr>
            </w:pPr>
            <w:r>
              <w:rPr>
                <w:rFonts w:hint="eastAsia"/>
                <w:i w:val="0"/>
                <w:iCs w:val="0"/>
                <w:sz w:val="21"/>
                <w:szCs w:val="21"/>
              </w:rPr>
              <w:t>0.55</w:t>
            </w:r>
          </w:p>
        </w:tc>
        <w:tc>
          <w:tcPr>
            <w:tcW w:w="1340" w:type="dxa"/>
            <w:noWrap w:val="0"/>
            <w:vAlign w:val="center"/>
          </w:tcPr>
          <w:p>
            <w:pPr>
              <w:jc w:val="center"/>
              <w:rPr>
                <w:rFonts w:hint="eastAsia"/>
                <w:i w:val="0"/>
                <w:iCs w:val="0"/>
                <w:sz w:val="21"/>
                <w:szCs w:val="21"/>
              </w:rPr>
            </w:pPr>
            <w:r>
              <w:rPr>
                <w:rFonts w:hint="eastAsia"/>
                <w:i w:val="0"/>
                <w:iCs w:val="0"/>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845" w:type="dxa"/>
            <w:noWrap w:val="0"/>
            <w:vAlign w:val="center"/>
          </w:tcPr>
          <w:p>
            <w:pPr>
              <w:jc w:val="center"/>
              <w:rPr>
                <w:rFonts w:hint="eastAsia"/>
                <w:i w:val="0"/>
                <w:iCs w:val="0"/>
                <w:sz w:val="21"/>
                <w:szCs w:val="21"/>
              </w:rPr>
            </w:pPr>
            <w:r>
              <w:rPr>
                <w:rFonts w:hint="eastAsia"/>
                <w:i w:val="0"/>
                <w:iCs w:val="0"/>
                <w:sz w:val="21"/>
                <w:szCs w:val="21"/>
              </w:rPr>
              <w:t>CO</w:t>
            </w:r>
          </w:p>
        </w:tc>
        <w:tc>
          <w:tcPr>
            <w:tcW w:w="2635" w:type="dxa"/>
            <w:noWrap w:val="0"/>
            <w:tcMar>
              <w:top w:w="0" w:type="dxa"/>
              <w:left w:w="0" w:type="dxa"/>
              <w:bottom w:w="0" w:type="dxa"/>
              <w:right w:w="0" w:type="dxa"/>
            </w:tcMar>
            <w:vAlign w:val="center"/>
          </w:tcPr>
          <w:p>
            <w:pPr>
              <w:jc w:val="center"/>
              <w:rPr>
                <w:i w:val="0"/>
                <w:iCs w:val="0"/>
                <w:sz w:val="21"/>
                <w:szCs w:val="21"/>
              </w:rPr>
            </w:pPr>
            <w:r>
              <w:rPr>
                <w:i w:val="0"/>
                <w:iCs w:val="0"/>
                <w:sz w:val="21"/>
                <w:szCs w:val="21"/>
              </w:rPr>
              <w:t>24小时平均第95百分位数</w:t>
            </w:r>
          </w:p>
        </w:tc>
        <w:tc>
          <w:tcPr>
            <w:tcW w:w="1262" w:type="dxa"/>
            <w:noWrap w:val="0"/>
            <w:tcMar>
              <w:top w:w="0" w:type="dxa"/>
              <w:left w:w="0" w:type="dxa"/>
              <w:bottom w:w="0" w:type="dxa"/>
              <w:right w:w="0" w:type="dxa"/>
            </w:tcMar>
            <w:vAlign w:val="center"/>
          </w:tcPr>
          <w:p>
            <w:pPr>
              <w:jc w:val="center"/>
              <w:rPr>
                <w:i w:val="0"/>
                <w:iCs w:val="0"/>
                <w:sz w:val="21"/>
                <w:szCs w:val="21"/>
              </w:rPr>
            </w:pPr>
            <w:r>
              <w:rPr>
                <w:rFonts w:hint="eastAsia"/>
                <w:i w:val="0"/>
                <w:iCs w:val="0"/>
                <w:sz w:val="21"/>
                <w:szCs w:val="21"/>
              </w:rPr>
              <w:t>1.3</w:t>
            </w:r>
          </w:p>
        </w:tc>
        <w:tc>
          <w:tcPr>
            <w:tcW w:w="1347" w:type="dxa"/>
            <w:noWrap w:val="0"/>
            <w:vAlign w:val="center"/>
          </w:tcPr>
          <w:p>
            <w:pPr>
              <w:jc w:val="center"/>
              <w:rPr>
                <w:rFonts w:hint="eastAsia"/>
                <w:i w:val="0"/>
                <w:iCs w:val="0"/>
                <w:sz w:val="21"/>
                <w:szCs w:val="21"/>
              </w:rPr>
            </w:pPr>
            <w:r>
              <w:rPr>
                <w:rFonts w:hint="eastAsia"/>
                <w:i w:val="0"/>
                <w:iCs w:val="0"/>
                <w:sz w:val="21"/>
                <w:szCs w:val="21"/>
              </w:rPr>
              <w:t>4</w:t>
            </w:r>
          </w:p>
        </w:tc>
        <w:tc>
          <w:tcPr>
            <w:tcW w:w="1347" w:type="dxa"/>
            <w:noWrap w:val="0"/>
            <w:vAlign w:val="center"/>
          </w:tcPr>
          <w:p>
            <w:pPr>
              <w:jc w:val="center"/>
              <w:rPr>
                <w:i w:val="0"/>
                <w:iCs w:val="0"/>
                <w:sz w:val="21"/>
                <w:szCs w:val="21"/>
              </w:rPr>
            </w:pPr>
            <w:r>
              <w:rPr>
                <w:rFonts w:hint="eastAsia"/>
                <w:i w:val="0"/>
                <w:iCs w:val="0"/>
                <w:sz w:val="21"/>
                <w:szCs w:val="21"/>
              </w:rPr>
              <w:t>0.32</w:t>
            </w:r>
          </w:p>
        </w:tc>
        <w:tc>
          <w:tcPr>
            <w:tcW w:w="1340" w:type="dxa"/>
            <w:noWrap w:val="0"/>
            <w:vAlign w:val="center"/>
          </w:tcPr>
          <w:p>
            <w:pPr>
              <w:jc w:val="center"/>
              <w:rPr>
                <w:rFonts w:hint="eastAsia"/>
                <w:i w:val="0"/>
                <w:iCs w:val="0"/>
                <w:sz w:val="21"/>
                <w:szCs w:val="21"/>
              </w:rPr>
            </w:pPr>
            <w:r>
              <w:rPr>
                <w:rFonts w:hint="eastAsia"/>
                <w:i w:val="0"/>
                <w:iCs w:val="0"/>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45" w:type="dxa"/>
            <w:noWrap w:val="0"/>
            <w:vAlign w:val="center"/>
          </w:tcPr>
          <w:p>
            <w:pPr>
              <w:jc w:val="center"/>
              <w:rPr>
                <w:rFonts w:hint="eastAsia"/>
                <w:i w:val="0"/>
                <w:iCs w:val="0"/>
                <w:sz w:val="21"/>
                <w:szCs w:val="21"/>
              </w:rPr>
            </w:pPr>
            <w:r>
              <w:rPr>
                <w:rFonts w:hint="eastAsia"/>
                <w:i w:val="0"/>
                <w:iCs w:val="0"/>
                <w:sz w:val="21"/>
                <w:szCs w:val="21"/>
              </w:rPr>
              <w:t>O</w:t>
            </w:r>
            <w:r>
              <w:rPr>
                <w:rFonts w:hint="eastAsia"/>
                <w:i w:val="0"/>
                <w:iCs w:val="0"/>
                <w:sz w:val="21"/>
                <w:szCs w:val="21"/>
                <w:vertAlign w:val="subscript"/>
              </w:rPr>
              <w:t>3</w:t>
            </w:r>
          </w:p>
        </w:tc>
        <w:tc>
          <w:tcPr>
            <w:tcW w:w="2635" w:type="dxa"/>
            <w:noWrap w:val="0"/>
            <w:tcMar>
              <w:top w:w="0" w:type="dxa"/>
              <w:left w:w="0" w:type="dxa"/>
              <w:bottom w:w="0" w:type="dxa"/>
              <w:right w:w="0" w:type="dxa"/>
            </w:tcMar>
            <w:vAlign w:val="center"/>
          </w:tcPr>
          <w:p>
            <w:pPr>
              <w:jc w:val="center"/>
              <w:rPr>
                <w:i w:val="0"/>
                <w:iCs w:val="0"/>
                <w:sz w:val="21"/>
                <w:szCs w:val="21"/>
              </w:rPr>
            </w:pPr>
            <w:r>
              <w:rPr>
                <w:i w:val="0"/>
                <w:iCs w:val="0"/>
                <w:sz w:val="21"/>
                <w:szCs w:val="21"/>
              </w:rPr>
              <w:t>日最大8小时滑动平均值</w:t>
            </w:r>
          </w:p>
          <w:p>
            <w:pPr>
              <w:jc w:val="center"/>
              <w:rPr>
                <w:i w:val="0"/>
                <w:iCs w:val="0"/>
                <w:sz w:val="21"/>
                <w:szCs w:val="21"/>
              </w:rPr>
            </w:pPr>
            <w:r>
              <w:rPr>
                <w:i w:val="0"/>
                <w:iCs w:val="0"/>
                <w:sz w:val="21"/>
                <w:szCs w:val="21"/>
              </w:rPr>
              <w:t>的第90百分位数</w:t>
            </w:r>
          </w:p>
        </w:tc>
        <w:tc>
          <w:tcPr>
            <w:tcW w:w="1262" w:type="dxa"/>
            <w:noWrap w:val="0"/>
            <w:tcMar>
              <w:top w:w="0" w:type="dxa"/>
              <w:left w:w="0" w:type="dxa"/>
              <w:bottom w:w="0" w:type="dxa"/>
              <w:right w:w="0" w:type="dxa"/>
            </w:tcMar>
            <w:vAlign w:val="center"/>
          </w:tcPr>
          <w:p>
            <w:pPr>
              <w:jc w:val="center"/>
              <w:rPr>
                <w:i w:val="0"/>
                <w:iCs w:val="0"/>
                <w:sz w:val="21"/>
                <w:szCs w:val="21"/>
              </w:rPr>
            </w:pPr>
            <w:r>
              <w:rPr>
                <w:rFonts w:hint="eastAsia"/>
                <w:i w:val="0"/>
                <w:iCs w:val="0"/>
                <w:sz w:val="21"/>
                <w:szCs w:val="21"/>
              </w:rPr>
              <w:t>130</w:t>
            </w:r>
          </w:p>
        </w:tc>
        <w:tc>
          <w:tcPr>
            <w:tcW w:w="1347" w:type="dxa"/>
            <w:noWrap w:val="0"/>
            <w:vAlign w:val="center"/>
          </w:tcPr>
          <w:p>
            <w:pPr>
              <w:jc w:val="center"/>
              <w:rPr>
                <w:rFonts w:hint="eastAsia"/>
                <w:i w:val="0"/>
                <w:iCs w:val="0"/>
                <w:sz w:val="21"/>
                <w:szCs w:val="21"/>
              </w:rPr>
            </w:pPr>
            <w:r>
              <w:rPr>
                <w:rFonts w:hint="eastAsia"/>
                <w:i w:val="0"/>
                <w:iCs w:val="0"/>
                <w:sz w:val="21"/>
                <w:szCs w:val="21"/>
              </w:rPr>
              <w:t>160</w:t>
            </w:r>
          </w:p>
        </w:tc>
        <w:tc>
          <w:tcPr>
            <w:tcW w:w="1347" w:type="dxa"/>
            <w:noWrap w:val="0"/>
            <w:vAlign w:val="center"/>
          </w:tcPr>
          <w:p>
            <w:pPr>
              <w:jc w:val="center"/>
              <w:rPr>
                <w:i w:val="0"/>
                <w:iCs w:val="0"/>
                <w:sz w:val="21"/>
                <w:szCs w:val="21"/>
              </w:rPr>
            </w:pPr>
            <w:r>
              <w:rPr>
                <w:rFonts w:hint="eastAsia"/>
                <w:i w:val="0"/>
                <w:iCs w:val="0"/>
                <w:sz w:val="21"/>
                <w:szCs w:val="21"/>
              </w:rPr>
              <w:t>0.81</w:t>
            </w:r>
          </w:p>
        </w:tc>
        <w:tc>
          <w:tcPr>
            <w:tcW w:w="1340" w:type="dxa"/>
            <w:noWrap w:val="0"/>
            <w:vAlign w:val="center"/>
          </w:tcPr>
          <w:p>
            <w:pPr>
              <w:jc w:val="center"/>
              <w:rPr>
                <w:rFonts w:hint="eastAsia"/>
                <w:i w:val="0"/>
                <w:iCs w:val="0"/>
                <w:sz w:val="21"/>
                <w:szCs w:val="21"/>
              </w:rPr>
            </w:pPr>
            <w:r>
              <w:rPr>
                <w:rFonts w:hint="eastAsia"/>
                <w:i w:val="0"/>
                <w:iCs w:val="0"/>
                <w:sz w:val="21"/>
                <w:szCs w:val="21"/>
              </w:rPr>
              <w:t>达标</w:t>
            </w:r>
          </w:p>
        </w:tc>
      </w:tr>
    </w:tbl>
    <w:p>
      <w:pPr>
        <w:widowControl/>
        <w:wordWrap w:val="0"/>
        <w:spacing w:line="360" w:lineRule="auto"/>
        <w:ind w:firstLine="480" w:firstLineChars="200"/>
        <w:jc w:val="left"/>
        <w:rPr>
          <w:i w:val="0"/>
          <w:iCs w:val="0"/>
          <w:snapToGrid w:val="0"/>
        </w:rPr>
      </w:pPr>
      <w:r>
        <w:rPr>
          <w:i w:val="0"/>
          <w:iCs w:val="0"/>
          <w:snapToGrid w:val="0"/>
        </w:rPr>
        <w:t>由上表可知，</w:t>
      </w:r>
      <w:r>
        <w:rPr>
          <w:rFonts w:hint="eastAsia"/>
          <w:i w:val="0"/>
          <w:iCs w:val="0"/>
          <w:snapToGrid w:val="0"/>
        </w:rPr>
        <w:t>白山</w:t>
      </w:r>
      <w:r>
        <w:rPr>
          <w:i w:val="0"/>
          <w:iCs w:val="0"/>
          <w:snapToGrid w:val="0"/>
        </w:rPr>
        <w:t>市202</w:t>
      </w:r>
      <w:r>
        <w:rPr>
          <w:rFonts w:hint="eastAsia"/>
          <w:i w:val="0"/>
          <w:iCs w:val="0"/>
          <w:snapToGrid w:val="0"/>
        </w:rPr>
        <w:t>3</w:t>
      </w:r>
      <w:r>
        <w:rPr>
          <w:i w:val="0"/>
          <w:iCs w:val="0"/>
          <w:snapToGrid w:val="0"/>
        </w:rPr>
        <w:t>年SO</w:t>
      </w:r>
      <w:r>
        <w:rPr>
          <w:i w:val="0"/>
          <w:iCs w:val="0"/>
          <w:snapToGrid w:val="0"/>
          <w:vertAlign w:val="subscript"/>
        </w:rPr>
        <w:t>2</w:t>
      </w:r>
      <w:r>
        <w:rPr>
          <w:i w:val="0"/>
          <w:iCs w:val="0"/>
          <w:snapToGrid w:val="0"/>
        </w:rPr>
        <w:t>、NO</w:t>
      </w:r>
      <w:r>
        <w:rPr>
          <w:i w:val="0"/>
          <w:iCs w:val="0"/>
          <w:snapToGrid w:val="0"/>
          <w:vertAlign w:val="subscript"/>
        </w:rPr>
        <w:t>2</w:t>
      </w:r>
      <w:r>
        <w:rPr>
          <w:i w:val="0"/>
          <w:iCs w:val="0"/>
          <w:snapToGrid w:val="0"/>
        </w:rPr>
        <w:t>、PM</w:t>
      </w:r>
      <w:r>
        <w:rPr>
          <w:i w:val="0"/>
          <w:iCs w:val="0"/>
          <w:snapToGrid w:val="0"/>
          <w:vertAlign w:val="subscript"/>
        </w:rPr>
        <w:t>10</w:t>
      </w:r>
      <w:r>
        <w:rPr>
          <w:i w:val="0"/>
          <w:iCs w:val="0"/>
          <w:snapToGrid w:val="0"/>
        </w:rPr>
        <w:t>、PM</w:t>
      </w:r>
      <w:r>
        <w:rPr>
          <w:i w:val="0"/>
          <w:iCs w:val="0"/>
          <w:snapToGrid w:val="0"/>
          <w:vertAlign w:val="subscript"/>
        </w:rPr>
        <w:t>2.5</w:t>
      </w:r>
      <w:r>
        <w:rPr>
          <w:i w:val="0"/>
          <w:iCs w:val="0"/>
          <w:snapToGrid w:val="0"/>
        </w:rPr>
        <w:t>年均浓度分别为</w:t>
      </w:r>
      <w:r>
        <w:rPr>
          <w:rFonts w:hint="eastAsia"/>
          <w:i w:val="0"/>
          <w:iCs w:val="0"/>
          <w:snapToGrid w:val="0"/>
        </w:rPr>
        <w:t>12</w:t>
      </w:r>
      <w:r>
        <w:rPr>
          <w:i w:val="0"/>
          <w:iCs w:val="0"/>
          <w:snapToGrid w:val="0"/>
        </w:rPr>
        <w:t>µg/m</w:t>
      </w:r>
      <w:r>
        <w:rPr>
          <w:i w:val="0"/>
          <w:iCs w:val="0"/>
          <w:snapToGrid w:val="0"/>
          <w:vertAlign w:val="superscript"/>
        </w:rPr>
        <w:t>3</w:t>
      </w:r>
      <w:r>
        <w:rPr>
          <w:i w:val="0"/>
          <w:iCs w:val="0"/>
          <w:snapToGrid w:val="0"/>
        </w:rPr>
        <w:t>、2</w:t>
      </w:r>
      <w:r>
        <w:rPr>
          <w:rFonts w:hint="eastAsia"/>
          <w:i w:val="0"/>
          <w:iCs w:val="0"/>
          <w:snapToGrid w:val="0"/>
        </w:rPr>
        <w:t>2</w:t>
      </w:r>
      <w:r>
        <w:rPr>
          <w:i w:val="0"/>
          <w:iCs w:val="0"/>
          <w:snapToGrid w:val="0"/>
        </w:rPr>
        <w:t>µg/m</w:t>
      </w:r>
      <w:r>
        <w:rPr>
          <w:i w:val="0"/>
          <w:iCs w:val="0"/>
          <w:snapToGrid w:val="0"/>
          <w:vertAlign w:val="superscript"/>
        </w:rPr>
        <w:t>3</w:t>
      </w:r>
      <w:r>
        <w:rPr>
          <w:i w:val="0"/>
          <w:iCs w:val="0"/>
          <w:snapToGrid w:val="0"/>
        </w:rPr>
        <w:t>、5</w:t>
      </w:r>
      <w:r>
        <w:rPr>
          <w:rFonts w:hint="eastAsia"/>
          <w:i w:val="0"/>
          <w:iCs w:val="0"/>
          <w:snapToGrid w:val="0"/>
        </w:rPr>
        <w:t>8</w:t>
      </w:r>
      <w:r>
        <w:rPr>
          <w:i w:val="0"/>
          <w:iCs w:val="0"/>
          <w:snapToGrid w:val="0"/>
        </w:rPr>
        <w:t>µg/m</w:t>
      </w:r>
      <w:r>
        <w:rPr>
          <w:i w:val="0"/>
          <w:iCs w:val="0"/>
          <w:snapToGrid w:val="0"/>
          <w:vertAlign w:val="superscript"/>
        </w:rPr>
        <w:t>3</w:t>
      </w:r>
      <w:r>
        <w:rPr>
          <w:i w:val="0"/>
          <w:iCs w:val="0"/>
          <w:snapToGrid w:val="0"/>
        </w:rPr>
        <w:t>、</w:t>
      </w:r>
      <w:r>
        <w:rPr>
          <w:rFonts w:hint="eastAsia"/>
          <w:i w:val="0"/>
          <w:iCs w:val="0"/>
          <w:snapToGrid w:val="0"/>
        </w:rPr>
        <w:t>24</w:t>
      </w:r>
      <w:r>
        <w:rPr>
          <w:i w:val="0"/>
          <w:iCs w:val="0"/>
          <w:snapToGrid w:val="0"/>
        </w:rPr>
        <w:t>µg/m</w:t>
      </w:r>
      <w:r>
        <w:rPr>
          <w:i w:val="0"/>
          <w:iCs w:val="0"/>
          <w:snapToGrid w:val="0"/>
          <w:vertAlign w:val="superscript"/>
        </w:rPr>
        <w:t>3</w:t>
      </w:r>
      <w:r>
        <w:rPr>
          <w:i w:val="0"/>
          <w:iCs w:val="0"/>
          <w:snapToGrid w:val="0"/>
        </w:rPr>
        <w:t>；CO24小时平均第95百分位数为1.</w:t>
      </w:r>
      <w:r>
        <w:rPr>
          <w:rFonts w:hint="eastAsia"/>
          <w:i w:val="0"/>
          <w:iCs w:val="0"/>
          <w:snapToGrid w:val="0"/>
        </w:rPr>
        <w:t>3</w:t>
      </w:r>
      <w:r>
        <w:rPr>
          <w:i w:val="0"/>
          <w:iCs w:val="0"/>
          <w:snapToGrid w:val="0"/>
        </w:rPr>
        <w:t>mg/m</w:t>
      </w:r>
      <w:r>
        <w:rPr>
          <w:i w:val="0"/>
          <w:iCs w:val="0"/>
          <w:snapToGrid w:val="0"/>
          <w:vertAlign w:val="superscript"/>
        </w:rPr>
        <w:t>3</w:t>
      </w:r>
      <w:r>
        <w:rPr>
          <w:i w:val="0"/>
          <w:iCs w:val="0"/>
          <w:snapToGrid w:val="0"/>
        </w:rPr>
        <w:t>，O</w:t>
      </w:r>
      <w:r>
        <w:rPr>
          <w:i w:val="0"/>
          <w:iCs w:val="0"/>
          <w:snapToGrid w:val="0"/>
          <w:vertAlign w:val="subscript"/>
        </w:rPr>
        <w:t>3</w:t>
      </w:r>
      <w:r>
        <w:rPr>
          <w:i w:val="0"/>
          <w:iCs w:val="0"/>
          <w:snapToGrid w:val="0"/>
        </w:rPr>
        <w:t>日最大8小时平均第90百分位数为</w:t>
      </w:r>
      <w:r>
        <w:rPr>
          <w:rFonts w:hint="eastAsia"/>
          <w:i w:val="0"/>
          <w:iCs w:val="0"/>
          <w:snapToGrid w:val="0"/>
        </w:rPr>
        <w:t>130</w:t>
      </w:r>
      <w:r>
        <w:rPr>
          <w:i w:val="0"/>
          <w:iCs w:val="0"/>
          <w:snapToGrid w:val="0"/>
        </w:rPr>
        <w:t>µg/m</w:t>
      </w:r>
      <w:r>
        <w:rPr>
          <w:i w:val="0"/>
          <w:iCs w:val="0"/>
          <w:snapToGrid w:val="0"/>
          <w:vertAlign w:val="superscript"/>
        </w:rPr>
        <w:t>3</w:t>
      </w:r>
      <w:r>
        <w:rPr>
          <w:i w:val="0"/>
          <w:iCs w:val="0"/>
          <w:snapToGrid w:val="0"/>
        </w:rPr>
        <w:t>，常规污染物浓度均满足《环境空气质量标准》（GB3095-2012）中二级标准限值</w:t>
      </w:r>
      <w:r>
        <w:rPr>
          <w:rFonts w:hint="eastAsia"/>
          <w:i w:val="0"/>
          <w:iCs w:val="0"/>
          <w:snapToGrid w:val="0"/>
        </w:rPr>
        <w:t>，属于达标区</w:t>
      </w:r>
      <w:r>
        <w:rPr>
          <w:i w:val="0"/>
          <w:iCs w:val="0"/>
          <w:snapToGrid w:val="0"/>
        </w:rPr>
        <w:t>。</w:t>
      </w:r>
    </w:p>
    <w:p>
      <w:pPr>
        <w:widowControl/>
        <w:spacing w:line="360" w:lineRule="auto"/>
        <w:ind w:firstLine="490" w:firstLineChars="200"/>
        <w:jc w:val="left"/>
        <w:rPr>
          <w:b/>
          <w:bCs/>
          <w:i w:val="0"/>
          <w:iCs w:val="0"/>
          <w:spacing w:val="2"/>
        </w:rPr>
      </w:pPr>
      <w:r>
        <w:rPr>
          <w:b/>
          <w:bCs/>
          <w:i w:val="0"/>
          <w:iCs w:val="0"/>
          <w:spacing w:val="2"/>
        </w:rPr>
        <w:t>（</w:t>
      </w:r>
      <w:r>
        <w:rPr>
          <w:rFonts w:hint="eastAsia"/>
          <w:b/>
          <w:bCs/>
          <w:i w:val="0"/>
          <w:iCs w:val="0"/>
          <w:spacing w:val="2"/>
        </w:rPr>
        <w:t>2</w:t>
      </w:r>
      <w:r>
        <w:rPr>
          <w:b/>
          <w:bCs/>
          <w:i w:val="0"/>
          <w:iCs w:val="0"/>
          <w:spacing w:val="2"/>
        </w:rPr>
        <w:t>）环境空气特征因子达标性判定</w:t>
      </w:r>
    </w:p>
    <w:p>
      <w:pPr>
        <w:widowControl/>
        <w:spacing w:line="360" w:lineRule="auto"/>
        <w:ind w:firstLine="488" w:firstLineChars="200"/>
        <w:jc w:val="left"/>
        <w:rPr>
          <w:i w:val="0"/>
          <w:iCs w:val="0"/>
          <w:spacing w:val="2"/>
        </w:rPr>
      </w:pPr>
      <w:r>
        <w:rPr>
          <w:i w:val="0"/>
          <w:iCs w:val="0"/>
          <w:spacing w:val="2"/>
        </w:rPr>
        <w:t>A、监测点位布设</w:t>
      </w:r>
    </w:p>
    <w:p>
      <w:pPr>
        <w:widowControl/>
        <w:spacing w:line="360" w:lineRule="auto"/>
        <w:ind w:firstLine="480" w:firstLineChars="200"/>
        <w:jc w:val="left"/>
        <w:rPr>
          <w:rFonts w:hint="eastAsia"/>
          <w:i w:val="0"/>
          <w:iCs w:val="0"/>
          <w:kern w:val="0"/>
          <w:highlight w:val="yellow"/>
        </w:rPr>
      </w:pPr>
      <w:r>
        <w:rPr>
          <w:rFonts w:hint="eastAsia"/>
          <w:i w:val="0"/>
          <w:iCs w:val="0"/>
          <w:color w:val="000000"/>
          <w:lang w:bidi="ar"/>
        </w:rPr>
        <w:t>本次</w:t>
      </w:r>
      <w:r>
        <w:rPr>
          <w:i w:val="0"/>
          <w:iCs w:val="0"/>
          <w:kern w:val="0"/>
        </w:rPr>
        <w:t>NH</w:t>
      </w:r>
      <w:r>
        <w:rPr>
          <w:rFonts w:hint="eastAsia"/>
          <w:i w:val="0"/>
          <w:iCs w:val="0"/>
          <w:kern w:val="0"/>
          <w:vertAlign w:val="subscript"/>
        </w:rPr>
        <w:t>3</w:t>
      </w:r>
      <w:r>
        <w:rPr>
          <w:i w:val="0"/>
          <w:iCs w:val="0"/>
          <w:kern w:val="0"/>
        </w:rPr>
        <w:t>、H</w:t>
      </w:r>
      <w:r>
        <w:rPr>
          <w:i w:val="0"/>
          <w:iCs w:val="0"/>
          <w:kern w:val="0"/>
          <w:vertAlign w:val="subscript"/>
        </w:rPr>
        <w:t>2</w:t>
      </w:r>
      <w:r>
        <w:rPr>
          <w:i w:val="0"/>
          <w:iCs w:val="0"/>
          <w:kern w:val="0"/>
        </w:rPr>
        <w:t>S、</w:t>
      </w:r>
      <w:r>
        <w:rPr>
          <w:rFonts w:hint="eastAsia"/>
          <w:i w:val="0"/>
          <w:iCs w:val="0"/>
          <w:kern w:val="0"/>
        </w:rPr>
        <w:t>TSP、臭气浓度、</w:t>
      </w:r>
      <w:r>
        <w:rPr>
          <w:i w:val="0"/>
          <w:iCs w:val="0"/>
          <w:kern w:val="0"/>
        </w:rPr>
        <w:t>非甲烷总烃</w:t>
      </w:r>
      <w:r>
        <w:rPr>
          <w:rFonts w:hint="eastAsia"/>
          <w:i w:val="0"/>
          <w:iCs w:val="0"/>
          <w:color w:val="000000"/>
          <w:lang w:bidi="ar"/>
        </w:rPr>
        <w:t>引用</w:t>
      </w:r>
      <w:r>
        <w:rPr>
          <w:i w:val="0"/>
          <w:iCs w:val="0"/>
          <w:color w:val="000000"/>
          <w:lang w:bidi="ar"/>
        </w:rPr>
        <w:t>由</w:t>
      </w:r>
      <w:r>
        <w:rPr>
          <w:rFonts w:hint="eastAsia"/>
          <w:i w:val="0"/>
          <w:iCs w:val="0"/>
          <w:color w:val="000000"/>
          <w:lang w:bidi="ar"/>
        </w:rPr>
        <w:t>吉林省鑫誉环境检测有限公司</w:t>
      </w:r>
      <w:r>
        <w:rPr>
          <w:i w:val="0"/>
          <w:iCs w:val="0"/>
          <w:color w:val="000000"/>
          <w:lang w:bidi="ar"/>
        </w:rPr>
        <w:t>于202</w:t>
      </w:r>
      <w:r>
        <w:rPr>
          <w:rFonts w:hint="eastAsia"/>
          <w:i w:val="0"/>
          <w:iCs w:val="0"/>
          <w:color w:val="000000"/>
          <w:lang w:bidi="ar"/>
        </w:rPr>
        <w:t>4</w:t>
      </w:r>
      <w:r>
        <w:rPr>
          <w:i w:val="0"/>
          <w:iCs w:val="0"/>
          <w:color w:val="000000"/>
          <w:lang w:bidi="ar"/>
        </w:rPr>
        <w:t>年</w:t>
      </w:r>
      <w:r>
        <w:rPr>
          <w:rFonts w:hint="eastAsia"/>
          <w:i w:val="0"/>
          <w:iCs w:val="0"/>
          <w:color w:val="000000"/>
          <w:lang w:bidi="ar"/>
        </w:rPr>
        <w:t>7</w:t>
      </w:r>
      <w:r>
        <w:rPr>
          <w:i w:val="0"/>
          <w:iCs w:val="0"/>
          <w:color w:val="000000"/>
          <w:lang w:bidi="ar"/>
        </w:rPr>
        <w:t>月</w:t>
      </w:r>
      <w:r>
        <w:rPr>
          <w:rFonts w:hint="eastAsia"/>
          <w:i w:val="0"/>
          <w:iCs w:val="0"/>
          <w:color w:val="000000"/>
          <w:lang w:bidi="ar"/>
        </w:rPr>
        <w:t>8</w:t>
      </w:r>
      <w:r>
        <w:rPr>
          <w:i w:val="0"/>
          <w:iCs w:val="0"/>
          <w:color w:val="000000"/>
          <w:lang w:bidi="ar"/>
        </w:rPr>
        <w:t>日～202</w:t>
      </w:r>
      <w:r>
        <w:rPr>
          <w:rFonts w:hint="eastAsia"/>
          <w:i w:val="0"/>
          <w:iCs w:val="0"/>
          <w:color w:val="000000"/>
          <w:lang w:bidi="ar"/>
        </w:rPr>
        <w:t>4</w:t>
      </w:r>
      <w:r>
        <w:rPr>
          <w:i w:val="0"/>
          <w:iCs w:val="0"/>
          <w:color w:val="000000"/>
          <w:lang w:bidi="ar"/>
        </w:rPr>
        <w:t>年</w:t>
      </w:r>
      <w:r>
        <w:rPr>
          <w:rFonts w:hint="eastAsia"/>
          <w:i w:val="0"/>
          <w:iCs w:val="0"/>
          <w:color w:val="000000"/>
          <w:lang w:bidi="ar"/>
        </w:rPr>
        <w:t>7</w:t>
      </w:r>
      <w:r>
        <w:rPr>
          <w:i w:val="0"/>
          <w:iCs w:val="0"/>
          <w:color w:val="000000"/>
          <w:lang w:bidi="ar"/>
        </w:rPr>
        <w:t>月</w:t>
      </w:r>
      <w:r>
        <w:rPr>
          <w:rFonts w:hint="eastAsia"/>
          <w:i w:val="0"/>
          <w:iCs w:val="0"/>
          <w:color w:val="000000"/>
          <w:lang w:bidi="ar"/>
        </w:rPr>
        <w:t>14</w:t>
      </w:r>
      <w:r>
        <w:rPr>
          <w:i w:val="0"/>
          <w:iCs w:val="0"/>
          <w:color w:val="000000"/>
          <w:lang w:bidi="ar"/>
        </w:rPr>
        <w:t>日进行监测</w:t>
      </w:r>
      <w:r>
        <w:rPr>
          <w:rFonts w:hint="eastAsia"/>
          <w:i w:val="0"/>
          <w:iCs w:val="0"/>
          <w:color w:val="000000"/>
          <w:lang w:bidi="ar"/>
        </w:rPr>
        <w:t>的数据</w:t>
      </w:r>
      <w:r>
        <w:rPr>
          <w:rFonts w:hint="eastAsia"/>
          <w:i w:val="0"/>
          <w:iCs w:val="0"/>
          <w:snapToGrid w:val="0"/>
        </w:rPr>
        <w:t>，</w:t>
      </w:r>
      <w:r>
        <w:rPr>
          <w:i w:val="0"/>
          <w:iCs w:val="0"/>
          <w:kern w:val="0"/>
        </w:rPr>
        <w:t>特征污染物监测点设置</w:t>
      </w:r>
      <w:r>
        <w:rPr>
          <w:rFonts w:hint="eastAsia"/>
          <w:i w:val="0"/>
          <w:iCs w:val="0"/>
          <w:kern w:val="0"/>
        </w:rPr>
        <w:t>项目所在地和</w:t>
      </w:r>
      <w:r>
        <w:rPr>
          <w:i w:val="0"/>
          <w:iCs w:val="0"/>
          <w:kern w:val="0"/>
        </w:rPr>
        <w:t>厂界</w:t>
      </w:r>
      <w:r>
        <w:rPr>
          <w:rFonts w:hint="eastAsia"/>
          <w:i w:val="0"/>
          <w:iCs w:val="0"/>
          <w:kern w:val="0"/>
        </w:rPr>
        <w:t>上、</w:t>
      </w:r>
      <w:r>
        <w:rPr>
          <w:i w:val="0"/>
          <w:iCs w:val="0"/>
          <w:kern w:val="0"/>
        </w:rPr>
        <w:t>下风向</w:t>
      </w:r>
      <w:r>
        <w:rPr>
          <w:rFonts w:hint="eastAsia"/>
          <w:i w:val="0"/>
          <w:iCs w:val="0"/>
          <w:kern w:val="0"/>
        </w:rPr>
        <w:t>各设置一个监测点</w:t>
      </w:r>
      <w:r>
        <w:rPr>
          <w:i w:val="0"/>
          <w:iCs w:val="0"/>
          <w:kern w:val="0"/>
        </w:rPr>
        <w:t>，特征污染物具体监测点位布点见表</w:t>
      </w:r>
      <w:r>
        <w:rPr>
          <w:rFonts w:hint="eastAsia"/>
          <w:i w:val="0"/>
          <w:iCs w:val="0"/>
          <w:kern w:val="0"/>
        </w:rPr>
        <w:t>4</w:t>
      </w:r>
      <w:r>
        <w:rPr>
          <w:i w:val="0"/>
          <w:iCs w:val="0"/>
          <w:kern w:val="0"/>
        </w:rPr>
        <w:t>-</w:t>
      </w:r>
      <w:r>
        <w:rPr>
          <w:rFonts w:hint="eastAsia"/>
          <w:i w:val="0"/>
          <w:iCs w:val="0"/>
          <w:kern w:val="0"/>
        </w:rPr>
        <w:t>3</w:t>
      </w:r>
      <w:r>
        <w:rPr>
          <w:i w:val="0"/>
          <w:iCs w:val="0"/>
          <w:kern w:val="0"/>
        </w:rPr>
        <w:t>，图</w:t>
      </w:r>
      <w:r>
        <w:rPr>
          <w:rFonts w:hint="eastAsia"/>
          <w:i w:val="0"/>
          <w:iCs w:val="0"/>
          <w:kern w:val="0"/>
        </w:rPr>
        <w:t>4-1</w:t>
      </w:r>
      <w:r>
        <w:rPr>
          <w:rFonts w:hint="eastAsia"/>
          <w:i w:val="0"/>
          <w:iCs w:val="0"/>
          <w:kern w:val="0"/>
          <w:lang w:eastAsia="zh-CN"/>
        </w:rPr>
        <w:t>，氮氧化物</w:t>
      </w:r>
      <w:r>
        <w:rPr>
          <w:rFonts w:hint="eastAsia" w:ascii="Times New Roman" w:hAnsi="Times New Roman" w:eastAsia="宋体" w:cs="Times New Roman"/>
          <w:i w:val="0"/>
          <w:iCs w:val="0"/>
          <w:color w:val="auto"/>
          <w:kern w:val="0"/>
          <w:sz w:val="24"/>
          <w:szCs w:val="24"/>
          <w:u w:val="none" w:color="auto"/>
          <w:lang w:val="en-US" w:eastAsia="zh-CN"/>
        </w:rPr>
        <w:t>引用《吉林源翔农牧科技有限公司锅炉新建项目》现状监测数据，环境空气监测点位位于本项目</w:t>
      </w:r>
      <w:r>
        <w:rPr>
          <w:rFonts w:hint="eastAsia" w:ascii="Times New Roman" w:hAnsi="Times New Roman" w:cs="Times New Roman"/>
          <w:i w:val="0"/>
          <w:iCs w:val="0"/>
          <w:color w:val="auto"/>
          <w:kern w:val="0"/>
          <w:sz w:val="24"/>
          <w:szCs w:val="24"/>
          <w:u w:val="none" w:color="auto"/>
          <w:lang w:val="en-US" w:eastAsia="zh-CN"/>
        </w:rPr>
        <w:t>东北</w:t>
      </w:r>
      <w:r>
        <w:rPr>
          <w:rFonts w:hint="eastAsia" w:ascii="Times New Roman" w:hAnsi="Times New Roman" w:eastAsia="宋体" w:cs="Times New Roman"/>
          <w:i w:val="0"/>
          <w:iCs w:val="0"/>
          <w:color w:val="auto"/>
          <w:kern w:val="0"/>
          <w:sz w:val="24"/>
          <w:szCs w:val="24"/>
          <w:u w:val="none" w:color="auto"/>
          <w:lang w:val="en-US" w:eastAsia="zh-CN"/>
        </w:rPr>
        <w:t>侧</w:t>
      </w:r>
      <w:r>
        <w:rPr>
          <w:rFonts w:hint="eastAsia" w:ascii="Times New Roman" w:hAnsi="Times New Roman" w:cs="Times New Roman"/>
          <w:i w:val="0"/>
          <w:iCs w:val="0"/>
          <w:color w:val="auto"/>
          <w:kern w:val="0"/>
          <w:sz w:val="24"/>
          <w:szCs w:val="24"/>
          <w:u w:val="none" w:color="auto"/>
          <w:lang w:val="en-US" w:eastAsia="zh-CN"/>
        </w:rPr>
        <w:t>4750</w:t>
      </w:r>
      <w:r>
        <w:rPr>
          <w:rFonts w:hint="eastAsia" w:ascii="Times New Roman" w:hAnsi="Times New Roman" w:eastAsia="宋体" w:cs="Times New Roman"/>
          <w:i w:val="0"/>
          <w:iCs w:val="0"/>
          <w:color w:val="auto"/>
          <w:kern w:val="0"/>
          <w:sz w:val="24"/>
          <w:szCs w:val="24"/>
          <w:u w:val="none" w:color="auto"/>
          <w:lang w:val="en-US" w:eastAsia="zh-CN"/>
        </w:rPr>
        <w:t>m，监测时间为202</w:t>
      </w:r>
      <w:r>
        <w:rPr>
          <w:rFonts w:hint="eastAsia" w:ascii="Times New Roman" w:hAnsi="Times New Roman" w:cs="Times New Roman"/>
          <w:i w:val="0"/>
          <w:iCs w:val="0"/>
          <w:color w:val="auto"/>
          <w:kern w:val="0"/>
          <w:sz w:val="24"/>
          <w:szCs w:val="24"/>
          <w:u w:val="none" w:color="auto"/>
          <w:lang w:val="en-US" w:eastAsia="zh-CN"/>
        </w:rPr>
        <w:t>1</w:t>
      </w:r>
      <w:r>
        <w:rPr>
          <w:rFonts w:hint="eastAsia" w:ascii="Times New Roman" w:hAnsi="Times New Roman" w:eastAsia="宋体" w:cs="Times New Roman"/>
          <w:i w:val="0"/>
          <w:iCs w:val="0"/>
          <w:color w:val="auto"/>
          <w:kern w:val="0"/>
          <w:sz w:val="24"/>
          <w:szCs w:val="24"/>
          <w:u w:val="none" w:color="auto"/>
          <w:lang w:val="en-US" w:eastAsia="zh-CN"/>
        </w:rPr>
        <w:t>年</w:t>
      </w:r>
      <w:r>
        <w:rPr>
          <w:rFonts w:hint="eastAsia" w:ascii="Times New Roman" w:hAnsi="Times New Roman" w:cs="Times New Roman"/>
          <w:i w:val="0"/>
          <w:iCs w:val="0"/>
          <w:color w:val="auto"/>
          <w:kern w:val="0"/>
          <w:sz w:val="24"/>
          <w:szCs w:val="24"/>
          <w:u w:val="none" w:color="auto"/>
          <w:lang w:val="en-US" w:eastAsia="zh-CN"/>
        </w:rPr>
        <w:t>12</w:t>
      </w:r>
      <w:r>
        <w:rPr>
          <w:rFonts w:hint="eastAsia" w:ascii="Times New Roman" w:hAnsi="Times New Roman" w:eastAsia="宋体" w:cs="Times New Roman"/>
          <w:i w:val="0"/>
          <w:iCs w:val="0"/>
          <w:color w:val="auto"/>
          <w:kern w:val="0"/>
          <w:sz w:val="24"/>
          <w:szCs w:val="24"/>
          <w:u w:val="none" w:color="auto"/>
          <w:lang w:val="en-US" w:eastAsia="zh-CN"/>
        </w:rPr>
        <w:t>月</w:t>
      </w:r>
      <w:r>
        <w:rPr>
          <w:rFonts w:hint="eastAsia" w:ascii="Times New Roman" w:hAnsi="Times New Roman" w:cs="Times New Roman"/>
          <w:i w:val="0"/>
          <w:iCs w:val="0"/>
          <w:color w:val="auto"/>
          <w:kern w:val="0"/>
          <w:sz w:val="24"/>
          <w:szCs w:val="24"/>
          <w:u w:val="none" w:color="auto"/>
          <w:lang w:val="en-US" w:eastAsia="zh-CN"/>
        </w:rPr>
        <w:t>22</w:t>
      </w:r>
      <w:r>
        <w:rPr>
          <w:rFonts w:hint="eastAsia" w:ascii="Times New Roman" w:hAnsi="Times New Roman" w:eastAsia="宋体" w:cs="Times New Roman"/>
          <w:i w:val="0"/>
          <w:iCs w:val="0"/>
          <w:color w:val="auto"/>
          <w:kern w:val="0"/>
          <w:sz w:val="24"/>
          <w:szCs w:val="24"/>
          <w:u w:val="none" w:color="auto"/>
          <w:lang w:val="en-US" w:eastAsia="zh-CN"/>
        </w:rPr>
        <w:t>日至</w:t>
      </w:r>
      <w:r>
        <w:rPr>
          <w:rFonts w:hint="eastAsia" w:ascii="Times New Roman" w:hAnsi="Times New Roman" w:cs="Times New Roman"/>
          <w:i w:val="0"/>
          <w:iCs w:val="0"/>
          <w:color w:val="auto"/>
          <w:kern w:val="0"/>
          <w:sz w:val="24"/>
          <w:szCs w:val="24"/>
          <w:u w:val="none" w:color="auto"/>
          <w:lang w:val="en-US" w:eastAsia="zh-CN"/>
        </w:rPr>
        <w:t>12</w:t>
      </w:r>
      <w:r>
        <w:rPr>
          <w:rFonts w:hint="eastAsia" w:ascii="Times New Roman" w:hAnsi="Times New Roman" w:eastAsia="宋体" w:cs="Times New Roman"/>
          <w:i w:val="0"/>
          <w:iCs w:val="0"/>
          <w:color w:val="auto"/>
          <w:kern w:val="0"/>
          <w:sz w:val="24"/>
          <w:szCs w:val="24"/>
          <w:u w:val="none" w:color="auto"/>
          <w:lang w:val="en-US" w:eastAsia="zh-CN"/>
        </w:rPr>
        <w:t>月</w:t>
      </w:r>
      <w:r>
        <w:rPr>
          <w:rFonts w:hint="eastAsia" w:ascii="Times New Roman" w:hAnsi="Times New Roman" w:cs="Times New Roman"/>
          <w:i w:val="0"/>
          <w:iCs w:val="0"/>
          <w:color w:val="auto"/>
          <w:kern w:val="0"/>
          <w:sz w:val="24"/>
          <w:szCs w:val="24"/>
          <w:u w:val="none" w:color="auto"/>
          <w:lang w:val="en-US" w:eastAsia="zh-CN"/>
        </w:rPr>
        <w:t>24</w:t>
      </w:r>
      <w:r>
        <w:rPr>
          <w:rFonts w:hint="eastAsia" w:ascii="Times New Roman" w:hAnsi="Times New Roman" w:eastAsia="宋体" w:cs="Times New Roman"/>
          <w:i w:val="0"/>
          <w:iCs w:val="0"/>
          <w:color w:val="auto"/>
          <w:kern w:val="0"/>
          <w:sz w:val="24"/>
          <w:szCs w:val="24"/>
          <w:u w:val="none" w:color="auto"/>
          <w:lang w:val="en-US" w:eastAsia="zh-CN"/>
        </w:rPr>
        <w:t>日连续三天，</w:t>
      </w:r>
      <w:r>
        <w:rPr>
          <w:rFonts w:hint="eastAsia" w:ascii="Times New Roman" w:hAnsi="Times New Roman" w:cs="Times New Roman"/>
          <w:i w:val="0"/>
          <w:iCs w:val="0"/>
          <w:color w:val="auto"/>
          <w:kern w:val="0"/>
          <w:sz w:val="24"/>
          <w:szCs w:val="24"/>
          <w:u w:val="none" w:color="auto"/>
          <w:lang w:val="en-US" w:eastAsia="zh-CN"/>
        </w:rPr>
        <w:t>监测单位为</w:t>
      </w:r>
      <w:r>
        <w:rPr>
          <w:rFonts w:hint="default" w:ascii="Times New Roman" w:hAnsi="Times New Roman" w:cs="Times New Roman"/>
          <w:i w:val="0"/>
          <w:iCs w:val="0"/>
          <w:sz w:val="24"/>
          <w:u w:val="none" w:color="auto"/>
        </w:rPr>
        <w:t>吉林省中环检测有限公司</w:t>
      </w:r>
      <w:r>
        <w:rPr>
          <w:rFonts w:hint="eastAsia"/>
          <w:i w:val="0"/>
          <w:iCs w:val="0"/>
          <w:kern w:val="0"/>
        </w:rPr>
        <w:t>。</w:t>
      </w:r>
    </w:p>
    <w:p>
      <w:pPr>
        <w:widowControl/>
        <w:ind w:firstLine="482" w:firstLineChars="200"/>
        <w:jc w:val="center"/>
        <w:rPr>
          <w:rFonts w:hint="eastAsia"/>
          <w:b/>
          <w:i w:val="0"/>
          <w:iCs w:val="0"/>
          <w:color w:val="000000"/>
        </w:rPr>
      </w:pPr>
      <w:r>
        <w:rPr>
          <w:rFonts w:hint="eastAsia"/>
          <w:b/>
          <w:i w:val="0"/>
          <w:iCs w:val="0"/>
          <w:color w:val="000000"/>
        </w:rPr>
        <w:t>表4-3特征污染物监测点位基本信息</w:t>
      </w:r>
    </w:p>
    <w:tbl>
      <w:tblPr>
        <w:tblStyle w:val="58"/>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54"/>
        <w:gridCol w:w="2965"/>
        <w:gridCol w:w="35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483" w:type="pct"/>
            <w:vMerge w:val="restart"/>
            <w:noWrap w:val="0"/>
            <w:vAlign w:val="center"/>
          </w:tcPr>
          <w:p>
            <w:pPr>
              <w:jc w:val="center"/>
              <w:rPr>
                <w:i w:val="0"/>
                <w:iCs w:val="0"/>
                <w:sz w:val="21"/>
                <w:szCs w:val="21"/>
              </w:rPr>
            </w:pPr>
            <w:r>
              <w:rPr>
                <w:i w:val="0"/>
                <w:iCs w:val="0"/>
                <w:sz w:val="21"/>
                <w:szCs w:val="21"/>
              </w:rPr>
              <w:t>监测点名称</w:t>
            </w:r>
          </w:p>
        </w:tc>
        <w:tc>
          <w:tcPr>
            <w:tcW w:w="1597" w:type="pct"/>
            <w:vMerge w:val="restart"/>
            <w:noWrap w:val="0"/>
            <w:vAlign w:val="center"/>
          </w:tcPr>
          <w:p>
            <w:pPr>
              <w:jc w:val="center"/>
              <w:rPr>
                <w:i w:val="0"/>
                <w:iCs w:val="0"/>
                <w:sz w:val="21"/>
                <w:szCs w:val="21"/>
              </w:rPr>
            </w:pPr>
            <w:r>
              <w:rPr>
                <w:i w:val="0"/>
                <w:iCs w:val="0"/>
                <w:sz w:val="21"/>
                <w:szCs w:val="21"/>
              </w:rPr>
              <w:t>监测因子</w:t>
            </w:r>
          </w:p>
        </w:tc>
        <w:tc>
          <w:tcPr>
            <w:tcW w:w="1918" w:type="pct"/>
            <w:vMerge w:val="restart"/>
            <w:noWrap w:val="0"/>
            <w:vAlign w:val="center"/>
          </w:tcPr>
          <w:p>
            <w:pPr>
              <w:jc w:val="center"/>
              <w:rPr>
                <w:i w:val="0"/>
                <w:iCs w:val="0"/>
                <w:sz w:val="21"/>
                <w:szCs w:val="21"/>
              </w:rPr>
            </w:pPr>
            <w:r>
              <w:rPr>
                <w:i w:val="0"/>
                <w:iCs w:val="0"/>
                <w:sz w:val="21"/>
                <w:szCs w:val="21"/>
              </w:rPr>
              <w:t>监测时段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83" w:type="pct"/>
            <w:vMerge w:val="continue"/>
            <w:noWrap w:val="0"/>
            <w:vAlign w:val="center"/>
          </w:tcPr>
          <w:p>
            <w:pPr>
              <w:jc w:val="center"/>
              <w:rPr>
                <w:i w:val="0"/>
                <w:iCs w:val="0"/>
                <w:sz w:val="21"/>
                <w:szCs w:val="21"/>
              </w:rPr>
            </w:pPr>
          </w:p>
        </w:tc>
        <w:tc>
          <w:tcPr>
            <w:tcW w:w="1597" w:type="pct"/>
            <w:vMerge w:val="continue"/>
            <w:noWrap w:val="0"/>
            <w:vAlign w:val="center"/>
          </w:tcPr>
          <w:p>
            <w:pPr>
              <w:jc w:val="center"/>
              <w:rPr>
                <w:i w:val="0"/>
                <w:iCs w:val="0"/>
                <w:sz w:val="21"/>
                <w:szCs w:val="21"/>
              </w:rPr>
            </w:pPr>
          </w:p>
        </w:tc>
        <w:tc>
          <w:tcPr>
            <w:tcW w:w="1918" w:type="pct"/>
            <w:vMerge w:val="continue"/>
            <w:noWrap w:val="0"/>
            <w:vAlign w:val="center"/>
          </w:tcPr>
          <w:p>
            <w:pPr>
              <w:jc w:val="center"/>
              <w:rPr>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483" w:type="pct"/>
            <w:noWrap w:val="0"/>
            <w:vAlign w:val="center"/>
          </w:tcPr>
          <w:p>
            <w:pPr>
              <w:jc w:val="center"/>
              <w:rPr>
                <w:rFonts w:hint="eastAsia"/>
                <w:i w:val="0"/>
                <w:iCs w:val="0"/>
                <w:sz w:val="21"/>
                <w:szCs w:val="21"/>
              </w:rPr>
            </w:pPr>
            <w:r>
              <w:rPr>
                <w:rFonts w:hint="eastAsia"/>
                <w:i w:val="0"/>
                <w:iCs w:val="0"/>
                <w:sz w:val="21"/>
                <w:szCs w:val="21"/>
              </w:rPr>
              <w:t>项目所在地</w:t>
            </w:r>
          </w:p>
        </w:tc>
        <w:tc>
          <w:tcPr>
            <w:tcW w:w="1597" w:type="pct"/>
            <w:vMerge w:val="restart"/>
            <w:noWrap w:val="0"/>
            <w:vAlign w:val="center"/>
          </w:tcPr>
          <w:p>
            <w:pPr>
              <w:jc w:val="center"/>
              <w:rPr>
                <w:rFonts w:hint="eastAsia"/>
                <w:i w:val="0"/>
                <w:iCs w:val="0"/>
                <w:sz w:val="21"/>
                <w:szCs w:val="21"/>
              </w:rPr>
            </w:pPr>
            <w:r>
              <w:rPr>
                <w:i w:val="0"/>
                <w:iCs w:val="0"/>
                <w:sz w:val="21"/>
                <w:szCs w:val="21"/>
              </w:rPr>
              <w:t>NH</w:t>
            </w:r>
            <w:r>
              <w:rPr>
                <w:rFonts w:hint="eastAsia"/>
                <w:i w:val="0"/>
                <w:iCs w:val="0"/>
                <w:sz w:val="21"/>
                <w:szCs w:val="21"/>
                <w:vertAlign w:val="subscript"/>
              </w:rPr>
              <w:t>3</w:t>
            </w:r>
            <w:r>
              <w:rPr>
                <w:i w:val="0"/>
                <w:iCs w:val="0"/>
                <w:sz w:val="21"/>
                <w:szCs w:val="21"/>
              </w:rPr>
              <w:t>、H</w:t>
            </w:r>
            <w:r>
              <w:rPr>
                <w:i w:val="0"/>
                <w:iCs w:val="0"/>
                <w:sz w:val="21"/>
                <w:szCs w:val="21"/>
                <w:vertAlign w:val="subscript"/>
              </w:rPr>
              <w:t>2</w:t>
            </w:r>
            <w:r>
              <w:rPr>
                <w:i w:val="0"/>
                <w:iCs w:val="0"/>
                <w:sz w:val="21"/>
                <w:szCs w:val="21"/>
              </w:rPr>
              <w:t>S、</w:t>
            </w:r>
            <w:r>
              <w:rPr>
                <w:rFonts w:hint="eastAsia"/>
                <w:i w:val="0"/>
                <w:iCs w:val="0"/>
                <w:sz w:val="21"/>
                <w:szCs w:val="21"/>
              </w:rPr>
              <w:t>TSP、臭气浓度、</w:t>
            </w:r>
            <w:r>
              <w:rPr>
                <w:i w:val="0"/>
                <w:iCs w:val="0"/>
                <w:sz w:val="21"/>
                <w:szCs w:val="21"/>
              </w:rPr>
              <w:t>非甲烷总烃</w:t>
            </w:r>
          </w:p>
        </w:tc>
        <w:tc>
          <w:tcPr>
            <w:tcW w:w="1918" w:type="pct"/>
            <w:vMerge w:val="restart"/>
            <w:noWrap w:val="0"/>
            <w:vAlign w:val="center"/>
          </w:tcPr>
          <w:p>
            <w:pPr>
              <w:jc w:val="center"/>
              <w:rPr>
                <w:rFonts w:hint="eastAsia"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rPr>
              <w:t>2024年7月8日～2024年7月14日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483" w:type="pct"/>
            <w:noWrap w:val="0"/>
            <w:vAlign w:val="center"/>
          </w:tcPr>
          <w:p>
            <w:pPr>
              <w:jc w:val="center"/>
              <w:rPr>
                <w:rFonts w:hint="eastAsia"/>
                <w:i w:val="0"/>
                <w:iCs w:val="0"/>
                <w:sz w:val="21"/>
                <w:szCs w:val="21"/>
              </w:rPr>
            </w:pPr>
            <w:r>
              <w:rPr>
                <w:rFonts w:hint="eastAsia"/>
                <w:i w:val="0"/>
                <w:iCs w:val="0"/>
                <w:sz w:val="21"/>
                <w:szCs w:val="21"/>
              </w:rPr>
              <w:t>项目东北侧500m处</w:t>
            </w:r>
          </w:p>
        </w:tc>
        <w:tc>
          <w:tcPr>
            <w:tcW w:w="1597" w:type="pct"/>
            <w:vMerge w:val="continue"/>
            <w:noWrap w:val="0"/>
            <w:vAlign w:val="center"/>
          </w:tcPr>
          <w:p>
            <w:pPr>
              <w:jc w:val="center"/>
              <w:rPr>
                <w:i w:val="0"/>
                <w:iCs w:val="0"/>
                <w:sz w:val="21"/>
                <w:szCs w:val="21"/>
              </w:rPr>
            </w:pPr>
          </w:p>
        </w:tc>
        <w:tc>
          <w:tcPr>
            <w:tcW w:w="1918" w:type="pct"/>
            <w:vMerge w:val="continue"/>
            <w:noWrap w:val="0"/>
            <w:vAlign w:val="center"/>
          </w:tcPr>
          <w:p>
            <w:pPr>
              <w:jc w:val="center"/>
              <w:rPr>
                <w:rFonts w:hint="eastAsia" w:ascii="Times New Roman" w:hAnsi="Times New Roman" w:eastAsia="宋体" w:cs="Times New Roman"/>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483" w:type="pct"/>
            <w:noWrap w:val="0"/>
            <w:vAlign w:val="center"/>
          </w:tcPr>
          <w:p>
            <w:pPr>
              <w:jc w:val="center"/>
              <w:rPr>
                <w:rFonts w:hint="eastAsia"/>
                <w:i w:val="0"/>
                <w:iCs w:val="0"/>
                <w:sz w:val="21"/>
                <w:szCs w:val="21"/>
              </w:rPr>
            </w:pPr>
            <w:r>
              <w:rPr>
                <w:rFonts w:hint="eastAsia"/>
                <w:i w:val="0"/>
                <w:iCs w:val="0"/>
                <w:sz w:val="21"/>
                <w:szCs w:val="21"/>
              </w:rPr>
              <w:t>项目东北侧</w:t>
            </w:r>
            <w:r>
              <w:rPr>
                <w:rFonts w:hint="eastAsia"/>
                <w:i w:val="0"/>
                <w:iCs w:val="0"/>
                <w:sz w:val="21"/>
                <w:szCs w:val="21"/>
                <w:lang w:val="en-US" w:eastAsia="zh-CN"/>
              </w:rPr>
              <w:t>4750</w:t>
            </w:r>
            <w:r>
              <w:rPr>
                <w:rFonts w:hint="eastAsia"/>
                <w:i w:val="0"/>
                <w:iCs w:val="0"/>
                <w:sz w:val="21"/>
                <w:szCs w:val="21"/>
              </w:rPr>
              <w:t>m处</w:t>
            </w:r>
          </w:p>
        </w:tc>
        <w:tc>
          <w:tcPr>
            <w:tcW w:w="1597" w:type="pct"/>
            <w:noWrap w:val="0"/>
            <w:vAlign w:val="center"/>
          </w:tcPr>
          <w:p>
            <w:pPr>
              <w:jc w:val="center"/>
              <w:rPr>
                <w:i w:val="0"/>
                <w:iCs w:val="0"/>
                <w:sz w:val="21"/>
                <w:szCs w:val="21"/>
              </w:rPr>
            </w:pPr>
            <w:r>
              <w:rPr>
                <w:rFonts w:hint="eastAsia"/>
                <w:i w:val="0"/>
                <w:iCs w:val="0"/>
                <w:sz w:val="21"/>
                <w:szCs w:val="21"/>
                <w:lang w:eastAsia="zh-CN"/>
              </w:rPr>
              <w:t>氮氧化物</w:t>
            </w:r>
          </w:p>
        </w:tc>
        <w:tc>
          <w:tcPr>
            <w:tcW w:w="1918" w:type="pct"/>
            <w:noWrap w:val="0"/>
            <w:vAlign w:val="center"/>
          </w:tcPr>
          <w:p>
            <w:pPr>
              <w:jc w:val="center"/>
              <w:rPr>
                <w:rFonts w:hint="eastAsia"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lang w:val="en-US" w:eastAsia="zh-CN"/>
              </w:rPr>
              <w:t>2021年12月22日</w:t>
            </w:r>
            <w:r>
              <w:rPr>
                <w:rFonts w:hint="eastAsia" w:ascii="Times New Roman" w:hAnsi="Times New Roman" w:eastAsia="宋体" w:cs="Times New Roman"/>
                <w:i w:val="0"/>
                <w:iCs w:val="0"/>
                <w:sz w:val="21"/>
                <w:szCs w:val="21"/>
              </w:rPr>
              <w:t>～</w:t>
            </w:r>
            <w:r>
              <w:rPr>
                <w:rFonts w:hint="eastAsia" w:ascii="Times New Roman" w:hAnsi="Times New Roman" w:eastAsia="宋体" w:cs="Times New Roman"/>
                <w:i w:val="0"/>
                <w:iCs w:val="0"/>
                <w:sz w:val="21"/>
                <w:szCs w:val="21"/>
                <w:lang w:val="en-US" w:eastAsia="zh-CN"/>
              </w:rPr>
              <w:t>2021年12月24日</w:t>
            </w:r>
          </w:p>
        </w:tc>
      </w:tr>
    </w:tbl>
    <w:p>
      <w:pPr>
        <w:pStyle w:val="24"/>
        <w:spacing w:line="360" w:lineRule="auto"/>
        <w:ind w:firstLine="480" w:firstLineChars="200"/>
        <w:jc w:val="left"/>
        <w:rPr>
          <w:i w:val="0"/>
          <w:iCs w:val="0"/>
        </w:rPr>
      </w:pPr>
      <w:r>
        <w:rPr>
          <w:i w:val="0"/>
          <w:iCs w:val="0"/>
        </w:rPr>
        <w:t>B、监测项目及监测单位</w:t>
      </w:r>
    </w:p>
    <w:p>
      <w:pPr>
        <w:widowControl/>
        <w:spacing w:line="360" w:lineRule="auto"/>
        <w:ind w:firstLine="480" w:firstLineChars="200"/>
        <w:jc w:val="left"/>
        <w:rPr>
          <w:i w:val="0"/>
          <w:iCs w:val="0"/>
          <w:kern w:val="0"/>
        </w:rPr>
      </w:pPr>
      <w:r>
        <w:rPr>
          <w:i w:val="0"/>
          <w:iCs w:val="0"/>
          <w:kern w:val="0"/>
        </w:rPr>
        <w:t>特征污染物：NH</w:t>
      </w:r>
      <w:r>
        <w:rPr>
          <w:rFonts w:hint="eastAsia"/>
          <w:i w:val="0"/>
          <w:iCs w:val="0"/>
          <w:kern w:val="0"/>
          <w:vertAlign w:val="subscript"/>
        </w:rPr>
        <w:t>3</w:t>
      </w:r>
      <w:r>
        <w:rPr>
          <w:i w:val="0"/>
          <w:iCs w:val="0"/>
          <w:kern w:val="0"/>
        </w:rPr>
        <w:t>、H</w:t>
      </w:r>
      <w:r>
        <w:rPr>
          <w:i w:val="0"/>
          <w:iCs w:val="0"/>
          <w:kern w:val="0"/>
          <w:vertAlign w:val="subscript"/>
        </w:rPr>
        <w:t>2</w:t>
      </w:r>
      <w:r>
        <w:rPr>
          <w:i w:val="0"/>
          <w:iCs w:val="0"/>
          <w:kern w:val="0"/>
        </w:rPr>
        <w:t>S、</w:t>
      </w:r>
      <w:r>
        <w:rPr>
          <w:rFonts w:hint="eastAsia"/>
          <w:i w:val="0"/>
          <w:iCs w:val="0"/>
          <w:kern w:val="0"/>
        </w:rPr>
        <w:t>TSP、</w:t>
      </w:r>
      <w:r>
        <w:rPr>
          <w:rFonts w:hint="eastAsia"/>
          <w:i w:val="0"/>
          <w:iCs w:val="0"/>
          <w:kern w:val="0"/>
          <w:lang w:eastAsia="zh-CN"/>
        </w:rPr>
        <w:t>氮氧化物、</w:t>
      </w:r>
      <w:r>
        <w:rPr>
          <w:rFonts w:hint="eastAsia"/>
          <w:i w:val="0"/>
          <w:iCs w:val="0"/>
          <w:kern w:val="0"/>
        </w:rPr>
        <w:t>臭气浓度、</w:t>
      </w:r>
      <w:r>
        <w:rPr>
          <w:i w:val="0"/>
          <w:iCs w:val="0"/>
          <w:kern w:val="0"/>
        </w:rPr>
        <w:t>非甲烷总烃</w:t>
      </w:r>
      <w:r>
        <w:rPr>
          <w:rFonts w:hint="eastAsia"/>
          <w:i w:val="0"/>
          <w:iCs w:val="0"/>
          <w:kern w:val="0"/>
        </w:rPr>
        <w:t>五</w:t>
      </w:r>
      <w:r>
        <w:rPr>
          <w:i w:val="0"/>
          <w:iCs w:val="0"/>
          <w:kern w:val="0"/>
        </w:rPr>
        <w:t>项指标。</w:t>
      </w:r>
    </w:p>
    <w:p>
      <w:pPr>
        <w:widowControl/>
        <w:spacing w:line="360" w:lineRule="auto"/>
        <w:ind w:firstLine="480" w:firstLineChars="200"/>
        <w:jc w:val="left"/>
        <w:rPr>
          <w:rFonts w:hint="eastAsia" w:eastAsia="宋体"/>
          <w:i w:val="0"/>
          <w:iCs w:val="0"/>
          <w:kern w:val="0"/>
          <w:lang w:eastAsia="zh-CN"/>
        </w:rPr>
      </w:pPr>
      <w:r>
        <w:rPr>
          <w:i w:val="0"/>
          <w:iCs w:val="0"/>
          <w:kern w:val="0"/>
        </w:rPr>
        <w:t>监测单位：</w:t>
      </w:r>
      <w:r>
        <w:rPr>
          <w:rFonts w:hint="eastAsia"/>
          <w:i w:val="0"/>
          <w:iCs w:val="0"/>
          <w:kern w:val="0"/>
        </w:rPr>
        <w:t>吉林省鑫誉环境检测有限公司</w:t>
      </w:r>
      <w:r>
        <w:rPr>
          <w:rFonts w:hint="eastAsia"/>
          <w:i w:val="0"/>
          <w:iCs w:val="0"/>
          <w:kern w:val="0"/>
          <w:lang w:eastAsia="zh-CN"/>
        </w:rPr>
        <w:t>及</w:t>
      </w:r>
      <w:r>
        <w:rPr>
          <w:rFonts w:hint="default" w:ascii="Times New Roman" w:hAnsi="Times New Roman" w:cs="Times New Roman"/>
          <w:i w:val="0"/>
          <w:iCs w:val="0"/>
          <w:sz w:val="24"/>
          <w:u w:val="none" w:color="auto"/>
        </w:rPr>
        <w:t>吉林省中环检测有限公司</w:t>
      </w:r>
    </w:p>
    <w:p>
      <w:pPr>
        <w:widowControl/>
        <w:spacing w:line="360" w:lineRule="auto"/>
        <w:ind w:firstLine="480" w:firstLineChars="200"/>
        <w:jc w:val="left"/>
        <w:rPr>
          <w:rFonts w:hint="default" w:eastAsia="宋体"/>
          <w:i w:val="0"/>
          <w:iCs w:val="0"/>
          <w:kern w:val="0"/>
          <w:lang w:val="en-US" w:eastAsia="zh-CN"/>
        </w:rPr>
      </w:pPr>
      <w:r>
        <w:rPr>
          <w:rFonts w:hint="eastAsia"/>
          <w:i w:val="0"/>
          <w:iCs w:val="0"/>
          <w:kern w:val="0"/>
        </w:rPr>
        <w:t>监测日期：2024.7.8-2024.7.14</w:t>
      </w:r>
      <w:r>
        <w:rPr>
          <w:rFonts w:hint="eastAsia"/>
          <w:i w:val="0"/>
          <w:iCs w:val="0"/>
          <w:kern w:val="0"/>
          <w:lang w:eastAsia="zh-CN"/>
        </w:rPr>
        <w:t>及</w:t>
      </w:r>
      <w:r>
        <w:rPr>
          <w:rFonts w:hint="eastAsia"/>
          <w:i w:val="0"/>
          <w:iCs w:val="0"/>
          <w:kern w:val="0"/>
          <w:lang w:val="en-US" w:eastAsia="zh-CN"/>
        </w:rPr>
        <w:t>2021.12.22-2021.12.24</w:t>
      </w:r>
    </w:p>
    <w:p>
      <w:pPr>
        <w:widowControl/>
        <w:spacing w:line="360" w:lineRule="auto"/>
        <w:ind w:firstLine="480" w:firstLineChars="200"/>
        <w:jc w:val="left"/>
        <w:rPr>
          <w:i w:val="0"/>
          <w:iCs w:val="0"/>
          <w:kern w:val="0"/>
        </w:rPr>
      </w:pPr>
      <w:r>
        <w:rPr>
          <w:i w:val="0"/>
          <w:iCs w:val="0"/>
          <w:kern w:val="0"/>
        </w:rPr>
        <w:t>C、监测方法</w:t>
      </w:r>
    </w:p>
    <w:p>
      <w:pPr>
        <w:widowControl/>
        <w:ind w:firstLine="482" w:firstLineChars="200"/>
        <w:jc w:val="center"/>
        <w:rPr>
          <w:rFonts w:hint="eastAsia"/>
          <w:b/>
          <w:i w:val="0"/>
          <w:iCs w:val="0"/>
          <w:color w:val="000000"/>
        </w:rPr>
      </w:pPr>
      <w:r>
        <w:rPr>
          <w:rFonts w:hint="eastAsia"/>
          <w:b/>
          <w:i w:val="0"/>
          <w:iCs w:val="0"/>
          <w:color w:val="000000"/>
        </w:rPr>
        <w:t>表4-4监测分析方法一览表</w:t>
      </w:r>
    </w:p>
    <w:tbl>
      <w:tblPr>
        <w:tblStyle w:val="5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13"/>
        <w:gridCol w:w="70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913" w:type="dxa"/>
            <w:noWrap w:val="0"/>
            <w:vAlign w:val="top"/>
          </w:tcPr>
          <w:p>
            <w:pPr>
              <w:jc w:val="center"/>
              <w:rPr>
                <w:rFonts w:hint="eastAsia"/>
                <w:i w:val="0"/>
                <w:iCs w:val="0"/>
                <w:sz w:val="21"/>
                <w:szCs w:val="21"/>
              </w:rPr>
            </w:pPr>
            <w:r>
              <w:rPr>
                <w:rFonts w:hint="eastAsia"/>
                <w:i w:val="0"/>
                <w:iCs w:val="0"/>
                <w:sz w:val="21"/>
                <w:szCs w:val="21"/>
              </w:rPr>
              <w:t>污染物</w:t>
            </w:r>
          </w:p>
        </w:tc>
        <w:tc>
          <w:tcPr>
            <w:tcW w:w="7026" w:type="dxa"/>
            <w:noWrap w:val="0"/>
            <w:vAlign w:val="top"/>
          </w:tcPr>
          <w:p>
            <w:pPr>
              <w:spacing w:line="360" w:lineRule="auto"/>
              <w:jc w:val="center"/>
              <w:rPr>
                <w:rFonts w:hint="eastAsia"/>
                <w:i w:val="0"/>
                <w:iCs w:val="0"/>
                <w:sz w:val="21"/>
                <w:szCs w:val="21"/>
              </w:rPr>
            </w:pPr>
            <w:r>
              <w:rPr>
                <w:rFonts w:hint="eastAsia"/>
                <w:i w:val="0"/>
                <w:iCs w:val="0"/>
                <w:sz w:val="21"/>
                <w:szCs w:val="21"/>
              </w:rPr>
              <w:t>分析方法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913" w:type="dxa"/>
            <w:noWrap w:val="0"/>
            <w:vAlign w:val="center"/>
          </w:tcPr>
          <w:p>
            <w:pPr>
              <w:jc w:val="center"/>
              <w:rPr>
                <w:rFonts w:hint="eastAsia"/>
                <w:i w:val="0"/>
                <w:iCs w:val="0"/>
                <w:sz w:val="21"/>
                <w:szCs w:val="21"/>
              </w:rPr>
            </w:pPr>
            <w:r>
              <w:rPr>
                <w:i w:val="0"/>
                <w:iCs w:val="0"/>
                <w:sz w:val="21"/>
                <w:szCs w:val="21"/>
              </w:rPr>
              <w:t>总悬浮颗粒物</w:t>
            </w:r>
          </w:p>
        </w:tc>
        <w:tc>
          <w:tcPr>
            <w:tcW w:w="7026" w:type="dxa"/>
            <w:noWrap w:val="0"/>
            <w:vAlign w:val="center"/>
          </w:tcPr>
          <w:p>
            <w:pPr>
              <w:widowControl/>
              <w:jc w:val="center"/>
              <w:textAlignment w:val="center"/>
              <w:rPr>
                <w:i w:val="0"/>
                <w:iCs w:val="0"/>
                <w:sz w:val="21"/>
                <w:szCs w:val="21"/>
              </w:rPr>
            </w:pPr>
            <w:r>
              <w:rPr>
                <w:i w:val="0"/>
                <w:iCs w:val="0"/>
                <w:sz w:val="21"/>
                <w:szCs w:val="21"/>
              </w:rPr>
              <w:t xml:space="preserve">环境空气 总悬浮颗粒物的测定 </w:t>
            </w:r>
          </w:p>
          <w:p>
            <w:pPr>
              <w:widowControl/>
              <w:jc w:val="center"/>
              <w:textAlignment w:val="center"/>
              <w:rPr>
                <w:rFonts w:hint="eastAsia"/>
                <w:i w:val="0"/>
                <w:iCs w:val="0"/>
                <w:sz w:val="21"/>
                <w:szCs w:val="21"/>
              </w:rPr>
            </w:pPr>
            <w:r>
              <w:rPr>
                <w:i w:val="0"/>
                <w:iCs w:val="0"/>
                <w:sz w:val="21"/>
                <w:szCs w:val="21"/>
              </w:rPr>
              <w:t>重量法</w:t>
            </w:r>
            <w:r>
              <w:rPr>
                <w:rFonts w:hint="eastAsia"/>
                <w:i w:val="0"/>
                <w:iCs w:val="0"/>
                <w:sz w:val="21"/>
                <w:szCs w:val="21"/>
              </w:rPr>
              <w:t xml:space="preserve"> </w:t>
            </w:r>
            <w:r>
              <w:rPr>
                <w:i w:val="0"/>
                <w:iCs w:val="0"/>
                <w:sz w:val="21"/>
                <w:szCs w:val="21"/>
              </w:rPr>
              <w:t>HJ 1263</w:t>
            </w:r>
            <w:r>
              <w:rPr>
                <w:rFonts w:hint="eastAsia"/>
                <w:i w:val="0"/>
                <w:iCs w:val="0"/>
                <w:sz w:val="21"/>
                <w:szCs w:val="21"/>
              </w:rPr>
              <w:t>-</w:t>
            </w:r>
            <w:r>
              <w:rPr>
                <w:i w:val="0"/>
                <w:iCs w:val="0"/>
                <w:sz w:val="21"/>
                <w:szCs w:val="21"/>
              </w:rPr>
              <w:t>2022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913" w:type="dxa"/>
            <w:noWrap w:val="0"/>
            <w:vAlign w:val="center"/>
          </w:tcPr>
          <w:p>
            <w:pPr>
              <w:jc w:val="center"/>
              <w:rPr>
                <w:rFonts w:hint="eastAsia" w:eastAsia="宋体"/>
                <w:i w:val="0"/>
                <w:iCs w:val="0"/>
                <w:sz w:val="21"/>
                <w:szCs w:val="21"/>
                <w:lang w:eastAsia="zh-CN"/>
              </w:rPr>
            </w:pPr>
            <w:r>
              <w:rPr>
                <w:rFonts w:hint="eastAsia"/>
                <w:i w:val="0"/>
                <w:iCs w:val="0"/>
                <w:sz w:val="21"/>
                <w:szCs w:val="21"/>
                <w:lang w:eastAsia="zh-CN"/>
              </w:rPr>
              <w:t>氮氧化物</w:t>
            </w:r>
          </w:p>
        </w:tc>
        <w:tc>
          <w:tcPr>
            <w:tcW w:w="7026" w:type="dxa"/>
            <w:noWrap w:val="0"/>
            <w:vAlign w:val="center"/>
          </w:tcPr>
          <w:p>
            <w:pPr>
              <w:widowControl/>
              <w:jc w:val="center"/>
              <w:textAlignment w:val="center"/>
              <w:rPr>
                <w:rFonts w:hint="eastAsia"/>
                <w:i w:val="0"/>
                <w:iCs w:val="0"/>
                <w:sz w:val="21"/>
                <w:szCs w:val="21"/>
              </w:rPr>
            </w:pPr>
            <w:r>
              <w:rPr>
                <w:rFonts w:hint="eastAsia"/>
                <w:i w:val="0"/>
                <w:iCs w:val="0"/>
                <w:sz w:val="21"/>
                <w:szCs w:val="21"/>
              </w:rPr>
              <w:t>环境空气氮氧化物(一氧化氮和二氧化氮》的测定盐酸萘乙二胺分光光度法</w:t>
            </w:r>
          </w:p>
          <w:p>
            <w:pPr>
              <w:widowControl/>
              <w:jc w:val="center"/>
              <w:textAlignment w:val="center"/>
              <w:rPr>
                <w:i w:val="0"/>
                <w:iCs w:val="0"/>
                <w:sz w:val="21"/>
                <w:szCs w:val="21"/>
              </w:rPr>
            </w:pPr>
            <w:r>
              <w:rPr>
                <w:rFonts w:hint="eastAsia"/>
                <w:i w:val="0"/>
                <w:iCs w:val="0"/>
                <w:sz w:val="21"/>
                <w:szCs w:val="21"/>
              </w:rPr>
              <w:t>(包含修改单)HJ479-2009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913" w:type="dxa"/>
            <w:noWrap w:val="0"/>
            <w:vAlign w:val="center"/>
          </w:tcPr>
          <w:p>
            <w:pPr>
              <w:jc w:val="center"/>
              <w:rPr>
                <w:rFonts w:hint="eastAsia"/>
                <w:i w:val="0"/>
                <w:iCs w:val="0"/>
                <w:sz w:val="21"/>
                <w:szCs w:val="21"/>
              </w:rPr>
            </w:pPr>
            <w:r>
              <w:rPr>
                <w:i w:val="0"/>
                <w:iCs w:val="0"/>
                <w:sz w:val="21"/>
                <w:szCs w:val="21"/>
              </w:rPr>
              <w:t>氨</w:t>
            </w:r>
          </w:p>
        </w:tc>
        <w:tc>
          <w:tcPr>
            <w:tcW w:w="7026" w:type="dxa"/>
            <w:noWrap w:val="0"/>
            <w:vAlign w:val="center"/>
          </w:tcPr>
          <w:p>
            <w:pPr>
              <w:adjustRightInd w:val="0"/>
              <w:snapToGrid w:val="0"/>
              <w:spacing w:line="280" w:lineRule="exact"/>
              <w:jc w:val="center"/>
              <w:rPr>
                <w:rFonts w:hint="eastAsia"/>
                <w:i w:val="0"/>
                <w:iCs w:val="0"/>
                <w:sz w:val="21"/>
                <w:szCs w:val="21"/>
              </w:rPr>
            </w:pPr>
            <w:r>
              <w:rPr>
                <w:i w:val="0"/>
                <w:iCs w:val="0"/>
                <w:sz w:val="21"/>
                <w:szCs w:val="21"/>
              </w:rPr>
              <w:t>环境空气和废气 氨的测定</w:t>
            </w:r>
            <w:r>
              <w:rPr>
                <w:rFonts w:hint="eastAsia"/>
                <w:i w:val="0"/>
                <w:iCs w:val="0"/>
                <w:sz w:val="21"/>
                <w:szCs w:val="21"/>
              </w:rPr>
              <w:t xml:space="preserve"> </w:t>
            </w:r>
            <w:r>
              <w:rPr>
                <w:i w:val="0"/>
                <w:iCs w:val="0"/>
                <w:sz w:val="21"/>
                <w:szCs w:val="21"/>
              </w:rPr>
              <w:t>纳氏试剂分光光度法HJ 533-2009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913" w:type="dxa"/>
            <w:noWrap w:val="0"/>
            <w:vAlign w:val="center"/>
          </w:tcPr>
          <w:p>
            <w:pPr>
              <w:jc w:val="center"/>
              <w:rPr>
                <w:i w:val="0"/>
                <w:iCs w:val="0"/>
                <w:sz w:val="21"/>
                <w:szCs w:val="21"/>
              </w:rPr>
            </w:pPr>
            <w:r>
              <w:rPr>
                <w:i w:val="0"/>
                <w:iCs w:val="0"/>
                <w:sz w:val="21"/>
                <w:szCs w:val="21"/>
              </w:rPr>
              <w:t>硫化氢</w:t>
            </w:r>
          </w:p>
        </w:tc>
        <w:tc>
          <w:tcPr>
            <w:tcW w:w="7026" w:type="dxa"/>
            <w:noWrap w:val="0"/>
            <w:vAlign w:val="center"/>
          </w:tcPr>
          <w:p>
            <w:pPr>
              <w:widowControl/>
              <w:spacing w:line="280" w:lineRule="exact"/>
              <w:jc w:val="center"/>
              <w:textAlignment w:val="center"/>
              <w:rPr>
                <w:i w:val="0"/>
                <w:iCs w:val="0"/>
                <w:sz w:val="21"/>
                <w:szCs w:val="21"/>
              </w:rPr>
            </w:pPr>
            <w:r>
              <w:rPr>
                <w:i w:val="0"/>
                <w:iCs w:val="0"/>
                <w:sz w:val="21"/>
                <w:szCs w:val="21"/>
              </w:rPr>
              <w:t>亚甲基蓝分光光度法（B）《空气和废气监测分析方法》（第四版增补版）（国家环境保护总局编，中国环境出版集团出版，2003年）第三篇 空气质量监测 第一章 十一（二）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913" w:type="dxa"/>
            <w:noWrap w:val="0"/>
            <w:vAlign w:val="center"/>
          </w:tcPr>
          <w:p>
            <w:pPr>
              <w:adjustRightInd w:val="0"/>
              <w:snapToGrid w:val="0"/>
              <w:spacing w:line="280" w:lineRule="exact"/>
              <w:jc w:val="center"/>
              <w:rPr>
                <w:rFonts w:hint="eastAsia" w:ascii="Times New Roman" w:hAnsi="Times New Roman" w:eastAsia="宋体" w:cs="Times New Roman"/>
                <w:i w:val="0"/>
                <w:iCs w:val="0"/>
                <w:sz w:val="21"/>
                <w:szCs w:val="21"/>
              </w:rPr>
            </w:pPr>
            <w:r>
              <w:rPr>
                <w:rFonts w:ascii="Times New Roman" w:hAnsi="Times New Roman" w:eastAsia="宋体" w:cs="Times New Roman"/>
                <w:i w:val="0"/>
                <w:iCs w:val="0"/>
                <w:sz w:val="21"/>
                <w:szCs w:val="21"/>
              </w:rPr>
              <w:t>非甲烷总烃</w:t>
            </w:r>
          </w:p>
        </w:tc>
        <w:tc>
          <w:tcPr>
            <w:tcW w:w="7026" w:type="dxa"/>
            <w:noWrap w:val="0"/>
            <w:vAlign w:val="center"/>
          </w:tcPr>
          <w:p>
            <w:pPr>
              <w:adjustRightInd w:val="0"/>
              <w:snapToGrid w:val="0"/>
              <w:spacing w:line="280" w:lineRule="exact"/>
              <w:jc w:val="center"/>
              <w:rPr>
                <w:rFonts w:hint="eastAsia" w:ascii="Times New Roman" w:hAnsi="Times New Roman" w:eastAsia="宋体" w:cs="Times New Roman"/>
                <w:i w:val="0"/>
                <w:iCs w:val="0"/>
                <w:sz w:val="21"/>
                <w:szCs w:val="21"/>
              </w:rPr>
            </w:pPr>
            <w:r>
              <w:rPr>
                <w:rFonts w:ascii="Times New Roman" w:hAnsi="Times New Roman" w:eastAsia="宋体" w:cs="Times New Roman"/>
                <w:i w:val="0"/>
                <w:iCs w:val="0"/>
                <w:sz w:val="21"/>
                <w:szCs w:val="21"/>
              </w:rPr>
              <w:t>环境空气 总烃、甲烷和非甲烷总烃的测定</w:t>
            </w:r>
            <w:r>
              <w:rPr>
                <w:rFonts w:hint="eastAsia" w:ascii="Times New Roman" w:hAnsi="Times New Roman" w:eastAsia="宋体" w:cs="Times New Roman"/>
                <w:i w:val="0"/>
                <w:iCs w:val="0"/>
                <w:sz w:val="21"/>
                <w:szCs w:val="21"/>
              </w:rPr>
              <w:t xml:space="preserve"> </w:t>
            </w:r>
            <w:r>
              <w:rPr>
                <w:rFonts w:ascii="Times New Roman" w:hAnsi="Times New Roman" w:eastAsia="宋体" w:cs="Times New Roman"/>
                <w:i w:val="0"/>
                <w:iCs w:val="0"/>
                <w:sz w:val="21"/>
                <w:szCs w:val="21"/>
              </w:rPr>
              <w:t>直接进样-气相色谱HJ 604-2017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913" w:type="dxa"/>
            <w:noWrap w:val="0"/>
            <w:vAlign w:val="center"/>
          </w:tcPr>
          <w:p>
            <w:pPr>
              <w:adjustRightInd w:val="0"/>
              <w:snapToGrid w:val="0"/>
              <w:spacing w:line="280" w:lineRule="exact"/>
              <w:jc w:val="center"/>
              <w:rPr>
                <w:rFonts w:hint="eastAsia" w:ascii="Times New Roman" w:hAnsi="Times New Roman" w:eastAsia="宋体" w:cs="Times New Roman"/>
                <w:i w:val="0"/>
                <w:iCs w:val="0"/>
                <w:sz w:val="21"/>
                <w:szCs w:val="21"/>
              </w:rPr>
            </w:pPr>
            <w:r>
              <w:rPr>
                <w:rFonts w:ascii="Times New Roman" w:hAnsi="Times New Roman" w:eastAsia="宋体" w:cs="Times New Roman"/>
                <w:i w:val="0"/>
                <w:iCs w:val="0"/>
                <w:sz w:val="21"/>
                <w:szCs w:val="21"/>
              </w:rPr>
              <w:t>臭气浓度</w:t>
            </w:r>
          </w:p>
        </w:tc>
        <w:tc>
          <w:tcPr>
            <w:tcW w:w="7026" w:type="dxa"/>
            <w:noWrap w:val="0"/>
            <w:vAlign w:val="center"/>
          </w:tcPr>
          <w:p>
            <w:pPr>
              <w:adjustRightInd w:val="0"/>
              <w:snapToGrid w:val="0"/>
              <w:spacing w:line="280" w:lineRule="exact"/>
              <w:jc w:val="center"/>
              <w:rPr>
                <w:rFonts w:hint="eastAsia" w:ascii="Times New Roman" w:hAnsi="Times New Roman" w:eastAsia="宋体" w:cs="Times New Roman"/>
                <w:i w:val="0"/>
                <w:iCs w:val="0"/>
                <w:sz w:val="21"/>
                <w:szCs w:val="21"/>
              </w:rPr>
            </w:pPr>
            <w:r>
              <w:rPr>
                <w:rFonts w:ascii="Times New Roman" w:hAnsi="Times New Roman" w:eastAsia="宋体" w:cs="Times New Roman"/>
                <w:i w:val="0"/>
                <w:iCs w:val="0"/>
                <w:sz w:val="21"/>
                <w:szCs w:val="21"/>
              </w:rPr>
              <w:t>环境空气和废气 臭气的测定 三点比较式臭袋法HJ 1262</w:t>
            </w:r>
            <w:r>
              <w:rPr>
                <w:rFonts w:hint="eastAsia" w:ascii="Times New Roman" w:hAnsi="Times New Roman" w:eastAsia="宋体" w:cs="Times New Roman"/>
                <w:i w:val="0"/>
                <w:iCs w:val="0"/>
                <w:sz w:val="21"/>
                <w:szCs w:val="21"/>
              </w:rPr>
              <w:t>-</w:t>
            </w:r>
            <w:r>
              <w:rPr>
                <w:rFonts w:ascii="Times New Roman" w:hAnsi="Times New Roman" w:eastAsia="宋体" w:cs="Times New Roman"/>
                <w:i w:val="0"/>
                <w:iCs w:val="0"/>
                <w:sz w:val="21"/>
                <w:szCs w:val="21"/>
              </w:rPr>
              <w:t>2022</w:t>
            </w:r>
          </w:p>
        </w:tc>
      </w:tr>
    </w:tbl>
    <w:p>
      <w:pPr>
        <w:tabs>
          <w:tab w:val="right" w:pos="4628"/>
        </w:tabs>
        <w:spacing w:line="360" w:lineRule="auto"/>
        <w:ind w:firstLine="480"/>
        <w:rPr>
          <w:i w:val="0"/>
          <w:iCs w:val="0"/>
        </w:rPr>
      </w:pPr>
      <w:r>
        <w:rPr>
          <w:i w:val="0"/>
          <w:iCs w:val="0"/>
          <w:kern w:val="0"/>
        </w:rPr>
        <w:t>D、</w:t>
      </w:r>
      <w:r>
        <w:rPr>
          <w:i w:val="0"/>
          <w:iCs w:val="0"/>
        </w:rPr>
        <w:t>评价标准及方法</w:t>
      </w:r>
    </w:p>
    <w:p>
      <w:pPr>
        <w:adjustRightInd w:val="0"/>
        <w:snapToGrid w:val="0"/>
        <w:spacing w:line="360" w:lineRule="auto"/>
        <w:ind w:firstLine="480" w:firstLineChars="200"/>
        <w:rPr>
          <w:rFonts w:hint="eastAsia"/>
          <w:i w:val="0"/>
          <w:iCs w:val="0"/>
        </w:rPr>
      </w:pPr>
      <w:r>
        <w:rPr>
          <w:i w:val="0"/>
          <w:iCs w:val="0"/>
        </w:rPr>
        <w:t>NH</w:t>
      </w:r>
      <w:r>
        <w:rPr>
          <w:i w:val="0"/>
          <w:iCs w:val="0"/>
          <w:vertAlign w:val="subscript"/>
        </w:rPr>
        <w:t>3</w:t>
      </w:r>
      <w:r>
        <w:rPr>
          <w:i w:val="0"/>
          <w:iCs w:val="0"/>
        </w:rPr>
        <w:t>、H</w:t>
      </w:r>
      <w:r>
        <w:rPr>
          <w:i w:val="0"/>
          <w:iCs w:val="0"/>
          <w:vertAlign w:val="subscript"/>
        </w:rPr>
        <w:t>2</w:t>
      </w:r>
      <w:r>
        <w:rPr>
          <w:i w:val="0"/>
          <w:iCs w:val="0"/>
        </w:rPr>
        <w:t>S《环境影响评价技术导则大气环境》（HJ2.2-2018）附录D其他污染物空气质量浓度参考限值</w:t>
      </w:r>
      <w:r>
        <w:rPr>
          <w:rFonts w:hint="eastAsia"/>
          <w:i w:val="0"/>
          <w:iCs w:val="0"/>
        </w:rPr>
        <w:t>，TSP执行</w:t>
      </w:r>
      <w:r>
        <w:rPr>
          <w:rFonts w:eastAsia="Times New Roman"/>
          <w:i w:val="0"/>
          <w:iCs w:val="0"/>
        </w:rPr>
        <w:t>《环境空气质量标准》（GB3095-2012）</w:t>
      </w:r>
      <w:r>
        <w:rPr>
          <w:rFonts w:eastAsia="Times New Roman"/>
          <w:bCs/>
          <w:i w:val="0"/>
          <w:iCs w:val="0"/>
        </w:rPr>
        <w:t>二级标准</w:t>
      </w:r>
      <w:r>
        <w:rPr>
          <w:rFonts w:hint="eastAsia"/>
          <w:bCs/>
          <w:i w:val="0"/>
          <w:iCs w:val="0"/>
        </w:rPr>
        <w:t>，</w:t>
      </w:r>
      <w:r>
        <w:rPr>
          <w:rFonts w:hint="eastAsia"/>
          <w:i w:val="0"/>
          <w:iCs w:val="0"/>
        </w:rPr>
        <w:t>非甲烷总烃选用《大气污染物综合排放标准详解》中2mg/m</w:t>
      </w:r>
      <w:r>
        <w:rPr>
          <w:rFonts w:hint="eastAsia"/>
          <w:i w:val="0"/>
          <w:iCs w:val="0"/>
          <w:vertAlign w:val="superscript"/>
        </w:rPr>
        <w:t>3</w:t>
      </w:r>
      <w:r>
        <w:rPr>
          <w:rFonts w:hint="eastAsia"/>
          <w:i w:val="0"/>
          <w:iCs w:val="0"/>
        </w:rPr>
        <w:t>作为计算依据；臭气浓度无质量标准，作为背景监测值。</w:t>
      </w:r>
    </w:p>
    <w:p>
      <w:pPr>
        <w:tabs>
          <w:tab w:val="right" w:pos="4628"/>
        </w:tabs>
        <w:spacing w:line="360" w:lineRule="auto"/>
        <w:ind w:firstLine="480"/>
        <w:rPr>
          <w:i w:val="0"/>
          <w:iCs w:val="0"/>
        </w:rPr>
      </w:pPr>
      <w:r>
        <w:rPr>
          <w:i w:val="0"/>
          <w:iCs w:val="0"/>
        </w:rPr>
        <w:t>评价方法采用单项标准指数法，计算公式如下：</w:t>
      </w:r>
    </w:p>
    <w:p>
      <w:pPr>
        <w:spacing w:line="360" w:lineRule="auto"/>
        <w:jc w:val="center"/>
        <w:rPr>
          <w:i w:val="0"/>
          <w:iCs w:val="0"/>
          <w:vertAlign w:val="subscript"/>
        </w:rPr>
      </w:pPr>
      <w:r>
        <w:rPr>
          <w:i w:val="0"/>
          <w:iCs w:val="0"/>
        </w:rPr>
        <w:t>I</w:t>
      </w:r>
      <w:r>
        <w:rPr>
          <w:i w:val="0"/>
          <w:iCs w:val="0"/>
          <w:vertAlign w:val="subscript"/>
        </w:rPr>
        <w:t>i</w:t>
      </w:r>
      <w:r>
        <w:rPr>
          <w:i w:val="0"/>
          <w:iCs w:val="0"/>
        </w:rPr>
        <w:t>＝C</w:t>
      </w:r>
      <w:r>
        <w:rPr>
          <w:i w:val="0"/>
          <w:iCs w:val="0"/>
          <w:vertAlign w:val="subscript"/>
        </w:rPr>
        <w:t>i</w:t>
      </w:r>
      <w:r>
        <w:rPr>
          <w:i w:val="0"/>
          <w:iCs w:val="0"/>
        </w:rPr>
        <w:t>/C</w:t>
      </w:r>
      <w:r>
        <w:rPr>
          <w:i w:val="0"/>
          <w:iCs w:val="0"/>
          <w:vertAlign w:val="subscript"/>
        </w:rPr>
        <w:t>oi</w:t>
      </w:r>
    </w:p>
    <w:p>
      <w:pPr>
        <w:tabs>
          <w:tab w:val="right" w:pos="4628"/>
        </w:tabs>
        <w:spacing w:line="360" w:lineRule="auto"/>
        <w:ind w:firstLine="480"/>
        <w:rPr>
          <w:i w:val="0"/>
          <w:iCs w:val="0"/>
        </w:rPr>
      </w:pPr>
      <w:r>
        <w:rPr>
          <w:i w:val="0"/>
          <w:iCs w:val="0"/>
        </w:rPr>
        <w:t>式中：I</w:t>
      </w:r>
      <w:r>
        <w:rPr>
          <w:i w:val="0"/>
          <w:iCs w:val="0"/>
          <w:vertAlign w:val="subscript"/>
        </w:rPr>
        <w:t>i</w:t>
      </w:r>
      <w:r>
        <w:rPr>
          <w:i w:val="0"/>
          <w:iCs w:val="0"/>
        </w:rPr>
        <w:t>─i污染物的标准指数；C</w:t>
      </w:r>
      <w:r>
        <w:rPr>
          <w:i w:val="0"/>
          <w:iCs w:val="0"/>
          <w:vertAlign w:val="subscript"/>
        </w:rPr>
        <w:t>i</w:t>
      </w:r>
      <w:r>
        <w:rPr>
          <w:i w:val="0"/>
          <w:iCs w:val="0"/>
        </w:rPr>
        <w:t>─i污染物的实测浓度，mg/m</w:t>
      </w:r>
      <w:r>
        <w:rPr>
          <w:i w:val="0"/>
          <w:iCs w:val="0"/>
          <w:vertAlign w:val="superscript"/>
        </w:rPr>
        <w:t>3</w:t>
      </w:r>
      <w:r>
        <w:rPr>
          <w:i w:val="0"/>
          <w:iCs w:val="0"/>
        </w:rPr>
        <w:t>；</w:t>
      </w:r>
    </w:p>
    <w:p>
      <w:pPr>
        <w:tabs>
          <w:tab w:val="right" w:pos="4628"/>
        </w:tabs>
        <w:spacing w:line="360" w:lineRule="auto"/>
        <w:ind w:firstLine="480"/>
        <w:rPr>
          <w:i w:val="0"/>
          <w:iCs w:val="0"/>
        </w:rPr>
      </w:pPr>
      <w:r>
        <w:rPr>
          <w:i w:val="0"/>
          <w:iCs w:val="0"/>
        </w:rPr>
        <w:t>C</w:t>
      </w:r>
      <w:r>
        <w:rPr>
          <w:i w:val="0"/>
          <w:iCs w:val="0"/>
          <w:vertAlign w:val="subscript"/>
        </w:rPr>
        <w:t>oi</w:t>
      </w:r>
      <w:r>
        <w:rPr>
          <w:i w:val="0"/>
          <w:iCs w:val="0"/>
        </w:rPr>
        <w:t>─i污染物的评价标准，mg/m</w:t>
      </w:r>
      <w:r>
        <w:rPr>
          <w:i w:val="0"/>
          <w:iCs w:val="0"/>
          <w:vertAlign w:val="superscript"/>
        </w:rPr>
        <w:t>3</w:t>
      </w:r>
      <w:r>
        <w:rPr>
          <w:i w:val="0"/>
          <w:iCs w:val="0"/>
        </w:rPr>
        <w:t>。</w:t>
      </w:r>
    </w:p>
    <w:p>
      <w:pPr>
        <w:tabs>
          <w:tab w:val="right" w:pos="4628"/>
        </w:tabs>
        <w:spacing w:line="360" w:lineRule="auto"/>
        <w:ind w:firstLine="480"/>
        <w:rPr>
          <w:i w:val="0"/>
          <w:iCs w:val="0"/>
        </w:rPr>
      </w:pPr>
      <w:r>
        <w:rPr>
          <w:i w:val="0"/>
          <w:iCs w:val="0"/>
        </w:rPr>
        <w:t>其中I</w:t>
      </w:r>
      <w:r>
        <w:rPr>
          <w:i w:val="0"/>
          <w:iCs w:val="0"/>
          <w:vertAlign w:val="subscript"/>
        </w:rPr>
        <w:t>i</w:t>
      </w:r>
      <w:r>
        <w:rPr>
          <w:i w:val="0"/>
          <w:iCs w:val="0"/>
        </w:rPr>
        <w:t>＜1.0时，表示该污染物不超标，满足其评价标准要求；而I</w:t>
      </w:r>
      <w:r>
        <w:rPr>
          <w:i w:val="0"/>
          <w:iCs w:val="0"/>
          <w:vertAlign w:val="subscript"/>
        </w:rPr>
        <w:t>i</w:t>
      </w:r>
      <w:r>
        <w:rPr>
          <w:i w:val="0"/>
          <w:iCs w:val="0"/>
        </w:rPr>
        <w:t>≥1.0时，则表明该污染物超标。</w:t>
      </w:r>
    </w:p>
    <w:p>
      <w:pPr>
        <w:pStyle w:val="92"/>
        <w:spacing w:before="0" w:after="0"/>
        <w:ind w:firstLine="480"/>
        <w:jc w:val="left"/>
        <w:rPr>
          <w:rFonts w:ascii="Times New Roman" w:eastAsia="宋体"/>
          <w:i w:val="0"/>
          <w:iCs w:val="0"/>
          <w:szCs w:val="24"/>
        </w:rPr>
      </w:pPr>
      <w:r>
        <w:rPr>
          <w:rFonts w:ascii="Times New Roman" w:eastAsia="宋体"/>
          <w:i w:val="0"/>
          <w:iCs w:val="0"/>
          <w:szCs w:val="24"/>
        </w:rPr>
        <w:t>E、监测分析结果</w:t>
      </w:r>
    </w:p>
    <w:p>
      <w:pPr>
        <w:spacing w:line="360" w:lineRule="auto"/>
        <w:ind w:firstLine="465"/>
        <w:rPr>
          <w:i w:val="0"/>
          <w:iCs w:val="0"/>
        </w:rPr>
      </w:pPr>
      <w:r>
        <w:rPr>
          <w:i w:val="0"/>
          <w:iCs w:val="0"/>
        </w:rPr>
        <w:t>监测分析结果见表</w:t>
      </w:r>
      <w:r>
        <w:rPr>
          <w:rFonts w:hint="eastAsia"/>
          <w:i w:val="0"/>
          <w:iCs w:val="0"/>
        </w:rPr>
        <w:t>4</w:t>
      </w:r>
      <w:r>
        <w:rPr>
          <w:i w:val="0"/>
          <w:iCs w:val="0"/>
        </w:rPr>
        <w:t>-</w:t>
      </w:r>
      <w:r>
        <w:rPr>
          <w:rFonts w:hint="eastAsia"/>
          <w:i w:val="0"/>
          <w:iCs w:val="0"/>
        </w:rPr>
        <w:t>5</w:t>
      </w:r>
      <w:r>
        <w:rPr>
          <w:i w:val="0"/>
          <w:iCs w:val="0"/>
        </w:rPr>
        <w:t>。</w:t>
      </w:r>
    </w:p>
    <w:p>
      <w:pPr>
        <w:pStyle w:val="24"/>
        <w:spacing w:line="240" w:lineRule="auto"/>
        <w:rPr>
          <w:b/>
          <w:bCs/>
          <w:i w:val="0"/>
          <w:iCs w:val="0"/>
        </w:rPr>
      </w:pPr>
      <w:r>
        <w:rPr>
          <w:b/>
          <w:i w:val="0"/>
          <w:iCs w:val="0"/>
        </w:rPr>
        <w:t>表</w:t>
      </w:r>
      <w:r>
        <w:rPr>
          <w:rFonts w:hint="eastAsia"/>
          <w:b/>
          <w:i w:val="0"/>
          <w:iCs w:val="0"/>
        </w:rPr>
        <w:t>4</w:t>
      </w:r>
      <w:r>
        <w:rPr>
          <w:b/>
          <w:i w:val="0"/>
          <w:iCs w:val="0"/>
        </w:rPr>
        <w:t>-</w:t>
      </w:r>
      <w:r>
        <w:rPr>
          <w:rFonts w:hint="eastAsia"/>
          <w:b/>
          <w:i w:val="0"/>
          <w:iCs w:val="0"/>
        </w:rPr>
        <w:t>5</w:t>
      </w:r>
      <w:r>
        <w:rPr>
          <w:b/>
          <w:bCs/>
          <w:i w:val="0"/>
          <w:iCs w:val="0"/>
        </w:rPr>
        <w:t xml:space="preserve">  现状监测结果统计表</w:t>
      </w:r>
    </w:p>
    <w:tbl>
      <w:tblPr>
        <w:tblStyle w:val="5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157"/>
        <w:gridCol w:w="925"/>
        <w:gridCol w:w="1224"/>
        <w:gridCol w:w="1818"/>
        <w:gridCol w:w="1322"/>
        <w:gridCol w:w="1157"/>
        <w:gridCol w:w="8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noWrap w:val="0"/>
            <w:vAlign w:val="center"/>
          </w:tcPr>
          <w:p>
            <w:pPr>
              <w:adjustRightInd w:val="0"/>
              <w:snapToGrid w:val="0"/>
              <w:jc w:val="center"/>
              <w:rPr>
                <w:rFonts w:hint="eastAsia"/>
                <w:i w:val="0"/>
                <w:iCs w:val="0"/>
                <w:sz w:val="21"/>
                <w:szCs w:val="21"/>
              </w:rPr>
            </w:pPr>
            <w:r>
              <w:rPr>
                <w:rFonts w:hint="eastAsia"/>
                <w:i w:val="0"/>
                <w:iCs w:val="0"/>
                <w:sz w:val="21"/>
                <w:szCs w:val="21"/>
              </w:rPr>
              <w:t>监测点位</w:t>
            </w:r>
          </w:p>
        </w:tc>
        <w:tc>
          <w:tcPr>
            <w:tcW w:w="623" w:type="pct"/>
            <w:noWrap w:val="0"/>
            <w:vAlign w:val="center"/>
          </w:tcPr>
          <w:p>
            <w:pPr>
              <w:adjustRightInd w:val="0"/>
              <w:snapToGrid w:val="0"/>
              <w:jc w:val="center"/>
              <w:rPr>
                <w:rFonts w:hint="eastAsia"/>
                <w:i w:val="0"/>
                <w:iCs w:val="0"/>
                <w:sz w:val="21"/>
                <w:szCs w:val="21"/>
              </w:rPr>
            </w:pPr>
            <w:r>
              <w:rPr>
                <w:rFonts w:hint="eastAsia"/>
                <w:i w:val="0"/>
                <w:iCs w:val="0"/>
                <w:sz w:val="21"/>
                <w:szCs w:val="21"/>
              </w:rPr>
              <w:t>污染物</w:t>
            </w:r>
          </w:p>
        </w:tc>
        <w:tc>
          <w:tcPr>
            <w:tcW w:w="498" w:type="pct"/>
            <w:noWrap w:val="0"/>
            <w:vAlign w:val="center"/>
          </w:tcPr>
          <w:p>
            <w:pPr>
              <w:adjustRightInd w:val="0"/>
              <w:snapToGrid w:val="0"/>
              <w:jc w:val="center"/>
              <w:rPr>
                <w:i w:val="0"/>
                <w:iCs w:val="0"/>
                <w:sz w:val="21"/>
                <w:szCs w:val="21"/>
              </w:rPr>
            </w:pPr>
            <w:r>
              <w:rPr>
                <w:rFonts w:hint="eastAsia"/>
                <w:i w:val="0"/>
                <w:iCs w:val="0"/>
                <w:sz w:val="21"/>
                <w:szCs w:val="21"/>
              </w:rPr>
              <w:t>平均时间</w:t>
            </w:r>
          </w:p>
        </w:tc>
        <w:tc>
          <w:tcPr>
            <w:tcW w:w="659" w:type="pct"/>
            <w:noWrap w:val="0"/>
            <w:vAlign w:val="center"/>
          </w:tcPr>
          <w:p>
            <w:pPr>
              <w:adjustRightInd w:val="0"/>
              <w:snapToGrid w:val="0"/>
              <w:jc w:val="center"/>
              <w:rPr>
                <w:rFonts w:hint="eastAsia"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rPr>
              <w:t>评价标准</w:t>
            </w:r>
          </w:p>
          <w:p>
            <w:pPr>
              <w:adjustRightInd w:val="0"/>
              <w:snapToGrid w:val="0"/>
              <w:jc w:val="center"/>
              <w:rPr>
                <w:rFonts w:hint="eastAsia"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lang w:eastAsia="zh-CN"/>
              </w:rPr>
              <w:t>μ</w:t>
            </w:r>
            <w:r>
              <w:rPr>
                <w:rFonts w:hint="eastAsia" w:ascii="Times New Roman" w:hAnsi="Times New Roman" w:eastAsia="宋体" w:cs="Times New Roman"/>
                <w:i w:val="0"/>
                <w:iCs w:val="0"/>
                <w:sz w:val="21"/>
                <w:szCs w:val="21"/>
              </w:rPr>
              <w:t>g/m</w:t>
            </w:r>
            <w:r>
              <w:rPr>
                <w:rFonts w:hint="eastAsia" w:ascii="Times New Roman" w:hAnsi="Times New Roman" w:eastAsia="宋体" w:cs="Times New Roman"/>
                <w:i w:val="0"/>
                <w:iCs w:val="0"/>
                <w:sz w:val="21"/>
                <w:szCs w:val="21"/>
                <w:vertAlign w:val="superscript"/>
              </w:rPr>
              <w:t>3</w:t>
            </w:r>
          </w:p>
        </w:tc>
        <w:tc>
          <w:tcPr>
            <w:tcW w:w="979" w:type="pct"/>
            <w:noWrap w:val="0"/>
            <w:vAlign w:val="center"/>
          </w:tcPr>
          <w:p>
            <w:pPr>
              <w:adjustRightInd w:val="0"/>
              <w:snapToGrid w:val="0"/>
              <w:jc w:val="center"/>
              <w:rPr>
                <w:rFonts w:hint="eastAsia"/>
                <w:i w:val="0"/>
                <w:iCs w:val="0"/>
                <w:sz w:val="21"/>
                <w:szCs w:val="21"/>
              </w:rPr>
            </w:pPr>
            <w:r>
              <w:rPr>
                <w:rFonts w:hint="eastAsia"/>
                <w:i w:val="0"/>
                <w:iCs w:val="0"/>
                <w:sz w:val="21"/>
                <w:szCs w:val="21"/>
                <w:lang w:eastAsia="zh-CN"/>
              </w:rPr>
              <w:t>最大</w:t>
            </w:r>
            <w:r>
              <w:rPr>
                <w:rFonts w:hint="eastAsia"/>
                <w:i w:val="0"/>
                <w:iCs w:val="0"/>
                <w:sz w:val="21"/>
                <w:szCs w:val="21"/>
              </w:rPr>
              <w:t>监测浓度</w:t>
            </w:r>
          </w:p>
          <w:p>
            <w:pPr>
              <w:adjustRightInd w:val="0"/>
              <w:snapToGrid w:val="0"/>
              <w:jc w:val="center"/>
              <w:rPr>
                <w:i w:val="0"/>
                <w:iCs w:val="0"/>
                <w:sz w:val="21"/>
                <w:szCs w:val="21"/>
              </w:rPr>
            </w:pPr>
            <w:r>
              <w:rPr>
                <w:rFonts w:hint="eastAsia"/>
                <w:i w:val="0"/>
                <w:iCs w:val="0"/>
                <w:sz w:val="21"/>
                <w:szCs w:val="21"/>
              </w:rPr>
              <w:t>µ</w:t>
            </w:r>
            <w:r>
              <w:rPr>
                <w:i w:val="0"/>
                <w:iCs w:val="0"/>
                <w:sz w:val="21"/>
                <w:szCs w:val="21"/>
              </w:rPr>
              <w:t>g/m</w:t>
            </w:r>
            <w:r>
              <w:rPr>
                <w:i w:val="0"/>
                <w:iCs w:val="0"/>
                <w:sz w:val="21"/>
                <w:szCs w:val="21"/>
                <w:vertAlign w:val="superscript"/>
              </w:rPr>
              <w:t>3</w:t>
            </w:r>
          </w:p>
        </w:tc>
        <w:tc>
          <w:tcPr>
            <w:tcW w:w="712" w:type="pct"/>
            <w:noWrap w:val="0"/>
            <w:vAlign w:val="center"/>
          </w:tcPr>
          <w:p>
            <w:pPr>
              <w:adjustRightInd w:val="0"/>
              <w:snapToGrid w:val="0"/>
              <w:jc w:val="center"/>
              <w:rPr>
                <w:i w:val="0"/>
                <w:iCs w:val="0"/>
                <w:sz w:val="21"/>
                <w:szCs w:val="21"/>
              </w:rPr>
            </w:pPr>
            <w:r>
              <w:rPr>
                <w:rFonts w:hint="eastAsia"/>
                <w:i w:val="0"/>
                <w:iCs w:val="0"/>
                <w:sz w:val="21"/>
                <w:szCs w:val="21"/>
              </w:rPr>
              <w:t>最大浓度占标率/%</w:t>
            </w:r>
          </w:p>
        </w:tc>
        <w:tc>
          <w:tcPr>
            <w:tcW w:w="623" w:type="pct"/>
            <w:noWrap w:val="0"/>
            <w:vAlign w:val="center"/>
          </w:tcPr>
          <w:p>
            <w:pPr>
              <w:adjustRightInd w:val="0"/>
              <w:snapToGrid w:val="0"/>
              <w:jc w:val="center"/>
              <w:rPr>
                <w:i w:val="0"/>
                <w:iCs w:val="0"/>
                <w:sz w:val="21"/>
                <w:szCs w:val="21"/>
              </w:rPr>
            </w:pPr>
            <w:r>
              <w:rPr>
                <w:rFonts w:hint="eastAsia"/>
                <w:i w:val="0"/>
                <w:iCs w:val="0"/>
                <w:sz w:val="21"/>
                <w:szCs w:val="21"/>
              </w:rPr>
              <w:t>超标率/%</w:t>
            </w:r>
          </w:p>
        </w:tc>
        <w:tc>
          <w:tcPr>
            <w:tcW w:w="446" w:type="pct"/>
            <w:noWrap w:val="0"/>
            <w:vAlign w:val="center"/>
          </w:tcPr>
          <w:p>
            <w:pPr>
              <w:adjustRightInd w:val="0"/>
              <w:snapToGrid w:val="0"/>
              <w:jc w:val="center"/>
              <w:rPr>
                <w:i w:val="0"/>
                <w:iCs w:val="0"/>
                <w:sz w:val="21"/>
                <w:szCs w:val="21"/>
              </w:rPr>
            </w:pPr>
            <w:r>
              <w:rPr>
                <w:rFonts w:hint="eastAsia"/>
                <w:i w:val="0"/>
                <w:iCs w:val="0"/>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Merge w:val="restart"/>
            <w:noWrap w:val="0"/>
            <w:vAlign w:val="center"/>
          </w:tcPr>
          <w:p>
            <w:pPr>
              <w:adjustRightInd w:val="0"/>
              <w:snapToGrid w:val="0"/>
              <w:jc w:val="center"/>
              <w:rPr>
                <w:i w:val="0"/>
                <w:iCs w:val="0"/>
                <w:sz w:val="21"/>
                <w:szCs w:val="21"/>
              </w:rPr>
            </w:pPr>
            <w:r>
              <w:rPr>
                <w:rFonts w:hint="eastAsia"/>
                <w:i w:val="0"/>
                <w:iCs w:val="0"/>
                <w:sz w:val="21"/>
                <w:szCs w:val="21"/>
              </w:rPr>
              <w:t xml:space="preserve"> 项目所在地</w:t>
            </w:r>
          </w:p>
        </w:tc>
        <w:tc>
          <w:tcPr>
            <w:tcW w:w="623" w:type="pct"/>
            <w:noWrap w:val="0"/>
            <w:vAlign w:val="center"/>
          </w:tcPr>
          <w:p>
            <w:pPr>
              <w:adjustRightInd w:val="0"/>
              <w:snapToGrid w:val="0"/>
              <w:jc w:val="center"/>
              <w:rPr>
                <w:rFonts w:hint="eastAsia"/>
                <w:i w:val="0"/>
                <w:iCs w:val="0"/>
                <w:sz w:val="21"/>
                <w:szCs w:val="21"/>
              </w:rPr>
            </w:pPr>
            <w:r>
              <w:rPr>
                <w:rFonts w:hint="eastAsia"/>
                <w:i w:val="0"/>
                <w:iCs w:val="0"/>
                <w:sz w:val="21"/>
                <w:szCs w:val="21"/>
              </w:rPr>
              <w:t>TSP</w:t>
            </w:r>
          </w:p>
        </w:tc>
        <w:tc>
          <w:tcPr>
            <w:tcW w:w="498" w:type="pct"/>
            <w:noWrap w:val="0"/>
            <w:vAlign w:val="center"/>
          </w:tcPr>
          <w:p>
            <w:pPr>
              <w:adjustRightInd w:val="0"/>
              <w:snapToGrid w:val="0"/>
              <w:jc w:val="center"/>
              <w:rPr>
                <w:rFonts w:hint="eastAsia"/>
                <w:i w:val="0"/>
                <w:iCs w:val="0"/>
                <w:sz w:val="21"/>
                <w:szCs w:val="21"/>
              </w:rPr>
            </w:pPr>
            <w:r>
              <w:rPr>
                <w:rFonts w:hint="eastAsia"/>
                <w:i w:val="0"/>
                <w:iCs w:val="0"/>
                <w:sz w:val="21"/>
                <w:szCs w:val="21"/>
              </w:rPr>
              <w:t>24h</w:t>
            </w:r>
          </w:p>
        </w:tc>
        <w:tc>
          <w:tcPr>
            <w:tcW w:w="659" w:type="pct"/>
            <w:noWrap w:val="0"/>
            <w:vAlign w:val="center"/>
          </w:tcPr>
          <w:p>
            <w:pPr>
              <w:adjustRightInd w:val="0"/>
              <w:snapToGrid w:val="0"/>
              <w:jc w:val="center"/>
              <w:rPr>
                <w:rFonts w:hint="eastAsia"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rPr>
              <w:t>300</w:t>
            </w:r>
          </w:p>
        </w:tc>
        <w:tc>
          <w:tcPr>
            <w:tcW w:w="979" w:type="pct"/>
            <w:noWrap w:val="0"/>
            <w:vAlign w:val="center"/>
          </w:tcPr>
          <w:p>
            <w:pPr>
              <w:adjustRightInd w:val="0"/>
              <w:snapToGrid w:val="0"/>
              <w:jc w:val="center"/>
              <w:rPr>
                <w:i w:val="0"/>
                <w:iCs w:val="0"/>
                <w:sz w:val="21"/>
                <w:szCs w:val="21"/>
              </w:rPr>
            </w:pPr>
            <w:r>
              <w:rPr>
                <w:rFonts w:hint="eastAsia"/>
                <w:i w:val="0"/>
                <w:iCs w:val="0"/>
                <w:sz w:val="21"/>
                <w:szCs w:val="21"/>
              </w:rPr>
              <w:t>98-121</w:t>
            </w:r>
          </w:p>
        </w:tc>
        <w:tc>
          <w:tcPr>
            <w:tcW w:w="712" w:type="pct"/>
            <w:noWrap w:val="0"/>
            <w:vAlign w:val="center"/>
          </w:tcPr>
          <w:p>
            <w:pPr>
              <w:adjustRightInd w:val="0"/>
              <w:snapToGrid w:val="0"/>
              <w:jc w:val="center"/>
              <w:rPr>
                <w:i w:val="0"/>
                <w:iCs w:val="0"/>
                <w:sz w:val="21"/>
                <w:szCs w:val="21"/>
              </w:rPr>
            </w:pPr>
            <w:r>
              <w:rPr>
                <w:rFonts w:hint="eastAsia"/>
                <w:i w:val="0"/>
                <w:iCs w:val="0"/>
                <w:sz w:val="21"/>
                <w:szCs w:val="21"/>
              </w:rPr>
              <w:t>40.3</w:t>
            </w:r>
          </w:p>
        </w:tc>
        <w:tc>
          <w:tcPr>
            <w:tcW w:w="623" w:type="pct"/>
            <w:noWrap w:val="0"/>
            <w:vAlign w:val="center"/>
          </w:tcPr>
          <w:p>
            <w:pPr>
              <w:adjustRightInd w:val="0"/>
              <w:snapToGrid w:val="0"/>
              <w:jc w:val="center"/>
              <w:rPr>
                <w:rFonts w:hint="eastAsia"/>
                <w:i w:val="0"/>
                <w:iCs w:val="0"/>
                <w:sz w:val="21"/>
                <w:szCs w:val="21"/>
              </w:rPr>
            </w:pPr>
            <w:r>
              <w:rPr>
                <w:rFonts w:hint="eastAsia"/>
                <w:i w:val="0"/>
                <w:iCs w:val="0"/>
                <w:sz w:val="21"/>
                <w:szCs w:val="21"/>
              </w:rPr>
              <w:t>0</w:t>
            </w:r>
          </w:p>
        </w:tc>
        <w:tc>
          <w:tcPr>
            <w:tcW w:w="446" w:type="pct"/>
            <w:noWrap w:val="0"/>
            <w:vAlign w:val="center"/>
          </w:tcPr>
          <w:p>
            <w:pPr>
              <w:adjustRightInd w:val="0"/>
              <w:snapToGrid w:val="0"/>
              <w:jc w:val="center"/>
              <w:rPr>
                <w:rFonts w:hint="eastAsia"/>
                <w:i w:val="0"/>
                <w:iCs w:val="0"/>
                <w:sz w:val="21"/>
                <w:szCs w:val="21"/>
              </w:rPr>
            </w:pPr>
            <w:r>
              <w:rPr>
                <w:rFonts w:hint="eastAsia"/>
                <w:i w:val="0"/>
                <w:iCs w:val="0"/>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Merge w:val="continue"/>
            <w:noWrap w:val="0"/>
            <w:vAlign w:val="center"/>
          </w:tcPr>
          <w:p>
            <w:pPr>
              <w:adjustRightInd w:val="0"/>
              <w:snapToGrid w:val="0"/>
              <w:jc w:val="center"/>
              <w:rPr>
                <w:rFonts w:hint="eastAsia"/>
                <w:i w:val="0"/>
                <w:iCs w:val="0"/>
                <w:sz w:val="21"/>
                <w:szCs w:val="21"/>
              </w:rPr>
            </w:pPr>
          </w:p>
        </w:tc>
        <w:tc>
          <w:tcPr>
            <w:tcW w:w="623" w:type="pct"/>
            <w:noWrap w:val="0"/>
            <w:vAlign w:val="center"/>
          </w:tcPr>
          <w:p>
            <w:pPr>
              <w:adjustRightInd w:val="0"/>
              <w:snapToGrid w:val="0"/>
              <w:jc w:val="center"/>
              <w:rPr>
                <w:rFonts w:hint="eastAsia"/>
                <w:i w:val="0"/>
                <w:iCs w:val="0"/>
                <w:sz w:val="21"/>
                <w:szCs w:val="21"/>
              </w:rPr>
            </w:pPr>
            <w:r>
              <w:rPr>
                <w:rFonts w:hint="eastAsia"/>
                <w:i w:val="0"/>
                <w:iCs w:val="0"/>
                <w:sz w:val="21"/>
                <w:szCs w:val="21"/>
              </w:rPr>
              <w:t>非甲烷总烃</w:t>
            </w:r>
          </w:p>
        </w:tc>
        <w:tc>
          <w:tcPr>
            <w:tcW w:w="498" w:type="pct"/>
            <w:noWrap w:val="0"/>
            <w:vAlign w:val="center"/>
          </w:tcPr>
          <w:p>
            <w:pPr>
              <w:adjustRightInd w:val="0"/>
              <w:snapToGrid w:val="0"/>
              <w:jc w:val="center"/>
              <w:rPr>
                <w:rFonts w:hint="eastAsia"/>
                <w:i w:val="0"/>
                <w:iCs w:val="0"/>
                <w:sz w:val="21"/>
                <w:szCs w:val="21"/>
              </w:rPr>
            </w:pPr>
            <w:r>
              <w:rPr>
                <w:rFonts w:hint="eastAsia"/>
                <w:i w:val="0"/>
                <w:iCs w:val="0"/>
                <w:sz w:val="21"/>
                <w:szCs w:val="21"/>
              </w:rPr>
              <w:t>一次值</w:t>
            </w:r>
          </w:p>
        </w:tc>
        <w:tc>
          <w:tcPr>
            <w:tcW w:w="659" w:type="pct"/>
            <w:noWrap w:val="0"/>
            <w:vAlign w:val="center"/>
          </w:tcPr>
          <w:p>
            <w:pPr>
              <w:adjustRightInd w:val="0"/>
              <w:snapToGrid w:val="0"/>
              <w:jc w:val="center"/>
              <w:rPr>
                <w:rFonts w:hint="eastAsia"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rPr>
              <w:t>2000</w:t>
            </w:r>
          </w:p>
        </w:tc>
        <w:tc>
          <w:tcPr>
            <w:tcW w:w="979" w:type="pct"/>
            <w:noWrap w:val="0"/>
            <w:vAlign w:val="center"/>
          </w:tcPr>
          <w:p>
            <w:pPr>
              <w:adjustRightInd w:val="0"/>
              <w:snapToGrid w:val="0"/>
              <w:jc w:val="center"/>
              <w:rPr>
                <w:rFonts w:hint="eastAsia"/>
                <w:i w:val="0"/>
                <w:iCs w:val="0"/>
                <w:sz w:val="21"/>
                <w:szCs w:val="21"/>
              </w:rPr>
            </w:pPr>
            <w:r>
              <w:rPr>
                <w:rFonts w:hint="eastAsia"/>
                <w:i w:val="0"/>
                <w:iCs w:val="0"/>
                <w:sz w:val="21"/>
                <w:szCs w:val="21"/>
              </w:rPr>
              <w:t>890-1040</w:t>
            </w:r>
          </w:p>
        </w:tc>
        <w:tc>
          <w:tcPr>
            <w:tcW w:w="712" w:type="pct"/>
            <w:noWrap w:val="0"/>
            <w:vAlign w:val="center"/>
          </w:tcPr>
          <w:p>
            <w:pPr>
              <w:adjustRightInd w:val="0"/>
              <w:snapToGrid w:val="0"/>
              <w:jc w:val="center"/>
              <w:rPr>
                <w:i w:val="0"/>
                <w:iCs w:val="0"/>
                <w:sz w:val="21"/>
                <w:szCs w:val="21"/>
              </w:rPr>
            </w:pPr>
            <w:r>
              <w:rPr>
                <w:rFonts w:hint="eastAsia"/>
                <w:i w:val="0"/>
                <w:iCs w:val="0"/>
                <w:sz w:val="21"/>
                <w:szCs w:val="21"/>
              </w:rPr>
              <w:t>52</w:t>
            </w:r>
          </w:p>
        </w:tc>
        <w:tc>
          <w:tcPr>
            <w:tcW w:w="623" w:type="pct"/>
            <w:noWrap w:val="0"/>
            <w:vAlign w:val="center"/>
          </w:tcPr>
          <w:p>
            <w:pPr>
              <w:adjustRightInd w:val="0"/>
              <w:snapToGrid w:val="0"/>
              <w:jc w:val="center"/>
              <w:rPr>
                <w:rFonts w:hint="eastAsia"/>
                <w:i w:val="0"/>
                <w:iCs w:val="0"/>
                <w:sz w:val="21"/>
                <w:szCs w:val="21"/>
              </w:rPr>
            </w:pPr>
            <w:r>
              <w:rPr>
                <w:rFonts w:hint="eastAsia"/>
                <w:i w:val="0"/>
                <w:iCs w:val="0"/>
                <w:sz w:val="21"/>
                <w:szCs w:val="21"/>
              </w:rPr>
              <w:t>0</w:t>
            </w:r>
          </w:p>
        </w:tc>
        <w:tc>
          <w:tcPr>
            <w:tcW w:w="446" w:type="pct"/>
            <w:noWrap w:val="0"/>
            <w:vAlign w:val="center"/>
          </w:tcPr>
          <w:p>
            <w:pPr>
              <w:adjustRightInd w:val="0"/>
              <w:snapToGrid w:val="0"/>
              <w:jc w:val="center"/>
              <w:rPr>
                <w:rFonts w:hint="eastAsia"/>
                <w:i w:val="0"/>
                <w:iCs w:val="0"/>
                <w:sz w:val="21"/>
                <w:szCs w:val="21"/>
              </w:rPr>
            </w:pPr>
            <w:r>
              <w:rPr>
                <w:rFonts w:hint="eastAsia"/>
                <w:i w:val="0"/>
                <w:iCs w:val="0"/>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Merge w:val="continue"/>
            <w:noWrap w:val="0"/>
            <w:vAlign w:val="center"/>
          </w:tcPr>
          <w:p>
            <w:pPr>
              <w:adjustRightInd w:val="0"/>
              <w:snapToGrid w:val="0"/>
              <w:jc w:val="center"/>
              <w:rPr>
                <w:rFonts w:hint="eastAsia"/>
                <w:i w:val="0"/>
                <w:iCs w:val="0"/>
                <w:sz w:val="21"/>
                <w:szCs w:val="21"/>
              </w:rPr>
            </w:pPr>
          </w:p>
        </w:tc>
        <w:tc>
          <w:tcPr>
            <w:tcW w:w="623" w:type="pct"/>
            <w:noWrap w:val="0"/>
            <w:vAlign w:val="center"/>
          </w:tcPr>
          <w:p>
            <w:pPr>
              <w:adjustRightInd w:val="0"/>
              <w:snapToGrid w:val="0"/>
              <w:jc w:val="center"/>
              <w:rPr>
                <w:rFonts w:hint="eastAsia"/>
                <w:i w:val="0"/>
                <w:iCs w:val="0"/>
                <w:sz w:val="21"/>
                <w:szCs w:val="21"/>
              </w:rPr>
            </w:pPr>
            <w:r>
              <w:rPr>
                <w:rFonts w:hint="eastAsia"/>
                <w:i w:val="0"/>
                <w:iCs w:val="0"/>
                <w:sz w:val="21"/>
                <w:szCs w:val="21"/>
              </w:rPr>
              <w:t>氨</w:t>
            </w:r>
          </w:p>
        </w:tc>
        <w:tc>
          <w:tcPr>
            <w:tcW w:w="498" w:type="pct"/>
            <w:noWrap w:val="0"/>
            <w:vAlign w:val="center"/>
          </w:tcPr>
          <w:p>
            <w:pPr>
              <w:adjustRightInd w:val="0"/>
              <w:snapToGrid w:val="0"/>
              <w:jc w:val="center"/>
              <w:rPr>
                <w:rFonts w:hint="eastAsia"/>
                <w:i w:val="0"/>
                <w:iCs w:val="0"/>
                <w:sz w:val="21"/>
                <w:szCs w:val="21"/>
              </w:rPr>
            </w:pPr>
            <w:r>
              <w:rPr>
                <w:rFonts w:hint="eastAsia"/>
                <w:i w:val="0"/>
                <w:iCs w:val="0"/>
                <w:sz w:val="21"/>
                <w:szCs w:val="21"/>
              </w:rPr>
              <w:t>1小时均值</w:t>
            </w:r>
          </w:p>
        </w:tc>
        <w:tc>
          <w:tcPr>
            <w:tcW w:w="1224" w:type="dxa"/>
            <w:noWrap w:val="0"/>
            <w:vAlign w:val="center"/>
          </w:tcPr>
          <w:p>
            <w:pPr>
              <w:adjustRightInd w:val="0"/>
              <w:snapToGrid w:val="0"/>
              <w:jc w:val="center"/>
              <w:rPr>
                <w:i w:val="0"/>
                <w:iCs w:val="0"/>
                <w:sz w:val="21"/>
                <w:szCs w:val="21"/>
              </w:rPr>
            </w:pPr>
            <w:r>
              <w:rPr>
                <w:rFonts w:hint="eastAsia"/>
                <w:i w:val="0"/>
                <w:iCs w:val="0"/>
                <w:sz w:val="21"/>
                <w:szCs w:val="21"/>
              </w:rPr>
              <w:t>200</w:t>
            </w:r>
          </w:p>
        </w:tc>
        <w:tc>
          <w:tcPr>
            <w:tcW w:w="1818" w:type="dxa"/>
            <w:noWrap w:val="0"/>
            <w:vAlign w:val="center"/>
          </w:tcPr>
          <w:p>
            <w:pPr>
              <w:adjustRightInd w:val="0"/>
              <w:snapToGrid w:val="0"/>
              <w:jc w:val="center"/>
              <w:rPr>
                <w:rFonts w:hint="eastAsia"/>
                <w:i w:val="0"/>
                <w:iCs w:val="0"/>
                <w:sz w:val="21"/>
                <w:szCs w:val="21"/>
              </w:rPr>
            </w:pPr>
            <w:r>
              <w:rPr>
                <w:rFonts w:hint="eastAsia"/>
                <w:i w:val="0"/>
                <w:iCs w:val="0"/>
                <w:sz w:val="21"/>
                <w:szCs w:val="21"/>
              </w:rPr>
              <w:t>&lt;0.01</w:t>
            </w:r>
          </w:p>
        </w:tc>
        <w:tc>
          <w:tcPr>
            <w:tcW w:w="1322" w:type="dxa"/>
            <w:noWrap w:val="0"/>
            <w:vAlign w:val="center"/>
          </w:tcPr>
          <w:p>
            <w:pPr>
              <w:adjustRightInd w:val="0"/>
              <w:snapToGrid w:val="0"/>
              <w:jc w:val="center"/>
              <w:rPr>
                <w:rFonts w:hint="eastAsia"/>
                <w:i w:val="0"/>
                <w:iCs w:val="0"/>
                <w:sz w:val="21"/>
                <w:szCs w:val="21"/>
              </w:rPr>
            </w:pPr>
            <w:r>
              <w:rPr>
                <w:rFonts w:hint="eastAsia"/>
                <w:i w:val="0"/>
                <w:iCs w:val="0"/>
                <w:sz w:val="21"/>
                <w:szCs w:val="21"/>
              </w:rPr>
              <w:t>--</w:t>
            </w:r>
          </w:p>
        </w:tc>
        <w:tc>
          <w:tcPr>
            <w:tcW w:w="1157" w:type="dxa"/>
            <w:noWrap w:val="0"/>
            <w:vAlign w:val="center"/>
          </w:tcPr>
          <w:p>
            <w:pPr>
              <w:adjustRightInd w:val="0"/>
              <w:snapToGrid w:val="0"/>
              <w:jc w:val="center"/>
              <w:rPr>
                <w:rFonts w:hint="eastAsia"/>
                <w:i w:val="0"/>
                <w:iCs w:val="0"/>
                <w:sz w:val="21"/>
                <w:szCs w:val="21"/>
              </w:rPr>
            </w:pPr>
            <w:r>
              <w:rPr>
                <w:rFonts w:hint="eastAsia"/>
                <w:i w:val="0"/>
                <w:iCs w:val="0"/>
                <w:sz w:val="21"/>
                <w:szCs w:val="21"/>
              </w:rPr>
              <w:t>--</w:t>
            </w:r>
          </w:p>
        </w:tc>
        <w:tc>
          <w:tcPr>
            <w:tcW w:w="446" w:type="pct"/>
            <w:noWrap w:val="0"/>
            <w:vAlign w:val="center"/>
          </w:tcPr>
          <w:p>
            <w:pPr>
              <w:adjustRightInd w:val="0"/>
              <w:snapToGrid w:val="0"/>
              <w:jc w:val="center"/>
              <w:rPr>
                <w:rFonts w:hint="eastAsia"/>
                <w:i w:val="0"/>
                <w:iCs w:val="0"/>
                <w:sz w:val="21"/>
                <w:szCs w:val="21"/>
              </w:rPr>
            </w:pPr>
            <w:r>
              <w:rPr>
                <w:rFonts w:hint="eastAsia"/>
                <w:i w:val="0"/>
                <w:iCs w:val="0"/>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Merge w:val="continue"/>
            <w:noWrap w:val="0"/>
            <w:vAlign w:val="center"/>
          </w:tcPr>
          <w:p>
            <w:pPr>
              <w:adjustRightInd w:val="0"/>
              <w:snapToGrid w:val="0"/>
              <w:jc w:val="center"/>
              <w:rPr>
                <w:rFonts w:hint="eastAsia"/>
                <w:i w:val="0"/>
                <w:iCs w:val="0"/>
                <w:sz w:val="21"/>
                <w:szCs w:val="21"/>
              </w:rPr>
            </w:pPr>
          </w:p>
        </w:tc>
        <w:tc>
          <w:tcPr>
            <w:tcW w:w="623" w:type="pct"/>
            <w:noWrap w:val="0"/>
            <w:vAlign w:val="center"/>
          </w:tcPr>
          <w:p>
            <w:pPr>
              <w:adjustRightInd w:val="0"/>
              <w:snapToGrid w:val="0"/>
              <w:jc w:val="center"/>
              <w:rPr>
                <w:rFonts w:hint="eastAsia"/>
                <w:i w:val="0"/>
                <w:iCs w:val="0"/>
                <w:sz w:val="21"/>
                <w:szCs w:val="21"/>
              </w:rPr>
            </w:pPr>
            <w:r>
              <w:rPr>
                <w:rFonts w:hint="eastAsia"/>
                <w:i w:val="0"/>
                <w:iCs w:val="0"/>
                <w:sz w:val="21"/>
                <w:szCs w:val="21"/>
              </w:rPr>
              <w:t>硫化氢</w:t>
            </w:r>
          </w:p>
        </w:tc>
        <w:tc>
          <w:tcPr>
            <w:tcW w:w="498" w:type="pct"/>
            <w:noWrap w:val="0"/>
            <w:vAlign w:val="center"/>
          </w:tcPr>
          <w:p>
            <w:pPr>
              <w:adjustRightInd w:val="0"/>
              <w:snapToGrid w:val="0"/>
              <w:jc w:val="center"/>
              <w:rPr>
                <w:rFonts w:hint="eastAsia"/>
                <w:i w:val="0"/>
                <w:iCs w:val="0"/>
                <w:sz w:val="21"/>
                <w:szCs w:val="21"/>
              </w:rPr>
            </w:pPr>
            <w:r>
              <w:rPr>
                <w:rFonts w:hint="eastAsia"/>
                <w:i w:val="0"/>
                <w:iCs w:val="0"/>
                <w:sz w:val="21"/>
                <w:szCs w:val="21"/>
              </w:rPr>
              <w:t>1小时均值</w:t>
            </w:r>
          </w:p>
        </w:tc>
        <w:tc>
          <w:tcPr>
            <w:tcW w:w="1224" w:type="dxa"/>
            <w:noWrap w:val="0"/>
            <w:vAlign w:val="center"/>
          </w:tcPr>
          <w:p>
            <w:pPr>
              <w:adjustRightInd w:val="0"/>
              <w:snapToGrid w:val="0"/>
              <w:jc w:val="center"/>
              <w:rPr>
                <w:i w:val="0"/>
                <w:iCs w:val="0"/>
                <w:sz w:val="21"/>
                <w:szCs w:val="21"/>
              </w:rPr>
            </w:pPr>
            <w:r>
              <w:rPr>
                <w:rFonts w:hint="eastAsia"/>
                <w:i w:val="0"/>
                <w:iCs w:val="0"/>
                <w:sz w:val="21"/>
                <w:szCs w:val="21"/>
              </w:rPr>
              <w:t>10</w:t>
            </w:r>
          </w:p>
        </w:tc>
        <w:tc>
          <w:tcPr>
            <w:tcW w:w="1818" w:type="dxa"/>
            <w:noWrap w:val="0"/>
            <w:vAlign w:val="center"/>
          </w:tcPr>
          <w:p>
            <w:pPr>
              <w:adjustRightInd w:val="0"/>
              <w:snapToGrid w:val="0"/>
              <w:jc w:val="center"/>
              <w:rPr>
                <w:rFonts w:hint="eastAsia"/>
                <w:i w:val="0"/>
                <w:iCs w:val="0"/>
                <w:sz w:val="21"/>
                <w:szCs w:val="21"/>
              </w:rPr>
            </w:pPr>
            <w:r>
              <w:rPr>
                <w:rFonts w:hint="eastAsia"/>
                <w:i w:val="0"/>
                <w:iCs w:val="0"/>
                <w:sz w:val="21"/>
                <w:szCs w:val="21"/>
              </w:rPr>
              <w:t>&lt;0.001</w:t>
            </w:r>
          </w:p>
        </w:tc>
        <w:tc>
          <w:tcPr>
            <w:tcW w:w="1322" w:type="dxa"/>
            <w:noWrap w:val="0"/>
            <w:vAlign w:val="center"/>
          </w:tcPr>
          <w:p>
            <w:pPr>
              <w:adjustRightInd w:val="0"/>
              <w:snapToGrid w:val="0"/>
              <w:jc w:val="center"/>
              <w:rPr>
                <w:rFonts w:hint="eastAsia"/>
                <w:i w:val="0"/>
                <w:iCs w:val="0"/>
                <w:sz w:val="21"/>
                <w:szCs w:val="21"/>
              </w:rPr>
            </w:pPr>
            <w:r>
              <w:rPr>
                <w:rFonts w:hint="eastAsia"/>
                <w:i w:val="0"/>
                <w:iCs w:val="0"/>
                <w:sz w:val="21"/>
                <w:szCs w:val="21"/>
              </w:rPr>
              <w:t>--</w:t>
            </w:r>
          </w:p>
        </w:tc>
        <w:tc>
          <w:tcPr>
            <w:tcW w:w="1157" w:type="dxa"/>
            <w:noWrap w:val="0"/>
            <w:vAlign w:val="center"/>
          </w:tcPr>
          <w:p>
            <w:pPr>
              <w:adjustRightInd w:val="0"/>
              <w:snapToGrid w:val="0"/>
              <w:jc w:val="center"/>
              <w:rPr>
                <w:rFonts w:hint="eastAsia"/>
                <w:i w:val="0"/>
                <w:iCs w:val="0"/>
                <w:sz w:val="21"/>
                <w:szCs w:val="21"/>
              </w:rPr>
            </w:pPr>
            <w:r>
              <w:rPr>
                <w:rFonts w:hint="eastAsia"/>
                <w:i w:val="0"/>
                <w:iCs w:val="0"/>
                <w:sz w:val="21"/>
                <w:szCs w:val="21"/>
              </w:rPr>
              <w:t>--</w:t>
            </w:r>
          </w:p>
        </w:tc>
        <w:tc>
          <w:tcPr>
            <w:tcW w:w="446" w:type="pct"/>
            <w:noWrap w:val="0"/>
            <w:vAlign w:val="center"/>
          </w:tcPr>
          <w:p>
            <w:pPr>
              <w:adjustRightInd w:val="0"/>
              <w:snapToGrid w:val="0"/>
              <w:jc w:val="center"/>
              <w:rPr>
                <w:rFonts w:hint="eastAsia"/>
                <w:i w:val="0"/>
                <w:iCs w:val="0"/>
                <w:sz w:val="21"/>
                <w:szCs w:val="21"/>
              </w:rPr>
            </w:pPr>
            <w:r>
              <w:rPr>
                <w:rFonts w:hint="eastAsia"/>
                <w:i w:val="0"/>
                <w:iCs w:val="0"/>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Merge w:val="continue"/>
            <w:noWrap w:val="0"/>
            <w:vAlign w:val="center"/>
          </w:tcPr>
          <w:p>
            <w:pPr>
              <w:adjustRightInd w:val="0"/>
              <w:snapToGrid w:val="0"/>
              <w:jc w:val="center"/>
              <w:rPr>
                <w:rFonts w:hint="eastAsia"/>
                <w:i w:val="0"/>
                <w:iCs w:val="0"/>
                <w:sz w:val="21"/>
                <w:szCs w:val="21"/>
              </w:rPr>
            </w:pPr>
          </w:p>
        </w:tc>
        <w:tc>
          <w:tcPr>
            <w:tcW w:w="623" w:type="pct"/>
            <w:noWrap w:val="0"/>
            <w:vAlign w:val="center"/>
          </w:tcPr>
          <w:p>
            <w:pPr>
              <w:adjustRightInd w:val="0"/>
              <w:snapToGrid w:val="0"/>
              <w:jc w:val="center"/>
              <w:rPr>
                <w:rFonts w:hint="eastAsia"/>
                <w:i w:val="0"/>
                <w:iCs w:val="0"/>
                <w:sz w:val="21"/>
                <w:szCs w:val="21"/>
              </w:rPr>
            </w:pPr>
            <w:r>
              <w:rPr>
                <w:rFonts w:hint="eastAsia"/>
                <w:i w:val="0"/>
                <w:iCs w:val="0"/>
                <w:sz w:val="21"/>
                <w:szCs w:val="21"/>
              </w:rPr>
              <w:t>臭气浓度</w:t>
            </w:r>
          </w:p>
        </w:tc>
        <w:tc>
          <w:tcPr>
            <w:tcW w:w="498" w:type="pct"/>
            <w:noWrap w:val="0"/>
            <w:vAlign w:val="center"/>
          </w:tcPr>
          <w:p>
            <w:pPr>
              <w:adjustRightInd w:val="0"/>
              <w:snapToGrid w:val="0"/>
              <w:jc w:val="center"/>
              <w:rPr>
                <w:rFonts w:hint="eastAsia"/>
                <w:i w:val="0"/>
                <w:iCs w:val="0"/>
                <w:sz w:val="21"/>
                <w:szCs w:val="21"/>
              </w:rPr>
            </w:pPr>
            <w:r>
              <w:rPr>
                <w:rFonts w:hint="eastAsia"/>
                <w:i w:val="0"/>
                <w:iCs w:val="0"/>
                <w:sz w:val="21"/>
                <w:szCs w:val="21"/>
              </w:rPr>
              <w:t>一次值</w:t>
            </w:r>
          </w:p>
        </w:tc>
        <w:tc>
          <w:tcPr>
            <w:tcW w:w="659" w:type="pct"/>
            <w:noWrap w:val="0"/>
            <w:vAlign w:val="center"/>
          </w:tcPr>
          <w:p>
            <w:pPr>
              <w:adjustRightInd w:val="0"/>
              <w:snapToGrid w:val="0"/>
              <w:jc w:val="center"/>
              <w:rPr>
                <w:rFonts w:hint="eastAsia"/>
                <w:i w:val="0"/>
                <w:iCs w:val="0"/>
                <w:sz w:val="21"/>
                <w:szCs w:val="21"/>
              </w:rPr>
            </w:pPr>
            <w:r>
              <w:rPr>
                <w:rFonts w:hint="eastAsia"/>
                <w:i w:val="0"/>
                <w:iCs w:val="0"/>
                <w:sz w:val="21"/>
                <w:szCs w:val="21"/>
              </w:rPr>
              <w:t>-</w:t>
            </w:r>
          </w:p>
        </w:tc>
        <w:tc>
          <w:tcPr>
            <w:tcW w:w="979" w:type="pct"/>
            <w:noWrap w:val="0"/>
            <w:vAlign w:val="center"/>
          </w:tcPr>
          <w:p>
            <w:pPr>
              <w:adjustRightInd w:val="0"/>
              <w:snapToGrid w:val="0"/>
              <w:jc w:val="center"/>
              <w:rPr>
                <w:rFonts w:hint="eastAsia"/>
                <w:i w:val="0"/>
                <w:iCs w:val="0"/>
                <w:sz w:val="21"/>
                <w:szCs w:val="21"/>
              </w:rPr>
            </w:pPr>
            <w:r>
              <w:rPr>
                <w:rFonts w:hint="eastAsia"/>
                <w:i w:val="0"/>
                <w:iCs w:val="0"/>
                <w:sz w:val="21"/>
                <w:szCs w:val="21"/>
              </w:rPr>
              <w:t>&lt;10</w:t>
            </w:r>
          </w:p>
        </w:tc>
        <w:tc>
          <w:tcPr>
            <w:tcW w:w="712" w:type="pct"/>
            <w:noWrap w:val="0"/>
            <w:vAlign w:val="center"/>
          </w:tcPr>
          <w:p>
            <w:pPr>
              <w:adjustRightInd w:val="0"/>
              <w:snapToGrid w:val="0"/>
              <w:jc w:val="center"/>
              <w:rPr>
                <w:rFonts w:hint="eastAsia"/>
                <w:i w:val="0"/>
                <w:iCs w:val="0"/>
                <w:sz w:val="21"/>
                <w:szCs w:val="21"/>
              </w:rPr>
            </w:pPr>
            <w:r>
              <w:rPr>
                <w:rFonts w:hint="eastAsia"/>
                <w:i w:val="0"/>
                <w:iCs w:val="0"/>
                <w:sz w:val="21"/>
                <w:szCs w:val="21"/>
              </w:rPr>
              <w:t>--</w:t>
            </w:r>
          </w:p>
        </w:tc>
        <w:tc>
          <w:tcPr>
            <w:tcW w:w="623" w:type="pct"/>
            <w:noWrap w:val="0"/>
            <w:vAlign w:val="center"/>
          </w:tcPr>
          <w:p>
            <w:pPr>
              <w:adjustRightInd w:val="0"/>
              <w:snapToGrid w:val="0"/>
              <w:jc w:val="center"/>
              <w:rPr>
                <w:rFonts w:hint="eastAsia"/>
                <w:i w:val="0"/>
                <w:iCs w:val="0"/>
                <w:sz w:val="21"/>
                <w:szCs w:val="21"/>
              </w:rPr>
            </w:pPr>
            <w:r>
              <w:rPr>
                <w:rFonts w:hint="eastAsia"/>
                <w:i w:val="0"/>
                <w:iCs w:val="0"/>
                <w:sz w:val="21"/>
                <w:szCs w:val="21"/>
              </w:rPr>
              <w:t>--</w:t>
            </w:r>
          </w:p>
        </w:tc>
        <w:tc>
          <w:tcPr>
            <w:tcW w:w="446" w:type="pct"/>
            <w:noWrap w:val="0"/>
            <w:vAlign w:val="center"/>
          </w:tcPr>
          <w:p>
            <w:pPr>
              <w:adjustRightInd w:val="0"/>
              <w:snapToGrid w:val="0"/>
              <w:jc w:val="center"/>
              <w:rPr>
                <w:rFonts w:hint="eastAsia"/>
                <w:i w:val="0"/>
                <w:iCs w:val="0"/>
                <w:sz w:val="21"/>
                <w:szCs w:val="21"/>
              </w:rPr>
            </w:pPr>
            <w:r>
              <w:rPr>
                <w:rFonts w:hint="eastAsia"/>
                <w:i w:val="0"/>
                <w:iCs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Merge w:val="restart"/>
            <w:noWrap w:val="0"/>
            <w:vAlign w:val="center"/>
          </w:tcPr>
          <w:p>
            <w:pPr>
              <w:adjustRightInd w:val="0"/>
              <w:snapToGrid w:val="0"/>
              <w:jc w:val="center"/>
              <w:rPr>
                <w:rFonts w:hint="eastAsia"/>
                <w:i w:val="0"/>
                <w:iCs w:val="0"/>
                <w:sz w:val="21"/>
                <w:szCs w:val="21"/>
              </w:rPr>
            </w:pPr>
            <w:r>
              <w:rPr>
                <w:rFonts w:hint="eastAsia"/>
                <w:i w:val="0"/>
                <w:iCs w:val="0"/>
                <w:sz w:val="21"/>
                <w:szCs w:val="21"/>
              </w:rPr>
              <w:t>项目东北侧500m处</w:t>
            </w:r>
          </w:p>
        </w:tc>
        <w:tc>
          <w:tcPr>
            <w:tcW w:w="623" w:type="pct"/>
            <w:noWrap w:val="0"/>
            <w:vAlign w:val="center"/>
          </w:tcPr>
          <w:p>
            <w:pPr>
              <w:adjustRightInd w:val="0"/>
              <w:snapToGrid w:val="0"/>
              <w:jc w:val="center"/>
              <w:rPr>
                <w:rFonts w:hint="eastAsia"/>
                <w:i w:val="0"/>
                <w:iCs w:val="0"/>
                <w:sz w:val="21"/>
                <w:szCs w:val="21"/>
              </w:rPr>
            </w:pPr>
            <w:r>
              <w:rPr>
                <w:rFonts w:hint="eastAsia"/>
                <w:i w:val="0"/>
                <w:iCs w:val="0"/>
                <w:sz w:val="21"/>
                <w:szCs w:val="21"/>
              </w:rPr>
              <w:t>TSP</w:t>
            </w:r>
          </w:p>
        </w:tc>
        <w:tc>
          <w:tcPr>
            <w:tcW w:w="498" w:type="pct"/>
            <w:noWrap w:val="0"/>
            <w:vAlign w:val="center"/>
          </w:tcPr>
          <w:p>
            <w:pPr>
              <w:adjustRightInd w:val="0"/>
              <w:snapToGrid w:val="0"/>
              <w:jc w:val="center"/>
              <w:rPr>
                <w:rFonts w:hint="eastAsia"/>
                <w:i w:val="0"/>
                <w:iCs w:val="0"/>
                <w:sz w:val="21"/>
                <w:szCs w:val="21"/>
              </w:rPr>
            </w:pPr>
            <w:r>
              <w:rPr>
                <w:rFonts w:hint="eastAsia"/>
                <w:i w:val="0"/>
                <w:iCs w:val="0"/>
                <w:sz w:val="21"/>
                <w:szCs w:val="21"/>
              </w:rPr>
              <w:t>24h</w:t>
            </w:r>
          </w:p>
        </w:tc>
        <w:tc>
          <w:tcPr>
            <w:tcW w:w="659" w:type="pct"/>
            <w:noWrap w:val="0"/>
            <w:vAlign w:val="center"/>
          </w:tcPr>
          <w:p>
            <w:pPr>
              <w:adjustRightInd w:val="0"/>
              <w:snapToGrid w:val="0"/>
              <w:jc w:val="center"/>
              <w:rPr>
                <w:rFonts w:hint="eastAsia"/>
                <w:i w:val="0"/>
                <w:iCs w:val="0"/>
                <w:sz w:val="21"/>
                <w:szCs w:val="21"/>
              </w:rPr>
            </w:pPr>
            <w:r>
              <w:rPr>
                <w:rFonts w:hint="eastAsia"/>
                <w:i w:val="0"/>
                <w:iCs w:val="0"/>
                <w:sz w:val="21"/>
                <w:szCs w:val="21"/>
              </w:rPr>
              <w:t>300</w:t>
            </w:r>
          </w:p>
        </w:tc>
        <w:tc>
          <w:tcPr>
            <w:tcW w:w="979" w:type="pct"/>
            <w:noWrap w:val="0"/>
            <w:vAlign w:val="center"/>
          </w:tcPr>
          <w:p>
            <w:pPr>
              <w:adjustRightInd w:val="0"/>
              <w:snapToGrid w:val="0"/>
              <w:jc w:val="center"/>
              <w:rPr>
                <w:i w:val="0"/>
                <w:iCs w:val="0"/>
                <w:sz w:val="21"/>
                <w:szCs w:val="21"/>
              </w:rPr>
            </w:pPr>
            <w:r>
              <w:rPr>
                <w:rFonts w:hint="eastAsia"/>
                <w:i w:val="0"/>
                <w:iCs w:val="0"/>
                <w:sz w:val="21"/>
                <w:szCs w:val="21"/>
              </w:rPr>
              <w:t>124</w:t>
            </w:r>
          </w:p>
        </w:tc>
        <w:tc>
          <w:tcPr>
            <w:tcW w:w="712" w:type="pct"/>
            <w:noWrap w:val="0"/>
            <w:vAlign w:val="center"/>
          </w:tcPr>
          <w:p>
            <w:pPr>
              <w:adjustRightInd w:val="0"/>
              <w:snapToGrid w:val="0"/>
              <w:jc w:val="center"/>
              <w:rPr>
                <w:i w:val="0"/>
                <w:iCs w:val="0"/>
                <w:sz w:val="21"/>
                <w:szCs w:val="21"/>
              </w:rPr>
            </w:pPr>
            <w:r>
              <w:rPr>
                <w:rFonts w:hint="eastAsia"/>
                <w:i w:val="0"/>
                <w:iCs w:val="0"/>
                <w:sz w:val="21"/>
                <w:szCs w:val="21"/>
              </w:rPr>
              <w:t>41.3</w:t>
            </w:r>
          </w:p>
        </w:tc>
        <w:tc>
          <w:tcPr>
            <w:tcW w:w="623" w:type="pct"/>
            <w:noWrap w:val="0"/>
            <w:vAlign w:val="center"/>
          </w:tcPr>
          <w:p>
            <w:pPr>
              <w:adjustRightInd w:val="0"/>
              <w:snapToGrid w:val="0"/>
              <w:jc w:val="center"/>
              <w:rPr>
                <w:rFonts w:hint="eastAsia"/>
                <w:i w:val="0"/>
                <w:iCs w:val="0"/>
                <w:sz w:val="21"/>
                <w:szCs w:val="21"/>
              </w:rPr>
            </w:pPr>
            <w:r>
              <w:rPr>
                <w:rFonts w:hint="eastAsia"/>
                <w:i w:val="0"/>
                <w:iCs w:val="0"/>
                <w:sz w:val="21"/>
                <w:szCs w:val="21"/>
              </w:rPr>
              <w:t>0</w:t>
            </w:r>
          </w:p>
        </w:tc>
        <w:tc>
          <w:tcPr>
            <w:tcW w:w="446" w:type="pct"/>
            <w:noWrap w:val="0"/>
            <w:vAlign w:val="center"/>
          </w:tcPr>
          <w:p>
            <w:pPr>
              <w:adjustRightInd w:val="0"/>
              <w:snapToGrid w:val="0"/>
              <w:jc w:val="center"/>
              <w:rPr>
                <w:rFonts w:hint="eastAsia"/>
                <w:i w:val="0"/>
                <w:iCs w:val="0"/>
                <w:sz w:val="21"/>
                <w:szCs w:val="21"/>
              </w:rPr>
            </w:pPr>
            <w:r>
              <w:rPr>
                <w:rFonts w:hint="eastAsia"/>
                <w:i w:val="0"/>
                <w:iCs w:val="0"/>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Merge w:val="continue"/>
            <w:noWrap w:val="0"/>
            <w:vAlign w:val="center"/>
          </w:tcPr>
          <w:p>
            <w:pPr>
              <w:adjustRightInd w:val="0"/>
              <w:snapToGrid w:val="0"/>
              <w:jc w:val="center"/>
              <w:rPr>
                <w:rFonts w:hint="eastAsia"/>
                <w:i w:val="0"/>
                <w:iCs w:val="0"/>
                <w:sz w:val="21"/>
                <w:szCs w:val="21"/>
              </w:rPr>
            </w:pPr>
          </w:p>
        </w:tc>
        <w:tc>
          <w:tcPr>
            <w:tcW w:w="623" w:type="pct"/>
            <w:noWrap w:val="0"/>
            <w:vAlign w:val="center"/>
          </w:tcPr>
          <w:p>
            <w:pPr>
              <w:adjustRightInd w:val="0"/>
              <w:snapToGrid w:val="0"/>
              <w:jc w:val="center"/>
              <w:rPr>
                <w:rFonts w:hint="eastAsia"/>
                <w:i w:val="0"/>
                <w:iCs w:val="0"/>
                <w:sz w:val="21"/>
                <w:szCs w:val="21"/>
              </w:rPr>
            </w:pPr>
            <w:r>
              <w:rPr>
                <w:rFonts w:hint="eastAsia"/>
                <w:i w:val="0"/>
                <w:iCs w:val="0"/>
                <w:sz w:val="21"/>
                <w:szCs w:val="21"/>
              </w:rPr>
              <w:t>非甲烷总烃</w:t>
            </w:r>
          </w:p>
        </w:tc>
        <w:tc>
          <w:tcPr>
            <w:tcW w:w="498" w:type="pct"/>
            <w:noWrap w:val="0"/>
            <w:vAlign w:val="center"/>
          </w:tcPr>
          <w:p>
            <w:pPr>
              <w:adjustRightInd w:val="0"/>
              <w:snapToGrid w:val="0"/>
              <w:jc w:val="center"/>
              <w:rPr>
                <w:rFonts w:hint="eastAsia"/>
                <w:i w:val="0"/>
                <w:iCs w:val="0"/>
                <w:sz w:val="21"/>
                <w:szCs w:val="21"/>
              </w:rPr>
            </w:pPr>
            <w:r>
              <w:rPr>
                <w:rFonts w:hint="eastAsia"/>
                <w:i w:val="0"/>
                <w:iCs w:val="0"/>
                <w:sz w:val="21"/>
                <w:szCs w:val="21"/>
              </w:rPr>
              <w:t>一次值</w:t>
            </w:r>
          </w:p>
        </w:tc>
        <w:tc>
          <w:tcPr>
            <w:tcW w:w="659" w:type="pct"/>
            <w:noWrap w:val="0"/>
            <w:vAlign w:val="center"/>
          </w:tcPr>
          <w:p>
            <w:pPr>
              <w:adjustRightInd w:val="0"/>
              <w:snapToGrid w:val="0"/>
              <w:jc w:val="center"/>
              <w:rPr>
                <w:rFonts w:hint="eastAsia"/>
                <w:i w:val="0"/>
                <w:iCs w:val="0"/>
                <w:sz w:val="21"/>
                <w:szCs w:val="21"/>
              </w:rPr>
            </w:pPr>
            <w:r>
              <w:rPr>
                <w:rFonts w:hint="eastAsia"/>
                <w:i w:val="0"/>
                <w:iCs w:val="0"/>
                <w:sz w:val="21"/>
                <w:szCs w:val="21"/>
              </w:rPr>
              <w:t>2000</w:t>
            </w:r>
          </w:p>
        </w:tc>
        <w:tc>
          <w:tcPr>
            <w:tcW w:w="979" w:type="pct"/>
            <w:noWrap w:val="0"/>
            <w:vAlign w:val="center"/>
          </w:tcPr>
          <w:p>
            <w:pPr>
              <w:adjustRightInd w:val="0"/>
              <w:snapToGrid w:val="0"/>
              <w:jc w:val="center"/>
              <w:rPr>
                <w:i w:val="0"/>
                <w:iCs w:val="0"/>
                <w:sz w:val="21"/>
                <w:szCs w:val="21"/>
              </w:rPr>
            </w:pPr>
            <w:r>
              <w:rPr>
                <w:rFonts w:hint="eastAsia"/>
                <w:i w:val="0"/>
                <w:iCs w:val="0"/>
                <w:sz w:val="21"/>
                <w:szCs w:val="21"/>
              </w:rPr>
              <w:t>1040</w:t>
            </w:r>
          </w:p>
        </w:tc>
        <w:tc>
          <w:tcPr>
            <w:tcW w:w="712" w:type="pct"/>
            <w:noWrap w:val="0"/>
            <w:vAlign w:val="center"/>
          </w:tcPr>
          <w:p>
            <w:pPr>
              <w:adjustRightInd w:val="0"/>
              <w:snapToGrid w:val="0"/>
              <w:jc w:val="center"/>
              <w:rPr>
                <w:i w:val="0"/>
                <w:iCs w:val="0"/>
                <w:sz w:val="21"/>
                <w:szCs w:val="21"/>
              </w:rPr>
            </w:pPr>
            <w:r>
              <w:rPr>
                <w:rFonts w:hint="eastAsia"/>
                <w:i w:val="0"/>
                <w:iCs w:val="0"/>
                <w:sz w:val="21"/>
                <w:szCs w:val="21"/>
              </w:rPr>
              <w:t>52</w:t>
            </w:r>
          </w:p>
        </w:tc>
        <w:tc>
          <w:tcPr>
            <w:tcW w:w="623" w:type="pct"/>
            <w:noWrap w:val="0"/>
            <w:vAlign w:val="center"/>
          </w:tcPr>
          <w:p>
            <w:pPr>
              <w:adjustRightInd w:val="0"/>
              <w:snapToGrid w:val="0"/>
              <w:jc w:val="center"/>
              <w:rPr>
                <w:rFonts w:hint="eastAsia"/>
                <w:i w:val="0"/>
                <w:iCs w:val="0"/>
                <w:sz w:val="21"/>
                <w:szCs w:val="21"/>
              </w:rPr>
            </w:pPr>
            <w:r>
              <w:rPr>
                <w:rFonts w:hint="eastAsia"/>
                <w:i w:val="0"/>
                <w:iCs w:val="0"/>
                <w:sz w:val="21"/>
                <w:szCs w:val="21"/>
              </w:rPr>
              <w:t>0</w:t>
            </w:r>
          </w:p>
        </w:tc>
        <w:tc>
          <w:tcPr>
            <w:tcW w:w="446" w:type="pct"/>
            <w:noWrap w:val="0"/>
            <w:vAlign w:val="center"/>
          </w:tcPr>
          <w:p>
            <w:pPr>
              <w:adjustRightInd w:val="0"/>
              <w:snapToGrid w:val="0"/>
              <w:jc w:val="center"/>
              <w:rPr>
                <w:rFonts w:hint="eastAsia"/>
                <w:i w:val="0"/>
                <w:iCs w:val="0"/>
                <w:sz w:val="21"/>
                <w:szCs w:val="21"/>
              </w:rPr>
            </w:pPr>
            <w:r>
              <w:rPr>
                <w:rFonts w:hint="eastAsia"/>
                <w:i w:val="0"/>
                <w:iCs w:val="0"/>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Merge w:val="continue"/>
            <w:noWrap w:val="0"/>
            <w:vAlign w:val="center"/>
          </w:tcPr>
          <w:p>
            <w:pPr>
              <w:adjustRightInd w:val="0"/>
              <w:snapToGrid w:val="0"/>
              <w:jc w:val="center"/>
              <w:rPr>
                <w:rFonts w:hint="eastAsia"/>
                <w:i w:val="0"/>
                <w:iCs w:val="0"/>
                <w:sz w:val="21"/>
                <w:szCs w:val="21"/>
              </w:rPr>
            </w:pPr>
          </w:p>
        </w:tc>
        <w:tc>
          <w:tcPr>
            <w:tcW w:w="623" w:type="pct"/>
            <w:noWrap w:val="0"/>
            <w:vAlign w:val="center"/>
          </w:tcPr>
          <w:p>
            <w:pPr>
              <w:adjustRightInd w:val="0"/>
              <w:snapToGrid w:val="0"/>
              <w:jc w:val="center"/>
              <w:rPr>
                <w:rFonts w:hint="eastAsia"/>
                <w:i w:val="0"/>
                <w:iCs w:val="0"/>
                <w:sz w:val="21"/>
                <w:szCs w:val="21"/>
              </w:rPr>
            </w:pPr>
            <w:r>
              <w:rPr>
                <w:rFonts w:hint="eastAsia"/>
                <w:i w:val="0"/>
                <w:iCs w:val="0"/>
                <w:sz w:val="21"/>
                <w:szCs w:val="21"/>
              </w:rPr>
              <w:t>氨</w:t>
            </w:r>
          </w:p>
        </w:tc>
        <w:tc>
          <w:tcPr>
            <w:tcW w:w="498" w:type="pct"/>
            <w:noWrap w:val="0"/>
            <w:vAlign w:val="center"/>
          </w:tcPr>
          <w:p>
            <w:pPr>
              <w:adjustRightInd w:val="0"/>
              <w:snapToGrid w:val="0"/>
              <w:jc w:val="center"/>
              <w:rPr>
                <w:rFonts w:hint="eastAsia"/>
                <w:i w:val="0"/>
                <w:iCs w:val="0"/>
                <w:sz w:val="21"/>
                <w:szCs w:val="21"/>
              </w:rPr>
            </w:pPr>
            <w:r>
              <w:rPr>
                <w:rFonts w:hint="eastAsia"/>
                <w:i w:val="0"/>
                <w:iCs w:val="0"/>
                <w:sz w:val="21"/>
                <w:szCs w:val="21"/>
              </w:rPr>
              <w:t>1小时均值</w:t>
            </w:r>
          </w:p>
        </w:tc>
        <w:tc>
          <w:tcPr>
            <w:tcW w:w="659" w:type="pct"/>
            <w:noWrap w:val="0"/>
            <w:vAlign w:val="center"/>
          </w:tcPr>
          <w:p>
            <w:pPr>
              <w:adjustRightInd w:val="0"/>
              <w:snapToGrid w:val="0"/>
              <w:jc w:val="center"/>
              <w:rPr>
                <w:rFonts w:hint="eastAsia"/>
                <w:i w:val="0"/>
                <w:iCs w:val="0"/>
                <w:sz w:val="21"/>
                <w:szCs w:val="21"/>
              </w:rPr>
            </w:pPr>
            <w:r>
              <w:rPr>
                <w:rFonts w:hint="eastAsia"/>
                <w:i w:val="0"/>
                <w:iCs w:val="0"/>
                <w:sz w:val="21"/>
                <w:szCs w:val="21"/>
              </w:rPr>
              <w:t>200</w:t>
            </w:r>
          </w:p>
        </w:tc>
        <w:tc>
          <w:tcPr>
            <w:tcW w:w="979" w:type="pct"/>
            <w:noWrap w:val="0"/>
            <w:vAlign w:val="center"/>
          </w:tcPr>
          <w:p>
            <w:pPr>
              <w:adjustRightInd w:val="0"/>
              <w:snapToGrid w:val="0"/>
              <w:jc w:val="center"/>
              <w:rPr>
                <w:rFonts w:hint="eastAsia"/>
                <w:i w:val="0"/>
                <w:iCs w:val="0"/>
                <w:sz w:val="21"/>
                <w:szCs w:val="21"/>
              </w:rPr>
            </w:pPr>
            <w:r>
              <w:rPr>
                <w:rFonts w:hint="eastAsia"/>
                <w:i w:val="0"/>
                <w:iCs w:val="0"/>
                <w:sz w:val="21"/>
                <w:szCs w:val="21"/>
              </w:rPr>
              <w:t>&lt;0.01</w:t>
            </w:r>
          </w:p>
        </w:tc>
        <w:tc>
          <w:tcPr>
            <w:tcW w:w="712" w:type="pct"/>
            <w:noWrap w:val="0"/>
            <w:vAlign w:val="center"/>
          </w:tcPr>
          <w:p>
            <w:pPr>
              <w:adjustRightInd w:val="0"/>
              <w:snapToGrid w:val="0"/>
              <w:jc w:val="center"/>
              <w:rPr>
                <w:rFonts w:hint="eastAsia"/>
                <w:i w:val="0"/>
                <w:iCs w:val="0"/>
                <w:sz w:val="21"/>
                <w:szCs w:val="21"/>
              </w:rPr>
            </w:pPr>
            <w:r>
              <w:rPr>
                <w:rFonts w:hint="eastAsia"/>
                <w:i w:val="0"/>
                <w:iCs w:val="0"/>
                <w:sz w:val="21"/>
                <w:szCs w:val="21"/>
              </w:rPr>
              <w:t>--</w:t>
            </w:r>
          </w:p>
        </w:tc>
        <w:tc>
          <w:tcPr>
            <w:tcW w:w="623" w:type="pct"/>
            <w:noWrap w:val="0"/>
            <w:vAlign w:val="center"/>
          </w:tcPr>
          <w:p>
            <w:pPr>
              <w:adjustRightInd w:val="0"/>
              <w:snapToGrid w:val="0"/>
              <w:jc w:val="center"/>
              <w:rPr>
                <w:rFonts w:hint="eastAsia"/>
                <w:i w:val="0"/>
                <w:iCs w:val="0"/>
                <w:sz w:val="21"/>
                <w:szCs w:val="21"/>
              </w:rPr>
            </w:pPr>
            <w:r>
              <w:rPr>
                <w:rFonts w:hint="eastAsia"/>
                <w:i w:val="0"/>
                <w:iCs w:val="0"/>
                <w:sz w:val="21"/>
                <w:szCs w:val="21"/>
              </w:rPr>
              <w:t>--</w:t>
            </w:r>
          </w:p>
        </w:tc>
        <w:tc>
          <w:tcPr>
            <w:tcW w:w="446" w:type="pct"/>
            <w:noWrap w:val="0"/>
            <w:vAlign w:val="center"/>
          </w:tcPr>
          <w:p>
            <w:pPr>
              <w:adjustRightInd w:val="0"/>
              <w:snapToGrid w:val="0"/>
              <w:jc w:val="center"/>
              <w:rPr>
                <w:rFonts w:hint="eastAsia"/>
                <w:i w:val="0"/>
                <w:iCs w:val="0"/>
                <w:sz w:val="21"/>
                <w:szCs w:val="21"/>
              </w:rPr>
            </w:pPr>
            <w:r>
              <w:rPr>
                <w:rFonts w:hint="eastAsia"/>
                <w:i w:val="0"/>
                <w:iCs w:val="0"/>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pct"/>
            <w:vMerge w:val="continue"/>
            <w:noWrap w:val="0"/>
            <w:vAlign w:val="center"/>
          </w:tcPr>
          <w:p>
            <w:pPr>
              <w:adjustRightInd w:val="0"/>
              <w:snapToGrid w:val="0"/>
              <w:jc w:val="center"/>
              <w:rPr>
                <w:rFonts w:hint="eastAsia"/>
                <w:i w:val="0"/>
                <w:iCs w:val="0"/>
                <w:sz w:val="21"/>
                <w:szCs w:val="21"/>
              </w:rPr>
            </w:pPr>
          </w:p>
        </w:tc>
        <w:tc>
          <w:tcPr>
            <w:tcW w:w="623" w:type="pct"/>
            <w:noWrap w:val="0"/>
            <w:vAlign w:val="center"/>
          </w:tcPr>
          <w:p>
            <w:pPr>
              <w:adjustRightInd w:val="0"/>
              <w:snapToGrid w:val="0"/>
              <w:jc w:val="center"/>
              <w:rPr>
                <w:rFonts w:hint="eastAsia"/>
                <w:i w:val="0"/>
                <w:iCs w:val="0"/>
                <w:sz w:val="21"/>
                <w:szCs w:val="21"/>
              </w:rPr>
            </w:pPr>
            <w:r>
              <w:rPr>
                <w:rFonts w:hint="eastAsia"/>
                <w:i w:val="0"/>
                <w:iCs w:val="0"/>
                <w:sz w:val="21"/>
                <w:szCs w:val="21"/>
              </w:rPr>
              <w:t>硫化氢</w:t>
            </w:r>
          </w:p>
        </w:tc>
        <w:tc>
          <w:tcPr>
            <w:tcW w:w="498" w:type="pct"/>
            <w:noWrap w:val="0"/>
            <w:vAlign w:val="center"/>
          </w:tcPr>
          <w:p>
            <w:pPr>
              <w:adjustRightInd w:val="0"/>
              <w:snapToGrid w:val="0"/>
              <w:jc w:val="center"/>
              <w:rPr>
                <w:rFonts w:hint="eastAsia"/>
                <w:i w:val="0"/>
                <w:iCs w:val="0"/>
                <w:sz w:val="21"/>
                <w:szCs w:val="21"/>
              </w:rPr>
            </w:pPr>
            <w:r>
              <w:rPr>
                <w:rFonts w:hint="eastAsia"/>
                <w:i w:val="0"/>
                <w:iCs w:val="0"/>
                <w:sz w:val="21"/>
                <w:szCs w:val="21"/>
              </w:rPr>
              <w:t>1小时均值</w:t>
            </w:r>
          </w:p>
        </w:tc>
        <w:tc>
          <w:tcPr>
            <w:tcW w:w="659" w:type="pct"/>
            <w:noWrap w:val="0"/>
            <w:vAlign w:val="center"/>
          </w:tcPr>
          <w:p>
            <w:pPr>
              <w:adjustRightInd w:val="0"/>
              <w:snapToGrid w:val="0"/>
              <w:jc w:val="center"/>
              <w:rPr>
                <w:rFonts w:hint="eastAsia"/>
                <w:i w:val="0"/>
                <w:iCs w:val="0"/>
                <w:sz w:val="21"/>
                <w:szCs w:val="21"/>
              </w:rPr>
            </w:pPr>
            <w:r>
              <w:rPr>
                <w:rFonts w:hint="eastAsia"/>
                <w:i w:val="0"/>
                <w:iCs w:val="0"/>
                <w:sz w:val="21"/>
                <w:szCs w:val="21"/>
              </w:rPr>
              <w:t>10</w:t>
            </w:r>
          </w:p>
        </w:tc>
        <w:tc>
          <w:tcPr>
            <w:tcW w:w="979" w:type="pct"/>
            <w:noWrap w:val="0"/>
            <w:vAlign w:val="center"/>
          </w:tcPr>
          <w:p>
            <w:pPr>
              <w:adjustRightInd w:val="0"/>
              <w:snapToGrid w:val="0"/>
              <w:jc w:val="center"/>
              <w:rPr>
                <w:rFonts w:hint="eastAsia"/>
                <w:i w:val="0"/>
                <w:iCs w:val="0"/>
                <w:sz w:val="21"/>
                <w:szCs w:val="21"/>
              </w:rPr>
            </w:pPr>
            <w:r>
              <w:rPr>
                <w:rFonts w:hint="eastAsia"/>
                <w:i w:val="0"/>
                <w:iCs w:val="0"/>
                <w:sz w:val="21"/>
                <w:szCs w:val="21"/>
              </w:rPr>
              <w:t>&lt;0.001</w:t>
            </w:r>
          </w:p>
        </w:tc>
        <w:tc>
          <w:tcPr>
            <w:tcW w:w="712" w:type="pct"/>
            <w:noWrap w:val="0"/>
            <w:vAlign w:val="center"/>
          </w:tcPr>
          <w:p>
            <w:pPr>
              <w:adjustRightInd w:val="0"/>
              <w:snapToGrid w:val="0"/>
              <w:jc w:val="center"/>
              <w:rPr>
                <w:rFonts w:hint="eastAsia"/>
                <w:i w:val="0"/>
                <w:iCs w:val="0"/>
                <w:sz w:val="21"/>
                <w:szCs w:val="21"/>
              </w:rPr>
            </w:pPr>
            <w:r>
              <w:rPr>
                <w:rFonts w:hint="eastAsia"/>
                <w:i w:val="0"/>
                <w:iCs w:val="0"/>
                <w:sz w:val="21"/>
                <w:szCs w:val="21"/>
              </w:rPr>
              <w:t>--</w:t>
            </w:r>
          </w:p>
        </w:tc>
        <w:tc>
          <w:tcPr>
            <w:tcW w:w="623" w:type="pct"/>
            <w:noWrap w:val="0"/>
            <w:vAlign w:val="center"/>
          </w:tcPr>
          <w:p>
            <w:pPr>
              <w:adjustRightInd w:val="0"/>
              <w:snapToGrid w:val="0"/>
              <w:jc w:val="center"/>
              <w:rPr>
                <w:rFonts w:hint="eastAsia"/>
                <w:i w:val="0"/>
                <w:iCs w:val="0"/>
                <w:sz w:val="21"/>
                <w:szCs w:val="21"/>
              </w:rPr>
            </w:pPr>
            <w:r>
              <w:rPr>
                <w:rFonts w:hint="eastAsia"/>
                <w:i w:val="0"/>
                <w:iCs w:val="0"/>
                <w:sz w:val="21"/>
                <w:szCs w:val="21"/>
              </w:rPr>
              <w:t>--</w:t>
            </w:r>
          </w:p>
        </w:tc>
        <w:tc>
          <w:tcPr>
            <w:tcW w:w="446" w:type="pct"/>
            <w:noWrap w:val="0"/>
            <w:vAlign w:val="center"/>
          </w:tcPr>
          <w:p>
            <w:pPr>
              <w:adjustRightInd w:val="0"/>
              <w:snapToGrid w:val="0"/>
              <w:jc w:val="center"/>
              <w:rPr>
                <w:rFonts w:hint="eastAsia"/>
                <w:i w:val="0"/>
                <w:iCs w:val="0"/>
                <w:sz w:val="21"/>
                <w:szCs w:val="21"/>
              </w:rPr>
            </w:pPr>
            <w:r>
              <w:rPr>
                <w:rFonts w:hint="eastAsia"/>
                <w:i w:val="0"/>
                <w:iCs w:val="0"/>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Merge w:val="continue"/>
            <w:noWrap w:val="0"/>
            <w:vAlign w:val="center"/>
          </w:tcPr>
          <w:p>
            <w:pPr>
              <w:adjustRightInd w:val="0"/>
              <w:snapToGrid w:val="0"/>
              <w:jc w:val="center"/>
              <w:rPr>
                <w:rFonts w:hint="eastAsia"/>
                <w:i w:val="0"/>
                <w:iCs w:val="0"/>
                <w:sz w:val="21"/>
                <w:szCs w:val="21"/>
              </w:rPr>
            </w:pPr>
          </w:p>
        </w:tc>
        <w:tc>
          <w:tcPr>
            <w:tcW w:w="623" w:type="pct"/>
            <w:noWrap w:val="0"/>
            <w:vAlign w:val="center"/>
          </w:tcPr>
          <w:p>
            <w:pPr>
              <w:adjustRightInd w:val="0"/>
              <w:snapToGrid w:val="0"/>
              <w:jc w:val="center"/>
              <w:rPr>
                <w:rFonts w:hint="eastAsia"/>
                <w:i w:val="0"/>
                <w:iCs w:val="0"/>
                <w:sz w:val="21"/>
                <w:szCs w:val="21"/>
              </w:rPr>
            </w:pPr>
            <w:r>
              <w:rPr>
                <w:rFonts w:hint="eastAsia"/>
                <w:i w:val="0"/>
                <w:iCs w:val="0"/>
                <w:sz w:val="21"/>
                <w:szCs w:val="21"/>
              </w:rPr>
              <w:t>臭气浓度</w:t>
            </w:r>
          </w:p>
        </w:tc>
        <w:tc>
          <w:tcPr>
            <w:tcW w:w="498" w:type="pct"/>
            <w:noWrap w:val="0"/>
            <w:vAlign w:val="center"/>
          </w:tcPr>
          <w:p>
            <w:pPr>
              <w:adjustRightInd w:val="0"/>
              <w:snapToGrid w:val="0"/>
              <w:jc w:val="center"/>
              <w:rPr>
                <w:rFonts w:hint="eastAsia"/>
                <w:i w:val="0"/>
                <w:iCs w:val="0"/>
                <w:sz w:val="21"/>
                <w:szCs w:val="21"/>
              </w:rPr>
            </w:pPr>
            <w:r>
              <w:rPr>
                <w:rFonts w:hint="eastAsia"/>
                <w:i w:val="0"/>
                <w:iCs w:val="0"/>
                <w:sz w:val="21"/>
                <w:szCs w:val="21"/>
              </w:rPr>
              <w:t>一次值</w:t>
            </w:r>
          </w:p>
        </w:tc>
        <w:tc>
          <w:tcPr>
            <w:tcW w:w="659" w:type="pct"/>
            <w:noWrap w:val="0"/>
            <w:vAlign w:val="center"/>
          </w:tcPr>
          <w:p>
            <w:pPr>
              <w:adjustRightInd w:val="0"/>
              <w:snapToGrid w:val="0"/>
              <w:jc w:val="center"/>
              <w:rPr>
                <w:rFonts w:hint="eastAsia"/>
                <w:i w:val="0"/>
                <w:iCs w:val="0"/>
                <w:sz w:val="21"/>
                <w:szCs w:val="21"/>
              </w:rPr>
            </w:pPr>
            <w:r>
              <w:rPr>
                <w:rFonts w:hint="eastAsia"/>
                <w:i w:val="0"/>
                <w:iCs w:val="0"/>
                <w:sz w:val="21"/>
                <w:szCs w:val="21"/>
              </w:rPr>
              <w:t>-</w:t>
            </w:r>
          </w:p>
        </w:tc>
        <w:tc>
          <w:tcPr>
            <w:tcW w:w="979" w:type="pct"/>
            <w:noWrap w:val="0"/>
            <w:vAlign w:val="center"/>
          </w:tcPr>
          <w:p>
            <w:pPr>
              <w:adjustRightInd w:val="0"/>
              <w:snapToGrid w:val="0"/>
              <w:jc w:val="center"/>
              <w:rPr>
                <w:rFonts w:hint="eastAsia"/>
                <w:i w:val="0"/>
                <w:iCs w:val="0"/>
                <w:sz w:val="21"/>
                <w:szCs w:val="21"/>
              </w:rPr>
            </w:pPr>
            <w:r>
              <w:rPr>
                <w:rFonts w:hint="eastAsia"/>
                <w:i w:val="0"/>
                <w:iCs w:val="0"/>
                <w:sz w:val="21"/>
                <w:szCs w:val="21"/>
              </w:rPr>
              <w:t>&lt;10</w:t>
            </w:r>
          </w:p>
        </w:tc>
        <w:tc>
          <w:tcPr>
            <w:tcW w:w="712" w:type="pct"/>
            <w:noWrap w:val="0"/>
            <w:vAlign w:val="center"/>
          </w:tcPr>
          <w:p>
            <w:pPr>
              <w:adjustRightInd w:val="0"/>
              <w:snapToGrid w:val="0"/>
              <w:jc w:val="center"/>
              <w:rPr>
                <w:rFonts w:hint="eastAsia"/>
                <w:i w:val="0"/>
                <w:iCs w:val="0"/>
                <w:sz w:val="21"/>
                <w:szCs w:val="21"/>
              </w:rPr>
            </w:pPr>
            <w:r>
              <w:rPr>
                <w:rFonts w:hint="eastAsia"/>
                <w:i w:val="0"/>
                <w:iCs w:val="0"/>
                <w:sz w:val="21"/>
                <w:szCs w:val="21"/>
              </w:rPr>
              <w:t>--</w:t>
            </w:r>
          </w:p>
        </w:tc>
        <w:tc>
          <w:tcPr>
            <w:tcW w:w="623" w:type="pct"/>
            <w:noWrap w:val="0"/>
            <w:vAlign w:val="center"/>
          </w:tcPr>
          <w:p>
            <w:pPr>
              <w:adjustRightInd w:val="0"/>
              <w:snapToGrid w:val="0"/>
              <w:jc w:val="center"/>
              <w:rPr>
                <w:rFonts w:hint="eastAsia"/>
                <w:i w:val="0"/>
                <w:iCs w:val="0"/>
                <w:sz w:val="21"/>
                <w:szCs w:val="21"/>
              </w:rPr>
            </w:pPr>
            <w:r>
              <w:rPr>
                <w:rFonts w:hint="eastAsia"/>
                <w:i w:val="0"/>
                <w:iCs w:val="0"/>
                <w:sz w:val="21"/>
                <w:szCs w:val="21"/>
              </w:rPr>
              <w:t>--</w:t>
            </w:r>
          </w:p>
        </w:tc>
        <w:tc>
          <w:tcPr>
            <w:tcW w:w="446" w:type="pct"/>
            <w:noWrap w:val="0"/>
            <w:vAlign w:val="center"/>
          </w:tcPr>
          <w:p>
            <w:pPr>
              <w:adjustRightInd w:val="0"/>
              <w:snapToGrid w:val="0"/>
              <w:jc w:val="center"/>
              <w:rPr>
                <w:rFonts w:hint="eastAsia"/>
                <w:i w:val="0"/>
                <w:iCs w:val="0"/>
                <w:sz w:val="21"/>
                <w:szCs w:val="21"/>
              </w:rPr>
            </w:pPr>
            <w:r>
              <w:rPr>
                <w:rFonts w:hint="eastAsia"/>
                <w:i w:val="0"/>
                <w:iCs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Merge w:val="restart"/>
            <w:noWrap w:val="0"/>
            <w:vAlign w:val="center"/>
          </w:tcPr>
          <w:p>
            <w:pPr>
              <w:adjustRightInd w:val="0"/>
              <w:snapToGrid w:val="0"/>
              <w:jc w:val="center"/>
              <w:rPr>
                <w:rFonts w:hint="eastAsia"/>
                <w:i w:val="0"/>
                <w:iCs w:val="0"/>
                <w:sz w:val="21"/>
                <w:szCs w:val="21"/>
              </w:rPr>
            </w:pPr>
            <w:r>
              <w:rPr>
                <w:rFonts w:hint="eastAsia"/>
                <w:i w:val="0"/>
                <w:iCs w:val="0"/>
                <w:sz w:val="21"/>
                <w:szCs w:val="21"/>
              </w:rPr>
              <w:t>项目东北侧</w:t>
            </w:r>
            <w:r>
              <w:rPr>
                <w:rFonts w:hint="eastAsia"/>
                <w:i w:val="0"/>
                <w:iCs w:val="0"/>
                <w:sz w:val="21"/>
                <w:szCs w:val="21"/>
                <w:lang w:val="en-US" w:eastAsia="zh-CN"/>
              </w:rPr>
              <w:t>4750</w:t>
            </w:r>
            <w:r>
              <w:rPr>
                <w:rFonts w:hint="eastAsia"/>
                <w:i w:val="0"/>
                <w:iCs w:val="0"/>
                <w:sz w:val="21"/>
                <w:szCs w:val="21"/>
              </w:rPr>
              <w:t>m处</w:t>
            </w:r>
          </w:p>
        </w:tc>
        <w:tc>
          <w:tcPr>
            <w:tcW w:w="623" w:type="pct"/>
            <w:vMerge w:val="restart"/>
            <w:noWrap w:val="0"/>
            <w:vAlign w:val="center"/>
          </w:tcPr>
          <w:p>
            <w:pPr>
              <w:adjustRightInd w:val="0"/>
              <w:snapToGrid w:val="0"/>
              <w:jc w:val="center"/>
              <w:rPr>
                <w:rFonts w:hint="eastAsia" w:eastAsia="宋体"/>
                <w:i w:val="0"/>
                <w:iCs w:val="0"/>
                <w:sz w:val="21"/>
                <w:szCs w:val="21"/>
                <w:lang w:eastAsia="zh-CN"/>
              </w:rPr>
            </w:pPr>
            <w:r>
              <w:rPr>
                <w:rFonts w:hint="eastAsia"/>
                <w:i w:val="0"/>
                <w:iCs w:val="0"/>
                <w:sz w:val="21"/>
                <w:szCs w:val="21"/>
                <w:lang w:eastAsia="zh-CN"/>
              </w:rPr>
              <w:t>氮氧化物</w:t>
            </w:r>
          </w:p>
        </w:tc>
        <w:tc>
          <w:tcPr>
            <w:tcW w:w="498" w:type="pct"/>
            <w:noWrap w:val="0"/>
            <w:vAlign w:val="center"/>
          </w:tcPr>
          <w:p>
            <w:pPr>
              <w:adjustRightInd w:val="0"/>
              <w:snapToGrid w:val="0"/>
              <w:jc w:val="center"/>
              <w:rPr>
                <w:rFonts w:hint="eastAsia"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t>24小时</w:t>
            </w:r>
          </w:p>
        </w:tc>
        <w:tc>
          <w:tcPr>
            <w:tcW w:w="659" w:type="pct"/>
            <w:noWrap w:val="0"/>
            <w:vAlign w:val="center"/>
          </w:tcPr>
          <w:p>
            <w:pPr>
              <w:adjustRightInd w:val="0"/>
              <w:snapToGrid w:val="0"/>
              <w:jc w:val="center"/>
              <w:rPr>
                <w:rFonts w:hint="default" w:eastAsia="宋体"/>
                <w:i w:val="0"/>
                <w:iCs w:val="0"/>
                <w:sz w:val="21"/>
                <w:szCs w:val="21"/>
                <w:lang w:val="en-US" w:eastAsia="zh-CN"/>
              </w:rPr>
            </w:pPr>
            <w:r>
              <w:rPr>
                <w:rFonts w:hint="eastAsia"/>
                <w:i w:val="0"/>
                <w:iCs w:val="0"/>
                <w:sz w:val="21"/>
                <w:szCs w:val="21"/>
                <w:lang w:val="en-US" w:eastAsia="zh-CN"/>
              </w:rPr>
              <w:t>100</w:t>
            </w:r>
          </w:p>
        </w:tc>
        <w:tc>
          <w:tcPr>
            <w:tcW w:w="1818" w:type="dxa"/>
            <w:noWrap w:val="0"/>
            <w:vAlign w:val="center"/>
          </w:tcPr>
          <w:p>
            <w:pPr>
              <w:adjustRightInd w:val="0"/>
              <w:snapToGrid w:val="0"/>
              <w:jc w:val="center"/>
              <w:rPr>
                <w:rFonts w:hint="default" w:ascii="Times New Roman" w:hAnsi="Times New Roman" w:eastAsia="宋体" w:cs="Times New Roman"/>
                <w:i w:val="0"/>
                <w:iCs w:val="0"/>
                <w:sz w:val="21"/>
                <w:szCs w:val="21"/>
                <w:lang w:val="en-US"/>
              </w:rPr>
            </w:pPr>
            <w:r>
              <w:rPr>
                <w:rFonts w:hint="eastAsia" w:ascii="Times New Roman" w:hAnsi="Times New Roman" w:eastAsia="宋体" w:cs="Times New Roman"/>
                <w:i w:val="0"/>
                <w:iCs w:val="0"/>
                <w:sz w:val="21"/>
                <w:szCs w:val="21"/>
                <w:lang w:val="en-US" w:eastAsia="zh-CN"/>
              </w:rPr>
              <w:t>52</w:t>
            </w:r>
          </w:p>
        </w:tc>
        <w:tc>
          <w:tcPr>
            <w:tcW w:w="712" w:type="pct"/>
            <w:noWrap w:val="0"/>
            <w:vAlign w:val="center"/>
          </w:tcPr>
          <w:p>
            <w:pPr>
              <w:adjustRightInd w:val="0"/>
              <w:snapToGrid w:val="0"/>
              <w:jc w:val="center"/>
              <w:rPr>
                <w:rFonts w:hint="default" w:eastAsia="宋体"/>
                <w:i w:val="0"/>
                <w:iCs w:val="0"/>
                <w:sz w:val="21"/>
                <w:szCs w:val="21"/>
                <w:lang w:val="en-US" w:eastAsia="zh-CN"/>
              </w:rPr>
            </w:pPr>
            <w:r>
              <w:rPr>
                <w:rFonts w:hint="eastAsia"/>
                <w:i w:val="0"/>
                <w:iCs w:val="0"/>
                <w:sz w:val="21"/>
                <w:szCs w:val="21"/>
                <w:lang w:val="en-US" w:eastAsia="zh-CN"/>
              </w:rPr>
              <w:t>52</w:t>
            </w:r>
          </w:p>
        </w:tc>
        <w:tc>
          <w:tcPr>
            <w:tcW w:w="1157" w:type="dxa"/>
            <w:noWrap w:val="0"/>
            <w:vAlign w:val="center"/>
          </w:tcPr>
          <w:p>
            <w:pPr>
              <w:adjustRightInd w:val="0"/>
              <w:snapToGrid w:val="0"/>
              <w:jc w:val="center"/>
              <w:rPr>
                <w:rFonts w:hint="eastAsia"/>
                <w:i w:val="0"/>
                <w:iCs w:val="0"/>
                <w:sz w:val="21"/>
                <w:szCs w:val="21"/>
              </w:rPr>
            </w:pPr>
            <w:r>
              <w:rPr>
                <w:rFonts w:hint="eastAsia"/>
                <w:i w:val="0"/>
                <w:iCs w:val="0"/>
                <w:sz w:val="21"/>
                <w:szCs w:val="21"/>
              </w:rPr>
              <w:t>0</w:t>
            </w:r>
          </w:p>
        </w:tc>
        <w:tc>
          <w:tcPr>
            <w:tcW w:w="828" w:type="dxa"/>
            <w:noWrap w:val="0"/>
            <w:vAlign w:val="center"/>
          </w:tcPr>
          <w:p>
            <w:pPr>
              <w:adjustRightInd w:val="0"/>
              <w:snapToGrid w:val="0"/>
              <w:jc w:val="center"/>
              <w:rPr>
                <w:rFonts w:hint="eastAsia"/>
                <w:i w:val="0"/>
                <w:iCs w:val="0"/>
                <w:sz w:val="21"/>
                <w:szCs w:val="21"/>
              </w:rPr>
            </w:pPr>
            <w:r>
              <w:rPr>
                <w:rFonts w:hint="eastAsia"/>
                <w:i w:val="0"/>
                <w:iCs w:val="0"/>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Merge w:val="continue"/>
            <w:noWrap w:val="0"/>
            <w:vAlign w:val="center"/>
          </w:tcPr>
          <w:p>
            <w:pPr>
              <w:adjustRightInd w:val="0"/>
              <w:snapToGrid w:val="0"/>
              <w:jc w:val="center"/>
              <w:rPr>
                <w:rFonts w:hint="eastAsia"/>
                <w:i w:val="0"/>
                <w:iCs w:val="0"/>
                <w:sz w:val="21"/>
                <w:szCs w:val="21"/>
              </w:rPr>
            </w:pPr>
          </w:p>
        </w:tc>
        <w:tc>
          <w:tcPr>
            <w:tcW w:w="623" w:type="pct"/>
            <w:vMerge w:val="continue"/>
            <w:noWrap w:val="0"/>
            <w:vAlign w:val="center"/>
          </w:tcPr>
          <w:p>
            <w:pPr>
              <w:adjustRightInd w:val="0"/>
              <w:snapToGrid w:val="0"/>
              <w:jc w:val="center"/>
              <w:rPr>
                <w:rFonts w:hint="eastAsia"/>
                <w:i w:val="0"/>
                <w:iCs w:val="0"/>
                <w:sz w:val="21"/>
                <w:szCs w:val="21"/>
              </w:rPr>
            </w:pPr>
          </w:p>
        </w:tc>
        <w:tc>
          <w:tcPr>
            <w:tcW w:w="498" w:type="pct"/>
            <w:noWrap w:val="0"/>
            <w:vAlign w:val="center"/>
          </w:tcPr>
          <w:p>
            <w:pPr>
              <w:adjustRightInd w:val="0"/>
              <w:snapToGrid w:val="0"/>
              <w:jc w:val="center"/>
              <w:rPr>
                <w:rFonts w:hint="eastAsia"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rPr>
              <w:t>1小时均值</w:t>
            </w:r>
          </w:p>
        </w:tc>
        <w:tc>
          <w:tcPr>
            <w:tcW w:w="659" w:type="pct"/>
            <w:noWrap w:val="0"/>
            <w:vAlign w:val="center"/>
          </w:tcPr>
          <w:p>
            <w:pPr>
              <w:adjustRightInd w:val="0"/>
              <w:snapToGrid w:val="0"/>
              <w:jc w:val="center"/>
              <w:rPr>
                <w:rFonts w:hint="default" w:eastAsia="宋体"/>
                <w:i w:val="0"/>
                <w:iCs w:val="0"/>
                <w:sz w:val="21"/>
                <w:szCs w:val="21"/>
                <w:lang w:val="en-US" w:eastAsia="zh-CN"/>
              </w:rPr>
            </w:pPr>
            <w:r>
              <w:rPr>
                <w:rFonts w:hint="eastAsia"/>
                <w:i w:val="0"/>
                <w:iCs w:val="0"/>
                <w:sz w:val="21"/>
                <w:szCs w:val="21"/>
                <w:lang w:val="en-US" w:eastAsia="zh-CN"/>
              </w:rPr>
              <w:t>250</w:t>
            </w:r>
          </w:p>
        </w:tc>
        <w:tc>
          <w:tcPr>
            <w:tcW w:w="1818" w:type="dxa"/>
            <w:noWrap w:val="0"/>
            <w:vAlign w:val="center"/>
          </w:tcPr>
          <w:p>
            <w:pPr>
              <w:adjustRightInd w:val="0"/>
              <w:snapToGrid w:val="0"/>
              <w:jc w:val="center"/>
              <w:rPr>
                <w:rFonts w:hint="default" w:ascii="Times New Roman" w:hAnsi="Times New Roman" w:eastAsia="宋体" w:cs="Times New Roman"/>
                <w:i w:val="0"/>
                <w:iCs w:val="0"/>
                <w:sz w:val="21"/>
                <w:szCs w:val="21"/>
                <w:lang w:val="en-US" w:eastAsia="zh-CN"/>
              </w:rPr>
            </w:pPr>
            <w:r>
              <w:rPr>
                <w:rFonts w:hint="eastAsia" w:ascii="Times New Roman" w:hAnsi="Times New Roman" w:eastAsia="宋体" w:cs="Times New Roman"/>
                <w:i w:val="0"/>
                <w:iCs w:val="0"/>
                <w:sz w:val="21"/>
                <w:szCs w:val="21"/>
                <w:lang w:val="en-US" w:eastAsia="zh-CN"/>
              </w:rPr>
              <w:t>83</w:t>
            </w:r>
          </w:p>
        </w:tc>
        <w:tc>
          <w:tcPr>
            <w:tcW w:w="712" w:type="pct"/>
            <w:noWrap w:val="0"/>
            <w:vAlign w:val="center"/>
          </w:tcPr>
          <w:p>
            <w:pPr>
              <w:adjustRightInd w:val="0"/>
              <w:snapToGrid w:val="0"/>
              <w:jc w:val="center"/>
              <w:rPr>
                <w:rFonts w:hint="default" w:eastAsia="宋体"/>
                <w:i w:val="0"/>
                <w:iCs w:val="0"/>
                <w:sz w:val="21"/>
                <w:szCs w:val="21"/>
                <w:lang w:val="en-US" w:eastAsia="zh-CN"/>
              </w:rPr>
            </w:pPr>
            <w:r>
              <w:rPr>
                <w:rFonts w:hint="eastAsia"/>
                <w:i w:val="0"/>
                <w:iCs w:val="0"/>
                <w:sz w:val="21"/>
                <w:szCs w:val="21"/>
                <w:lang w:val="en-US" w:eastAsia="zh-CN"/>
              </w:rPr>
              <w:t>33.2</w:t>
            </w:r>
          </w:p>
        </w:tc>
        <w:tc>
          <w:tcPr>
            <w:tcW w:w="1157" w:type="dxa"/>
            <w:noWrap w:val="0"/>
            <w:vAlign w:val="center"/>
          </w:tcPr>
          <w:p>
            <w:pPr>
              <w:adjustRightInd w:val="0"/>
              <w:snapToGrid w:val="0"/>
              <w:jc w:val="center"/>
              <w:rPr>
                <w:rFonts w:hint="eastAsia"/>
                <w:i w:val="0"/>
                <w:iCs w:val="0"/>
                <w:sz w:val="21"/>
                <w:szCs w:val="21"/>
              </w:rPr>
            </w:pPr>
            <w:r>
              <w:rPr>
                <w:rFonts w:hint="eastAsia"/>
                <w:i w:val="0"/>
                <w:iCs w:val="0"/>
                <w:sz w:val="21"/>
                <w:szCs w:val="21"/>
              </w:rPr>
              <w:t>0</w:t>
            </w:r>
          </w:p>
        </w:tc>
        <w:tc>
          <w:tcPr>
            <w:tcW w:w="828" w:type="dxa"/>
            <w:noWrap w:val="0"/>
            <w:vAlign w:val="center"/>
          </w:tcPr>
          <w:p>
            <w:pPr>
              <w:adjustRightInd w:val="0"/>
              <w:snapToGrid w:val="0"/>
              <w:jc w:val="center"/>
              <w:rPr>
                <w:rFonts w:hint="eastAsia"/>
                <w:i w:val="0"/>
                <w:iCs w:val="0"/>
                <w:sz w:val="21"/>
                <w:szCs w:val="21"/>
              </w:rPr>
            </w:pPr>
            <w:r>
              <w:rPr>
                <w:rFonts w:hint="eastAsia"/>
                <w:i w:val="0"/>
                <w:iCs w:val="0"/>
                <w:sz w:val="21"/>
                <w:szCs w:val="21"/>
              </w:rPr>
              <w:t>达标</w:t>
            </w:r>
          </w:p>
        </w:tc>
      </w:tr>
    </w:tbl>
    <w:p>
      <w:pPr>
        <w:tabs>
          <w:tab w:val="right" w:pos="4628"/>
        </w:tabs>
        <w:spacing w:line="360" w:lineRule="auto"/>
        <w:ind w:firstLine="480" w:firstLineChars="200"/>
        <w:rPr>
          <w:rFonts w:hint="eastAsia"/>
          <w:i w:val="0"/>
          <w:iCs w:val="0"/>
        </w:rPr>
      </w:pPr>
      <w:r>
        <w:rPr>
          <w:i w:val="0"/>
          <w:iCs w:val="0"/>
        </w:rPr>
        <w:t>由表分析，</w:t>
      </w:r>
      <w:r>
        <w:rPr>
          <w:bCs/>
          <w:i w:val="0"/>
          <w:iCs w:val="0"/>
        </w:rPr>
        <w:t>特征污染物NH</w:t>
      </w:r>
      <w:r>
        <w:rPr>
          <w:bCs/>
          <w:i w:val="0"/>
          <w:iCs w:val="0"/>
          <w:vertAlign w:val="subscript"/>
        </w:rPr>
        <w:t>3</w:t>
      </w:r>
      <w:r>
        <w:rPr>
          <w:bCs/>
          <w:i w:val="0"/>
          <w:iCs w:val="0"/>
        </w:rPr>
        <w:t>、H</w:t>
      </w:r>
      <w:r>
        <w:rPr>
          <w:bCs/>
          <w:i w:val="0"/>
          <w:iCs w:val="0"/>
          <w:vertAlign w:val="subscript"/>
        </w:rPr>
        <w:t>2</w:t>
      </w:r>
      <w:r>
        <w:rPr>
          <w:bCs/>
          <w:i w:val="0"/>
          <w:iCs w:val="0"/>
        </w:rPr>
        <w:t>S均满足</w:t>
      </w:r>
      <w:r>
        <w:rPr>
          <w:i w:val="0"/>
          <w:iCs w:val="0"/>
        </w:rPr>
        <w:t>《环境影响评价技术导则大气环境》（HJ2.2-2018）附录D其他污染物空气质量浓度参考限值</w:t>
      </w:r>
      <w:r>
        <w:rPr>
          <w:rFonts w:hint="eastAsia"/>
          <w:bCs/>
          <w:i w:val="0"/>
          <w:iCs w:val="0"/>
        </w:rPr>
        <w:t>，非甲烷总烃满足《大气污染物综合排放标准详解》中排放限值要求，TSP</w:t>
      </w:r>
      <w:r>
        <w:rPr>
          <w:rFonts w:hint="eastAsia"/>
          <w:bCs/>
          <w:i w:val="0"/>
          <w:iCs w:val="0"/>
          <w:lang w:eastAsia="zh-CN"/>
        </w:rPr>
        <w:t>、氮氧化物</w:t>
      </w:r>
      <w:r>
        <w:rPr>
          <w:rFonts w:hint="eastAsia"/>
          <w:bCs/>
          <w:i w:val="0"/>
          <w:iCs w:val="0"/>
        </w:rPr>
        <w:t>满足《环境空气质量标准》（GB3095-2012）二级标准要求。</w:t>
      </w:r>
    </w:p>
    <w:p>
      <w:pPr>
        <w:tabs>
          <w:tab w:val="right" w:pos="4628"/>
        </w:tabs>
        <w:spacing w:line="360" w:lineRule="auto"/>
        <w:ind w:firstLine="480" w:firstLineChars="200"/>
        <w:rPr>
          <w:i w:val="0"/>
          <w:iCs w:val="0"/>
        </w:rPr>
      </w:pPr>
      <w:r>
        <w:rPr>
          <w:rFonts w:hint="eastAsia"/>
          <w:i w:val="0"/>
          <w:iCs w:val="0"/>
        </w:rPr>
        <w:t>4</w:t>
      </w:r>
      <w:r>
        <w:rPr>
          <w:i w:val="0"/>
          <w:iCs w:val="0"/>
        </w:rPr>
        <w:t>.</w:t>
      </w:r>
      <w:r>
        <w:rPr>
          <w:rFonts w:hint="eastAsia"/>
          <w:i w:val="0"/>
          <w:iCs w:val="0"/>
        </w:rPr>
        <w:t>2</w:t>
      </w:r>
      <w:r>
        <w:rPr>
          <w:i w:val="0"/>
          <w:iCs w:val="0"/>
        </w:rPr>
        <w:t>.3声环境质量现状监测与评价</w:t>
      </w:r>
    </w:p>
    <w:p>
      <w:pPr>
        <w:pStyle w:val="24"/>
        <w:spacing w:line="360" w:lineRule="auto"/>
        <w:ind w:firstLine="480" w:firstLineChars="200"/>
        <w:jc w:val="left"/>
        <w:rPr>
          <w:bCs/>
          <w:i w:val="0"/>
          <w:iCs w:val="0"/>
        </w:rPr>
      </w:pPr>
      <w:r>
        <w:rPr>
          <w:rFonts w:hint="eastAsia"/>
          <w:i w:val="0"/>
          <w:iCs w:val="0"/>
        </w:rPr>
        <w:t>本项目位于白山市江源工业经济开发区人参生命科技产业园，</w:t>
      </w:r>
      <w:r>
        <w:rPr>
          <w:i w:val="0"/>
          <w:iCs w:val="0"/>
        </w:rPr>
        <w:t>属于声环境质量</w:t>
      </w:r>
      <w:r>
        <w:rPr>
          <w:rFonts w:hint="eastAsia"/>
          <w:i w:val="0"/>
          <w:iCs w:val="0"/>
          <w:lang w:val="en-US" w:eastAsia="zh-CN"/>
        </w:rPr>
        <w:t>2</w:t>
      </w:r>
      <w:r>
        <w:rPr>
          <w:i w:val="0"/>
          <w:iCs w:val="0"/>
        </w:rPr>
        <w:t>类区</w:t>
      </w:r>
      <w:r>
        <w:rPr>
          <w:bCs/>
          <w:i w:val="0"/>
          <w:iCs w:val="0"/>
        </w:rPr>
        <w:t>，</w:t>
      </w:r>
      <w:r>
        <w:rPr>
          <w:rFonts w:hint="eastAsia"/>
          <w:bCs/>
          <w:i w:val="0"/>
          <w:iCs w:val="0"/>
        </w:rPr>
        <w:t>厂界四周</w:t>
      </w:r>
      <w:r>
        <w:rPr>
          <w:bCs/>
          <w:i w:val="0"/>
          <w:iCs w:val="0"/>
        </w:rPr>
        <w:t>执行《声环境质量标准》(GB3096-2008)中的</w:t>
      </w:r>
      <w:r>
        <w:rPr>
          <w:rFonts w:hint="eastAsia"/>
          <w:bCs/>
          <w:i w:val="0"/>
          <w:iCs w:val="0"/>
          <w:lang w:val="en-US" w:eastAsia="zh-CN"/>
        </w:rPr>
        <w:t>2</w:t>
      </w:r>
      <w:r>
        <w:rPr>
          <w:bCs/>
          <w:i w:val="0"/>
          <w:iCs w:val="0"/>
        </w:rPr>
        <w:t>类声环境功能区</w:t>
      </w:r>
      <w:r>
        <w:rPr>
          <w:rFonts w:hint="eastAsia"/>
          <w:bCs/>
          <w:i w:val="0"/>
          <w:iCs w:val="0"/>
        </w:rPr>
        <w:t>标准，周围环境敏感点执行</w:t>
      </w:r>
      <w:r>
        <w:rPr>
          <w:bCs/>
          <w:i w:val="0"/>
          <w:iCs w:val="0"/>
        </w:rPr>
        <w:t>《声环境质量标准》(GB3096-2008)中的</w:t>
      </w:r>
      <w:r>
        <w:rPr>
          <w:rFonts w:hint="eastAsia"/>
          <w:bCs/>
          <w:i w:val="0"/>
          <w:iCs w:val="0"/>
          <w:lang w:val="en-US" w:eastAsia="zh-CN"/>
        </w:rPr>
        <w:t>2</w:t>
      </w:r>
      <w:r>
        <w:rPr>
          <w:bCs/>
          <w:i w:val="0"/>
          <w:iCs w:val="0"/>
        </w:rPr>
        <w:t>类声环境功能区</w:t>
      </w:r>
      <w:r>
        <w:rPr>
          <w:rFonts w:hint="eastAsia"/>
          <w:bCs/>
          <w:i w:val="0"/>
          <w:iCs w:val="0"/>
        </w:rPr>
        <w:t>标准</w:t>
      </w:r>
      <w:r>
        <w:rPr>
          <w:bCs/>
          <w:i w:val="0"/>
          <w:iCs w:val="0"/>
        </w:rPr>
        <w:t>。</w:t>
      </w:r>
    </w:p>
    <w:p>
      <w:pPr>
        <w:pStyle w:val="24"/>
        <w:spacing w:line="360" w:lineRule="auto"/>
        <w:ind w:firstLine="480" w:firstLineChars="200"/>
        <w:jc w:val="left"/>
        <w:rPr>
          <w:bCs/>
          <w:i w:val="0"/>
          <w:iCs w:val="0"/>
        </w:rPr>
      </w:pPr>
      <w:r>
        <w:rPr>
          <w:bCs/>
          <w:i w:val="0"/>
          <w:iCs w:val="0"/>
        </w:rPr>
        <w:t>1、监测点布设</w:t>
      </w:r>
    </w:p>
    <w:p>
      <w:pPr>
        <w:tabs>
          <w:tab w:val="right" w:pos="4628"/>
        </w:tabs>
        <w:spacing w:line="360" w:lineRule="auto"/>
        <w:ind w:firstLine="482"/>
        <w:rPr>
          <w:i w:val="0"/>
          <w:iCs w:val="0"/>
        </w:rPr>
      </w:pPr>
      <w:r>
        <w:rPr>
          <w:i w:val="0"/>
          <w:iCs w:val="0"/>
        </w:rPr>
        <w:t>根据本项目所在地现状，项目厂界东侧、西侧、南侧、北侧边界外1m处</w:t>
      </w:r>
      <w:r>
        <w:rPr>
          <w:rFonts w:hint="eastAsia"/>
          <w:i w:val="0"/>
          <w:iCs w:val="0"/>
        </w:rPr>
        <w:t>、厂界</w:t>
      </w:r>
      <w:r>
        <w:rPr>
          <w:i w:val="0"/>
          <w:iCs w:val="0"/>
        </w:rPr>
        <w:t>西侧最近居民窗外1m</w:t>
      </w:r>
      <w:r>
        <w:rPr>
          <w:rFonts w:hint="eastAsia"/>
          <w:i w:val="0"/>
          <w:iCs w:val="0"/>
        </w:rPr>
        <w:t>，监测点位见</w:t>
      </w:r>
      <w:r>
        <w:rPr>
          <w:i w:val="0"/>
          <w:iCs w:val="0"/>
          <w:kern w:val="0"/>
        </w:rPr>
        <w:t>图</w:t>
      </w:r>
      <w:r>
        <w:rPr>
          <w:rFonts w:hint="eastAsia"/>
          <w:i w:val="0"/>
          <w:iCs w:val="0"/>
          <w:kern w:val="0"/>
        </w:rPr>
        <w:t>4-</w:t>
      </w:r>
      <w:r>
        <w:rPr>
          <w:rFonts w:hint="eastAsia"/>
          <w:i w:val="0"/>
          <w:iCs w:val="0"/>
          <w:kern w:val="0"/>
          <w:lang w:val="en-US" w:eastAsia="zh-CN"/>
        </w:rPr>
        <w:t>3</w:t>
      </w:r>
      <w:r>
        <w:rPr>
          <w:i w:val="0"/>
          <w:iCs w:val="0"/>
        </w:rPr>
        <w:t>。</w:t>
      </w:r>
    </w:p>
    <w:p>
      <w:pPr>
        <w:tabs>
          <w:tab w:val="right" w:pos="4628"/>
        </w:tabs>
        <w:spacing w:line="360" w:lineRule="auto"/>
        <w:ind w:firstLine="482"/>
        <w:rPr>
          <w:i w:val="0"/>
          <w:iCs w:val="0"/>
        </w:rPr>
      </w:pPr>
      <w:bookmarkStart w:id="114" w:name="_Toc350179676"/>
      <w:bookmarkStart w:id="115" w:name="_Toc381559657"/>
      <w:r>
        <w:rPr>
          <w:i w:val="0"/>
          <w:iCs w:val="0"/>
        </w:rPr>
        <w:t>2、监测时间及频次</w:t>
      </w:r>
      <w:bookmarkEnd w:id="114"/>
      <w:bookmarkEnd w:id="115"/>
    </w:p>
    <w:p>
      <w:pPr>
        <w:tabs>
          <w:tab w:val="right" w:pos="4628"/>
        </w:tabs>
        <w:spacing w:line="360" w:lineRule="auto"/>
        <w:ind w:firstLine="482"/>
        <w:rPr>
          <w:i w:val="0"/>
          <w:iCs w:val="0"/>
        </w:rPr>
      </w:pPr>
      <w:r>
        <w:rPr>
          <w:i w:val="0"/>
          <w:iCs w:val="0"/>
        </w:rPr>
        <w:t>监测时间为</w:t>
      </w:r>
      <w:r>
        <w:rPr>
          <w:rFonts w:hint="eastAsia"/>
          <w:i w:val="0"/>
          <w:iCs w:val="0"/>
        </w:rPr>
        <w:t>2024</w:t>
      </w:r>
      <w:r>
        <w:rPr>
          <w:i w:val="0"/>
          <w:iCs w:val="0"/>
        </w:rPr>
        <w:t>年</w:t>
      </w:r>
      <w:r>
        <w:rPr>
          <w:rFonts w:hint="eastAsia"/>
          <w:i w:val="0"/>
          <w:iCs w:val="0"/>
        </w:rPr>
        <w:t>7</w:t>
      </w:r>
      <w:r>
        <w:rPr>
          <w:i w:val="0"/>
          <w:iCs w:val="0"/>
        </w:rPr>
        <w:t>月</w:t>
      </w:r>
      <w:r>
        <w:rPr>
          <w:rFonts w:hint="eastAsia"/>
          <w:i w:val="0"/>
          <w:iCs w:val="0"/>
        </w:rPr>
        <w:t>8</w:t>
      </w:r>
      <w:r>
        <w:rPr>
          <w:i w:val="0"/>
          <w:iCs w:val="0"/>
        </w:rPr>
        <w:t>日，昼夜监测。</w:t>
      </w:r>
    </w:p>
    <w:p>
      <w:pPr>
        <w:tabs>
          <w:tab w:val="right" w:pos="4628"/>
        </w:tabs>
        <w:spacing w:line="360" w:lineRule="auto"/>
        <w:ind w:firstLine="482"/>
        <w:rPr>
          <w:i w:val="0"/>
          <w:iCs w:val="0"/>
        </w:rPr>
      </w:pPr>
      <w:bookmarkStart w:id="116" w:name="_Toc381559658"/>
      <w:bookmarkStart w:id="117" w:name="_Toc350179677"/>
      <w:r>
        <w:rPr>
          <w:i w:val="0"/>
          <w:iCs w:val="0"/>
        </w:rPr>
        <w:t>3、评价方法</w:t>
      </w:r>
      <w:bookmarkEnd w:id="116"/>
      <w:bookmarkEnd w:id="117"/>
    </w:p>
    <w:p>
      <w:pPr>
        <w:tabs>
          <w:tab w:val="right" w:pos="4628"/>
        </w:tabs>
        <w:spacing w:line="360" w:lineRule="auto"/>
        <w:ind w:firstLine="482"/>
        <w:rPr>
          <w:i w:val="0"/>
          <w:iCs w:val="0"/>
        </w:rPr>
      </w:pPr>
      <w:r>
        <w:rPr>
          <w:i w:val="0"/>
          <w:iCs w:val="0"/>
        </w:rPr>
        <w:t>直接比较法。</w:t>
      </w:r>
    </w:p>
    <w:p>
      <w:pPr>
        <w:tabs>
          <w:tab w:val="right" w:pos="4628"/>
        </w:tabs>
        <w:spacing w:line="360" w:lineRule="auto"/>
        <w:ind w:firstLine="482"/>
        <w:rPr>
          <w:i w:val="0"/>
          <w:iCs w:val="0"/>
        </w:rPr>
      </w:pPr>
      <w:bookmarkStart w:id="118" w:name="_Toc350179678"/>
      <w:bookmarkStart w:id="119" w:name="_Toc381559659"/>
      <w:r>
        <w:rPr>
          <w:i w:val="0"/>
          <w:iCs w:val="0"/>
        </w:rPr>
        <w:t>4、监测结果及评价</w:t>
      </w:r>
      <w:bookmarkEnd w:id="118"/>
      <w:bookmarkEnd w:id="119"/>
    </w:p>
    <w:p>
      <w:pPr>
        <w:tabs>
          <w:tab w:val="right" w:pos="4628"/>
        </w:tabs>
        <w:spacing w:line="360" w:lineRule="auto"/>
        <w:ind w:firstLine="482"/>
        <w:rPr>
          <w:i w:val="0"/>
          <w:iCs w:val="0"/>
        </w:rPr>
      </w:pPr>
      <w:r>
        <w:rPr>
          <w:i w:val="0"/>
          <w:iCs w:val="0"/>
        </w:rPr>
        <w:t>监测结果见表</w:t>
      </w:r>
      <w:r>
        <w:rPr>
          <w:rFonts w:hint="eastAsia"/>
          <w:i w:val="0"/>
          <w:iCs w:val="0"/>
        </w:rPr>
        <w:t>4</w:t>
      </w:r>
      <w:r>
        <w:rPr>
          <w:i w:val="0"/>
          <w:iCs w:val="0"/>
        </w:rPr>
        <w:t>-</w:t>
      </w:r>
      <w:r>
        <w:rPr>
          <w:rFonts w:hint="eastAsia"/>
          <w:i w:val="0"/>
          <w:iCs w:val="0"/>
        </w:rPr>
        <w:t>6</w:t>
      </w:r>
      <w:r>
        <w:rPr>
          <w:i w:val="0"/>
          <w:iCs w:val="0"/>
        </w:rPr>
        <w:t>。</w:t>
      </w:r>
    </w:p>
    <w:p>
      <w:pPr>
        <w:pStyle w:val="24"/>
        <w:spacing w:line="240" w:lineRule="auto"/>
        <w:rPr>
          <w:b/>
          <w:i w:val="0"/>
          <w:iCs w:val="0"/>
        </w:rPr>
      </w:pPr>
      <w:r>
        <w:rPr>
          <w:b/>
          <w:i w:val="0"/>
          <w:iCs w:val="0"/>
        </w:rPr>
        <w:t>表</w:t>
      </w:r>
      <w:r>
        <w:rPr>
          <w:rFonts w:hint="eastAsia"/>
          <w:b/>
          <w:i w:val="0"/>
          <w:iCs w:val="0"/>
        </w:rPr>
        <w:t>4</w:t>
      </w:r>
      <w:r>
        <w:rPr>
          <w:b/>
          <w:i w:val="0"/>
          <w:iCs w:val="0"/>
        </w:rPr>
        <w:t>-</w:t>
      </w:r>
      <w:r>
        <w:rPr>
          <w:rFonts w:hint="eastAsia"/>
          <w:b/>
          <w:i w:val="0"/>
          <w:iCs w:val="0"/>
        </w:rPr>
        <w:t>6</w:t>
      </w:r>
      <w:r>
        <w:rPr>
          <w:b/>
          <w:i w:val="0"/>
          <w:iCs w:val="0"/>
        </w:rPr>
        <w:t>噪声监测结果</w:t>
      </w:r>
    </w:p>
    <w:tbl>
      <w:tblPr>
        <w:tblStyle w:val="5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4423"/>
        <w:gridCol w:w="1640"/>
        <w:gridCol w:w="1114"/>
        <w:gridCol w:w="11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2" w:type="pct"/>
            <w:vMerge w:val="restart"/>
            <w:tcBorders>
              <w:top w:val="single" w:color="auto" w:sz="12" w:space="0"/>
              <w:left w:val="nil"/>
              <w:bottom w:val="single" w:color="auto" w:sz="4" w:space="0"/>
              <w:right w:val="single" w:color="auto" w:sz="4" w:space="0"/>
            </w:tcBorders>
            <w:noWrap w:val="0"/>
            <w:vAlign w:val="center"/>
          </w:tcPr>
          <w:p>
            <w:pPr>
              <w:widowControl/>
              <w:jc w:val="center"/>
              <w:textAlignment w:val="center"/>
              <w:rPr>
                <w:i w:val="0"/>
                <w:iCs w:val="0"/>
                <w:sz w:val="21"/>
                <w:szCs w:val="21"/>
              </w:rPr>
            </w:pPr>
            <w:r>
              <w:rPr>
                <w:i w:val="0"/>
                <w:iCs w:val="0"/>
                <w:sz w:val="21"/>
                <w:szCs w:val="21"/>
              </w:rPr>
              <w:t>序号</w:t>
            </w:r>
          </w:p>
        </w:tc>
        <w:tc>
          <w:tcPr>
            <w:tcW w:w="2382" w:type="pct"/>
            <w:vMerge w:val="restart"/>
            <w:tcBorders>
              <w:top w:val="single" w:color="auto" w:sz="12" w:space="0"/>
              <w:left w:val="single" w:color="auto" w:sz="4" w:space="0"/>
              <w:bottom w:val="single" w:color="auto" w:sz="4" w:space="0"/>
              <w:right w:val="single" w:color="auto" w:sz="4" w:space="0"/>
            </w:tcBorders>
            <w:noWrap w:val="0"/>
            <w:vAlign w:val="center"/>
          </w:tcPr>
          <w:p>
            <w:pPr>
              <w:widowControl/>
              <w:jc w:val="center"/>
              <w:textAlignment w:val="center"/>
              <w:rPr>
                <w:i w:val="0"/>
                <w:iCs w:val="0"/>
                <w:sz w:val="21"/>
                <w:szCs w:val="21"/>
              </w:rPr>
            </w:pPr>
            <w:r>
              <w:rPr>
                <w:i w:val="0"/>
                <w:iCs w:val="0"/>
                <w:sz w:val="21"/>
                <w:szCs w:val="21"/>
              </w:rPr>
              <w:t>监测点位名称</w:t>
            </w:r>
          </w:p>
        </w:tc>
        <w:tc>
          <w:tcPr>
            <w:tcW w:w="883" w:type="pct"/>
            <w:vMerge w:val="restart"/>
            <w:tcBorders>
              <w:top w:val="single" w:color="auto" w:sz="12" w:space="0"/>
              <w:left w:val="single" w:color="auto" w:sz="4" w:space="0"/>
              <w:bottom w:val="single" w:color="auto" w:sz="4" w:space="0"/>
              <w:right w:val="single" w:color="auto" w:sz="4" w:space="0"/>
            </w:tcBorders>
            <w:noWrap w:val="0"/>
            <w:vAlign w:val="center"/>
          </w:tcPr>
          <w:p>
            <w:pPr>
              <w:widowControl/>
              <w:jc w:val="center"/>
              <w:textAlignment w:val="center"/>
              <w:rPr>
                <w:i w:val="0"/>
                <w:iCs w:val="0"/>
                <w:sz w:val="21"/>
                <w:szCs w:val="21"/>
              </w:rPr>
            </w:pPr>
            <w:r>
              <w:rPr>
                <w:i w:val="0"/>
                <w:iCs w:val="0"/>
                <w:sz w:val="21"/>
                <w:szCs w:val="21"/>
              </w:rPr>
              <w:t>执行标准</w:t>
            </w:r>
          </w:p>
        </w:tc>
        <w:tc>
          <w:tcPr>
            <w:tcW w:w="1201" w:type="pct"/>
            <w:gridSpan w:val="2"/>
            <w:tcBorders>
              <w:top w:val="single" w:color="auto" w:sz="12" w:space="0"/>
              <w:left w:val="single" w:color="auto" w:sz="4" w:space="0"/>
              <w:bottom w:val="single" w:color="auto" w:sz="4" w:space="0"/>
              <w:right w:val="nil"/>
            </w:tcBorders>
            <w:noWrap w:val="0"/>
            <w:vAlign w:val="center"/>
          </w:tcPr>
          <w:p>
            <w:pPr>
              <w:widowControl/>
              <w:jc w:val="center"/>
              <w:textAlignment w:val="center"/>
              <w:rPr>
                <w:i w:val="0"/>
                <w:iCs w:val="0"/>
                <w:sz w:val="21"/>
                <w:szCs w:val="21"/>
              </w:rPr>
            </w:pPr>
            <w:r>
              <w:rPr>
                <w:i w:val="0"/>
                <w:iCs w:val="0"/>
                <w:sz w:val="21"/>
                <w:szCs w:val="21"/>
              </w:rPr>
              <w:t>监测值dB(A)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2" w:type="pct"/>
            <w:vMerge w:val="continue"/>
            <w:tcBorders>
              <w:top w:val="single" w:color="auto" w:sz="4" w:space="0"/>
              <w:left w:val="nil"/>
              <w:bottom w:val="single" w:color="auto" w:sz="4" w:space="0"/>
              <w:right w:val="single" w:color="auto" w:sz="4" w:space="0"/>
            </w:tcBorders>
            <w:noWrap w:val="0"/>
            <w:vAlign w:val="center"/>
          </w:tcPr>
          <w:p>
            <w:pPr>
              <w:widowControl/>
              <w:jc w:val="center"/>
              <w:textAlignment w:val="center"/>
              <w:rPr>
                <w:i w:val="0"/>
                <w:iCs w:val="0"/>
                <w:sz w:val="21"/>
                <w:szCs w:val="21"/>
              </w:rPr>
            </w:pPr>
          </w:p>
        </w:tc>
        <w:tc>
          <w:tcPr>
            <w:tcW w:w="238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i w:val="0"/>
                <w:iCs w:val="0"/>
                <w:sz w:val="21"/>
                <w:szCs w:val="21"/>
              </w:rPr>
            </w:pPr>
          </w:p>
        </w:tc>
        <w:tc>
          <w:tcPr>
            <w:tcW w:w="88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i w:val="0"/>
                <w:iCs w:val="0"/>
                <w:sz w:val="21"/>
                <w:szCs w:val="21"/>
              </w:rPr>
            </w:pPr>
          </w:p>
        </w:tc>
        <w:tc>
          <w:tcPr>
            <w:tcW w:w="600"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i w:val="0"/>
                <w:iCs w:val="0"/>
                <w:sz w:val="21"/>
                <w:szCs w:val="21"/>
              </w:rPr>
            </w:pPr>
            <w:r>
              <w:rPr>
                <w:i w:val="0"/>
                <w:iCs w:val="0"/>
                <w:sz w:val="21"/>
                <w:szCs w:val="21"/>
              </w:rPr>
              <w:t>昼</w:t>
            </w:r>
          </w:p>
        </w:tc>
        <w:tc>
          <w:tcPr>
            <w:tcW w:w="601" w:type="pct"/>
            <w:tcBorders>
              <w:top w:val="single" w:color="auto" w:sz="4" w:space="0"/>
              <w:left w:val="single" w:color="auto" w:sz="4" w:space="0"/>
              <w:bottom w:val="single" w:color="auto" w:sz="4" w:space="0"/>
              <w:right w:val="nil"/>
            </w:tcBorders>
            <w:noWrap w:val="0"/>
            <w:vAlign w:val="center"/>
          </w:tcPr>
          <w:p>
            <w:pPr>
              <w:widowControl/>
              <w:jc w:val="center"/>
              <w:textAlignment w:val="center"/>
              <w:rPr>
                <w:i w:val="0"/>
                <w:iCs w:val="0"/>
                <w:sz w:val="21"/>
                <w:szCs w:val="21"/>
              </w:rPr>
            </w:pPr>
            <w:r>
              <w:rPr>
                <w:i w:val="0"/>
                <w:iCs w:val="0"/>
                <w:sz w:val="21"/>
                <w:szCs w:val="21"/>
              </w:rPr>
              <w:t>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2" w:type="pct"/>
            <w:tcBorders>
              <w:top w:val="single" w:color="auto" w:sz="4" w:space="0"/>
              <w:left w:val="nil"/>
              <w:bottom w:val="single" w:color="auto" w:sz="4" w:space="0"/>
              <w:right w:val="single" w:color="auto" w:sz="4" w:space="0"/>
            </w:tcBorders>
            <w:noWrap w:val="0"/>
            <w:vAlign w:val="center"/>
          </w:tcPr>
          <w:p>
            <w:pPr>
              <w:widowControl/>
              <w:jc w:val="center"/>
              <w:textAlignment w:val="center"/>
              <w:rPr>
                <w:i w:val="0"/>
                <w:iCs w:val="0"/>
                <w:sz w:val="21"/>
                <w:szCs w:val="21"/>
              </w:rPr>
            </w:pPr>
            <w:r>
              <w:rPr>
                <w:i w:val="0"/>
                <w:iCs w:val="0"/>
                <w:sz w:val="21"/>
                <w:szCs w:val="21"/>
              </w:rPr>
              <w:t>1</w:t>
            </w:r>
          </w:p>
        </w:tc>
        <w:tc>
          <w:tcPr>
            <w:tcW w:w="238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i w:val="0"/>
                <w:iCs w:val="0"/>
                <w:sz w:val="21"/>
                <w:szCs w:val="21"/>
              </w:rPr>
            </w:pPr>
            <w:r>
              <w:rPr>
                <w:rFonts w:hint="eastAsia"/>
                <w:i w:val="0"/>
                <w:iCs w:val="0"/>
                <w:sz w:val="21"/>
                <w:szCs w:val="21"/>
              </w:rPr>
              <w:t>厂区</w:t>
            </w:r>
            <w:r>
              <w:rPr>
                <w:i w:val="0"/>
                <w:iCs w:val="0"/>
                <w:sz w:val="21"/>
                <w:szCs w:val="21"/>
              </w:rPr>
              <w:t>东侧边界外1m</w:t>
            </w:r>
          </w:p>
        </w:tc>
        <w:tc>
          <w:tcPr>
            <w:tcW w:w="883" w:type="pct"/>
            <w:tcBorders>
              <w:top w:val="single" w:color="auto" w:sz="4" w:space="0"/>
              <w:left w:val="single" w:color="auto" w:sz="4" w:space="0"/>
              <w:bottom w:val="single" w:color="auto" w:sz="4" w:space="0"/>
              <w:right w:val="single" w:color="auto" w:sz="4" w:space="0"/>
            </w:tcBorders>
            <w:noWrap w:val="0"/>
            <w:vAlign w:val="top"/>
          </w:tcPr>
          <w:p>
            <w:pPr>
              <w:widowControl/>
              <w:jc w:val="center"/>
              <w:textAlignment w:val="center"/>
              <w:rPr>
                <w:i w:val="0"/>
                <w:iCs w:val="0"/>
                <w:sz w:val="21"/>
                <w:szCs w:val="21"/>
              </w:rPr>
            </w:pPr>
            <w:r>
              <w:rPr>
                <w:i w:val="0"/>
                <w:iCs w:val="0"/>
                <w:sz w:val="21"/>
                <w:szCs w:val="21"/>
              </w:rPr>
              <w:t>3类区</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i w:val="0"/>
                <w:iCs w:val="0"/>
                <w:sz w:val="21"/>
                <w:szCs w:val="21"/>
              </w:rPr>
            </w:pPr>
            <w:r>
              <w:rPr>
                <w:rFonts w:hint="eastAsia"/>
                <w:i w:val="0"/>
                <w:iCs w:val="0"/>
                <w:sz w:val="21"/>
                <w:szCs w:val="21"/>
              </w:rPr>
              <w:t>53</w:t>
            </w:r>
          </w:p>
        </w:tc>
        <w:tc>
          <w:tcPr>
            <w:tcW w:w="1116" w:type="dxa"/>
            <w:tcBorders>
              <w:top w:val="single" w:color="auto" w:sz="4" w:space="0"/>
              <w:left w:val="single" w:color="auto" w:sz="4" w:space="0"/>
              <w:bottom w:val="single" w:color="auto" w:sz="4" w:space="0"/>
              <w:right w:val="nil"/>
            </w:tcBorders>
            <w:noWrap w:val="0"/>
            <w:vAlign w:val="center"/>
          </w:tcPr>
          <w:p>
            <w:pPr>
              <w:widowControl/>
              <w:jc w:val="center"/>
              <w:textAlignment w:val="center"/>
              <w:rPr>
                <w:i w:val="0"/>
                <w:iCs w:val="0"/>
                <w:sz w:val="21"/>
                <w:szCs w:val="21"/>
              </w:rPr>
            </w:pPr>
            <w:r>
              <w:rPr>
                <w:rFonts w:hint="eastAsia"/>
                <w:i w:val="0"/>
                <w:iCs w:val="0"/>
                <w:sz w:val="21"/>
                <w:szCs w:val="21"/>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2" w:type="pct"/>
            <w:tcBorders>
              <w:top w:val="single" w:color="auto" w:sz="4" w:space="0"/>
              <w:left w:val="nil"/>
              <w:bottom w:val="single" w:color="auto" w:sz="4" w:space="0"/>
              <w:right w:val="single" w:color="auto" w:sz="4" w:space="0"/>
            </w:tcBorders>
            <w:noWrap w:val="0"/>
            <w:vAlign w:val="center"/>
          </w:tcPr>
          <w:p>
            <w:pPr>
              <w:widowControl/>
              <w:jc w:val="center"/>
              <w:textAlignment w:val="center"/>
              <w:rPr>
                <w:i w:val="0"/>
                <w:iCs w:val="0"/>
                <w:sz w:val="21"/>
                <w:szCs w:val="21"/>
              </w:rPr>
            </w:pPr>
            <w:r>
              <w:rPr>
                <w:i w:val="0"/>
                <w:iCs w:val="0"/>
                <w:sz w:val="21"/>
                <w:szCs w:val="21"/>
              </w:rPr>
              <w:t>2</w:t>
            </w:r>
          </w:p>
        </w:tc>
        <w:tc>
          <w:tcPr>
            <w:tcW w:w="238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i w:val="0"/>
                <w:iCs w:val="0"/>
                <w:sz w:val="21"/>
                <w:szCs w:val="21"/>
              </w:rPr>
            </w:pPr>
            <w:r>
              <w:rPr>
                <w:rFonts w:hint="eastAsia"/>
                <w:i w:val="0"/>
                <w:iCs w:val="0"/>
                <w:sz w:val="21"/>
                <w:szCs w:val="21"/>
              </w:rPr>
              <w:t>厂区</w:t>
            </w:r>
            <w:r>
              <w:rPr>
                <w:i w:val="0"/>
                <w:iCs w:val="0"/>
                <w:sz w:val="21"/>
                <w:szCs w:val="21"/>
              </w:rPr>
              <w:t>南侧边界外1m</w:t>
            </w:r>
          </w:p>
        </w:tc>
        <w:tc>
          <w:tcPr>
            <w:tcW w:w="883" w:type="pct"/>
            <w:tcBorders>
              <w:top w:val="single" w:color="auto" w:sz="4" w:space="0"/>
              <w:left w:val="single" w:color="auto" w:sz="4" w:space="0"/>
              <w:bottom w:val="single" w:color="auto" w:sz="4" w:space="0"/>
              <w:right w:val="single" w:color="auto" w:sz="4" w:space="0"/>
            </w:tcBorders>
            <w:noWrap w:val="0"/>
            <w:vAlign w:val="top"/>
          </w:tcPr>
          <w:p>
            <w:pPr>
              <w:widowControl/>
              <w:jc w:val="center"/>
              <w:textAlignment w:val="center"/>
              <w:rPr>
                <w:i w:val="0"/>
                <w:iCs w:val="0"/>
                <w:sz w:val="21"/>
                <w:szCs w:val="21"/>
              </w:rPr>
            </w:pPr>
            <w:r>
              <w:rPr>
                <w:i w:val="0"/>
                <w:iCs w:val="0"/>
                <w:sz w:val="21"/>
                <w:szCs w:val="21"/>
              </w:rPr>
              <w:t>3类区</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i w:val="0"/>
                <w:iCs w:val="0"/>
                <w:sz w:val="21"/>
                <w:szCs w:val="21"/>
              </w:rPr>
            </w:pPr>
            <w:r>
              <w:rPr>
                <w:rFonts w:hint="eastAsia"/>
                <w:i w:val="0"/>
                <w:iCs w:val="0"/>
                <w:sz w:val="21"/>
                <w:szCs w:val="21"/>
              </w:rPr>
              <w:t>54</w:t>
            </w:r>
          </w:p>
        </w:tc>
        <w:tc>
          <w:tcPr>
            <w:tcW w:w="1116" w:type="dxa"/>
            <w:tcBorders>
              <w:top w:val="single" w:color="auto" w:sz="4" w:space="0"/>
              <w:left w:val="single" w:color="auto" w:sz="4" w:space="0"/>
              <w:bottom w:val="single" w:color="auto" w:sz="4" w:space="0"/>
              <w:right w:val="nil"/>
            </w:tcBorders>
            <w:noWrap w:val="0"/>
            <w:vAlign w:val="center"/>
          </w:tcPr>
          <w:p>
            <w:pPr>
              <w:widowControl/>
              <w:jc w:val="center"/>
              <w:textAlignment w:val="center"/>
              <w:rPr>
                <w:i w:val="0"/>
                <w:iCs w:val="0"/>
                <w:sz w:val="21"/>
                <w:szCs w:val="21"/>
              </w:rPr>
            </w:pPr>
            <w:r>
              <w:rPr>
                <w:rFonts w:hint="eastAsia"/>
                <w:i w:val="0"/>
                <w:iCs w:val="0"/>
                <w:sz w:val="21"/>
                <w:szCs w:val="21"/>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2" w:type="pct"/>
            <w:tcBorders>
              <w:top w:val="single" w:color="auto" w:sz="4" w:space="0"/>
              <w:left w:val="nil"/>
              <w:bottom w:val="single" w:color="auto" w:sz="4" w:space="0"/>
              <w:right w:val="single" w:color="auto" w:sz="4" w:space="0"/>
            </w:tcBorders>
            <w:noWrap w:val="0"/>
            <w:vAlign w:val="center"/>
          </w:tcPr>
          <w:p>
            <w:pPr>
              <w:widowControl/>
              <w:jc w:val="center"/>
              <w:textAlignment w:val="center"/>
              <w:rPr>
                <w:i w:val="0"/>
                <w:iCs w:val="0"/>
                <w:sz w:val="21"/>
                <w:szCs w:val="21"/>
              </w:rPr>
            </w:pPr>
            <w:r>
              <w:rPr>
                <w:i w:val="0"/>
                <w:iCs w:val="0"/>
                <w:sz w:val="21"/>
                <w:szCs w:val="21"/>
              </w:rPr>
              <w:t>3</w:t>
            </w:r>
          </w:p>
        </w:tc>
        <w:tc>
          <w:tcPr>
            <w:tcW w:w="238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i w:val="0"/>
                <w:iCs w:val="0"/>
                <w:sz w:val="21"/>
                <w:szCs w:val="21"/>
              </w:rPr>
            </w:pPr>
            <w:r>
              <w:rPr>
                <w:rFonts w:hint="eastAsia"/>
                <w:i w:val="0"/>
                <w:iCs w:val="0"/>
                <w:sz w:val="21"/>
                <w:szCs w:val="21"/>
              </w:rPr>
              <w:t>厂区</w:t>
            </w:r>
            <w:r>
              <w:rPr>
                <w:i w:val="0"/>
                <w:iCs w:val="0"/>
                <w:sz w:val="21"/>
                <w:szCs w:val="21"/>
              </w:rPr>
              <w:t>西侧边界外1m</w:t>
            </w:r>
          </w:p>
        </w:tc>
        <w:tc>
          <w:tcPr>
            <w:tcW w:w="883" w:type="pct"/>
            <w:tcBorders>
              <w:top w:val="single" w:color="auto" w:sz="4" w:space="0"/>
              <w:left w:val="single" w:color="auto" w:sz="4" w:space="0"/>
              <w:bottom w:val="single" w:color="auto" w:sz="4" w:space="0"/>
              <w:right w:val="single" w:color="auto" w:sz="4" w:space="0"/>
            </w:tcBorders>
            <w:noWrap w:val="0"/>
            <w:vAlign w:val="top"/>
          </w:tcPr>
          <w:p>
            <w:pPr>
              <w:widowControl/>
              <w:jc w:val="center"/>
              <w:textAlignment w:val="center"/>
              <w:rPr>
                <w:i w:val="0"/>
                <w:iCs w:val="0"/>
                <w:sz w:val="21"/>
                <w:szCs w:val="21"/>
              </w:rPr>
            </w:pPr>
            <w:r>
              <w:rPr>
                <w:i w:val="0"/>
                <w:iCs w:val="0"/>
                <w:sz w:val="21"/>
                <w:szCs w:val="21"/>
              </w:rPr>
              <w:t>3类区</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i w:val="0"/>
                <w:iCs w:val="0"/>
                <w:sz w:val="21"/>
                <w:szCs w:val="21"/>
              </w:rPr>
            </w:pPr>
            <w:r>
              <w:rPr>
                <w:rFonts w:hint="eastAsia"/>
                <w:i w:val="0"/>
                <w:iCs w:val="0"/>
                <w:sz w:val="21"/>
                <w:szCs w:val="21"/>
              </w:rPr>
              <w:t>54</w:t>
            </w:r>
          </w:p>
        </w:tc>
        <w:tc>
          <w:tcPr>
            <w:tcW w:w="1116" w:type="dxa"/>
            <w:tcBorders>
              <w:top w:val="single" w:color="auto" w:sz="4" w:space="0"/>
              <w:left w:val="single" w:color="auto" w:sz="4" w:space="0"/>
              <w:bottom w:val="single" w:color="auto" w:sz="4" w:space="0"/>
              <w:right w:val="nil"/>
            </w:tcBorders>
            <w:noWrap w:val="0"/>
            <w:vAlign w:val="center"/>
          </w:tcPr>
          <w:p>
            <w:pPr>
              <w:widowControl/>
              <w:jc w:val="center"/>
              <w:textAlignment w:val="center"/>
              <w:rPr>
                <w:i w:val="0"/>
                <w:iCs w:val="0"/>
                <w:sz w:val="21"/>
                <w:szCs w:val="21"/>
              </w:rPr>
            </w:pPr>
            <w:r>
              <w:rPr>
                <w:rFonts w:hint="eastAsia"/>
                <w:i w:val="0"/>
                <w:iCs w:val="0"/>
                <w:sz w:val="21"/>
                <w:szCs w:val="21"/>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2" w:type="pct"/>
            <w:tcBorders>
              <w:top w:val="single" w:color="auto" w:sz="4" w:space="0"/>
              <w:left w:val="nil"/>
              <w:bottom w:val="single" w:color="auto" w:sz="4" w:space="0"/>
              <w:right w:val="single" w:color="auto" w:sz="4" w:space="0"/>
            </w:tcBorders>
            <w:noWrap w:val="0"/>
            <w:vAlign w:val="center"/>
          </w:tcPr>
          <w:p>
            <w:pPr>
              <w:widowControl/>
              <w:jc w:val="center"/>
              <w:textAlignment w:val="center"/>
              <w:rPr>
                <w:i w:val="0"/>
                <w:iCs w:val="0"/>
                <w:sz w:val="21"/>
                <w:szCs w:val="21"/>
              </w:rPr>
            </w:pPr>
            <w:r>
              <w:rPr>
                <w:i w:val="0"/>
                <w:iCs w:val="0"/>
                <w:sz w:val="21"/>
                <w:szCs w:val="21"/>
              </w:rPr>
              <w:t>4</w:t>
            </w:r>
          </w:p>
        </w:tc>
        <w:tc>
          <w:tcPr>
            <w:tcW w:w="238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i w:val="0"/>
                <w:iCs w:val="0"/>
                <w:sz w:val="21"/>
                <w:szCs w:val="21"/>
              </w:rPr>
            </w:pPr>
            <w:r>
              <w:rPr>
                <w:rFonts w:hint="eastAsia"/>
                <w:i w:val="0"/>
                <w:iCs w:val="0"/>
                <w:sz w:val="21"/>
                <w:szCs w:val="21"/>
              </w:rPr>
              <w:t>厂区</w:t>
            </w:r>
            <w:r>
              <w:rPr>
                <w:i w:val="0"/>
                <w:iCs w:val="0"/>
                <w:sz w:val="21"/>
                <w:szCs w:val="21"/>
              </w:rPr>
              <w:t>北侧边界外1m</w:t>
            </w:r>
          </w:p>
        </w:tc>
        <w:tc>
          <w:tcPr>
            <w:tcW w:w="883" w:type="pct"/>
            <w:tcBorders>
              <w:top w:val="single" w:color="auto" w:sz="4" w:space="0"/>
              <w:left w:val="single" w:color="auto" w:sz="4" w:space="0"/>
              <w:bottom w:val="single" w:color="auto" w:sz="4" w:space="0"/>
              <w:right w:val="single" w:color="auto" w:sz="4" w:space="0"/>
            </w:tcBorders>
            <w:noWrap w:val="0"/>
            <w:vAlign w:val="top"/>
          </w:tcPr>
          <w:p>
            <w:pPr>
              <w:widowControl/>
              <w:jc w:val="center"/>
              <w:textAlignment w:val="center"/>
              <w:rPr>
                <w:i w:val="0"/>
                <w:iCs w:val="0"/>
                <w:sz w:val="21"/>
                <w:szCs w:val="21"/>
              </w:rPr>
            </w:pPr>
            <w:r>
              <w:rPr>
                <w:i w:val="0"/>
                <w:iCs w:val="0"/>
                <w:sz w:val="21"/>
                <w:szCs w:val="21"/>
              </w:rPr>
              <w:t>3类区</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i w:val="0"/>
                <w:iCs w:val="0"/>
                <w:sz w:val="21"/>
                <w:szCs w:val="21"/>
              </w:rPr>
            </w:pPr>
            <w:r>
              <w:rPr>
                <w:rFonts w:hint="eastAsia"/>
                <w:i w:val="0"/>
                <w:iCs w:val="0"/>
                <w:sz w:val="21"/>
                <w:szCs w:val="21"/>
              </w:rPr>
              <w:t>52</w:t>
            </w:r>
          </w:p>
        </w:tc>
        <w:tc>
          <w:tcPr>
            <w:tcW w:w="1116" w:type="dxa"/>
            <w:tcBorders>
              <w:top w:val="single" w:color="auto" w:sz="4" w:space="0"/>
              <w:left w:val="single" w:color="auto" w:sz="4" w:space="0"/>
              <w:bottom w:val="single" w:color="auto" w:sz="4" w:space="0"/>
              <w:right w:val="nil"/>
            </w:tcBorders>
            <w:noWrap w:val="0"/>
            <w:vAlign w:val="center"/>
          </w:tcPr>
          <w:p>
            <w:pPr>
              <w:widowControl/>
              <w:jc w:val="center"/>
              <w:textAlignment w:val="center"/>
              <w:rPr>
                <w:i w:val="0"/>
                <w:iCs w:val="0"/>
                <w:sz w:val="21"/>
                <w:szCs w:val="21"/>
              </w:rPr>
            </w:pPr>
            <w:r>
              <w:rPr>
                <w:rFonts w:hint="eastAsia"/>
                <w:i w:val="0"/>
                <w:iCs w:val="0"/>
                <w:sz w:val="21"/>
                <w:szCs w:val="21"/>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2" w:type="pct"/>
            <w:tcBorders>
              <w:top w:val="single" w:color="auto" w:sz="4" w:space="0"/>
              <w:left w:val="nil"/>
              <w:bottom w:val="single" w:color="auto" w:sz="4" w:space="0"/>
              <w:right w:val="single" w:color="auto" w:sz="4" w:space="0"/>
            </w:tcBorders>
            <w:noWrap w:val="0"/>
            <w:vAlign w:val="center"/>
          </w:tcPr>
          <w:p>
            <w:pPr>
              <w:widowControl/>
              <w:jc w:val="center"/>
              <w:textAlignment w:val="center"/>
              <w:rPr>
                <w:i w:val="0"/>
                <w:iCs w:val="0"/>
                <w:sz w:val="21"/>
                <w:szCs w:val="21"/>
              </w:rPr>
            </w:pPr>
            <w:r>
              <w:rPr>
                <w:i w:val="0"/>
                <w:iCs w:val="0"/>
                <w:sz w:val="21"/>
                <w:szCs w:val="21"/>
              </w:rPr>
              <w:t>5</w:t>
            </w:r>
          </w:p>
        </w:tc>
        <w:tc>
          <w:tcPr>
            <w:tcW w:w="238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i w:val="0"/>
                <w:iCs w:val="0"/>
                <w:sz w:val="21"/>
                <w:szCs w:val="21"/>
              </w:rPr>
            </w:pPr>
            <w:r>
              <w:rPr>
                <w:rFonts w:hint="eastAsia"/>
                <w:i w:val="0"/>
                <w:iCs w:val="0"/>
                <w:sz w:val="21"/>
                <w:szCs w:val="21"/>
              </w:rPr>
              <w:t>厂区</w:t>
            </w:r>
            <w:r>
              <w:rPr>
                <w:i w:val="0"/>
                <w:iCs w:val="0"/>
                <w:sz w:val="21"/>
                <w:szCs w:val="21"/>
              </w:rPr>
              <w:t>西侧最近居民窗外1m</w:t>
            </w:r>
          </w:p>
        </w:tc>
        <w:tc>
          <w:tcPr>
            <w:tcW w:w="883" w:type="pct"/>
            <w:tcBorders>
              <w:top w:val="single" w:color="auto" w:sz="4" w:space="0"/>
              <w:left w:val="single" w:color="auto" w:sz="4" w:space="0"/>
              <w:bottom w:val="single" w:color="auto" w:sz="4" w:space="0"/>
              <w:right w:val="single" w:color="auto" w:sz="4" w:space="0"/>
            </w:tcBorders>
            <w:noWrap w:val="0"/>
            <w:vAlign w:val="top"/>
          </w:tcPr>
          <w:p>
            <w:pPr>
              <w:widowControl/>
              <w:jc w:val="center"/>
              <w:textAlignment w:val="center"/>
              <w:rPr>
                <w:i w:val="0"/>
                <w:iCs w:val="0"/>
                <w:sz w:val="21"/>
                <w:szCs w:val="21"/>
              </w:rPr>
            </w:pPr>
            <w:r>
              <w:rPr>
                <w:rFonts w:hint="eastAsia"/>
                <w:i w:val="0"/>
                <w:iCs w:val="0"/>
                <w:sz w:val="21"/>
                <w:szCs w:val="21"/>
                <w:lang w:val="en-US" w:eastAsia="zh-CN"/>
              </w:rPr>
              <w:t>2</w:t>
            </w:r>
            <w:r>
              <w:rPr>
                <w:i w:val="0"/>
                <w:iCs w:val="0"/>
                <w:sz w:val="21"/>
                <w:szCs w:val="21"/>
              </w:rPr>
              <w:t>类区</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i w:val="0"/>
                <w:iCs w:val="0"/>
                <w:sz w:val="21"/>
                <w:szCs w:val="21"/>
              </w:rPr>
            </w:pPr>
            <w:r>
              <w:rPr>
                <w:rFonts w:hint="eastAsia"/>
                <w:i w:val="0"/>
                <w:iCs w:val="0"/>
                <w:sz w:val="21"/>
                <w:szCs w:val="21"/>
              </w:rPr>
              <w:t>51</w:t>
            </w:r>
          </w:p>
        </w:tc>
        <w:tc>
          <w:tcPr>
            <w:tcW w:w="1116" w:type="dxa"/>
            <w:tcBorders>
              <w:top w:val="single" w:color="auto" w:sz="4" w:space="0"/>
              <w:left w:val="single" w:color="auto" w:sz="4" w:space="0"/>
              <w:bottom w:val="single" w:color="auto" w:sz="4" w:space="0"/>
              <w:right w:val="nil"/>
            </w:tcBorders>
            <w:noWrap w:val="0"/>
            <w:vAlign w:val="center"/>
          </w:tcPr>
          <w:p>
            <w:pPr>
              <w:widowControl/>
              <w:jc w:val="center"/>
              <w:textAlignment w:val="center"/>
              <w:rPr>
                <w:i w:val="0"/>
                <w:iCs w:val="0"/>
                <w:sz w:val="21"/>
                <w:szCs w:val="21"/>
              </w:rPr>
            </w:pPr>
            <w:r>
              <w:rPr>
                <w:rFonts w:hint="eastAsia"/>
                <w:i w:val="0"/>
                <w:iCs w:val="0"/>
                <w:sz w:val="21"/>
                <w:szCs w:val="21"/>
              </w:rPr>
              <w:t>42</w:t>
            </w:r>
          </w:p>
        </w:tc>
      </w:tr>
    </w:tbl>
    <w:p>
      <w:pPr>
        <w:tabs>
          <w:tab w:val="right" w:pos="4628"/>
        </w:tabs>
        <w:spacing w:line="360" w:lineRule="auto"/>
        <w:ind w:firstLine="482"/>
        <w:rPr>
          <w:i w:val="0"/>
          <w:iCs w:val="0"/>
        </w:rPr>
      </w:pPr>
      <w:r>
        <w:rPr>
          <w:i w:val="0"/>
          <w:iCs w:val="0"/>
        </w:rPr>
        <w:t>根据表</w:t>
      </w:r>
      <w:r>
        <w:rPr>
          <w:rFonts w:hint="eastAsia"/>
          <w:i w:val="0"/>
          <w:iCs w:val="0"/>
        </w:rPr>
        <w:t>4-</w:t>
      </w:r>
      <w:r>
        <w:rPr>
          <w:rFonts w:hint="eastAsia"/>
          <w:i w:val="0"/>
          <w:iCs w:val="0"/>
          <w:lang w:val="en-US" w:eastAsia="zh-CN"/>
        </w:rPr>
        <w:t>6</w:t>
      </w:r>
      <w:r>
        <w:rPr>
          <w:i w:val="0"/>
          <w:iCs w:val="0"/>
        </w:rPr>
        <w:t>噪声监测分析，声环境质量现状评价结果表明，评价区区域内布设的</w:t>
      </w:r>
      <w:r>
        <w:rPr>
          <w:rFonts w:hint="eastAsia"/>
          <w:i w:val="0"/>
          <w:iCs w:val="0"/>
        </w:rPr>
        <w:t>5</w:t>
      </w:r>
      <w:r>
        <w:rPr>
          <w:i w:val="0"/>
          <w:iCs w:val="0"/>
        </w:rPr>
        <w:t>处监测点位的昼、夜间声环境监测值均满足《声环境质量标准》（GB3096-2008）中</w:t>
      </w:r>
      <w:r>
        <w:rPr>
          <w:rFonts w:hint="eastAsia"/>
          <w:i w:val="0"/>
          <w:iCs w:val="0"/>
          <w:lang w:val="en-US" w:eastAsia="zh-CN"/>
        </w:rPr>
        <w:t>2</w:t>
      </w:r>
      <w:r>
        <w:rPr>
          <w:i w:val="0"/>
          <w:iCs w:val="0"/>
        </w:rPr>
        <w:t>类区标准要求。</w:t>
      </w:r>
    </w:p>
    <w:p>
      <w:pPr>
        <w:tabs>
          <w:tab w:val="right" w:pos="4628"/>
        </w:tabs>
        <w:spacing w:line="360" w:lineRule="auto"/>
        <w:ind w:firstLine="480"/>
        <w:rPr>
          <w:i w:val="0"/>
          <w:iCs w:val="0"/>
        </w:rPr>
      </w:pPr>
      <w:r>
        <w:rPr>
          <w:rFonts w:hint="eastAsia"/>
          <w:i w:val="0"/>
          <w:iCs w:val="0"/>
        </w:rPr>
        <w:t>4</w:t>
      </w:r>
      <w:r>
        <w:rPr>
          <w:i w:val="0"/>
          <w:iCs w:val="0"/>
        </w:rPr>
        <w:t>.</w:t>
      </w:r>
      <w:r>
        <w:rPr>
          <w:rFonts w:hint="eastAsia"/>
          <w:i w:val="0"/>
          <w:iCs w:val="0"/>
        </w:rPr>
        <w:t>2</w:t>
      </w:r>
      <w:r>
        <w:rPr>
          <w:i w:val="0"/>
          <w:iCs w:val="0"/>
        </w:rPr>
        <w:t>.4地下水环境质量现状</w:t>
      </w:r>
    </w:p>
    <w:p>
      <w:pPr>
        <w:tabs>
          <w:tab w:val="right" w:pos="4628"/>
        </w:tabs>
        <w:spacing w:line="360" w:lineRule="auto"/>
        <w:ind w:firstLine="480"/>
        <w:rPr>
          <w:i w:val="0"/>
          <w:iCs w:val="0"/>
        </w:rPr>
      </w:pPr>
      <w:r>
        <w:rPr>
          <w:i w:val="0"/>
          <w:iCs w:val="0"/>
        </w:rPr>
        <w:t>1、监测点布设</w:t>
      </w:r>
    </w:p>
    <w:p>
      <w:pPr>
        <w:tabs>
          <w:tab w:val="left" w:pos="3622"/>
          <w:tab w:val="right" w:pos="4628"/>
        </w:tabs>
        <w:spacing w:line="360" w:lineRule="auto"/>
        <w:ind w:firstLine="480" w:firstLineChars="200"/>
        <w:rPr>
          <w:rFonts w:hint="eastAsia"/>
          <w:i w:val="0"/>
          <w:iCs w:val="0"/>
        </w:rPr>
      </w:pPr>
      <w:r>
        <w:rPr>
          <w:rFonts w:hint="eastAsia"/>
          <w:i w:val="0"/>
          <w:iCs w:val="0"/>
        </w:rPr>
        <w:t>项目所在区域地下水主要补给来源为大气降水补给、地表水补给及含水层之间的补给；地下水排泄方式有向河流泄流、蒸发及排向含水层等方式；由补给区向排泄区流动称作径流，径流特征总体来说从高处向低处流动。</w:t>
      </w:r>
    </w:p>
    <w:p>
      <w:pPr>
        <w:tabs>
          <w:tab w:val="left" w:pos="3622"/>
          <w:tab w:val="right" w:pos="4628"/>
        </w:tabs>
        <w:spacing w:line="360" w:lineRule="auto"/>
        <w:ind w:firstLine="480" w:firstLineChars="200"/>
        <w:rPr>
          <w:rFonts w:hint="eastAsia"/>
          <w:i w:val="0"/>
          <w:iCs w:val="0"/>
        </w:rPr>
      </w:pPr>
      <w:r>
        <w:rPr>
          <w:rFonts w:hint="eastAsia"/>
          <w:i w:val="0"/>
          <w:iCs w:val="0"/>
        </w:rPr>
        <w:t>根据《环境影响评价技术导则—地下水环境》（HJ610-2016），三级评价项目潜水含水层的水质监测点不少于3个，水位监测点宜大于水质监测点的2倍，结合评价区内地下水环境功能及水文特征，本项目在项目地及周边共设10个潜水地下水监测井，其中5个水位水质监测井，5个水位监测井，符合技术导则的布点要求。</w:t>
      </w:r>
    </w:p>
    <w:p>
      <w:pPr>
        <w:tabs>
          <w:tab w:val="left" w:pos="3622"/>
          <w:tab w:val="right" w:pos="4628"/>
        </w:tabs>
        <w:spacing w:line="360" w:lineRule="auto"/>
        <w:ind w:firstLine="480" w:firstLineChars="200"/>
        <w:rPr>
          <w:i w:val="0"/>
          <w:iCs w:val="0"/>
        </w:rPr>
      </w:pPr>
      <w:r>
        <w:rPr>
          <w:i w:val="0"/>
          <w:iCs w:val="0"/>
        </w:rPr>
        <w:t>根据建设项目所在地相关资料分析，初步</w:t>
      </w:r>
      <w:r>
        <w:rPr>
          <w:rFonts w:hint="eastAsia"/>
          <w:i w:val="0"/>
          <w:iCs w:val="0"/>
        </w:rPr>
        <w:t>判定</w:t>
      </w:r>
      <w:r>
        <w:rPr>
          <w:i w:val="0"/>
          <w:iCs w:val="0"/>
        </w:rPr>
        <w:t>区域地下水流向为</w:t>
      </w:r>
      <w:r>
        <w:rPr>
          <w:rFonts w:hint="eastAsia"/>
          <w:i w:val="0"/>
          <w:iCs w:val="0"/>
        </w:rPr>
        <w:t>西</w:t>
      </w:r>
      <w:r>
        <w:rPr>
          <w:rFonts w:hint="eastAsia"/>
          <w:i w:val="0"/>
          <w:iCs w:val="0"/>
          <w:lang w:eastAsia="zh-CN"/>
        </w:rPr>
        <w:t>北</w:t>
      </w:r>
      <w:r>
        <w:rPr>
          <w:rFonts w:hint="eastAsia"/>
          <w:i w:val="0"/>
          <w:iCs w:val="0"/>
        </w:rPr>
        <w:t>-东</w:t>
      </w:r>
      <w:r>
        <w:rPr>
          <w:rFonts w:hint="eastAsia"/>
          <w:i w:val="0"/>
          <w:iCs w:val="0"/>
          <w:lang w:eastAsia="zh-CN"/>
        </w:rPr>
        <w:t>南</w:t>
      </w:r>
      <w:r>
        <w:rPr>
          <w:rFonts w:hint="eastAsia"/>
          <w:i w:val="0"/>
          <w:iCs w:val="0"/>
        </w:rPr>
        <w:t>径流</w:t>
      </w:r>
      <w:r>
        <w:rPr>
          <w:i w:val="0"/>
          <w:iCs w:val="0"/>
        </w:rPr>
        <w:t>，地下水水质监测点见表</w:t>
      </w:r>
      <w:r>
        <w:rPr>
          <w:rFonts w:hint="eastAsia"/>
          <w:i w:val="0"/>
          <w:iCs w:val="0"/>
        </w:rPr>
        <w:t>4</w:t>
      </w:r>
      <w:r>
        <w:rPr>
          <w:i w:val="0"/>
          <w:iCs w:val="0"/>
        </w:rPr>
        <w:t>-</w:t>
      </w:r>
      <w:r>
        <w:rPr>
          <w:rFonts w:hint="eastAsia"/>
          <w:i w:val="0"/>
          <w:iCs w:val="0"/>
        </w:rPr>
        <w:t>7</w:t>
      </w:r>
      <w:r>
        <w:rPr>
          <w:i w:val="0"/>
          <w:iCs w:val="0"/>
        </w:rPr>
        <w:t>及</w:t>
      </w:r>
      <w:r>
        <w:rPr>
          <w:rFonts w:hint="eastAsia"/>
          <w:i w:val="0"/>
          <w:iCs w:val="0"/>
          <w:lang w:eastAsia="zh-CN"/>
        </w:rPr>
        <w:t>附</w:t>
      </w:r>
      <w:r>
        <w:rPr>
          <w:i w:val="0"/>
          <w:iCs w:val="0"/>
        </w:rPr>
        <w:t>图</w:t>
      </w:r>
      <w:r>
        <w:rPr>
          <w:rFonts w:hint="eastAsia"/>
          <w:i w:val="0"/>
          <w:iCs w:val="0"/>
        </w:rPr>
        <w:t>4-</w:t>
      </w:r>
      <w:r>
        <w:rPr>
          <w:rFonts w:hint="eastAsia"/>
          <w:i w:val="0"/>
          <w:iCs w:val="0"/>
          <w:lang w:val="en-US" w:eastAsia="zh-CN"/>
        </w:rPr>
        <w:t>5</w:t>
      </w:r>
      <w:r>
        <w:rPr>
          <w:rFonts w:hint="eastAsia"/>
          <w:i w:val="0"/>
          <w:iCs w:val="0"/>
          <w:lang w:eastAsia="zh-CN"/>
        </w:rPr>
        <w:t>，区域水文地质图详见附图</w:t>
      </w:r>
      <w:r>
        <w:rPr>
          <w:rFonts w:hint="eastAsia"/>
          <w:i w:val="0"/>
          <w:iCs w:val="0"/>
          <w:lang w:val="en-US" w:eastAsia="zh-CN"/>
        </w:rPr>
        <w:t>4-6</w:t>
      </w:r>
      <w:r>
        <w:rPr>
          <w:i w:val="0"/>
          <w:iCs w:val="0"/>
        </w:rPr>
        <w:t>。</w:t>
      </w:r>
    </w:p>
    <w:p>
      <w:pPr>
        <w:pStyle w:val="24"/>
        <w:spacing w:line="240" w:lineRule="auto"/>
        <w:rPr>
          <w:b/>
          <w:i w:val="0"/>
          <w:iCs w:val="0"/>
        </w:rPr>
      </w:pPr>
      <w:r>
        <w:rPr>
          <w:b/>
          <w:i w:val="0"/>
          <w:iCs w:val="0"/>
        </w:rPr>
        <w:t>表</w:t>
      </w:r>
      <w:r>
        <w:rPr>
          <w:rFonts w:hint="eastAsia"/>
          <w:b/>
          <w:i w:val="0"/>
          <w:iCs w:val="0"/>
        </w:rPr>
        <w:t>4</w:t>
      </w:r>
      <w:r>
        <w:rPr>
          <w:b/>
          <w:i w:val="0"/>
          <w:iCs w:val="0"/>
        </w:rPr>
        <w:t>-</w:t>
      </w:r>
      <w:r>
        <w:rPr>
          <w:rFonts w:hint="eastAsia"/>
          <w:b/>
          <w:i w:val="0"/>
          <w:iCs w:val="0"/>
        </w:rPr>
        <w:t>7</w:t>
      </w:r>
      <w:r>
        <w:rPr>
          <w:b/>
          <w:i w:val="0"/>
          <w:iCs w:val="0"/>
        </w:rPr>
        <w:t>地下水监测点布置一览表</w:t>
      </w:r>
    </w:p>
    <w:tbl>
      <w:tblPr>
        <w:tblStyle w:val="5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2581"/>
        <w:gridCol w:w="1570"/>
        <w:gridCol w:w="1812"/>
        <w:gridCol w:w="23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41" w:type="pct"/>
            <w:noWrap w:val="0"/>
            <w:vAlign w:val="center"/>
          </w:tcPr>
          <w:p>
            <w:pPr>
              <w:widowControl/>
              <w:jc w:val="center"/>
              <w:textAlignment w:val="center"/>
              <w:rPr>
                <w:i w:val="0"/>
                <w:iCs w:val="0"/>
                <w:sz w:val="21"/>
                <w:szCs w:val="21"/>
              </w:rPr>
            </w:pPr>
            <w:r>
              <w:rPr>
                <w:i w:val="0"/>
                <w:iCs w:val="0"/>
                <w:sz w:val="21"/>
                <w:szCs w:val="21"/>
              </w:rPr>
              <w:t>点号</w:t>
            </w:r>
          </w:p>
        </w:tc>
        <w:tc>
          <w:tcPr>
            <w:tcW w:w="1389" w:type="pct"/>
            <w:noWrap w:val="0"/>
            <w:vAlign w:val="center"/>
          </w:tcPr>
          <w:p>
            <w:pPr>
              <w:widowControl/>
              <w:jc w:val="center"/>
              <w:textAlignment w:val="center"/>
              <w:rPr>
                <w:i w:val="0"/>
                <w:iCs w:val="0"/>
                <w:sz w:val="21"/>
                <w:szCs w:val="21"/>
              </w:rPr>
            </w:pPr>
            <w:r>
              <w:rPr>
                <w:i w:val="0"/>
                <w:iCs w:val="0"/>
                <w:sz w:val="21"/>
                <w:szCs w:val="21"/>
              </w:rPr>
              <w:t>监测点</w:t>
            </w:r>
          </w:p>
        </w:tc>
        <w:tc>
          <w:tcPr>
            <w:tcW w:w="845" w:type="pct"/>
            <w:noWrap w:val="0"/>
            <w:vAlign w:val="center"/>
          </w:tcPr>
          <w:p>
            <w:pPr>
              <w:widowControl/>
              <w:jc w:val="center"/>
              <w:textAlignment w:val="center"/>
              <w:rPr>
                <w:i w:val="0"/>
                <w:iCs w:val="0"/>
                <w:sz w:val="21"/>
                <w:szCs w:val="21"/>
              </w:rPr>
            </w:pPr>
            <w:r>
              <w:rPr>
                <w:i w:val="0"/>
                <w:iCs w:val="0"/>
                <w:sz w:val="21"/>
                <w:szCs w:val="21"/>
              </w:rPr>
              <w:t>水位埋深（m）</w:t>
            </w:r>
          </w:p>
        </w:tc>
        <w:tc>
          <w:tcPr>
            <w:tcW w:w="975" w:type="pct"/>
            <w:noWrap w:val="0"/>
            <w:vAlign w:val="center"/>
          </w:tcPr>
          <w:p>
            <w:pPr>
              <w:widowControl/>
              <w:jc w:val="center"/>
              <w:textAlignment w:val="center"/>
              <w:rPr>
                <w:i w:val="0"/>
                <w:iCs w:val="0"/>
                <w:sz w:val="21"/>
                <w:szCs w:val="21"/>
              </w:rPr>
            </w:pPr>
            <w:r>
              <w:rPr>
                <w:i w:val="0"/>
                <w:iCs w:val="0"/>
                <w:sz w:val="21"/>
                <w:szCs w:val="21"/>
              </w:rPr>
              <w:t>类型</w:t>
            </w:r>
          </w:p>
        </w:tc>
        <w:tc>
          <w:tcPr>
            <w:tcW w:w="1247" w:type="pct"/>
            <w:noWrap w:val="0"/>
            <w:vAlign w:val="center"/>
          </w:tcPr>
          <w:p>
            <w:pPr>
              <w:widowControl/>
              <w:jc w:val="center"/>
              <w:textAlignment w:val="center"/>
              <w:rPr>
                <w:i w:val="0"/>
                <w:iCs w:val="0"/>
                <w:sz w:val="21"/>
                <w:szCs w:val="21"/>
              </w:rPr>
            </w:pPr>
            <w:r>
              <w:rPr>
                <w:i w:val="0"/>
                <w:iCs w:val="0"/>
                <w:sz w:val="21"/>
                <w:szCs w:val="21"/>
              </w:rPr>
              <w:t>布设目的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541" w:type="pct"/>
            <w:noWrap w:val="0"/>
            <w:vAlign w:val="center"/>
          </w:tcPr>
          <w:p>
            <w:pPr>
              <w:widowControl/>
              <w:jc w:val="center"/>
              <w:textAlignment w:val="center"/>
              <w:rPr>
                <w:i w:val="0"/>
                <w:iCs w:val="0"/>
                <w:sz w:val="21"/>
                <w:szCs w:val="21"/>
              </w:rPr>
            </w:pPr>
            <w:r>
              <w:rPr>
                <w:i w:val="0"/>
                <w:iCs w:val="0"/>
                <w:sz w:val="21"/>
                <w:szCs w:val="21"/>
              </w:rPr>
              <w:t>1#</w:t>
            </w:r>
          </w:p>
        </w:tc>
        <w:tc>
          <w:tcPr>
            <w:tcW w:w="1389" w:type="pct"/>
            <w:noWrap w:val="0"/>
            <w:vAlign w:val="center"/>
          </w:tcPr>
          <w:p>
            <w:pPr>
              <w:widowControl/>
              <w:jc w:val="center"/>
              <w:textAlignment w:val="center"/>
              <w:rPr>
                <w:i w:val="0"/>
                <w:iCs w:val="0"/>
                <w:sz w:val="21"/>
                <w:szCs w:val="21"/>
              </w:rPr>
            </w:pPr>
            <w:r>
              <w:rPr>
                <w:i w:val="0"/>
                <w:iCs w:val="0"/>
                <w:sz w:val="21"/>
                <w:szCs w:val="21"/>
              </w:rPr>
              <w:t>新华五组</w:t>
            </w:r>
          </w:p>
        </w:tc>
        <w:tc>
          <w:tcPr>
            <w:tcW w:w="845" w:type="pct"/>
            <w:noWrap w:val="0"/>
            <w:vAlign w:val="center"/>
          </w:tcPr>
          <w:p>
            <w:pPr>
              <w:widowControl/>
              <w:jc w:val="center"/>
              <w:textAlignment w:val="center"/>
              <w:rPr>
                <w:i w:val="0"/>
                <w:iCs w:val="0"/>
                <w:sz w:val="21"/>
                <w:szCs w:val="21"/>
              </w:rPr>
            </w:pPr>
            <w:r>
              <w:rPr>
                <w:i w:val="0"/>
                <w:iCs w:val="0"/>
                <w:sz w:val="21"/>
                <w:szCs w:val="21"/>
              </w:rPr>
              <w:t>7.6</w:t>
            </w:r>
          </w:p>
        </w:tc>
        <w:tc>
          <w:tcPr>
            <w:tcW w:w="975" w:type="pct"/>
            <w:noWrap w:val="0"/>
            <w:vAlign w:val="center"/>
          </w:tcPr>
          <w:p>
            <w:pPr>
              <w:widowControl/>
              <w:jc w:val="center"/>
              <w:textAlignment w:val="center"/>
              <w:rPr>
                <w:i w:val="0"/>
                <w:iCs w:val="0"/>
                <w:sz w:val="21"/>
                <w:szCs w:val="21"/>
              </w:rPr>
            </w:pPr>
            <w:r>
              <w:rPr>
                <w:i w:val="0"/>
                <w:iCs w:val="0"/>
                <w:sz w:val="21"/>
                <w:szCs w:val="21"/>
              </w:rPr>
              <w:t>潜水</w:t>
            </w:r>
          </w:p>
        </w:tc>
        <w:tc>
          <w:tcPr>
            <w:tcW w:w="1247" w:type="pct"/>
            <w:vMerge w:val="restart"/>
            <w:noWrap w:val="0"/>
            <w:vAlign w:val="center"/>
          </w:tcPr>
          <w:p>
            <w:pPr>
              <w:widowControl/>
              <w:jc w:val="center"/>
              <w:textAlignment w:val="center"/>
              <w:rPr>
                <w:i w:val="0"/>
                <w:iCs w:val="0"/>
                <w:sz w:val="21"/>
                <w:szCs w:val="21"/>
              </w:rPr>
            </w:pPr>
            <w:r>
              <w:rPr>
                <w:i w:val="0"/>
                <w:iCs w:val="0"/>
                <w:sz w:val="21"/>
                <w:szCs w:val="21"/>
              </w:rPr>
              <w:t>调查了解项目影响范围内潜水地下水水位现状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541" w:type="pct"/>
            <w:noWrap w:val="0"/>
            <w:vAlign w:val="center"/>
          </w:tcPr>
          <w:p>
            <w:pPr>
              <w:widowControl/>
              <w:jc w:val="center"/>
              <w:textAlignment w:val="center"/>
              <w:rPr>
                <w:i w:val="0"/>
                <w:iCs w:val="0"/>
                <w:sz w:val="21"/>
                <w:szCs w:val="21"/>
              </w:rPr>
            </w:pPr>
            <w:r>
              <w:rPr>
                <w:i w:val="0"/>
                <w:iCs w:val="0"/>
                <w:sz w:val="21"/>
                <w:szCs w:val="21"/>
              </w:rPr>
              <w:t>2#</w:t>
            </w:r>
          </w:p>
        </w:tc>
        <w:tc>
          <w:tcPr>
            <w:tcW w:w="1389" w:type="pct"/>
            <w:noWrap w:val="0"/>
            <w:vAlign w:val="center"/>
          </w:tcPr>
          <w:p>
            <w:pPr>
              <w:widowControl/>
              <w:jc w:val="center"/>
              <w:textAlignment w:val="center"/>
              <w:rPr>
                <w:i w:val="0"/>
                <w:iCs w:val="0"/>
                <w:sz w:val="21"/>
                <w:szCs w:val="21"/>
              </w:rPr>
            </w:pPr>
            <w:r>
              <w:rPr>
                <w:i w:val="0"/>
                <w:iCs w:val="0"/>
                <w:sz w:val="21"/>
                <w:szCs w:val="21"/>
              </w:rPr>
              <w:t>前台子</w:t>
            </w:r>
          </w:p>
        </w:tc>
        <w:tc>
          <w:tcPr>
            <w:tcW w:w="845" w:type="pct"/>
            <w:noWrap w:val="0"/>
            <w:vAlign w:val="center"/>
          </w:tcPr>
          <w:p>
            <w:pPr>
              <w:widowControl/>
              <w:jc w:val="center"/>
              <w:textAlignment w:val="center"/>
              <w:rPr>
                <w:i w:val="0"/>
                <w:iCs w:val="0"/>
                <w:sz w:val="21"/>
                <w:szCs w:val="21"/>
              </w:rPr>
            </w:pPr>
            <w:r>
              <w:rPr>
                <w:i w:val="0"/>
                <w:iCs w:val="0"/>
                <w:sz w:val="21"/>
                <w:szCs w:val="21"/>
              </w:rPr>
              <w:t>6.9</w:t>
            </w:r>
          </w:p>
        </w:tc>
        <w:tc>
          <w:tcPr>
            <w:tcW w:w="975" w:type="pct"/>
            <w:noWrap w:val="0"/>
            <w:vAlign w:val="center"/>
          </w:tcPr>
          <w:p>
            <w:pPr>
              <w:widowControl/>
              <w:jc w:val="center"/>
              <w:textAlignment w:val="center"/>
              <w:rPr>
                <w:i w:val="0"/>
                <w:iCs w:val="0"/>
                <w:sz w:val="21"/>
                <w:szCs w:val="21"/>
              </w:rPr>
            </w:pPr>
            <w:r>
              <w:rPr>
                <w:i w:val="0"/>
                <w:iCs w:val="0"/>
                <w:sz w:val="21"/>
                <w:szCs w:val="21"/>
              </w:rPr>
              <w:t>潜水</w:t>
            </w:r>
          </w:p>
        </w:tc>
        <w:tc>
          <w:tcPr>
            <w:tcW w:w="1247" w:type="pct"/>
            <w:vMerge w:val="continue"/>
            <w:noWrap w:val="0"/>
            <w:vAlign w:val="center"/>
          </w:tcPr>
          <w:p>
            <w:pPr>
              <w:widowControl/>
              <w:jc w:val="center"/>
              <w:textAlignment w:val="center"/>
              <w:rPr>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541" w:type="pct"/>
            <w:noWrap w:val="0"/>
            <w:vAlign w:val="center"/>
          </w:tcPr>
          <w:p>
            <w:pPr>
              <w:widowControl/>
              <w:jc w:val="center"/>
              <w:textAlignment w:val="center"/>
              <w:rPr>
                <w:i w:val="0"/>
                <w:iCs w:val="0"/>
                <w:sz w:val="21"/>
                <w:szCs w:val="21"/>
              </w:rPr>
            </w:pPr>
            <w:r>
              <w:rPr>
                <w:i w:val="0"/>
                <w:iCs w:val="0"/>
                <w:sz w:val="21"/>
                <w:szCs w:val="21"/>
              </w:rPr>
              <w:t>3#</w:t>
            </w:r>
          </w:p>
        </w:tc>
        <w:tc>
          <w:tcPr>
            <w:tcW w:w="1389" w:type="pct"/>
            <w:noWrap w:val="0"/>
            <w:vAlign w:val="center"/>
          </w:tcPr>
          <w:p>
            <w:pPr>
              <w:widowControl/>
              <w:jc w:val="center"/>
              <w:textAlignment w:val="center"/>
              <w:rPr>
                <w:i w:val="0"/>
                <w:iCs w:val="0"/>
                <w:sz w:val="21"/>
                <w:szCs w:val="21"/>
              </w:rPr>
            </w:pPr>
            <w:r>
              <w:rPr>
                <w:i w:val="0"/>
                <w:iCs w:val="0"/>
                <w:sz w:val="21"/>
                <w:szCs w:val="21"/>
              </w:rPr>
              <w:t>东小沟</w:t>
            </w:r>
          </w:p>
        </w:tc>
        <w:tc>
          <w:tcPr>
            <w:tcW w:w="845" w:type="pct"/>
            <w:noWrap w:val="0"/>
            <w:vAlign w:val="center"/>
          </w:tcPr>
          <w:p>
            <w:pPr>
              <w:widowControl/>
              <w:jc w:val="center"/>
              <w:textAlignment w:val="center"/>
              <w:rPr>
                <w:i w:val="0"/>
                <w:iCs w:val="0"/>
                <w:sz w:val="21"/>
                <w:szCs w:val="21"/>
              </w:rPr>
            </w:pPr>
            <w:r>
              <w:rPr>
                <w:i w:val="0"/>
                <w:iCs w:val="0"/>
                <w:sz w:val="21"/>
                <w:szCs w:val="21"/>
              </w:rPr>
              <w:t>8.7</w:t>
            </w:r>
          </w:p>
        </w:tc>
        <w:tc>
          <w:tcPr>
            <w:tcW w:w="975" w:type="pct"/>
            <w:noWrap w:val="0"/>
            <w:vAlign w:val="center"/>
          </w:tcPr>
          <w:p>
            <w:pPr>
              <w:widowControl/>
              <w:jc w:val="center"/>
              <w:textAlignment w:val="center"/>
              <w:rPr>
                <w:i w:val="0"/>
                <w:iCs w:val="0"/>
                <w:sz w:val="21"/>
                <w:szCs w:val="21"/>
              </w:rPr>
            </w:pPr>
            <w:r>
              <w:rPr>
                <w:i w:val="0"/>
                <w:iCs w:val="0"/>
                <w:sz w:val="21"/>
                <w:szCs w:val="21"/>
              </w:rPr>
              <w:t>潜水</w:t>
            </w:r>
          </w:p>
        </w:tc>
        <w:tc>
          <w:tcPr>
            <w:tcW w:w="1247" w:type="pct"/>
            <w:vMerge w:val="continue"/>
            <w:noWrap w:val="0"/>
            <w:vAlign w:val="center"/>
          </w:tcPr>
          <w:p>
            <w:pPr>
              <w:widowControl/>
              <w:jc w:val="center"/>
              <w:textAlignment w:val="center"/>
              <w:rPr>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541" w:type="pct"/>
            <w:noWrap w:val="0"/>
            <w:vAlign w:val="center"/>
          </w:tcPr>
          <w:p>
            <w:pPr>
              <w:widowControl/>
              <w:jc w:val="center"/>
              <w:textAlignment w:val="center"/>
              <w:rPr>
                <w:i w:val="0"/>
                <w:iCs w:val="0"/>
                <w:sz w:val="21"/>
                <w:szCs w:val="21"/>
              </w:rPr>
            </w:pPr>
            <w:r>
              <w:rPr>
                <w:i w:val="0"/>
                <w:iCs w:val="0"/>
                <w:sz w:val="21"/>
                <w:szCs w:val="21"/>
              </w:rPr>
              <w:t>4#</w:t>
            </w:r>
          </w:p>
        </w:tc>
        <w:tc>
          <w:tcPr>
            <w:tcW w:w="1389" w:type="pct"/>
            <w:noWrap w:val="0"/>
            <w:vAlign w:val="center"/>
          </w:tcPr>
          <w:p>
            <w:pPr>
              <w:widowControl/>
              <w:jc w:val="center"/>
              <w:textAlignment w:val="center"/>
              <w:rPr>
                <w:i w:val="0"/>
                <w:iCs w:val="0"/>
                <w:sz w:val="21"/>
                <w:szCs w:val="21"/>
              </w:rPr>
            </w:pPr>
            <w:r>
              <w:rPr>
                <w:i w:val="0"/>
                <w:iCs w:val="0"/>
                <w:sz w:val="21"/>
                <w:szCs w:val="21"/>
              </w:rPr>
              <w:t>廉家窑</w:t>
            </w:r>
          </w:p>
        </w:tc>
        <w:tc>
          <w:tcPr>
            <w:tcW w:w="845" w:type="pct"/>
            <w:noWrap w:val="0"/>
            <w:vAlign w:val="center"/>
          </w:tcPr>
          <w:p>
            <w:pPr>
              <w:widowControl/>
              <w:jc w:val="center"/>
              <w:textAlignment w:val="center"/>
              <w:rPr>
                <w:i w:val="0"/>
                <w:iCs w:val="0"/>
                <w:sz w:val="21"/>
                <w:szCs w:val="21"/>
              </w:rPr>
            </w:pPr>
            <w:r>
              <w:rPr>
                <w:i w:val="0"/>
                <w:iCs w:val="0"/>
                <w:sz w:val="21"/>
                <w:szCs w:val="21"/>
              </w:rPr>
              <w:t>8.8</w:t>
            </w:r>
          </w:p>
        </w:tc>
        <w:tc>
          <w:tcPr>
            <w:tcW w:w="975" w:type="pct"/>
            <w:noWrap w:val="0"/>
            <w:vAlign w:val="center"/>
          </w:tcPr>
          <w:p>
            <w:pPr>
              <w:widowControl/>
              <w:jc w:val="center"/>
              <w:textAlignment w:val="center"/>
              <w:rPr>
                <w:i w:val="0"/>
                <w:iCs w:val="0"/>
                <w:sz w:val="21"/>
                <w:szCs w:val="21"/>
              </w:rPr>
            </w:pPr>
            <w:r>
              <w:rPr>
                <w:i w:val="0"/>
                <w:iCs w:val="0"/>
                <w:sz w:val="21"/>
                <w:szCs w:val="21"/>
              </w:rPr>
              <w:t>潜水</w:t>
            </w:r>
          </w:p>
        </w:tc>
        <w:tc>
          <w:tcPr>
            <w:tcW w:w="1247" w:type="pct"/>
            <w:vMerge w:val="continue"/>
            <w:noWrap w:val="0"/>
            <w:vAlign w:val="center"/>
          </w:tcPr>
          <w:p>
            <w:pPr>
              <w:widowControl/>
              <w:jc w:val="center"/>
              <w:textAlignment w:val="center"/>
              <w:rPr>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541" w:type="pct"/>
            <w:noWrap w:val="0"/>
            <w:vAlign w:val="center"/>
          </w:tcPr>
          <w:p>
            <w:pPr>
              <w:widowControl/>
              <w:jc w:val="center"/>
              <w:textAlignment w:val="center"/>
              <w:rPr>
                <w:i w:val="0"/>
                <w:iCs w:val="0"/>
                <w:sz w:val="21"/>
                <w:szCs w:val="21"/>
              </w:rPr>
            </w:pPr>
            <w:r>
              <w:rPr>
                <w:i w:val="0"/>
                <w:iCs w:val="0"/>
                <w:sz w:val="21"/>
                <w:szCs w:val="21"/>
              </w:rPr>
              <w:t>5#</w:t>
            </w:r>
          </w:p>
        </w:tc>
        <w:tc>
          <w:tcPr>
            <w:tcW w:w="1389" w:type="pct"/>
            <w:noWrap w:val="0"/>
            <w:vAlign w:val="center"/>
          </w:tcPr>
          <w:p>
            <w:pPr>
              <w:widowControl/>
              <w:jc w:val="center"/>
              <w:textAlignment w:val="center"/>
              <w:rPr>
                <w:i w:val="0"/>
                <w:iCs w:val="0"/>
                <w:sz w:val="21"/>
                <w:szCs w:val="21"/>
              </w:rPr>
            </w:pPr>
            <w:r>
              <w:rPr>
                <w:i w:val="0"/>
                <w:iCs w:val="0"/>
                <w:sz w:val="21"/>
                <w:szCs w:val="21"/>
              </w:rPr>
              <w:t>木局沟</w:t>
            </w:r>
          </w:p>
        </w:tc>
        <w:tc>
          <w:tcPr>
            <w:tcW w:w="845" w:type="pct"/>
            <w:noWrap w:val="0"/>
            <w:vAlign w:val="center"/>
          </w:tcPr>
          <w:p>
            <w:pPr>
              <w:widowControl/>
              <w:jc w:val="center"/>
              <w:textAlignment w:val="center"/>
              <w:rPr>
                <w:i w:val="0"/>
                <w:iCs w:val="0"/>
                <w:sz w:val="21"/>
                <w:szCs w:val="21"/>
              </w:rPr>
            </w:pPr>
            <w:r>
              <w:rPr>
                <w:i w:val="0"/>
                <w:iCs w:val="0"/>
                <w:sz w:val="21"/>
                <w:szCs w:val="21"/>
              </w:rPr>
              <w:t>7.2</w:t>
            </w:r>
          </w:p>
        </w:tc>
        <w:tc>
          <w:tcPr>
            <w:tcW w:w="975" w:type="pct"/>
            <w:noWrap w:val="0"/>
            <w:vAlign w:val="center"/>
          </w:tcPr>
          <w:p>
            <w:pPr>
              <w:widowControl/>
              <w:jc w:val="center"/>
              <w:textAlignment w:val="center"/>
              <w:rPr>
                <w:i w:val="0"/>
                <w:iCs w:val="0"/>
                <w:sz w:val="21"/>
                <w:szCs w:val="21"/>
              </w:rPr>
            </w:pPr>
            <w:r>
              <w:rPr>
                <w:i w:val="0"/>
                <w:iCs w:val="0"/>
                <w:sz w:val="21"/>
                <w:szCs w:val="21"/>
              </w:rPr>
              <w:t>潜水</w:t>
            </w:r>
          </w:p>
        </w:tc>
        <w:tc>
          <w:tcPr>
            <w:tcW w:w="1247" w:type="pct"/>
            <w:vMerge w:val="continue"/>
            <w:noWrap w:val="0"/>
            <w:vAlign w:val="center"/>
          </w:tcPr>
          <w:p>
            <w:pPr>
              <w:widowControl/>
              <w:jc w:val="center"/>
              <w:textAlignment w:val="center"/>
              <w:rPr>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541" w:type="pct"/>
            <w:noWrap w:val="0"/>
            <w:vAlign w:val="center"/>
          </w:tcPr>
          <w:p>
            <w:pPr>
              <w:widowControl/>
              <w:jc w:val="center"/>
              <w:textAlignment w:val="center"/>
              <w:rPr>
                <w:i w:val="0"/>
                <w:iCs w:val="0"/>
                <w:sz w:val="21"/>
                <w:szCs w:val="21"/>
              </w:rPr>
            </w:pPr>
            <w:r>
              <w:rPr>
                <w:i w:val="0"/>
                <w:iCs w:val="0"/>
                <w:sz w:val="21"/>
                <w:szCs w:val="21"/>
              </w:rPr>
              <w:t>6#</w:t>
            </w:r>
          </w:p>
        </w:tc>
        <w:tc>
          <w:tcPr>
            <w:tcW w:w="1389" w:type="pct"/>
            <w:noWrap w:val="0"/>
            <w:vAlign w:val="center"/>
          </w:tcPr>
          <w:p>
            <w:pPr>
              <w:widowControl/>
              <w:jc w:val="center"/>
              <w:textAlignment w:val="center"/>
              <w:rPr>
                <w:i w:val="0"/>
                <w:iCs w:val="0"/>
                <w:sz w:val="21"/>
                <w:szCs w:val="21"/>
              </w:rPr>
            </w:pPr>
            <w:r>
              <w:rPr>
                <w:i w:val="0"/>
                <w:iCs w:val="0"/>
                <w:sz w:val="21"/>
                <w:szCs w:val="21"/>
              </w:rPr>
              <w:t>后石砬子</w:t>
            </w:r>
          </w:p>
        </w:tc>
        <w:tc>
          <w:tcPr>
            <w:tcW w:w="845" w:type="pct"/>
            <w:noWrap w:val="0"/>
            <w:vAlign w:val="center"/>
          </w:tcPr>
          <w:p>
            <w:pPr>
              <w:widowControl/>
              <w:jc w:val="center"/>
              <w:textAlignment w:val="center"/>
              <w:rPr>
                <w:i w:val="0"/>
                <w:iCs w:val="0"/>
                <w:sz w:val="21"/>
                <w:szCs w:val="21"/>
              </w:rPr>
            </w:pPr>
            <w:r>
              <w:rPr>
                <w:i w:val="0"/>
                <w:iCs w:val="0"/>
                <w:sz w:val="21"/>
                <w:szCs w:val="21"/>
              </w:rPr>
              <w:t>9.0</w:t>
            </w:r>
          </w:p>
        </w:tc>
        <w:tc>
          <w:tcPr>
            <w:tcW w:w="975" w:type="pct"/>
            <w:noWrap w:val="0"/>
            <w:vAlign w:val="center"/>
          </w:tcPr>
          <w:p>
            <w:pPr>
              <w:widowControl/>
              <w:jc w:val="center"/>
              <w:textAlignment w:val="center"/>
              <w:rPr>
                <w:i w:val="0"/>
                <w:iCs w:val="0"/>
                <w:sz w:val="21"/>
                <w:szCs w:val="21"/>
              </w:rPr>
            </w:pPr>
            <w:r>
              <w:rPr>
                <w:i w:val="0"/>
                <w:iCs w:val="0"/>
                <w:sz w:val="21"/>
                <w:szCs w:val="21"/>
              </w:rPr>
              <w:t>潜水</w:t>
            </w:r>
          </w:p>
        </w:tc>
        <w:tc>
          <w:tcPr>
            <w:tcW w:w="1247" w:type="pct"/>
            <w:vMerge w:val="continue"/>
            <w:noWrap w:val="0"/>
            <w:vAlign w:val="center"/>
          </w:tcPr>
          <w:p>
            <w:pPr>
              <w:widowControl/>
              <w:jc w:val="center"/>
              <w:textAlignment w:val="center"/>
              <w:rPr>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541" w:type="pct"/>
            <w:noWrap w:val="0"/>
            <w:vAlign w:val="center"/>
          </w:tcPr>
          <w:p>
            <w:pPr>
              <w:widowControl/>
              <w:jc w:val="center"/>
              <w:textAlignment w:val="center"/>
              <w:rPr>
                <w:i w:val="0"/>
                <w:iCs w:val="0"/>
                <w:sz w:val="21"/>
                <w:szCs w:val="21"/>
              </w:rPr>
            </w:pPr>
            <w:r>
              <w:rPr>
                <w:i w:val="0"/>
                <w:iCs w:val="0"/>
                <w:sz w:val="21"/>
                <w:szCs w:val="21"/>
              </w:rPr>
              <w:t>7#</w:t>
            </w:r>
          </w:p>
        </w:tc>
        <w:tc>
          <w:tcPr>
            <w:tcW w:w="1389" w:type="pct"/>
            <w:noWrap w:val="0"/>
            <w:vAlign w:val="center"/>
          </w:tcPr>
          <w:p>
            <w:pPr>
              <w:widowControl/>
              <w:jc w:val="center"/>
              <w:textAlignment w:val="center"/>
              <w:rPr>
                <w:i w:val="0"/>
                <w:iCs w:val="0"/>
                <w:sz w:val="21"/>
                <w:szCs w:val="21"/>
              </w:rPr>
            </w:pPr>
            <w:r>
              <w:rPr>
                <w:i w:val="0"/>
                <w:iCs w:val="0"/>
                <w:sz w:val="21"/>
                <w:szCs w:val="21"/>
              </w:rPr>
              <w:t>青沟子门</w:t>
            </w:r>
          </w:p>
        </w:tc>
        <w:tc>
          <w:tcPr>
            <w:tcW w:w="845" w:type="pct"/>
            <w:noWrap w:val="0"/>
            <w:vAlign w:val="center"/>
          </w:tcPr>
          <w:p>
            <w:pPr>
              <w:widowControl/>
              <w:jc w:val="center"/>
              <w:textAlignment w:val="center"/>
              <w:rPr>
                <w:i w:val="0"/>
                <w:iCs w:val="0"/>
                <w:sz w:val="21"/>
                <w:szCs w:val="21"/>
              </w:rPr>
            </w:pPr>
            <w:r>
              <w:rPr>
                <w:i w:val="0"/>
                <w:iCs w:val="0"/>
                <w:sz w:val="21"/>
                <w:szCs w:val="21"/>
              </w:rPr>
              <w:t>7.6</w:t>
            </w:r>
          </w:p>
        </w:tc>
        <w:tc>
          <w:tcPr>
            <w:tcW w:w="975" w:type="pct"/>
            <w:noWrap w:val="0"/>
            <w:vAlign w:val="center"/>
          </w:tcPr>
          <w:p>
            <w:pPr>
              <w:widowControl/>
              <w:jc w:val="center"/>
              <w:textAlignment w:val="center"/>
              <w:rPr>
                <w:i w:val="0"/>
                <w:iCs w:val="0"/>
                <w:sz w:val="21"/>
                <w:szCs w:val="21"/>
              </w:rPr>
            </w:pPr>
            <w:r>
              <w:rPr>
                <w:i w:val="0"/>
                <w:iCs w:val="0"/>
                <w:sz w:val="21"/>
                <w:szCs w:val="21"/>
              </w:rPr>
              <w:t>潜水</w:t>
            </w:r>
          </w:p>
        </w:tc>
        <w:tc>
          <w:tcPr>
            <w:tcW w:w="1247" w:type="pct"/>
            <w:vMerge w:val="continue"/>
            <w:noWrap w:val="0"/>
            <w:vAlign w:val="center"/>
          </w:tcPr>
          <w:p>
            <w:pPr>
              <w:widowControl/>
              <w:jc w:val="center"/>
              <w:textAlignment w:val="center"/>
              <w:rPr>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541" w:type="pct"/>
            <w:noWrap w:val="0"/>
            <w:vAlign w:val="center"/>
          </w:tcPr>
          <w:p>
            <w:pPr>
              <w:widowControl/>
              <w:jc w:val="center"/>
              <w:textAlignment w:val="center"/>
              <w:rPr>
                <w:i w:val="0"/>
                <w:iCs w:val="0"/>
                <w:sz w:val="21"/>
                <w:szCs w:val="21"/>
              </w:rPr>
            </w:pPr>
            <w:r>
              <w:rPr>
                <w:i w:val="0"/>
                <w:iCs w:val="0"/>
                <w:sz w:val="21"/>
                <w:szCs w:val="21"/>
              </w:rPr>
              <w:t>8#</w:t>
            </w:r>
          </w:p>
        </w:tc>
        <w:tc>
          <w:tcPr>
            <w:tcW w:w="1389" w:type="pct"/>
            <w:noWrap w:val="0"/>
            <w:vAlign w:val="center"/>
          </w:tcPr>
          <w:p>
            <w:pPr>
              <w:widowControl/>
              <w:jc w:val="center"/>
              <w:textAlignment w:val="center"/>
              <w:rPr>
                <w:i w:val="0"/>
                <w:iCs w:val="0"/>
                <w:sz w:val="21"/>
                <w:szCs w:val="21"/>
              </w:rPr>
            </w:pPr>
            <w:r>
              <w:rPr>
                <w:i w:val="0"/>
                <w:iCs w:val="0"/>
                <w:sz w:val="21"/>
                <w:szCs w:val="21"/>
              </w:rPr>
              <w:t>黄家沟</w:t>
            </w:r>
          </w:p>
        </w:tc>
        <w:tc>
          <w:tcPr>
            <w:tcW w:w="845" w:type="pct"/>
            <w:noWrap w:val="0"/>
            <w:vAlign w:val="center"/>
          </w:tcPr>
          <w:p>
            <w:pPr>
              <w:widowControl/>
              <w:jc w:val="center"/>
              <w:textAlignment w:val="center"/>
              <w:rPr>
                <w:i w:val="0"/>
                <w:iCs w:val="0"/>
                <w:sz w:val="21"/>
                <w:szCs w:val="21"/>
              </w:rPr>
            </w:pPr>
            <w:r>
              <w:rPr>
                <w:i w:val="0"/>
                <w:iCs w:val="0"/>
                <w:sz w:val="21"/>
                <w:szCs w:val="21"/>
              </w:rPr>
              <w:t>6.8</w:t>
            </w:r>
          </w:p>
        </w:tc>
        <w:tc>
          <w:tcPr>
            <w:tcW w:w="975" w:type="pct"/>
            <w:noWrap w:val="0"/>
            <w:vAlign w:val="center"/>
          </w:tcPr>
          <w:p>
            <w:pPr>
              <w:widowControl/>
              <w:jc w:val="center"/>
              <w:textAlignment w:val="center"/>
              <w:rPr>
                <w:i w:val="0"/>
                <w:iCs w:val="0"/>
                <w:sz w:val="21"/>
                <w:szCs w:val="21"/>
              </w:rPr>
            </w:pPr>
            <w:r>
              <w:rPr>
                <w:i w:val="0"/>
                <w:iCs w:val="0"/>
                <w:sz w:val="21"/>
                <w:szCs w:val="21"/>
              </w:rPr>
              <w:t>潜水</w:t>
            </w:r>
          </w:p>
        </w:tc>
        <w:tc>
          <w:tcPr>
            <w:tcW w:w="1247" w:type="pct"/>
            <w:vMerge w:val="continue"/>
            <w:noWrap w:val="0"/>
            <w:vAlign w:val="center"/>
          </w:tcPr>
          <w:p>
            <w:pPr>
              <w:widowControl/>
              <w:jc w:val="center"/>
              <w:textAlignment w:val="center"/>
              <w:rPr>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541" w:type="pct"/>
            <w:noWrap w:val="0"/>
            <w:vAlign w:val="center"/>
          </w:tcPr>
          <w:p>
            <w:pPr>
              <w:widowControl/>
              <w:jc w:val="center"/>
              <w:textAlignment w:val="center"/>
              <w:rPr>
                <w:i w:val="0"/>
                <w:iCs w:val="0"/>
                <w:sz w:val="21"/>
                <w:szCs w:val="21"/>
              </w:rPr>
            </w:pPr>
            <w:r>
              <w:rPr>
                <w:i w:val="0"/>
                <w:iCs w:val="0"/>
                <w:sz w:val="21"/>
                <w:szCs w:val="21"/>
              </w:rPr>
              <w:t>9#</w:t>
            </w:r>
          </w:p>
        </w:tc>
        <w:tc>
          <w:tcPr>
            <w:tcW w:w="1389" w:type="pct"/>
            <w:noWrap w:val="0"/>
            <w:vAlign w:val="center"/>
          </w:tcPr>
          <w:p>
            <w:pPr>
              <w:widowControl/>
              <w:jc w:val="center"/>
              <w:textAlignment w:val="center"/>
              <w:rPr>
                <w:i w:val="0"/>
                <w:iCs w:val="0"/>
                <w:sz w:val="21"/>
                <w:szCs w:val="21"/>
              </w:rPr>
            </w:pPr>
            <w:r>
              <w:rPr>
                <w:i w:val="0"/>
                <w:iCs w:val="0"/>
                <w:sz w:val="21"/>
                <w:szCs w:val="21"/>
              </w:rPr>
              <w:t>霸王村三队</w:t>
            </w:r>
          </w:p>
        </w:tc>
        <w:tc>
          <w:tcPr>
            <w:tcW w:w="845" w:type="pct"/>
            <w:noWrap w:val="0"/>
            <w:vAlign w:val="center"/>
          </w:tcPr>
          <w:p>
            <w:pPr>
              <w:widowControl/>
              <w:jc w:val="center"/>
              <w:textAlignment w:val="center"/>
              <w:rPr>
                <w:i w:val="0"/>
                <w:iCs w:val="0"/>
                <w:sz w:val="21"/>
                <w:szCs w:val="21"/>
              </w:rPr>
            </w:pPr>
            <w:r>
              <w:rPr>
                <w:i w:val="0"/>
                <w:iCs w:val="0"/>
                <w:sz w:val="21"/>
                <w:szCs w:val="21"/>
              </w:rPr>
              <w:t>6.5</w:t>
            </w:r>
          </w:p>
        </w:tc>
        <w:tc>
          <w:tcPr>
            <w:tcW w:w="975" w:type="pct"/>
            <w:noWrap w:val="0"/>
            <w:vAlign w:val="center"/>
          </w:tcPr>
          <w:p>
            <w:pPr>
              <w:widowControl/>
              <w:jc w:val="center"/>
              <w:textAlignment w:val="center"/>
              <w:rPr>
                <w:i w:val="0"/>
                <w:iCs w:val="0"/>
                <w:sz w:val="21"/>
                <w:szCs w:val="21"/>
              </w:rPr>
            </w:pPr>
            <w:r>
              <w:rPr>
                <w:i w:val="0"/>
                <w:iCs w:val="0"/>
                <w:sz w:val="21"/>
                <w:szCs w:val="21"/>
              </w:rPr>
              <w:t>潜水</w:t>
            </w:r>
          </w:p>
        </w:tc>
        <w:tc>
          <w:tcPr>
            <w:tcW w:w="1247" w:type="pct"/>
            <w:vMerge w:val="continue"/>
            <w:noWrap w:val="0"/>
            <w:vAlign w:val="center"/>
          </w:tcPr>
          <w:p>
            <w:pPr>
              <w:widowControl/>
              <w:jc w:val="center"/>
              <w:textAlignment w:val="center"/>
              <w:rPr>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541" w:type="pct"/>
            <w:noWrap w:val="0"/>
            <w:vAlign w:val="center"/>
          </w:tcPr>
          <w:p>
            <w:pPr>
              <w:widowControl/>
              <w:jc w:val="center"/>
              <w:textAlignment w:val="center"/>
              <w:rPr>
                <w:i w:val="0"/>
                <w:iCs w:val="0"/>
                <w:sz w:val="21"/>
                <w:szCs w:val="21"/>
              </w:rPr>
            </w:pPr>
            <w:r>
              <w:rPr>
                <w:i w:val="0"/>
                <w:iCs w:val="0"/>
                <w:sz w:val="21"/>
                <w:szCs w:val="21"/>
              </w:rPr>
              <w:t>10#</w:t>
            </w:r>
          </w:p>
        </w:tc>
        <w:tc>
          <w:tcPr>
            <w:tcW w:w="1389" w:type="pct"/>
            <w:noWrap w:val="0"/>
            <w:vAlign w:val="center"/>
          </w:tcPr>
          <w:p>
            <w:pPr>
              <w:widowControl/>
              <w:jc w:val="center"/>
              <w:textAlignment w:val="center"/>
              <w:rPr>
                <w:i w:val="0"/>
                <w:iCs w:val="0"/>
                <w:sz w:val="21"/>
                <w:szCs w:val="21"/>
              </w:rPr>
            </w:pPr>
            <w:r>
              <w:rPr>
                <w:i w:val="0"/>
                <w:iCs w:val="0"/>
                <w:sz w:val="21"/>
                <w:szCs w:val="21"/>
              </w:rPr>
              <w:t>沟门</w:t>
            </w:r>
          </w:p>
        </w:tc>
        <w:tc>
          <w:tcPr>
            <w:tcW w:w="845" w:type="pct"/>
            <w:noWrap w:val="0"/>
            <w:vAlign w:val="center"/>
          </w:tcPr>
          <w:p>
            <w:pPr>
              <w:widowControl/>
              <w:jc w:val="center"/>
              <w:textAlignment w:val="center"/>
              <w:rPr>
                <w:i w:val="0"/>
                <w:iCs w:val="0"/>
                <w:sz w:val="21"/>
                <w:szCs w:val="21"/>
              </w:rPr>
            </w:pPr>
            <w:r>
              <w:rPr>
                <w:i w:val="0"/>
                <w:iCs w:val="0"/>
                <w:sz w:val="21"/>
                <w:szCs w:val="21"/>
              </w:rPr>
              <w:t>7.8</w:t>
            </w:r>
          </w:p>
        </w:tc>
        <w:tc>
          <w:tcPr>
            <w:tcW w:w="975" w:type="pct"/>
            <w:noWrap w:val="0"/>
            <w:vAlign w:val="center"/>
          </w:tcPr>
          <w:p>
            <w:pPr>
              <w:widowControl/>
              <w:jc w:val="center"/>
              <w:textAlignment w:val="center"/>
              <w:rPr>
                <w:i w:val="0"/>
                <w:iCs w:val="0"/>
                <w:sz w:val="21"/>
                <w:szCs w:val="21"/>
              </w:rPr>
            </w:pPr>
            <w:r>
              <w:rPr>
                <w:i w:val="0"/>
                <w:iCs w:val="0"/>
                <w:sz w:val="21"/>
                <w:szCs w:val="21"/>
              </w:rPr>
              <w:t>潜水</w:t>
            </w:r>
          </w:p>
        </w:tc>
        <w:tc>
          <w:tcPr>
            <w:tcW w:w="1247" w:type="pct"/>
            <w:vMerge w:val="continue"/>
            <w:noWrap w:val="0"/>
            <w:vAlign w:val="center"/>
          </w:tcPr>
          <w:p>
            <w:pPr>
              <w:widowControl/>
              <w:jc w:val="center"/>
              <w:textAlignment w:val="center"/>
              <w:rPr>
                <w:i w:val="0"/>
                <w:iCs w:val="0"/>
                <w:sz w:val="21"/>
                <w:szCs w:val="21"/>
              </w:rPr>
            </w:pPr>
          </w:p>
        </w:tc>
      </w:tr>
    </w:tbl>
    <w:p>
      <w:pPr>
        <w:tabs>
          <w:tab w:val="right" w:pos="4628"/>
        </w:tabs>
        <w:spacing w:line="360" w:lineRule="auto"/>
        <w:ind w:firstLine="482"/>
        <w:rPr>
          <w:rFonts w:hint="eastAsia"/>
          <w:i w:val="0"/>
          <w:iCs w:val="0"/>
          <w:sz w:val="21"/>
          <w:szCs w:val="21"/>
        </w:rPr>
      </w:pPr>
      <w:r>
        <w:rPr>
          <w:rFonts w:hint="eastAsia"/>
          <w:i w:val="0"/>
          <w:iCs w:val="0"/>
          <w:sz w:val="21"/>
          <w:szCs w:val="21"/>
        </w:rPr>
        <w:t>备注：根据地下水流向，东侧为地下水流向下游区域</w:t>
      </w:r>
    </w:p>
    <w:p>
      <w:pPr>
        <w:tabs>
          <w:tab w:val="right" w:pos="4628"/>
        </w:tabs>
        <w:spacing w:line="360" w:lineRule="auto"/>
        <w:ind w:firstLine="482"/>
        <w:rPr>
          <w:i w:val="0"/>
          <w:iCs w:val="0"/>
        </w:rPr>
      </w:pPr>
      <w:r>
        <w:rPr>
          <w:i w:val="0"/>
          <w:iCs w:val="0"/>
        </w:rPr>
        <w:t>2、监测因子</w:t>
      </w:r>
    </w:p>
    <w:p>
      <w:pPr>
        <w:spacing w:line="360" w:lineRule="auto"/>
        <w:ind w:firstLine="480" w:firstLineChars="200"/>
        <w:rPr>
          <w:i w:val="0"/>
          <w:iCs w:val="0"/>
        </w:rPr>
      </w:pPr>
      <w:r>
        <w:rPr>
          <w:i w:val="0"/>
          <w:iCs w:val="0"/>
        </w:rPr>
        <w:t>1、2、3</w:t>
      </w:r>
      <w:r>
        <w:rPr>
          <w:rFonts w:hint="eastAsia"/>
          <w:i w:val="0"/>
          <w:iCs w:val="0"/>
        </w:rPr>
        <w:t>、4、5</w:t>
      </w:r>
      <w:r>
        <w:rPr>
          <w:i w:val="0"/>
          <w:iCs w:val="0"/>
        </w:rPr>
        <w:t>#点位监测K</w:t>
      </w:r>
      <w:r>
        <w:rPr>
          <w:i w:val="0"/>
          <w:iCs w:val="0"/>
          <w:vertAlign w:val="superscript"/>
        </w:rPr>
        <w:t>+</w:t>
      </w:r>
      <w:r>
        <w:rPr>
          <w:i w:val="0"/>
          <w:iCs w:val="0"/>
        </w:rPr>
        <w:t>、Na</w:t>
      </w:r>
      <w:r>
        <w:rPr>
          <w:i w:val="0"/>
          <w:iCs w:val="0"/>
          <w:vertAlign w:val="superscript"/>
        </w:rPr>
        <w:t>+</w:t>
      </w:r>
      <w:r>
        <w:rPr>
          <w:i w:val="0"/>
          <w:iCs w:val="0"/>
        </w:rPr>
        <w:t>、Ca</w:t>
      </w:r>
      <w:r>
        <w:rPr>
          <w:i w:val="0"/>
          <w:iCs w:val="0"/>
          <w:vertAlign w:val="superscript"/>
        </w:rPr>
        <w:t>2+</w:t>
      </w:r>
      <w:r>
        <w:rPr>
          <w:i w:val="0"/>
          <w:iCs w:val="0"/>
        </w:rPr>
        <w:t>、Mg</w:t>
      </w:r>
      <w:r>
        <w:rPr>
          <w:i w:val="0"/>
          <w:iCs w:val="0"/>
          <w:vertAlign w:val="superscript"/>
        </w:rPr>
        <w:t>2+</w:t>
      </w:r>
      <w:r>
        <w:rPr>
          <w:i w:val="0"/>
          <w:iCs w:val="0"/>
        </w:rPr>
        <w:t>、CO</w:t>
      </w:r>
      <w:r>
        <w:rPr>
          <w:i w:val="0"/>
          <w:iCs w:val="0"/>
          <w:vertAlign w:val="subscript"/>
        </w:rPr>
        <w:t>3</w:t>
      </w:r>
      <w:r>
        <w:rPr>
          <w:i w:val="0"/>
          <w:iCs w:val="0"/>
          <w:vertAlign w:val="superscript"/>
        </w:rPr>
        <w:t>2-</w:t>
      </w:r>
      <w:r>
        <w:rPr>
          <w:i w:val="0"/>
          <w:iCs w:val="0"/>
        </w:rPr>
        <w:t>、HCO</w:t>
      </w:r>
      <w:r>
        <w:rPr>
          <w:i w:val="0"/>
          <w:iCs w:val="0"/>
          <w:vertAlign w:val="superscript"/>
        </w:rPr>
        <w:t>3-</w:t>
      </w:r>
      <w:r>
        <w:rPr>
          <w:i w:val="0"/>
          <w:iCs w:val="0"/>
        </w:rPr>
        <w:t>、CI</w:t>
      </w:r>
      <w:r>
        <w:rPr>
          <w:i w:val="0"/>
          <w:iCs w:val="0"/>
          <w:vertAlign w:val="superscript"/>
        </w:rPr>
        <w:t>-</w:t>
      </w:r>
      <w:r>
        <w:rPr>
          <w:i w:val="0"/>
          <w:iCs w:val="0"/>
        </w:rPr>
        <w:t>、SO4</w:t>
      </w:r>
      <w:r>
        <w:rPr>
          <w:i w:val="0"/>
          <w:iCs w:val="0"/>
          <w:vertAlign w:val="superscript"/>
        </w:rPr>
        <w:t>2-</w:t>
      </w:r>
      <w:r>
        <w:rPr>
          <w:i w:val="0"/>
          <w:iCs w:val="0"/>
        </w:rPr>
        <w:t>、pH、总硬度、溶解性总固体、硫酸盐、氯化物、挥发性酚类、阴离子表面活性剂、耗氧量、总大肠杆菌、氨氮共18项指标。</w:t>
      </w:r>
    </w:p>
    <w:p>
      <w:pPr>
        <w:tabs>
          <w:tab w:val="right" w:pos="4628"/>
        </w:tabs>
        <w:spacing w:line="360" w:lineRule="auto"/>
        <w:ind w:firstLine="480" w:firstLineChars="200"/>
        <w:rPr>
          <w:i w:val="0"/>
          <w:iCs w:val="0"/>
          <w:sz w:val="26"/>
          <w:szCs w:val="26"/>
        </w:rPr>
      </w:pPr>
      <w:r>
        <w:rPr>
          <w:i w:val="0"/>
          <w:iCs w:val="0"/>
        </w:rPr>
        <w:t>1#-</w:t>
      </w:r>
      <w:r>
        <w:rPr>
          <w:rFonts w:hint="eastAsia"/>
          <w:i w:val="0"/>
          <w:iCs w:val="0"/>
        </w:rPr>
        <w:t>10</w:t>
      </w:r>
      <w:r>
        <w:rPr>
          <w:i w:val="0"/>
          <w:iCs w:val="0"/>
        </w:rPr>
        <w:t>#均监测水位。</w:t>
      </w:r>
    </w:p>
    <w:p>
      <w:pPr>
        <w:tabs>
          <w:tab w:val="right" w:pos="4628"/>
        </w:tabs>
        <w:spacing w:line="360" w:lineRule="auto"/>
        <w:ind w:firstLine="482"/>
        <w:rPr>
          <w:i w:val="0"/>
          <w:iCs w:val="0"/>
        </w:rPr>
      </w:pPr>
      <w:r>
        <w:rPr>
          <w:i w:val="0"/>
          <w:iCs w:val="0"/>
        </w:rPr>
        <w:t>3、监测时间及频次</w:t>
      </w:r>
    </w:p>
    <w:p>
      <w:pPr>
        <w:spacing w:line="360" w:lineRule="auto"/>
        <w:ind w:firstLine="480" w:firstLineChars="200"/>
        <w:rPr>
          <w:rFonts w:hint="eastAsia"/>
          <w:i w:val="0"/>
          <w:iCs w:val="0"/>
        </w:rPr>
      </w:pPr>
      <w:r>
        <w:rPr>
          <w:rFonts w:hint="eastAsia"/>
          <w:i w:val="0"/>
          <w:iCs w:val="0"/>
        </w:rPr>
        <w:t>本次评价1-10#采用</w:t>
      </w:r>
      <w:r>
        <w:rPr>
          <w:i w:val="0"/>
          <w:iCs w:val="0"/>
        </w:rPr>
        <w:t>吉林省鑫誉环境检测有限公司</w:t>
      </w:r>
      <w:r>
        <w:rPr>
          <w:rFonts w:hint="eastAsia"/>
          <w:i w:val="0"/>
          <w:iCs w:val="0"/>
        </w:rPr>
        <w:t>2024年7月8日监测的数据。</w:t>
      </w:r>
    </w:p>
    <w:p>
      <w:pPr>
        <w:tabs>
          <w:tab w:val="right" w:pos="4628"/>
        </w:tabs>
        <w:spacing w:line="360" w:lineRule="auto"/>
        <w:ind w:firstLine="482"/>
        <w:rPr>
          <w:i w:val="0"/>
          <w:iCs w:val="0"/>
        </w:rPr>
      </w:pPr>
      <w:r>
        <w:rPr>
          <w:i w:val="0"/>
          <w:iCs w:val="0"/>
        </w:rPr>
        <w:t>4、监测分析方法</w:t>
      </w:r>
    </w:p>
    <w:p>
      <w:pPr>
        <w:tabs>
          <w:tab w:val="right" w:pos="4628"/>
        </w:tabs>
        <w:spacing w:line="360" w:lineRule="auto"/>
        <w:ind w:firstLine="482"/>
        <w:rPr>
          <w:i w:val="0"/>
          <w:iCs w:val="0"/>
        </w:rPr>
      </w:pPr>
      <w:r>
        <w:rPr>
          <w:i w:val="0"/>
          <w:iCs w:val="0"/>
        </w:rPr>
        <w:t>按《水和废水监测分析方法(增补版)》（第四版）执行。</w:t>
      </w:r>
    </w:p>
    <w:p>
      <w:pPr>
        <w:tabs>
          <w:tab w:val="right" w:pos="4628"/>
        </w:tabs>
        <w:spacing w:line="360" w:lineRule="auto"/>
        <w:ind w:firstLine="482"/>
        <w:rPr>
          <w:i w:val="0"/>
          <w:iCs w:val="0"/>
        </w:rPr>
      </w:pPr>
      <w:r>
        <w:rPr>
          <w:i w:val="0"/>
          <w:iCs w:val="0"/>
        </w:rPr>
        <w:t>5、评价标准</w:t>
      </w:r>
    </w:p>
    <w:p>
      <w:pPr>
        <w:tabs>
          <w:tab w:val="right" w:pos="4628"/>
        </w:tabs>
        <w:spacing w:line="360" w:lineRule="auto"/>
        <w:ind w:firstLine="482"/>
        <w:rPr>
          <w:i w:val="0"/>
          <w:iCs w:val="0"/>
        </w:rPr>
      </w:pPr>
      <w:r>
        <w:rPr>
          <w:i w:val="0"/>
          <w:iCs w:val="0"/>
        </w:rPr>
        <w:t>依据《地下水质量标准》（GB/T14848-2017）的Ⅲ类地下水标准值（Ⅲ类：主要是适用于集中式生活饮用水水源及工农业用水）。</w:t>
      </w:r>
    </w:p>
    <w:p>
      <w:pPr>
        <w:tabs>
          <w:tab w:val="right" w:pos="4628"/>
        </w:tabs>
        <w:spacing w:line="360" w:lineRule="auto"/>
        <w:ind w:firstLine="480"/>
        <w:rPr>
          <w:i w:val="0"/>
          <w:iCs w:val="0"/>
        </w:rPr>
      </w:pPr>
      <w:r>
        <w:rPr>
          <w:i w:val="0"/>
          <w:iCs w:val="0"/>
        </w:rPr>
        <w:t>6、监测结果</w:t>
      </w:r>
    </w:p>
    <w:p>
      <w:pPr>
        <w:tabs>
          <w:tab w:val="right" w:pos="4628"/>
        </w:tabs>
        <w:spacing w:line="360" w:lineRule="auto"/>
        <w:ind w:firstLine="480"/>
        <w:rPr>
          <w:i w:val="0"/>
          <w:iCs w:val="0"/>
        </w:rPr>
      </w:pPr>
      <w:r>
        <w:rPr>
          <w:i w:val="0"/>
          <w:iCs w:val="0"/>
        </w:rPr>
        <w:t>地下水水质监测结果见表</w:t>
      </w:r>
      <w:r>
        <w:rPr>
          <w:rFonts w:hint="eastAsia"/>
          <w:i w:val="0"/>
          <w:iCs w:val="0"/>
        </w:rPr>
        <w:t>4</w:t>
      </w:r>
      <w:r>
        <w:rPr>
          <w:i w:val="0"/>
          <w:iCs w:val="0"/>
        </w:rPr>
        <w:t>-</w:t>
      </w:r>
      <w:r>
        <w:rPr>
          <w:rFonts w:hint="eastAsia"/>
          <w:i w:val="0"/>
          <w:iCs w:val="0"/>
        </w:rPr>
        <w:t>8</w:t>
      </w:r>
      <w:r>
        <w:rPr>
          <w:i w:val="0"/>
          <w:iCs w:val="0"/>
        </w:rPr>
        <w:t>。</w:t>
      </w:r>
    </w:p>
    <w:p>
      <w:pPr>
        <w:pStyle w:val="386"/>
        <w:spacing w:before="0" w:beforeLines="0" w:after="0" w:afterLines="0"/>
        <w:rPr>
          <w:i w:val="0"/>
          <w:iCs w:val="0"/>
        </w:rPr>
      </w:pPr>
      <w:r>
        <w:rPr>
          <w:i w:val="0"/>
          <w:iCs w:val="0"/>
        </w:rPr>
        <w:t>地下水环境质量监测结果详见下表</w:t>
      </w:r>
      <w:r>
        <w:rPr>
          <w:rFonts w:hint="eastAsia"/>
          <w:i w:val="0"/>
          <w:iCs w:val="0"/>
        </w:rPr>
        <w:t>4-9</w:t>
      </w:r>
      <w:r>
        <w:rPr>
          <w:i w:val="0"/>
          <w:iCs w:val="0"/>
        </w:rPr>
        <w:t>至表</w:t>
      </w:r>
      <w:r>
        <w:rPr>
          <w:rFonts w:hint="eastAsia"/>
          <w:i w:val="0"/>
          <w:iCs w:val="0"/>
        </w:rPr>
        <w:t>4-10</w:t>
      </w:r>
      <w:r>
        <w:rPr>
          <w:i w:val="0"/>
          <w:iCs w:val="0"/>
        </w:rPr>
        <w:t>。</w:t>
      </w:r>
    </w:p>
    <w:p>
      <w:pPr>
        <w:pStyle w:val="24"/>
        <w:spacing w:line="240" w:lineRule="auto"/>
        <w:rPr>
          <w:b/>
          <w:i w:val="0"/>
          <w:iCs w:val="0"/>
          <w:u w:val="single"/>
        </w:rPr>
      </w:pPr>
      <w:r>
        <w:rPr>
          <w:b/>
          <w:i w:val="0"/>
          <w:iCs w:val="0"/>
          <w:u w:val="single"/>
        </w:rPr>
        <w:t>表</w:t>
      </w:r>
      <w:r>
        <w:rPr>
          <w:rFonts w:hint="eastAsia"/>
          <w:b/>
          <w:i w:val="0"/>
          <w:iCs w:val="0"/>
          <w:u w:val="single"/>
        </w:rPr>
        <w:t>4-8</w:t>
      </w:r>
      <w:r>
        <w:rPr>
          <w:b/>
          <w:i w:val="0"/>
          <w:iCs w:val="0"/>
          <w:u w:val="single"/>
        </w:rPr>
        <w:t xml:space="preserve">   地下水质量监测结果  单位：mg/L</w:t>
      </w:r>
    </w:p>
    <w:tbl>
      <w:tblPr>
        <w:tblStyle w:val="58"/>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2002"/>
        <w:gridCol w:w="1348"/>
        <w:gridCol w:w="1289"/>
        <w:gridCol w:w="1386"/>
        <w:gridCol w:w="1386"/>
        <w:gridCol w:w="13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center"/>
          </w:tcPr>
          <w:p>
            <w:pPr>
              <w:widowControl/>
              <w:jc w:val="center"/>
              <w:textAlignment w:val="center"/>
              <w:rPr>
                <w:i w:val="0"/>
                <w:iCs w:val="0"/>
                <w:sz w:val="21"/>
                <w:szCs w:val="21"/>
                <w:u w:val="single"/>
              </w:rPr>
            </w:pPr>
            <w:r>
              <w:rPr>
                <w:i w:val="0"/>
                <w:iCs w:val="0"/>
                <w:sz w:val="21"/>
                <w:szCs w:val="21"/>
                <w:u w:val="single"/>
              </w:rPr>
              <w:t>序号</w:t>
            </w:r>
          </w:p>
        </w:tc>
        <w:tc>
          <w:tcPr>
            <w:tcW w:w="1078" w:type="pct"/>
            <w:noWrap w:val="0"/>
            <w:vAlign w:val="center"/>
          </w:tcPr>
          <w:p>
            <w:pPr>
              <w:widowControl/>
              <w:jc w:val="center"/>
              <w:textAlignment w:val="center"/>
              <w:rPr>
                <w:i w:val="0"/>
                <w:iCs w:val="0"/>
                <w:sz w:val="21"/>
                <w:szCs w:val="21"/>
                <w:u w:val="single"/>
              </w:rPr>
            </w:pPr>
            <w:r>
              <w:rPr>
                <w:i w:val="0"/>
                <w:iCs w:val="0"/>
                <w:sz w:val="21"/>
                <w:szCs w:val="21"/>
                <w:u w:val="single"/>
              </w:rPr>
              <w:t>监测项目</w:t>
            </w:r>
          </w:p>
        </w:tc>
        <w:tc>
          <w:tcPr>
            <w:tcW w:w="1348" w:type="dxa"/>
            <w:noWrap w:val="0"/>
            <w:vAlign w:val="center"/>
          </w:tcPr>
          <w:p>
            <w:pPr>
              <w:widowControl/>
              <w:jc w:val="center"/>
              <w:textAlignment w:val="center"/>
              <w:rPr>
                <w:i w:val="0"/>
                <w:iCs w:val="0"/>
                <w:sz w:val="21"/>
                <w:szCs w:val="21"/>
                <w:u w:val="single"/>
              </w:rPr>
            </w:pPr>
            <w:r>
              <w:rPr>
                <w:rFonts w:hint="eastAsia"/>
                <w:i w:val="0"/>
                <w:iCs w:val="0"/>
                <w:sz w:val="21"/>
                <w:szCs w:val="21"/>
                <w:u w:val="single"/>
              </w:rPr>
              <w:t>新华五组</w:t>
            </w:r>
          </w:p>
        </w:tc>
        <w:tc>
          <w:tcPr>
            <w:tcW w:w="1289" w:type="dxa"/>
            <w:noWrap w:val="0"/>
            <w:vAlign w:val="center"/>
          </w:tcPr>
          <w:p>
            <w:pPr>
              <w:widowControl/>
              <w:jc w:val="center"/>
              <w:textAlignment w:val="center"/>
              <w:rPr>
                <w:i w:val="0"/>
                <w:iCs w:val="0"/>
                <w:sz w:val="21"/>
                <w:szCs w:val="21"/>
                <w:u w:val="single"/>
              </w:rPr>
            </w:pPr>
            <w:r>
              <w:rPr>
                <w:rFonts w:hint="eastAsia"/>
                <w:i w:val="0"/>
                <w:iCs w:val="0"/>
                <w:sz w:val="21"/>
                <w:szCs w:val="21"/>
                <w:u w:val="single"/>
              </w:rPr>
              <w:t>前台子</w:t>
            </w:r>
          </w:p>
        </w:tc>
        <w:tc>
          <w:tcPr>
            <w:tcW w:w="1386" w:type="dxa"/>
            <w:noWrap w:val="0"/>
            <w:vAlign w:val="center"/>
          </w:tcPr>
          <w:p>
            <w:pPr>
              <w:widowControl/>
              <w:jc w:val="center"/>
              <w:textAlignment w:val="center"/>
              <w:rPr>
                <w:i w:val="0"/>
                <w:iCs w:val="0"/>
                <w:sz w:val="21"/>
                <w:szCs w:val="21"/>
                <w:u w:val="single"/>
              </w:rPr>
            </w:pPr>
            <w:r>
              <w:rPr>
                <w:rFonts w:hint="eastAsia"/>
                <w:i w:val="0"/>
                <w:iCs w:val="0"/>
                <w:sz w:val="21"/>
                <w:szCs w:val="21"/>
                <w:u w:val="single"/>
              </w:rPr>
              <w:t>东小沟</w:t>
            </w:r>
          </w:p>
        </w:tc>
        <w:tc>
          <w:tcPr>
            <w:tcW w:w="1386" w:type="dxa"/>
            <w:noWrap w:val="0"/>
            <w:vAlign w:val="center"/>
          </w:tcPr>
          <w:p>
            <w:pPr>
              <w:widowControl/>
              <w:jc w:val="center"/>
              <w:textAlignment w:val="center"/>
              <w:rPr>
                <w:i w:val="0"/>
                <w:iCs w:val="0"/>
                <w:sz w:val="21"/>
                <w:szCs w:val="21"/>
                <w:u w:val="single"/>
              </w:rPr>
            </w:pPr>
            <w:r>
              <w:rPr>
                <w:rFonts w:hint="eastAsia"/>
                <w:i w:val="0"/>
                <w:iCs w:val="0"/>
                <w:sz w:val="21"/>
                <w:szCs w:val="21"/>
                <w:u w:val="single"/>
              </w:rPr>
              <w:t>廉家窑</w:t>
            </w:r>
          </w:p>
        </w:tc>
        <w:tc>
          <w:tcPr>
            <w:tcW w:w="1386" w:type="dxa"/>
            <w:noWrap w:val="0"/>
            <w:vAlign w:val="center"/>
          </w:tcPr>
          <w:p>
            <w:pPr>
              <w:widowControl/>
              <w:jc w:val="center"/>
              <w:textAlignment w:val="center"/>
              <w:rPr>
                <w:i w:val="0"/>
                <w:iCs w:val="0"/>
                <w:sz w:val="21"/>
                <w:szCs w:val="21"/>
                <w:u w:val="single"/>
              </w:rPr>
            </w:pPr>
            <w:r>
              <w:rPr>
                <w:rFonts w:hint="eastAsia"/>
                <w:i w:val="0"/>
                <w:iCs w:val="0"/>
                <w:sz w:val="21"/>
                <w:szCs w:val="21"/>
                <w:u w:val="single"/>
              </w:rPr>
              <w:t>木局沟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260" w:type="pct"/>
            <w:noWrap w:val="0"/>
            <w:vAlign w:val="center"/>
          </w:tcPr>
          <w:p>
            <w:pPr>
              <w:pStyle w:val="385"/>
              <w:rPr>
                <w:i w:val="0"/>
                <w:iCs w:val="0"/>
                <w:u w:val="single"/>
              </w:rPr>
            </w:pPr>
            <w:r>
              <w:rPr>
                <w:i w:val="0"/>
                <w:iCs w:val="0"/>
                <w:u w:val="single"/>
              </w:rPr>
              <w:t>1</w:t>
            </w:r>
          </w:p>
        </w:tc>
        <w:tc>
          <w:tcPr>
            <w:tcW w:w="2002" w:type="dxa"/>
            <w:noWrap w:val="0"/>
            <w:vAlign w:val="center"/>
          </w:tcPr>
          <w:p>
            <w:pPr>
              <w:jc w:val="center"/>
              <w:rPr>
                <w:i w:val="0"/>
                <w:iCs w:val="0"/>
                <w:sz w:val="21"/>
                <w:szCs w:val="21"/>
                <w:u w:val="single"/>
              </w:rPr>
            </w:pPr>
            <w:r>
              <w:rPr>
                <w:i w:val="0"/>
                <w:iCs w:val="0"/>
                <w:sz w:val="21"/>
                <w:szCs w:val="21"/>
                <w:u w:val="single"/>
              </w:rPr>
              <w:t>pH值</w:t>
            </w:r>
          </w:p>
        </w:tc>
        <w:tc>
          <w:tcPr>
            <w:tcW w:w="1348" w:type="dxa"/>
            <w:noWrap w:val="0"/>
            <w:vAlign w:val="center"/>
          </w:tcPr>
          <w:p>
            <w:pPr>
              <w:jc w:val="center"/>
              <w:rPr>
                <w:i w:val="0"/>
                <w:iCs w:val="0"/>
                <w:sz w:val="21"/>
                <w:szCs w:val="21"/>
                <w:u w:val="single"/>
              </w:rPr>
            </w:pPr>
            <w:r>
              <w:rPr>
                <w:rFonts w:hint="eastAsia"/>
                <w:i w:val="0"/>
                <w:iCs w:val="0"/>
                <w:sz w:val="21"/>
                <w:u w:val="single"/>
              </w:rPr>
              <w:t>7.0</w:t>
            </w:r>
          </w:p>
        </w:tc>
        <w:tc>
          <w:tcPr>
            <w:tcW w:w="1289" w:type="dxa"/>
            <w:noWrap w:val="0"/>
            <w:vAlign w:val="center"/>
          </w:tcPr>
          <w:p>
            <w:pPr>
              <w:widowControl/>
              <w:jc w:val="center"/>
              <w:textAlignment w:val="center"/>
              <w:rPr>
                <w:i w:val="0"/>
                <w:iCs w:val="0"/>
                <w:sz w:val="21"/>
                <w:szCs w:val="21"/>
                <w:u w:val="single"/>
              </w:rPr>
            </w:pPr>
            <w:r>
              <w:rPr>
                <w:rFonts w:hint="eastAsia"/>
                <w:i w:val="0"/>
                <w:iCs w:val="0"/>
                <w:color w:val="000000"/>
                <w:kern w:val="0"/>
                <w:sz w:val="21"/>
                <w:szCs w:val="21"/>
                <w:u w:val="single"/>
                <w:lang w:bidi="ar"/>
              </w:rPr>
              <w:t>7.2</w:t>
            </w:r>
          </w:p>
        </w:tc>
        <w:tc>
          <w:tcPr>
            <w:tcW w:w="1386" w:type="dxa"/>
            <w:noWrap w:val="0"/>
            <w:vAlign w:val="center"/>
          </w:tcPr>
          <w:p>
            <w:pPr>
              <w:widowControl/>
              <w:jc w:val="center"/>
              <w:textAlignment w:val="center"/>
              <w:rPr>
                <w:i w:val="0"/>
                <w:iCs w:val="0"/>
                <w:sz w:val="21"/>
                <w:szCs w:val="21"/>
                <w:u w:val="single"/>
              </w:rPr>
            </w:pPr>
            <w:r>
              <w:rPr>
                <w:rFonts w:hint="eastAsia"/>
                <w:i w:val="0"/>
                <w:iCs w:val="0"/>
                <w:color w:val="000000"/>
                <w:kern w:val="0"/>
                <w:sz w:val="21"/>
                <w:szCs w:val="21"/>
                <w:u w:val="single"/>
                <w:lang w:bidi="ar"/>
              </w:rPr>
              <w:t>7.1</w:t>
            </w:r>
          </w:p>
        </w:tc>
        <w:tc>
          <w:tcPr>
            <w:tcW w:w="1386" w:type="dxa"/>
            <w:noWrap w:val="0"/>
            <w:vAlign w:val="center"/>
          </w:tcPr>
          <w:p>
            <w:pPr>
              <w:widowControl/>
              <w:jc w:val="center"/>
              <w:textAlignment w:val="center"/>
              <w:rPr>
                <w:i w:val="0"/>
                <w:iCs w:val="0"/>
                <w:sz w:val="21"/>
                <w:szCs w:val="21"/>
                <w:u w:val="single"/>
              </w:rPr>
            </w:pPr>
            <w:r>
              <w:rPr>
                <w:rFonts w:hint="eastAsia"/>
                <w:i w:val="0"/>
                <w:iCs w:val="0"/>
                <w:color w:val="000000"/>
                <w:kern w:val="0"/>
                <w:sz w:val="21"/>
                <w:szCs w:val="21"/>
                <w:u w:val="single"/>
                <w:lang w:bidi="ar"/>
              </w:rPr>
              <w:t>7.5</w:t>
            </w:r>
          </w:p>
        </w:tc>
        <w:tc>
          <w:tcPr>
            <w:tcW w:w="1386" w:type="dxa"/>
            <w:noWrap w:val="0"/>
            <w:vAlign w:val="center"/>
          </w:tcPr>
          <w:p>
            <w:pPr>
              <w:widowControl/>
              <w:jc w:val="center"/>
              <w:textAlignment w:val="center"/>
              <w:rPr>
                <w:i w:val="0"/>
                <w:iCs w:val="0"/>
                <w:sz w:val="21"/>
                <w:szCs w:val="21"/>
                <w:u w:val="single"/>
              </w:rPr>
            </w:pPr>
            <w:r>
              <w:rPr>
                <w:rFonts w:hint="eastAsia"/>
                <w:i w:val="0"/>
                <w:iCs w:val="0"/>
                <w:color w:val="000000"/>
                <w:kern w:val="0"/>
                <w:sz w:val="21"/>
                <w:szCs w:val="21"/>
                <w:u w:val="single"/>
                <w:lang w:bidi="ar"/>
              </w:rPr>
              <w:t>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center"/>
          </w:tcPr>
          <w:p>
            <w:pPr>
              <w:pStyle w:val="385"/>
              <w:rPr>
                <w:i w:val="0"/>
                <w:iCs w:val="0"/>
                <w:u w:val="single"/>
              </w:rPr>
            </w:pPr>
            <w:r>
              <w:rPr>
                <w:i w:val="0"/>
                <w:iCs w:val="0"/>
                <w:u w:val="single"/>
              </w:rPr>
              <w:t>2</w:t>
            </w:r>
          </w:p>
        </w:tc>
        <w:tc>
          <w:tcPr>
            <w:tcW w:w="2002" w:type="dxa"/>
            <w:noWrap w:val="0"/>
            <w:vAlign w:val="center"/>
          </w:tcPr>
          <w:p>
            <w:pPr>
              <w:widowControl/>
              <w:jc w:val="center"/>
              <w:textAlignment w:val="center"/>
              <w:rPr>
                <w:i w:val="0"/>
                <w:iCs w:val="0"/>
                <w:sz w:val="21"/>
                <w:szCs w:val="21"/>
                <w:u w:val="single"/>
              </w:rPr>
            </w:pPr>
            <w:r>
              <w:rPr>
                <w:i w:val="0"/>
                <w:iCs w:val="0"/>
                <w:kern w:val="0"/>
                <w:sz w:val="21"/>
                <w:szCs w:val="21"/>
                <w:u w:val="single"/>
                <w:lang w:bidi="ar"/>
              </w:rPr>
              <w:t>氨氮</w:t>
            </w:r>
          </w:p>
        </w:tc>
        <w:tc>
          <w:tcPr>
            <w:tcW w:w="1348" w:type="dxa"/>
            <w:noWrap w:val="0"/>
            <w:vAlign w:val="center"/>
          </w:tcPr>
          <w:p>
            <w:pPr>
              <w:jc w:val="center"/>
              <w:rPr>
                <w:i w:val="0"/>
                <w:iCs w:val="0"/>
                <w:sz w:val="21"/>
                <w:szCs w:val="21"/>
                <w:u w:val="single"/>
              </w:rPr>
            </w:pPr>
            <w:r>
              <w:rPr>
                <w:rFonts w:hint="eastAsia"/>
                <w:i w:val="0"/>
                <w:iCs w:val="0"/>
                <w:sz w:val="21"/>
                <w:u w:val="single"/>
              </w:rPr>
              <w:t>0.213</w:t>
            </w:r>
          </w:p>
        </w:tc>
        <w:tc>
          <w:tcPr>
            <w:tcW w:w="1289" w:type="dxa"/>
            <w:noWrap w:val="0"/>
            <w:vAlign w:val="center"/>
          </w:tcPr>
          <w:p>
            <w:pPr>
              <w:widowControl/>
              <w:jc w:val="center"/>
              <w:textAlignment w:val="center"/>
              <w:rPr>
                <w:i w:val="0"/>
                <w:iCs w:val="0"/>
                <w:sz w:val="21"/>
                <w:szCs w:val="21"/>
                <w:u w:val="single"/>
              </w:rPr>
            </w:pPr>
            <w:r>
              <w:rPr>
                <w:rFonts w:hint="eastAsia"/>
                <w:i w:val="0"/>
                <w:iCs w:val="0"/>
                <w:kern w:val="0"/>
                <w:sz w:val="21"/>
                <w:szCs w:val="21"/>
                <w:u w:val="single"/>
                <w:lang w:bidi="ar"/>
              </w:rPr>
              <w:t>0.159</w:t>
            </w:r>
          </w:p>
        </w:tc>
        <w:tc>
          <w:tcPr>
            <w:tcW w:w="1386" w:type="dxa"/>
            <w:noWrap w:val="0"/>
            <w:vAlign w:val="center"/>
          </w:tcPr>
          <w:p>
            <w:pPr>
              <w:widowControl/>
              <w:jc w:val="center"/>
              <w:textAlignment w:val="center"/>
              <w:rPr>
                <w:i w:val="0"/>
                <w:iCs w:val="0"/>
                <w:sz w:val="21"/>
                <w:szCs w:val="21"/>
                <w:u w:val="single"/>
              </w:rPr>
            </w:pPr>
            <w:r>
              <w:rPr>
                <w:rFonts w:hint="eastAsia"/>
                <w:i w:val="0"/>
                <w:iCs w:val="0"/>
                <w:kern w:val="0"/>
                <w:sz w:val="21"/>
                <w:szCs w:val="21"/>
                <w:u w:val="single"/>
                <w:lang w:bidi="ar"/>
              </w:rPr>
              <w:t>0.201</w:t>
            </w:r>
          </w:p>
        </w:tc>
        <w:tc>
          <w:tcPr>
            <w:tcW w:w="1386" w:type="dxa"/>
            <w:noWrap w:val="0"/>
            <w:vAlign w:val="center"/>
          </w:tcPr>
          <w:p>
            <w:pPr>
              <w:widowControl/>
              <w:jc w:val="center"/>
              <w:textAlignment w:val="center"/>
              <w:rPr>
                <w:i w:val="0"/>
                <w:iCs w:val="0"/>
                <w:sz w:val="21"/>
                <w:szCs w:val="21"/>
                <w:u w:val="single"/>
              </w:rPr>
            </w:pPr>
            <w:r>
              <w:rPr>
                <w:rFonts w:hint="eastAsia"/>
                <w:i w:val="0"/>
                <w:iCs w:val="0"/>
                <w:kern w:val="0"/>
                <w:sz w:val="21"/>
                <w:szCs w:val="21"/>
                <w:u w:val="single"/>
                <w:lang w:bidi="ar"/>
              </w:rPr>
              <w:t>0.147</w:t>
            </w:r>
          </w:p>
        </w:tc>
        <w:tc>
          <w:tcPr>
            <w:tcW w:w="1386" w:type="dxa"/>
            <w:noWrap w:val="0"/>
            <w:vAlign w:val="center"/>
          </w:tcPr>
          <w:p>
            <w:pPr>
              <w:widowControl/>
              <w:jc w:val="center"/>
              <w:textAlignment w:val="center"/>
              <w:rPr>
                <w:i w:val="0"/>
                <w:iCs w:val="0"/>
                <w:sz w:val="21"/>
                <w:szCs w:val="21"/>
                <w:u w:val="single"/>
              </w:rPr>
            </w:pPr>
            <w:r>
              <w:rPr>
                <w:rFonts w:hint="eastAsia"/>
                <w:i w:val="0"/>
                <w:iCs w:val="0"/>
                <w:kern w:val="0"/>
                <w:sz w:val="21"/>
                <w:szCs w:val="21"/>
                <w:u w:val="single"/>
                <w:lang w:bidi="ar"/>
              </w:rPr>
              <w:t>0.098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center"/>
          </w:tcPr>
          <w:p>
            <w:pPr>
              <w:pStyle w:val="385"/>
              <w:rPr>
                <w:i w:val="0"/>
                <w:iCs w:val="0"/>
                <w:u w:val="single"/>
              </w:rPr>
            </w:pPr>
            <w:r>
              <w:rPr>
                <w:i w:val="0"/>
                <w:iCs w:val="0"/>
                <w:u w:val="single"/>
              </w:rPr>
              <w:t>3</w:t>
            </w:r>
          </w:p>
        </w:tc>
        <w:tc>
          <w:tcPr>
            <w:tcW w:w="2002" w:type="dxa"/>
            <w:noWrap w:val="0"/>
            <w:vAlign w:val="center"/>
          </w:tcPr>
          <w:p>
            <w:pPr>
              <w:widowControl/>
              <w:jc w:val="center"/>
              <w:textAlignment w:val="center"/>
              <w:rPr>
                <w:i w:val="0"/>
                <w:iCs w:val="0"/>
                <w:sz w:val="21"/>
                <w:szCs w:val="21"/>
                <w:u w:val="single"/>
              </w:rPr>
            </w:pPr>
            <w:r>
              <w:rPr>
                <w:i w:val="0"/>
                <w:iCs w:val="0"/>
                <w:color w:val="000000"/>
                <w:kern w:val="0"/>
                <w:sz w:val="21"/>
                <w:szCs w:val="21"/>
                <w:u w:val="single"/>
                <w:lang w:bidi="ar"/>
              </w:rPr>
              <w:t>耗氧量</w:t>
            </w:r>
          </w:p>
        </w:tc>
        <w:tc>
          <w:tcPr>
            <w:tcW w:w="1348" w:type="dxa"/>
            <w:noWrap w:val="0"/>
            <w:vAlign w:val="center"/>
          </w:tcPr>
          <w:p>
            <w:pPr>
              <w:jc w:val="center"/>
              <w:rPr>
                <w:i w:val="0"/>
                <w:iCs w:val="0"/>
                <w:sz w:val="21"/>
                <w:szCs w:val="21"/>
                <w:u w:val="single"/>
              </w:rPr>
            </w:pPr>
            <w:r>
              <w:rPr>
                <w:rFonts w:hint="eastAsia"/>
                <w:i w:val="0"/>
                <w:iCs w:val="0"/>
                <w:sz w:val="21"/>
                <w:u w:val="single"/>
              </w:rPr>
              <w:t>1.9</w:t>
            </w:r>
          </w:p>
        </w:tc>
        <w:tc>
          <w:tcPr>
            <w:tcW w:w="1289" w:type="dxa"/>
            <w:noWrap w:val="0"/>
            <w:vAlign w:val="center"/>
          </w:tcPr>
          <w:p>
            <w:pPr>
              <w:widowControl/>
              <w:jc w:val="center"/>
              <w:textAlignment w:val="center"/>
              <w:rPr>
                <w:i w:val="0"/>
                <w:iCs w:val="0"/>
                <w:sz w:val="21"/>
                <w:szCs w:val="21"/>
                <w:u w:val="single"/>
              </w:rPr>
            </w:pPr>
            <w:r>
              <w:rPr>
                <w:rFonts w:hint="eastAsia"/>
                <w:i w:val="0"/>
                <w:iCs w:val="0"/>
                <w:kern w:val="0"/>
                <w:sz w:val="21"/>
                <w:szCs w:val="21"/>
                <w:u w:val="single"/>
                <w:lang w:bidi="ar"/>
              </w:rPr>
              <w:t>2.2</w:t>
            </w:r>
          </w:p>
        </w:tc>
        <w:tc>
          <w:tcPr>
            <w:tcW w:w="1386" w:type="dxa"/>
            <w:noWrap w:val="0"/>
            <w:vAlign w:val="center"/>
          </w:tcPr>
          <w:p>
            <w:pPr>
              <w:widowControl/>
              <w:jc w:val="center"/>
              <w:textAlignment w:val="center"/>
              <w:rPr>
                <w:i w:val="0"/>
                <w:iCs w:val="0"/>
                <w:sz w:val="21"/>
                <w:szCs w:val="21"/>
                <w:u w:val="single"/>
              </w:rPr>
            </w:pPr>
            <w:r>
              <w:rPr>
                <w:rFonts w:hint="eastAsia"/>
                <w:i w:val="0"/>
                <w:iCs w:val="0"/>
                <w:kern w:val="0"/>
                <w:sz w:val="21"/>
                <w:szCs w:val="21"/>
                <w:u w:val="single"/>
                <w:lang w:bidi="ar"/>
              </w:rPr>
              <w:t>1.8</w:t>
            </w:r>
          </w:p>
        </w:tc>
        <w:tc>
          <w:tcPr>
            <w:tcW w:w="1386" w:type="dxa"/>
            <w:noWrap w:val="0"/>
            <w:vAlign w:val="center"/>
          </w:tcPr>
          <w:p>
            <w:pPr>
              <w:widowControl/>
              <w:jc w:val="center"/>
              <w:textAlignment w:val="center"/>
              <w:rPr>
                <w:i w:val="0"/>
                <w:iCs w:val="0"/>
                <w:sz w:val="21"/>
                <w:szCs w:val="21"/>
                <w:u w:val="single"/>
              </w:rPr>
            </w:pPr>
            <w:r>
              <w:rPr>
                <w:rFonts w:hint="eastAsia"/>
                <w:i w:val="0"/>
                <w:iCs w:val="0"/>
                <w:kern w:val="0"/>
                <w:sz w:val="21"/>
                <w:szCs w:val="21"/>
                <w:u w:val="single"/>
                <w:lang w:bidi="ar"/>
              </w:rPr>
              <w:t>1.7</w:t>
            </w:r>
          </w:p>
        </w:tc>
        <w:tc>
          <w:tcPr>
            <w:tcW w:w="1386" w:type="dxa"/>
            <w:noWrap w:val="0"/>
            <w:vAlign w:val="center"/>
          </w:tcPr>
          <w:p>
            <w:pPr>
              <w:widowControl/>
              <w:jc w:val="center"/>
              <w:textAlignment w:val="center"/>
              <w:rPr>
                <w:i w:val="0"/>
                <w:iCs w:val="0"/>
                <w:sz w:val="21"/>
                <w:szCs w:val="21"/>
                <w:u w:val="single"/>
              </w:rPr>
            </w:pPr>
            <w:r>
              <w:rPr>
                <w:rFonts w:hint="eastAsia"/>
                <w:i w:val="0"/>
                <w:iCs w:val="0"/>
                <w:kern w:val="0"/>
                <w:sz w:val="21"/>
                <w:szCs w:val="21"/>
                <w:u w:val="single"/>
                <w:lang w:bidi="ar"/>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center"/>
          </w:tcPr>
          <w:p>
            <w:pPr>
              <w:pStyle w:val="385"/>
              <w:rPr>
                <w:i w:val="0"/>
                <w:iCs w:val="0"/>
                <w:u w:val="single"/>
              </w:rPr>
            </w:pPr>
            <w:r>
              <w:rPr>
                <w:i w:val="0"/>
                <w:iCs w:val="0"/>
                <w:u w:val="single"/>
              </w:rPr>
              <w:t>4</w:t>
            </w:r>
          </w:p>
        </w:tc>
        <w:tc>
          <w:tcPr>
            <w:tcW w:w="2002" w:type="dxa"/>
            <w:noWrap w:val="0"/>
            <w:vAlign w:val="center"/>
          </w:tcPr>
          <w:p>
            <w:pPr>
              <w:jc w:val="center"/>
              <w:rPr>
                <w:i w:val="0"/>
                <w:iCs w:val="0"/>
                <w:sz w:val="21"/>
                <w:szCs w:val="21"/>
                <w:u w:val="single"/>
              </w:rPr>
            </w:pPr>
            <w:r>
              <w:rPr>
                <w:i w:val="0"/>
                <w:iCs w:val="0"/>
                <w:sz w:val="21"/>
                <w:szCs w:val="21"/>
                <w:u w:val="single"/>
              </w:rPr>
              <w:t>挥发酚</w:t>
            </w:r>
          </w:p>
        </w:tc>
        <w:tc>
          <w:tcPr>
            <w:tcW w:w="1348" w:type="dxa"/>
            <w:noWrap w:val="0"/>
            <w:vAlign w:val="center"/>
          </w:tcPr>
          <w:p>
            <w:pPr>
              <w:jc w:val="center"/>
              <w:rPr>
                <w:i w:val="0"/>
                <w:iCs w:val="0"/>
                <w:sz w:val="21"/>
                <w:szCs w:val="21"/>
                <w:u w:val="single"/>
              </w:rPr>
            </w:pPr>
            <w:r>
              <w:rPr>
                <w:i w:val="0"/>
                <w:iCs w:val="0"/>
                <w:color w:val="000000"/>
                <w:kern w:val="0"/>
                <w:sz w:val="21"/>
                <w:szCs w:val="21"/>
                <w:u w:val="single"/>
                <w:lang w:bidi="ar"/>
              </w:rPr>
              <w:t>0.0003</w:t>
            </w:r>
            <w:r>
              <w:rPr>
                <w:i w:val="0"/>
                <w:iCs w:val="0"/>
                <w:kern w:val="0"/>
                <w:szCs w:val="21"/>
                <w:u w:val="single"/>
                <w:lang w:bidi="ar"/>
              </w:rPr>
              <w:t>L</w:t>
            </w:r>
          </w:p>
        </w:tc>
        <w:tc>
          <w:tcPr>
            <w:tcW w:w="1289" w:type="dxa"/>
            <w:noWrap w:val="0"/>
            <w:vAlign w:val="center"/>
          </w:tcPr>
          <w:p>
            <w:pPr>
              <w:widowControl/>
              <w:jc w:val="center"/>
              <w:textAlignment w:val="center"/>
              <w:rPr>
                <w:i w:val="0"/>
                <w:iCs w:val="0"/>
                <w:sz w:val="21"/>
                <w:szCs w:val="21"/>
                <w:u w:val="single"/>
              </w:rPr>
            </w:pPr>
            <w:r>
              <w:rPr>
                <w:i w:val="0"/>
                <w:iCs w:val="0"/>
                <w:color w:val="000000"/>
                <w:kern w:val="0"/>
                <w:sz w:val="21"/>
                <w:szCs w:val="21"/>
                <w:u w:val="single"/>
                <w:lang w:bidi="ar"/>
              </w:rPr>
              <w:t>0.0003</w:t>
            </w:r>
            <w:r>
              <w:rPr>
                <w:i w:val="0"/>
                <w:iCs w:val="0"/>
                <w:kern w:val="0"/>
                <w:szCs w:val="21"/>
                <w:u w:val="single"/>
                <w:lang w:bidi="ar"/>
              </w:rPr>
              <w:t>L</w:t>
            </w:r>
          </w:p>
        </w:tc>
        <w:tc>
          <w:tcPr>
            <w:tcW w:w="1386" w:type="dxa"/>
            <w:noWrap w:val="0"/>
            <w:vAlign w:val="center"/>
          </w:tcPr>
          <w:p>
            <w:pPr>
              <w:widowControl/>
              <w:jc w:val="center"/>
              <w:textAlignment w:val="center"/>
              <w:rPr>
                <w:i w:val="0"/>
                <w:iCs w:val="0"/>
                <w:sz w:val="21"/>
                <w:szCs w:val="21"/>
                <w:u w:val="single"/>
              </w:rPr>
            </w:pPr>
            <w:r>
              <w:rPr>
                <w:i w:val="0"/>
                <w:iCs w:val="0"/>
                <w:color w:val="000000"/>
                <w:kern w:val="0"/>
                <w:sz w:val="21"/>
                <w:szCs w:val="21"/>
                <w:u w:val="single"/>
                <w:lang w:bidi="ar"/>
              </w:rPr>
              <w:t>0.0003</w:t>
            </w:r>
            <w:r>
              <w:rPr>
                <w:i w:val="0"/>
                <w:iCs w:val="0"/>
                <w:kern w:val="0"/>
                <w:szCs w:val="21"/>
                <w:u w:val="single"/>
                <w:lang w:bidi="ar"/>
              </w:rPr>
              <w:t>L</w:t>
            </w:r>
          </w:p>
        </w:tc>
        <w:tc>
          <w:tcPr>
            <w:tcW w:w="1386" w:type="dxa"/>
            <w:noWrap w:val="0"/>
            <w:vAlign w:val="center"/>
          </w:tcPr>
          <w:p>
            <w:pPr>
              <w:widowControl/>
              <w:jc w:val="center"/>
              <w:textAlignment w:val="center"/>
              <w:rPr>
                <w:i w:val="0"/>
                <w:iCs w:val="0"/>
                <w:sz w:val="21"/>
                <w:szCs w:val="21"/>
                <w:u w:val="single"/>
              </w:rPr>
            </w:pPr>
            <w:r>
              <w:rPr>
                <w:i w:val="0"/>
                <w:iCs w:val="0"/>
                <w:color w:val="000000"/>
                <w:kern w:val="0"/>
                <w:sz w:val="21"/>
                <w:szCs w:val="21"/>
                <w:u w:val="single"/>
                <w:lang w:bidi="ar"/>
              </w:rPr>
              <w:t>0.0003</w:t>
            </w:r>
            <w:r>
              <w:rPr>
                <w:i w:val="0"/>
                <w:iCs w:val="0"/>
                <w:kern w:val="0"/>
                <w:szCs w:val="21"/>
                <w:u w:val="single"/>
                <w:lang w:bidi="ar"/>
              </w:rPr>
              <w:t>L</w:t>
            </w:r>
          </w:p>
        </w:tc>
        <w:tc>
          <w:tcPr>
            <w:tcW w:w="1386" w:type="dxa"/>
            <w:noWrap w:val="0"/>
            <w:vAlign w:val="center"/>
          </w:tcPr>
          <w:p>
            <w:pPr>
              <w:widowControl/>
              <w:jc w:val="center"/>
              <w:textAlignment w:val="center"/>
              <w:rPr>
                <w:i w:val="0"/>
                <w:iCs w:val="0"/>
                <w:sz w:val="21"/>
                <w:szCs w:val="21"/>
                <w:u w:val="single"/>
              </w:rPr>
            </w:pPr>
            <w:r>
              <w:rPr>
                <w:i w:val="0"/>
                <w:iCs w:val="0"/>
                <w:color w:val="000000"/>
                <w:kern w:val="0"/>
                <w:sz w:val="21"/>
                <w:szCs w:val="21"/>
                <w:u w:val="single"/>
                <w:lang w:bidi="ar"/>
              </w:rPr>
              <w:t>0.0003</w:t>
            </w:r>
            <w:r>
              <w:rPr>
                <w:i w:val="0"/>
                <w:iCs w:val="0"/>
                <w:kern w:val="0"/>
                <w:szCs w:val="21"/>
                <w:u w:val="single"/>
                <w:lang w:bidi="ar"/>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center"/>
          </w:tcPr>
          <w:p>
            <w:pPr>
              <w:pStyle w:val="385"/>
              <w:rPr>
                <w:i w:val="0"/>
                <w:iCs w:val="0"/>
                <w:u w:val="single"/>
              </w:rPr>
            </w:pPr>
            <w:r>
              <w:rPr>
                <w:i w:val="0"/>
                <w:iCs w:val="0"/>
                <w:u w:val="single"/>
              </w:rPr>
              <w:t>5</w:t>
            </w:r>
          </w:p>
        </w:tc>
        <w:tc>
          <w:tcPr>
            <w:tcW w:w="2002" w:type="dxa"/>
            <w:noWrap w:val="0"/>
            <w:vAlign w:val="center"/>
          </w:tcPr>
          <w:p>
            <w:pPr>
              <w:jc w:val="center"/>
              <w:rPr>
                <w:i w:val="0"/>
                <w:iCs w:val="0"/>
                <w:sz w:val="21"/>
                <w:szCs w:val="21"/>
                <w:u w:val="single"/>
              </w:rPr>
            </w:pPr>
            <w:r>
              <w:rPr>
                <w:i w:val="0"/>
                <w:iCs w:val="0"/>
                <w:sz w:val="21"/>
                <w:szCs w:val="21"/>
                <w:u w:val="single"/>
              </w:rPr>
              <w:t>（总）硬度</w:t>
            </w:r>
          </w:p>
        </w:tc>
        <w:tc>
          <w:tcPr>
            <w:tcW w:w="1348" w:type="dxa"/>
            <w:noWrap w:val="0"/>
            <w:vAlign w:val="center"/>
          </w:tcPr>
          <w:p>
            <w:pPr>
              <w:widowControl/>
              <w:jc w:val="center"/>
              <w:textAlignment w:val="center"/>
              <w:rPr>
                <w:i w:val="0"/>
                <w:iCs w:val="0"/>
                <w:color w:val="000000"/>
                <w:kern w:val="0"/>
                <w:sz w:val="21"/>
                <w:szCs w:val="21"/>
                <w:u w:val="single"/>
                <w:lang w:bidi="ar"/>
              </w:rPr>
            </w:pPr>
            <w:r>
              <w:rPr>
                <w:rFonts w:hint="eastAsia"/>
                <w:i w:val="0"/>
                <w:iCs w:val="0"/>
                <w:color w:val="000000"/>
                <w:kern w:val="0"/>
                <w:sz w:val="21"/>
                <w:szCs w:val="21"/>
                <w:u w:val="single"/>
                <w:lang w:bidi="ar"/>
              </w:rPr>
              <w:t>259</w:t>
            </w:r>
          </w:p>
        </w:tc>
        <w:tc>
          <w:tcPr>
            <w:tcW w:w="1289" w:type="dxa"/>
            <w:noWrap w:val="0"/>
            <w:vAlign w:val="center"/>
          </w:tcPr>
          <w:p>
            <w:pPr>
              <w:widowControl/>
              <w:jc w:val="center"/>
              <w:textAlignment w:val="center"/>
              <w:rPr>
                <w:i w:val="0"/>
                <w:iCs w:val="0"/>
                <w:color w:val="000000"/>
                <w:kern w:val="0"/>
                <w:sz w:val="21"/>
                <w:szCs w:val="21"/>
                <w:u w:val="single"/>
                <w:lang w:bidi="ar"/>
              </w:rPr>
            </w:pPr>
            <w:r>
              <w:rPr>
                <w:rFonts w:hint="eastAsia"/>
                <w:i w:val="0"/>
                <w:iCs w:val="0"/>
                <w:color w:val="000000"/>
                <w:kern w:val="0"/>
                <w:sz w:val="21"/>
                <w:szCs w:val="21"/>
                <w:u w:val="single"/>
                <w:lang w:bidi="ar"/>
              </w:rPr>
              <w:t>231</w:t>
            </w:r>
          </w:p>
        </w:tc>
        <w:tc>
          <w:tcPr>
            <w:tcW w:w="1386" w:type="dxa"/>
            <w:noWrap w:val="0"/>
            <w:vAlign w:val="center"/>
          </w:tcPr>
          <w:p>
            <w:pPr>
              <w:widowControl/>
              <w:jc w:val="center"/>
              <w:textAlignment w:val="center"/>
              <w:rPr>
                <w:i w:val="0"/>
                <w:iCs w:val="0"/>
                <w:sz w:val="21"/>
                <w:szCs w:val="21"/>
                <w:u w:val="single"/>
              </w:rPr>
            </w:pPr>
            <w:r>
              <w:rPr>
                <w:rFonts w:hint="eastAsia"/>
                <w:i w:val="0"/>
                <w:iCs w:val="0"/>
                <w:color w:val="000000"/>
                <w:kern w:val="0"/>
                <w:sz w:val="21"/>
                <w:szCs w:val="21"/>
                <w:u w:val="single"/>
                <w:lang w:bidi="ar"/>
              </w:rPr>
              <w:t>301</w:t>
            </w:r>
          </w:p>
        </w:tc>
        <w:tc>
          <w:tcPr>
            <w:tcW w:w="1386" w:type="dxa"/>
            <w:noWrap w:val="0"/>
            <w:vAlign w:val="center"/>
          </w:tcPr>
          <w:p>
            <w:pPr>
              <w:widowControl/>
              <w:jc w:val="center"/>
              <w:textAlignment w:val="center"/>
              <w:rPr>
                <w:i w:val="0"/>
                <w:iCs w:val="0"/>
                <w:sz w:val="21"/>
                <w:szCs w:val="21"/>
                <w:u w:val="single"/>
              </w:rPr>
            </w:pPr>
            <w:r>
              <w:rPr>
                <w:rFonts w:hint="eastAsia"/>
                <w:i w:val="0"/>
                <w:iCs w:val="0"/>
                <w:color w:val="000000"/>
                <w:kern w:val="0"/>
                <w:sz w:val="21"/>
                <w:szCs w:val="21"/>
                <w:u w:val="single"/>
                <w:lang w:bidi="ar"/>
              </w:rPr>
              <w:t>285</w:t>
            </w:r>
          </w:p>
        </w:tc>
        <w:tc>
          <w:tcPr>
            <w:tcW w:w="1386" w:type="dxa"/>
            <w:noWrap w:val="0"/>
            <w:vAlign w:val="center"/>
          </w:tcPr>
          <w:p>
            <w:pPr>
              <w:widowControl/>
              <w:jc w:val="center"/>
              <w:textAlignment w:val="center"/>
              <w:rPr>
                <w:i w:val="0"/>
                <w:iCs w:val="0"/>
                <w:sz w:val="21"/>
                <w:szCs w:val="21"/>
                <w:u w:val="single"/>
              </w:rPr>
            </w:pPr>
            <w:r>
              <w:rPr>
                <w:rFonts w:hint="eastAsia"/>
                <w:i w:val="0"/>
                <w:iCs w:val="0"/>
                <w:color w:val="000000"/>
                <w:kern w:val="0"/>
                <w:sz w:val="21"/>
                <w:szCs w:val="21"/>
                <w:u w:val="single"/>
                <w:lang w:bidi="ar"/>
              </w:rPr>
              <w:t>266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center"/>
          </w:tcPr>
          <w:p>
            <w:pPr>
              <w:pStyle w:val="385"/>
              <w:rPr>
                <w:i w:val="0"/>
                <w:iCs w:val="0"/>
                <w:u w:val="single"/>
              </w:rPr>
            </w:pPr>
            <w:r>
              <w:rPr>
                <w:i w:val="0"/>
                <w:iCs w:val="0"/>
                <w:u w:val="single"/>
              </w:rPr>
              <w:t>6</w:t>
            </w:r>
          </w:p>
        </w:tc>
        <w:tc>
          <w:tcPr>
            <w:tcW w:w="2002" w:type="dxa"/>
            <w:noWrap w:val="0"/>
            <w:vAlign w:val="center"/>
          </w:tcPr>
          <w:p>
            <w:pPr>
              <w:jc w:val="center"/>
              <w:rPr>
                <w:i w:val="0"/>
                <w:iCs w:val="0"/>
                <w:sz w:val="21"/>
                <w:szCs w:val="21"/>
                <w:u w:val="single"/>
              </w:rPr>
            </w:pPr>
            <w:r>
              <w:rPr>
                <w:i w:val="0"/>
                <w:iCs w:val="0"/>
                <w:sz w:val="21"/>
                <w:szCs w:val="21"/>
                <w:u w:val="single"/>
              </w:rPr>
              <w:t>溶解性总固体</w:t>
            </w:r>
          </w:p>
        </w:tc>
        <w:tc>
          <w:tcPr>
            <w:tcW w:w="1348" w:type="dxa"/>
            <w:noWrap w:val="0"/>
            <w:vAlign w:val="center"/>
          </w:tcPr>
          <w:p>
            <w:pPr>
              <w:widowControl/>
              <w:jc w:val="center"/>
              <w:textAlignment w:val="center"/>
              <w:rPr>
                <w:i w:val="0"/>
                <w:iCs w:val="0"/>
                <w:color w:val="000000"/>
                <w:kern w:val="0"/>
                <w:sz w:val="21"/>
                <w:szCs w:val="21"/>
                <w:u w:val="single"/>
                <w:lang w:bidi="ar"/>
              </w:rPr>
            </w:pPr>
            <w:r>
              <w:rPr>
                <w:rFonts w:hint="eastAsia"/>
                <w:i w:val="0"/>
                <w:iCs w:val="0"/>
                <w:color w:val="000000"/>
                <w:kern w:val="0"/>
                <w:sz w:val="21"/>
                <w:szCs w:val="21"/>
                <w:u w:val="single"/>
                <w:lang w:bidi="ar"/>
              </w:rPr>
              <w:t>456</w:t>
            </w:r>
          </w:p>
        </w:tc>
        <w:tc>
          <w:tcPr>
            <w:tcW w:w="1289" w:type="dxa"/>
            <w:noWrap w:val="0"/>
            <w:vAlign w:val="center"/>
          </w:tcPr>
          <w:p>
            <w:pPr>
              <w:widowControl/>
              <w:jc w:val="center"/>
              <w:textAlignment w:val="center"/>
              <w:rPr>
                <w:i w:val="0"/>
                <w:iCs w:val="0"/>
                <w:color w:val="000000"/>
                <w:sz w:val="21"/>
                <w:szCs w:val="21"/>
                <w:u w:val="single"/>
              </w:rPr>
            </w:pPr>
            <w:r>
              <w:rPr>
                <w:rFonts w:hint="eastAsia"/>
                <w:i w:val="0"/>
                <w:iCs w:val="0"/>
                <w:color w:val="000000"/>
                <w:kern w:val="0"/>
                <w:sz w:val="21"/>
                <w:szCs w:val="21"/>
                <w:u w:val="single"/>
                <w:lang w:bidi="ar"/>
              </w:rPr>
              <w:t>512</w:t>
            </w:r>
          </w:p>
        </w:tc>
        <w:tc>
          <w:tcPr>
            <w:tcW w:w="1386" w:type="dxa"/>
            <w:noWrap w:val="0"/>
            <w:vAlign w:val="center"/>
          </w:tcPr>
          <w:p>
            <w:pPr>
              <w:widowControl/>
              <w:jc w:val="center"/>
              <w:textAlignment w:val="center"/>
              <w:rPr>
                <w:i w:val="0"/>
                <w:iCs w:val="0"/>
                <w:sz w:val="21"/>
                <w:szCs w:val="21"/>
                <w:u w:val="single"/>
              </w:rPr>
            </w:pPr>
            <w:r>
              <w:rPr>
                <w:rFonts w:hint="eastAsia"/>
                <w:i w:val="0"/>
                <w:iCs w:val="0"/>
                <w:color w:val="000000"/>
                <w:kern w:val="0"/>
                <w:sz w:val="21"/>
                <w:szCs w:val="21"/>
                <w:u w:val="single"/>
                <w:lang w:bidi="ar"/>
              </w:rPr>
              <w:t>526</w:t>
            </w:r>
          </w:p>
        </w:tc>
        <w:tc>
          <w:tcPr>
            <w:tcW w:w="1386" w:type="dxa"/>
            <w:noWrap w:val="0"/>
            <w:vAlign w:val="center"/>
          </w:tcPr>
          <w:p>
            <w:pPr>
              <w:widowControl/>
              <w:jc w:val="center"/>
              <w:textAlignment w:val="center"/>
              <w:rPr>
                <w:i w:val="0"/>
                <w:iCs w:val="0"/>
                <w:sz w:val="21"/>
                <w:szCs w:val="21"/>
                <w:u w:val="single"/>
              </w:rPr>
            </w:pPr>
            <w:r>
              <w:rPr>
                <w:rFonts w:hint="eastAsia"/>
                <w:i w:val="0"/>
                <w:iCs w:val="0"/>
                <w:color w:val="000000"/>
                <w:kern w:val="0"/>
                <w:sz w:val="21"/>
                <w:szCs w:val="21"/>
                <w:u w:val="single"/>
                <w:lang w:bidi="ar"/>
              </w:rPr>
              <w:t>399</w:t>
            </w:r>
          </w:p>
        </w:tc>
        <w:tc>
          <w:tcPr>
            <w:tcW w:w="1386" w:type="dxa"/>
            <w:noWrap w:val="0"/>
            <w:vAlign w:val="center"/>
          </w:tcPr>
          <w:p>
            <w:pPr>
              <w:widowControl/>
              <w:jc w:val="center"/>
              <w:textAlignment w:val="center"/>
              <w:rPr>
                <w:i w:val="0"/>
                <w:iCs w:val="0"/>
                <w:sz w:val="21"/>
                <w:szCs w:val="21"/>
                <w:u w:val="single"/>
              </w:rPr>
            </w:pPr>
            <w:r>
              <w:rPr>
                <w:rFonts w:hint="eastAsia"/>
                <w:i w:val="0"/>
                <w:iCs w:val="0"/>
                <w:color w:val="000000"/>
                <w:kern w:val="0"/>
                <w:sz w:val="21"/>
                <w:szCs w:val="21"/>
                <w:u w:val="single"/>
                <w:lang w:bidi="ar"/>
              </w:rPr>
              <w:t>408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center"/>
          </w:tcPr>
          <w:p>
            <w:pPr>
              <w:pStyle w:val="385"/>
              <w:rPr>
                <w:rFonts w:hint="eastAsia"/>
                <w:i w:val="0"/>
                <w:iCs w:val="0"/>
                <w:u w:val="single"/>
              </w:rPr>
            </w:pPr>
            <w:r>
              <w:rPr>
                <w:rFonts w:hint="eastAsia"/>
                <w:i w:val="0"/>
                <w:iCs w:val="0"/>
                <w:u w:val="single"/>
              </w:rPr>
              <w:t>7</w:t>
            </w:r>
          </w:p>
        </w:tc>
        <w:tc>
          <w:tcPr>
            <w:tcW w:w="2002" w:type="dxa"/>
            <w:noWrap w:val="0"/>
            <w:vAlign w:val="center"/>
          </w:tcPr>
          <w:p>
            <w:pPr>
              <w:jc w:val="center"/>
              <w:rPr>
                <w:i w:val="0"/>
                <w:iCs w:val="0"/>
                <w:sz w:val="21"/>
                <w:szCs w:val="21"/>
                <w:u w:val="single"/>
              </w:rPr>
            </w:pPr>
            <w:r>
              <w:rPr>
                <w:rFonts w:hint="eastAsia"/>
                <w:i w:val="0"/>
                <w:iCs w:val="0"/>
                <w:sz w:val="21"/>
                <w:szCs w:val="21"/>
                <w:u w:val="single"/>
              </w:rPr>
              <w:t>硫酸盐</w:t>
            </w:r>
          </w:p>
        </w:tc>
        <w:tc>
          <w:tcPr>
            <w:tcW w:w="1348" w:type="dxa"/>
            <w:noWrap w:val="0"/>
            <w:vAlign w:val="center"/>
          </w:tcPr>
          <w:p>
            <w:pPr>
              <w:widowControl/>
              <w:jc w:val="center"/>
              <w:textAlignment w:val="center"/>
              <w:rPr>
                <w:i w:val="0"/>
                <w:iCs w:val="0"/>
                <w:sz w:val="21"/>
                <w:szCs w:val="21"/>
                <w:u w:val="single"/>
              </w:rPr>
            </w:pPr>
            <w:r>
              <w:rPr>
                <w:rFonts w:hint="eastAsia"/>
                <w:i w:val="0"/>
                <w:iCs w:val="0"/>
                <w:kern w:val="0"/>
                <w:sz w:val="21"/>
                <w:szCs w:val="21"/>
                <w:u w:val="single"/>
                <w:lang w:bidi="ar"/>
              </w:rPr>
              <w:t>18.6</w:t>
            </w:r>
          </w:p>
        </w:tc>
        <w:tc>
          <w:tcPr>
            <w:tcW w:w="1289" w:type="dxa"/>
            <w:noWrap w:val="0"/>
            <w:vAlign w:val="center"/>
          </w:tcPr>
          <w:p>
            <w:pPr>
              <w:widowControl/>
              <w:jc w:val="center"/>
              <w:textAlignment w:val="center"/>
              <w:rPr>
                <w:i w:val="0"/>
                <w:iCs w:val="0"/>
                <w:color w:val="000000"/>
                <w:kern w:val="0"/>
                <w:sz w:val="21"/>
                <w:szCs w:val="21"/>
                <w:u w:val="single"/>
                <w:lang w:bidi="ar"/>
              </w:rPr>
            </w:pPr>
            <w:r>
              <w:rPr>
                <w:rFonts w:hint="eastAsia"/>
                <w:i w:val="0"/>
                <w:iCs w:val="0"/>
                <w:kern w:val="0"/>
                <w:sz w:val="21"/>
                <w:szCs w:val="21"/>
                <w:u w:val="single"/>
                <w:lang w:bidi="ar"/>
              </w:rPr>
              <w:t>10.9</w:t>
            </w:r>
          </w:p>
        </w:tc>
        <w:tc>
          <w:tcPr>
            <w:tcW w:w="1386" w:type="dxa"/>
            <w:noWrap w:val="0"/>
            <w:vAlign w:val="center"/>
          </w:tcPr>
          <w:p>
            <w:pPr>
              <w:widowControl/>
              <w:jc w:val="center"/>
              <w:textAlignment w:val="center"/>
              <w:rPr>
                <w:i w:val="0"/>
                <w:iCs w:val="0"/>
                <w:sz w:val="21"/>
                <w:szCs w:val="21"/>
                <w:u w:val="single"/>
              </w:rPr>
            </w:pPr>
            <w:r>
              <w:rPr>
                <w:rFonts w:hint="eastAsia"/>
                <w:i w:val="0"/>
                <w:iCs w:val="0"/>
                <w:kern w:val="0"/>
                <w:sz w:val="21"/>
                <w:szCs w:val="21"/>
                <w:u w:val="single"/>
                <w:lang w:bidi="ar"/>
              </w:rPr>
              <w:t>3.56</w:t>
            </w:r>
          </w:p>
        </w:tc>
        <w:tc>
          <w:tcPr>
            <w:tcW w:w="1386" w:type="dxa"/>
            <w:noWrap w:val="0"/>
            <w:vAlign w:val="center"/>
          </w:tcPr>
          <w:p>
            <w:pPr>
              <w:widowControl/>
              <w:jc w:val="center"/>
              <w:textAlignment w:val="center"/>
              <w:rPr>
                <w:rFonts w:hint="eastAsia"/>
                <w:i w:val="0"/>
                <w:iCs w:val="0"/>
                <w:sz w:val="21"/>
                <w:szCs w:val="21"/>
                <w:u w:val="single"/>
              </w:rPr>
            </w:pPr>
            <w:r>
              <w:rPr>
                <w:rFonts w:hint="eastAsia"/>
                <w:i w:val="0"/>
                <w:iCs w:val="0"/>
                <w:kern w:val="0"/>
                <w:sz w:val="21"/>
                <w:szCs w:val="21"/>
                <w:u w:val="single"/>
                <w:lang w:bidi="ar"/>
              </w:rPr>
              <w:t>21.6</w:t>
            </w:r>
          </w:p>
        </w:tc>
        <w:tc>
          <w:tcPr>
            <w:tcW w:w="1386" w:type="dxa"/>
            <w:noWrap w:val="0"/>
            <w:vAlign w:val="center"/>
          </w:tcPr>
          <w:p>
            <w:pPr>
              <w:widowControl/>
              <w:jc w:val="center"/>
              <w:textAlignment w:val="center"/>
              <w:rPr>
                <w:rFonts w:hint="eastAsia"/>
                <w:i w:val="0"/>
                <w:iCs w:val="0"/>
                <w:sz w:val="21"/>
                <w:szCs w:val="21"/>
                <w:u w:val="single"/>
              </w:rPr>
            </w:pPr>
            <w:r>
              <w:rPr>
                <w:rFonts w:hint="eastAsia"/>
                <w:i w:val="0"/>
                <w:iCs w:val="0"/>
                <w:kern w:val="0"/>
                <w:sz w:val="21"/>
                <w:szCs w:val="21"/>
                <w:u w:val="single"/>
                <w:lang w:bidi="ar"/>
              </w:rPr>
              <w:t>23.8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center"/>
          </w:tcPr>
          <w:p>
            <w:pPr>
              <w:pStyle w:val="385"/>
              <w:rPr>
                <w:rFonts w:hint="eastAsia"/>
                <w:i w:val="0"/>
                <w:iCs w:val="0"/>
                <w:u w:val="single"/>
              </w:rPr>
            </w:pPr>
            <w:r>
              <w:rPr>
                <w:rFonts w:hint="eastAsia"/>
                <w:i w:val="0"/>
                <w:iCs w:val="0"/>
                <w:u w:val="single"/>
              </w:rPr>
              <w:t>8</w:t>
            </w:r>
          </w:p>
        </w:tc>
        <w:tc>
          <w:tcPr>
            <w:tcW w:w="2002" w:type="dxa"/>
            <w:noWrap w:val="0"/>
            <w:vAlign w:val="center"/>
          </w:tcPr>
          <w:p>
            <w:pPr>
              <w:jc w:val="center"/>
              <w:rPr>
                <w:i w:val="0"/>
                <w:iCs w:val="0"/>
                <w:sz w:val="21"/>
                <w:szCs w:val="21"/>
                <w:u w:val="single"/>
              </w:rPr>
            </w:pPr>
            <w:r>
              <w:rPr>
                <w:rFonts w:hint="eastAsia"/>
                <w:i w:val="0"/>
                <w:iCs w:val="0"/>
                <w:sz w:val="21"/>
                <w:szCs w:val="21"/>
                <w:u w:val="single"/>
              </w:rPr>
              <w:t>氯化物</w:t>
            </w:r>
          </w:p>
        </w:tc>
        <w:tc>
          <w:tcPr>
            <w:tcW w:w="1348" w:type="dxa"/>
            <w:noWrap w:val="0"/>
            <w:vAlign w:val="center"/>
          </w:tcPr>
          <w:p>
            <w:pPr>
              <w:widowControl/>
              <w:jc w:val="center"/>
              <w:textAlignment w:val="center"/>
              <w:rPr>
                <w:i w:val="0"/>
                <w:iCs w:val="0"/>
                <w:sz w:val="21"/>
                <w:szCs w:val="21"/>
                <w:u w:val="single"/>
              </w:rPr>
            </w:pPr>
            <w:r>
              <w:rPr>
                <w:rFonts w:hint="eastAsia"/>
                <w:i w:val="0"/>
                <w:iCs w:val="0"/>
                <w:sz w:val="21"/>
                <w:szCs w:val="21"/>
                <w:u w:val="single"/>
              </w:rPr>
              <w:t>13.7</w:t>
            </w:r>
          </w:p>
        </w:tc>
        <w:tc>
          <w:tcPr>
            <w:tcW w:w="1289" w:type="dxa"/>
            <w:noWrap w:val="0"/>
            <w:vAlign w:val="center"/>
          </w:tcPr>
          <w:p>
            <w:pPr>
              <w:widowControl/>
              <w:jc w:val="center"/>
              <w:textAlignment w:val="center"/>
              <w:rPr>
                <w:i w:val="0"/>
                <w:iCs w:val="0"/>
                <w:color w:val="000000"/>
                <w:kern w:val="0"/>
                <w:sz w:val="21"/>
                <w:szCs w:val="21"/>
                <w:u w:val="single"/>
                <w:lang w:bidi="ar"/>
              </w:rPr>
            </w:pPr>
            <w:r>
              <w:rPr>
                <w:rFonts w:hint="eastAsia"/>
                <w:i w:val="0"/>
                <w:iCs w:val="0"/>
                <w:sz w:val="21"/>
                <w:szCs w:val="21"/>
                <w:u w:val="single"/>
              </w:rPr>
              <w:t>4.23</w:t>
            </w:r>
          </w:p>
        </w:tc>
        <w:tc>
          <w:tcPr>
            <w:tcW w:w="1386" w:type="dxa"/>
            <w:noWrap w:val="0"/>
            <w:vAlign w:val="center"/>
          </w:tcPr>
          <w:p>
            <w:pPr>
              <w:widowControl/>
              <w:jc w:val="center"/>
              <w:textAlignment w:val="center"/>
              <w:rPr>
                <w:i w:val="0"/>
                <w:iCs w:val="0"/>
                <w:sz w:val="21"/>
                <w:szCs w:val="21"/>
                <w:u w:val="single"/>
              </w:rPr>
            </w:pPr>
            <w:r>
              <w:rPr>
                <w:rFonts w:hint="eastAsia"/>
                <w:i w:val="0"/>
                <w:iCs w:val="0"/>
                <w:sz w:val="21"/>
                <w:szCs w:val="21"/>
                <w:u w:val="single"/>
              </w:rPr>
              <w:t>7.66</w:t>
            </w:r>
          </w:p>
        </w:tc>
        <w:tc>
          <w:tcPr>
            <w:tcW w:w="1386" w:type="dxa"/>
            <w:noWrap w:val="0"/>
            <w:vAlign w:val="center"/>
          </w:tcPr>
          <w:p>
            <w:pPr>
              <w:widowControl/>
              <w:jc w:val="center"/>
              <w:textAlignment w:val="center"/>
              <w:rPr>
                <w:rFonts w:hint="eastAsia"/>
                <w:i w:val="0"/>
                <w:iCs w:val="0"/>
                <w:sz w:val="21"/>
                <w:szCs w:val="21"/>
                <w:u w:val="single"/>
              </w:rPr>
            </w:pPr>
            <w:r>
              <w:rPr>
                <w:rFonts w:hint="eastAsia"/>
                <w:i w:val="0"/>
                <w:iCs w:val="0"/>
                <w:sz w:val="21"/>
                <w:szCs w:val="21"/>
                <w:u w:val="single"/>
              </w:rPr>
              <w:t>8.36</w:t>
            </w:r>
          </w:p>
        </w:tc>
        <w:tc>
          <w:tcPr>
            <w:tcW w:w="1386" w:type="dxa"/>
            <w:noWrap w:val="0"/>
            <w:vAlign w:val="center"/>
          </w:tcPr>
          <w:p>
            <w:pPr>
              <w:widowControl/>
              <w:jc w:val="center"/>
              <w:textAlignment w:val="center"/>
              <w:rPr>
                <w:rFonts w:hint="eastAsia"/>
                <w:i w:val="0"/>
                <w:iCs w:val="0"/>
                <w:sz w:val="21"/>
                <w:szCs w:val="21"/>
                <w:u w:val="single"/>
              </w:rPr>
            </w:pPr>
            <w:r>
              <w:rPr>
                <w:rFonts w:hint="eastAsia"/>
                <w:i w:val="0"/>
                <w:iCs w:val="0"/>
                <w:sz w:val="21"/>
                <w:szCs w:val="21"/>
                <w:u w:val="single"/>
              </w:rPr>
              <w:t>13.1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3" w:type="dxa"/>
            <w:noWrap w:val="0"/>
            <w:vAlign w:val="center"/>
          </w:tcPr>
          <w:p>
            <w:pPr>
              <w:pStyle w:val="385"/>
              <w:rPr>
                <w:i w:val="0"/>
                <w:iCs w:val="0"/>
                <w:u w:val="single"/>
              </w:rPr>
            </w:pPr>
            <w:r>
              <w:rPr>
                <w:i w:val="0"/>
                <w:iCs w:val="0"/>
                <w:u w:val="single"/>
              </w:rPr>
              <w:t>9</w:t>
            </w:r>
          </w:p>
        </w:tc>
        <w:tc>
          <w:tcPr>
            <w:tcW w:w="2002" w:type="dxa"/>
            <w:noWrap w:val="0"/>
            <w:vAlign w:val="center"/>
          </w:tcPr>
          <w:p>
            <w:pPr>
              <w:widowControl/>
              <w:jc w:val="center"/>
              <w:textAlignment w:val="center"/>
              <w:rPr>
                <w:i w:val="0"/>
                <w:iCs w:val="0"/>
                <w:kern w:val="0"/>
                <w:sz w:val="21"/>
                <w:szCs w:val="21"/>
                <w:u w:val="single"/>
                <w:lang w:bidi="ar"/>
              </w:rPr>
            </w:pPr>
            <w:r>
              <w:rPr>
                <w:i w:val="0"/>
                <w:iCs w:val="0"/>
                <w:kern w:val="0"/>
                <w:sz w:val="21"/>
                <w:szCs w:val="21"/>
                <w:u w:val="single"/>
                <w:lang w:bidi="ar"/>
              </w:rPr>
              <w:t>阴离子表面活性剂</w:t>
            </w:r>
          </w:p>
        </w:tc>
        <w:tc>
          <w:tcPr>
            <w:tcW w:w="1348" w:type="dxa"/>
            <w:noWrap w:val="0"/>
            <w:vAlign w:val="center"/>
          </w:tcPr>
          <w:p>
            <w:pPr>
              <w:widowControl/>
              <w:jc w:val="center"/>
              <w:textAlignment w:val="center"/>
              <w:rPr>
                <w:i w:val="0"/>
                <w:iCs w:val="0"/>
                <w:kern w:val="0"/>
                <w:sz w:val="21"/>
                <w:szCs w:val="21"/>
                <w:u w:val="single"/>
                <w:lang w:bidi="ar"/>
              </w:rPr>
            </w:pPr>
            <w:r>
              <w:rPr>
                <w:i w:val="0"/>
                <w:iCs w:val="0"/>
                <w:kern w:val="0"/>
                <w:sz w:val="21"/>
                <w:szCs w:val="21"/>
                <w:u w:val="single"/>
                <w:lang w:bidi="ar"/>
              </w:rPr>
              <w:t>0.05</w:t>
            </w:r>
            <w:r>
              <w:rPr>
                <w:rFonts w:hint="eastAsia"/>
                <w:i w:val="0"/>
                <w:iCs w:val="0"/>
                <w:kern w:val="0"/>
                <w:sz w:val="21"/>
                <w:szCs w:val="21"/>
                <w:u w:val="single"/>
                <w:lang w:bidi="ar"/>
              </w:rPr>
              <w:t>L</w:t>
            </w:r>
          </w:p>
        </w:tc>
        <w:tc>
          <w:tcPr>
            <w:tcW w:w="1289" w:type="dxa"/>
            <w:noWrap w:val="0"/>
            <w:vAlign w:val="center"/>
          </w:tcPr>
          <w:p>
            <w:pPr>
              <w:widowControl/>
              <w:jc w:val="center"/>
              <w:textAlignment w:val="center"/>
              <w:rPr>
                <w:i w:val="0"/>
                <w:iCs w:val="0"/>
                <w:kern w:val="0"/>
                <w:sz w:val="21"/>
                <w:szCs w:val="21"/>
                <w:u w:val="single"/>
                <w:lang w:bidi="ar"/>
              </w:rPr>
            </w:pPr>
            <w:r>
              <w:rPr>
                <w:i w:val="0"/>
                <w:iCs w:val="0"/>
                <w:kern w:val="0"/>
                <w:sz w:val="21"/>
                <w:szCs w:val="21"/>
                <w:u w:val="single"/>
                <w:lang w:bidi="ar"/>
              </w:rPr>
              <w:t>0.05</w:t>
            </w:r>
            <w:r>
              <w:rPr>
                <w:rFonts w:hint="eastAsia"/>
                <w:i w:val="0"/>
                <w:iCs w:val="0"/>
                <w:kern w:val="0"/>
                <w:sz w:val="21"/>
                <w:szCs w:val="21"/>
                <w:u w:val="single"/>
                <w:lang w:bidi="ar"/>
              </w:rPr>
              <w:t>L</w:t>
            </w:r>
          </w:p>
        </w:tc>
        <w:tc>
          <w:tcPr>
            <w:tcW w:w="1386" w:type="dxa"/>
            <w:noWrap w:val="0"/>
            <w:vAlign w:val="center"/>
          </w:tcPr>
          <w:p>
            <w:pPr>
              <w:widowControl/>
              <w:jc w:val="center"/>
              <w:textAlignment w:val="center"/>
              <w:rPr>
                <w:i w:val="0"/>
                <w:iCs w:val="0"/>
                <w:kern w:val="0"/>
                <w:sz w:val="21"/>
                <w:szCs w:val="21"/>
                <w:u w:val="single"/>
                <w:lang w:bidi="ar"/>
              </w:rPr>
            </w:pPr>
            <w:r>
              <w:rPr>
                <w:i w:val="0"/>
                <w:iCs w:val="0"/>
                <w:kern w:val="0"/>
                <w:sz w:val="21"/>
                <w:szCs w:val="21"/>
                <w:u w:val="single"/>
                <w:lang w:bidi="ar"/>
              </w:rPr>
              <w:t>0.05</w:t>
            </w:r>
            <w:r>
              <w:rPr>
                <w:rFonts w:hint="eastAsia"/>
                <w:i w:val="0"/>
                <w:iCs w:val="0"/>
                <w:kern w:val="0"/>
                <w:sz w:val="21"/>
                <w:szCs w:val="21"/>
                <w:u w:val="single"/>
                <w:lang w:bidi="ar"/>
              </w:rPr>
              <w:t>L</w:t>
            </w:r>
          </w:p>
        </w:tc>
        <w:tc>
          <w:tcPr>
            <w:tcW w:w="1386" w:type="dxa"/>
            <w:noWrap w:val="0"/>
            <w:vAlign w:val="center"/>
          </w:tcPr>
          <w:p>
            <w:pPr>
              <w:widowControl/>
              <w:jc w:val="center"/>
              <w:textAlignment w:val="center"/>
              <w:rPr>
                <w:i w:val="0"/>
                <w:iCs w:val="0"/>
                <w:kern w:val="0"/>
                <w:sz w:val="21"/>
                <w:szCs w:val="21"/>
                <w:u w:val="single"/>
                <w:lang w:bidi="ar"/>
              </w:rPr>
            </w:pPr>
            <w:r>
              <w:rPr>
                <w:i w:val="0"/>
                <w:iCs w:val="0"/>
                <w:kern w:val="0"/>
                <w:sz w:val="21"/>
                <w:szCs w:val="21"/>
                <w:u w:val="single"/>
                <w:lang w:bidi="ar"/>
              </w:rPr>
              <w:t>0.05</w:t>
            </w:r>
            <w:r>
              <w:rPr>
                <w:rFonts w:hint="eastAsia"/>
                <w:i w:val="0"/>
                <w:iCs w:val="0"/>
                <w:kern w:val="0"/>
                <w:sz w:val="21"/>
                <w:szCs w:val="21"/>
                <w:u w:val="single"/>
                <w:lang w:bidi="ar"/>
              </w:rPr>
              <w:t>L</w:t>
            </w:r>
          </w:p>
        </w:tc>
        <w:tc>
          <w:tcPr>
            <w:tcW w:w="1386" w:type="dxa"/>
            <w:noWrap w:val="0"/>
            <w:vAlign w:val="center"/>
          </w:tcPr>
          <w:p>
            <w:pPr>
              <w:widowControl/>
              <w:jc w:val="center"/>
              <w:textAlignment w:val="center"/>
              <w:rPr>
                <w:i w:val="0"/>
                <w:iCs w:val="0"/>
                <w:kern w:val="0"/>
                <w:sz w:val="21"/>
                <w:szCs w:val="21"/>
                <w:u w:val="single"/>
                <w:lang w:bidi="ar"/>
              </w:rPr>
            </w:pPr>
            <w:r>
              <w:rPr>
                <w:i w:val="0"/>
                <w:iCs w:val="0"/>
                <w:kern w:val="0"/>
                <w:sz w:val="21"/>
                <w:szCs w:val="21"/>
                <w:u w:val="single"/>
                <w:lang w:bidi="ar"/>
              </w:rPr>
              <w:t>0.05</w:t>
            </w:r>
            <w:r>
              <w:rPr>
                <w:rFonts w:hint="eastAsia"/>
                <w:i w:val="0"/>
                <w:iCs w:val="0"/>
                <w:kern w:val="0"/>
                <w:sz w:val="21"/>
                <w:szCs w:val="21"/>
                <w:u w:val="single"/>
                <w:lang w:bidi="ar"/>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3" w:type="dxa"/>
            <w:noWrap w:val="0"/>
            <w:vAlign w:val="center"/>
          </w:tcPr>
          <w:p>
            <w:pPr>
              <w:pStyle w:val="385"/>
              <w:rPr>
                <w:i w:val="0"/>
                <w:iCs w:val="0"/>
                <w:u w:val="single"/>
              </w:rPr>
            </w:pPr>
            <w:r>
              <w:rPr>
                <w:i w:val="0"/>
                <w:iCs w:val="0"/>
                <w:u w:val="single"/>
              </w:rPr>
              <w:t>10</w:t>
            </w:r>
          </w:p>
        </w:tc>
        <w:tc>
          <w:tcPr>
            <w:tcW w:w="2002" w:type="dxa"/>
            <w:noWrap w:val="0"/>
            <w:vAlign w:val="center"/>
          </w:tcPr>
          <w:p>
            <w:pPr>
              <w:widowControl/>
              <w:jc w:val="center"/>
              <w:textAlignment w:val="center"/>
              <w:rPr>
                <w:i w:val="0"/>
                <w:iCs w:val="0"/>
                <w:kern w:val="0"/>
                <w:sz w:val="21"/>
                <w:szCs w:val="21"/>
                <w:u w:val="single"/>
                <w:lang w:bidi="ar"/>
              </w:rPr>
            </w:pPr>
            <w:r>
              <w:rPr>
                <w:i w:val="0"/>
                <w:iCs w:val="0"/>
                <w:kern w:val="0"/>
                <w:sz w:val="21"/>
                <w:szCs w:val="21"/>
                <w:u w:val="single"/>
                <w:lang w:bidi="ar"/>
              </w:rPr>
              <w:t>总大肠菌群</w:t>
            </w:r>
          </w:p>
        </w:tc>
        <w:tc>
          <w:tcPr>
            <w:tcW w:w="1348" w:type="dxa"/>
            <w:noWrap w:val="0"/>
            <w:vAlign w:val="center"/>
          </w:tcPr>
          <w:p>
            <w:pPr>
              <w:widowControl/>
              <w:jc w:val="center"/>
              <w:textAlignment w:val="center"/>
              <w:rPr>
                <w:i w:val="0"/>
                <w:iCs w:val="0"/>
                <w:kern w:val="0"/>
                <w:sz w:val="21"/>
                <w:szCs w:val="21"/>
                <w:u w:val="single"/>
                <w:lang w:bidi="ar"/>
              </w:rPr>
            </w:pPr>
            <w:r>
              <w:rPr>
                <w:rFonts w:hint="eastAsia"/>
                <w:i w:val="0"/>
                <w:iCs w:val="0"/>
                <w:kern w:val="0"/>
                <w:sz w:val="21"/>
                <w:szCs w:val="21"/>
                <w:u w:val="single"/>
                <w:lang w:bidi="ar"/>
              </w:rPr>
              <w:t>未检出</w:t>
            </w:r>
          </w:p>
        </w:tc>
        <w:tc>
          <w:tcPr>
            <w:tcW w:w="1289" w:type="dxa"/>
            <w:noWrap w:val="0"/>
            <w:vAlign w:val="center"/>
          </w:tcPr>
          <w:p>
            <w:pPr>
              <w:widowControl/>
              <w:jc w:val="center"/>
              <w:textAlignment w:val="center"/>
              <w:rPr>
                <w:i w:val="0"/>
                <w:iCs w:val="0"/>
                <w:kern w:val="0"/>
                <w:sz w:val="21"/>
                <w:szCs w:val="21"/>
                <w:u w:val="single"/>
                <w:lang w:bidi="ar"/>
              </w:rPr>
            </w:pPr>
            <w:r>
              <w:rPr>
                <w:rFonts w:hint="eastAsia"/>
                <w:i w:val="0"/>
                <w:iCs w:val="0"/>
                <w:kern w:val="0"/>
                <w:sz w:val="21"/>
                <w:szCs w:val="21"/>
                <w:u w:val="single"/>
                <w:lang w:bidi="ar"/>
              </w:rPr>
              <w:t>未检出</w:t>
            </w:r>
          </w:p>
        </w:tc>
        <w:tc>
          <w:tcPr>
            <w:tcW w:w="1386" w:type="dxa"/>
            <w:noWrap w:val="0"/>
            <w:vAlign w:val="center"/>
          </w:tcPr>
          <w:p>
            <w:pPr>
              <w:widowControl/>
              <w:jc w:val="center"/>
              <w:textAlignment w:val="center"/>
              <w:rPr>
                <w:i w:val="0"/>
                <w:iCs w:val="0"/>
                <w:kern w:val="0"/>
                <w:sz w:val="21"/>
                <w:szCs w:val="21"/>
                <w:u w:val="single"/>
                <w:lang w:bidi="ar"/>
              </w:rPr>
            </w:pPr>
            <w:r>
              <w:rPr>
                <w:rFonts w:hint="eastAsia"/>
                <w:i w:val="0"/>
                <w:iCs w:val="0"/>
                <w:kern w:val="0"/>
                <w:sz w:val="21"/>
                <w:szCs w:val="21"/>
                <w:u w:val="single"/>
                <w:lang w:bidi="ar"/>
              </w:rPr>
              <w:t>未检出</w:t>
            </w:r>
          </w:p>
        </w:tc>
        <w:tc>
          <w:tcPr>
            <w:tcW w:w="1386" w:type="dxa"/>
            <w:noWrap w:val="0"/>
            <w:vAlign w:val="center"/>
          </w:tcPr>
          <w:p>
            <w:pPr>
              <w:widowControl/>
              <w:jc w:val="center"/>
              <w:textAlignment w:val="center"/>
              <w:rPr>
                <w:i w:val="0"/>
                <w:iCs w:val="0"/>
                <w:kern w:val="0"/>
                <w:sz w:val="21"/>
                <w:szCs w:val="21"/>
                <w:u w:val="single"/>
                <w:lang w:bidi="ar"/>
              </w:rPr>
            </w:pPr>
            <w:r>
              <w:rPr>
                <w:rFonts w:hint="eastAsia"/>
                <w:i w:val="0"/>
                <w:iCs w:val="0"/>
                <w:kern w:val="0"/>
                <w:sz w:val="21"/>
                <w:szCs w:val="21"/>
                <w:u w:val="single"/>
                <w:lang w:bidi="ar"/>
              </w:rPr>
              <w:t>未检出</w:t>
            </w:r>
          </w:p>
        </w:tc>
        <w:tc>
          <w:tcPr>
            <w:tcW w:w="1386" w:type="dxa"/>
            <w:noWrap w:val="0"/>
            <w:vAlign w:val="center"/>
          </w:tcPr>
          <w:p>
            <w:pPr>
              <w:widowControl/>
              <w:jc w:val="center"/>
              <w:textAlignment w:val="center"/>
              <w:rPr>
                <w:i w:val="0"/>
                <w:iCs w:val="0"/>
                <w:kern w:val="0"/>
                <w:sz w:val="21"/>
                <w:szCs w:val="21"/>
                <w:u w:val="single"/>
                <w:lang w:bidi="ar"/>
              </w:rPr>
            </w:pPr>
            <w:r>
              <w:rPr>
                <w:rFonts w:hint="eastAsia"/>
                <w:i w:val="0"/>
                <w:iCs w:val="0"/>
                <w:kern w:val="0"/>
                <w:sz w:val="21"/>
                <w:szCs w:val="21"/>
                <w:u w:val="single"/>
                <w:lang w:bidi="ar"/>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3" w:type="dxa"/>
            <w:noWrap w:val="0"/>
            <w:vAlign w:val="center"/>
          </w:tcPr>
          <w:p>
            <w:pPr>
              <w:pStyle w:val="385"/>
              <w:rPr>
                <w:i w:val="0"/>
                <w:iCs w:val="0"/>
                <w:u w:val="single"/>
              </w:rPr>
            </w:pPr>
            <w:r>
              <w:rPr>
                <w:i w:val="0"/>
                <w:iCs w:val="0"/>
                <w:u w:val="single"/>
              </w:rPr>
              <w:t>1</w:t>
            </w:r>
            <w:r>
              <w:rPr>
                <w:rFonts w:hint="eastAsia"/>
                <w:i w:val="0"/>
                <w:iCs w:val="0"/>
                <w:u w:val="single"/>
              </w:rPr>
              <w:t>1</w:t>
            </w:r>
          </w:p>
        </w:tc>
        <w:tc>
          <w:tcPr>
            <w:tcW w:w="2002" w:type="dxa"/>
            <w:noWrap w:val="0"/>
            <w:vAlign w:val="center"/>
          </w:tcPr>
          <w:p>
            <w:pPr>
              <w:jc w:val="center"/>
              <w:rPr>
                <w:i w:val="0"/>
                <w:iCs w:val="0"/>
                <w:sz w:val="21"/>
                <w:szCs w:val="21"/>
                <w:u w:val="single"/>
              </w:rPr>
            </w:pPr>
            <w:r>
              <w:rPr>
                <w:i w:val="0"/>
                <w:iCs w:val="0"/>
                <w:sz w:val="21"/>
                <w:szCs w:val="21"/>
                <w:u w:val="single"/>
              </w:rPr>
              <w:t>可溶性阳离子</w:t>
            </w:r>
            <w:r>
              <w:rPr>
                <w:rFonts w:hint="eastAsia"/>
                <w:i w:val="0"/>
                <w:iCs w:val="0"/>
                <w:sz w:val="21"/>
                <w:szCs w:val="21"/>
                <w:u w:val="single"/>
              </w:rPr>
              <w:t>（</w:t>
            </w:r>
            <w:r>
              <w:rPr>
                <w:i w:val="0"/>
                <w:iCs w:val="0"/>
                <w:sz w:val="21"/>
                <w:szCs w:val="21"/>
                <w:u w:val="single"/>
              </w:rPr>
              <w:t>K</w:t>
            </w:r>
            <w:r>
              <w:rPr>
                <w:i w:val="0"/>
                <w:iCs w:val="0"/>
                <w:sz w:val="21"/>
                <w:szCs w:val="21"/>
                <w:u w:val="single"/>
                <w:vertAlign w:val="superscript"/>
              </w:rPr>
              <w:t>+</w:t>
            </w:r>
            <w:r>
              <w:rPr>
                <w:rFonts w:hint="eastAsia"/>
                <w:i w:val="0"/>
                <w:iCs w:val="0"/>
                <w:sz w:val="21"/>
                <w:szCs w:val="21"/>
                <w:u w:val="single"/>
              </w:rPr>
              <w:t>）</w:t>
            </w:r>
          </w:p>
        </w:tc>
        <w:tc>
          <w:tcPr>
            <w:tcW w:w="1348" w:type="dxa"/>
            <w:noWrap w:val="0"/>
            <w:vAlign w:val="center"/>
          </w:tcPr>
          <w:p>
            <w:pPr>
              <w:widowControl/>
              <w:jc w:val="center"/>
              <w:textAlignment w:val="center"/>
              <w:rPr>
                <w:i w:val="0"/>
                <w:iCs w:val="0"/>
                <w:color w:val="000000"/>
                <w:sz w:val="21"/>
                <w:szCs w:val="21"/>
                <w:u w:val="single"/>
              </w:rPr>
            </w:pPr>
            <w:r>
              <w:rPr>
                <w:rFonts w:hint="eastAsia"/>
                <w:i w:val="0"/>
                <w:iCs w:val="0"/>
                <w:kern w:val="0"/>
                <w:sz w:val="21"/>
                <w:szCs w:val="21"/>
                <w:u w:val="single"/>
                <w:lang w:bidi="ar"/>
              </w:rPr>
              <w:t>0.627</w:t>
            </w:r>
          </w:p>
        </w:tc>
        <w:tc>
          <w:tcPr>
            <w:tcW w:w="1289" w:type="dxa"/>
            <w:noWrap w:val="0"/>
            <w:vAlign w:val="center"/>
          </w:tcPr>
          <w:p>
            <w:pPr>
              <w:widowControl/>
              <w:jc w:val="center"/>
              <w:textAlignment w:val="center"/>
              <w:rPr>
                <w:i w:val="0"/>
                <w:iCs w:val="0"/>
                <w:color w:val="000000"/>
                <w:sz w:val="21"/>
                <w:szCs w:val="21"/>
                <w:u w:val="single"/>
              </w:rPr>
            </w:pPr>
            <w:r>
              <w:rPr>
                <w:rFonts w:hint="eastAsia"/>
                <w:i w:val="0"/>
                <w:iCs w:val="0"/>
                <w:kern w:val="0"/>
                <w:sz w:val="21"/>
                <w:szCs w:val="21"/>
                <w:u w:val="single"/>
                <w:lang w:bidi="ar"/>
              </w:rPr>
              <w:t>0.537</w:t>
            </w:r>
          </w:p>
        </w:tc>
        <w:tc>
          <w:tcPr>
            <w:tcW w:w="1386" w:type="dxa"/>
            <w:noWrap w:val="0"/>
            <w:vAlign w:val="center"/>
          </w:tcPr>
          <w:p>
            <w:pPr>
              <w:widowControl/>
              <w:jc w:val="center"/>
              <w:textAlignment w:val="center"/>
              <w:rPr>
                <w:i w:val="0"/>
                <w:iCs w:val="0"/>
                <w:sz w:val="21"/>
                <w:szCs w:val="21"/>
                <w:u w:val="single"/>
              </w:rPr>
            </w:pPr>
            <w:r>
              <w:rPr>
                <w:rFonts w:hint="eastAsia"/>
                <w:i w:val="0"/>
                <w:iCs w:val="0"/>
                <w:kern w:val="0"/>
                <w:sz w:val="21"/>
                <w:szCs w:val="21"/>
                <w:u w:val="single"/>
                <w:lang w:bidi="ar"/>
              </w:rPr>
              <w:t>0.589</w:t>
            </w:r>
          </w:p>
        </w:tc>
        <w:tc>
          <w:tcPr>
            <w:tcW w:w="1386" w:type="dxa"/>
            <w:noWrap w:val="0"/>
            <w:vAlign w:val="center"/>
          </w:tcPr>
          <w:p>
            <w:pPr>
              <w:widowControl/>
              <w:jc w:val="center"/>
              <w:textAlignment w:val="center"/>
              <w:rPr>
                <w:i w:val="0"/>
                <w:iCs w:val="0"/>
                <w:sz w:val="21"/>
                <w:szCs w:val="21"/>
                <w:u w:val="single"/>
              </w:rPr>
            </w:pPr>
            <w:r>
              <w:rPr>
                <w:rFonts w:hint="eastAsia"/>
                <w:i w:val="0"/>
                <w:iCs w:val="0"/>
                <w:kern w:val="0"/>
                <w:sz w:val="21"/>
                <w:szCs w:val="21"/>
                <w:u w:val="single"/>
                <w:lang w:bidi="ar"/>
              </w:rPr>
              <w:t>0.612</w:t>
            </w:r>
          </w:p>
        </w:tc>
        <w:tc>
          <w:tcPr>
            <w:tcW w:w="1386" w:type="dxa"/>
            <w:noWrap w:val="0"/>
            <w:vAlign w:val="center"/>
          </w:tcPr>
          <w:p>
            <w:pPr>
              <w:widowControl/>
              <w:jc w:val="center"/>
              <w:textAlignment w:val="center"/>
              <w:rPr>
                <w:i w:val="0"/>
                <w:iCs w:val="0"/>
                <w:sz w:val="21"/>
                <w:szCs w:val="21"/>
                <w:u w:val="single"/>
              </w:rPr>
            </w:pPr>
            <w:r>
              <w:rPr>
                <w:rFonts w:hint="eastAsia"/>
                <w:i w:val="0"/>
                <w:iCs w:val="0"/>
                <w:kern w:val="0"/>
                <w:sz w:val="21"/>
                <w:szCs w:val="21"/>
                <w:u w:val="single"/>
                <w:lang w:bidi="ar"/>
              </w:rPr>
              <w:t>0.488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3" w:type="dxa"/>
            <w:noWrap w:val="0"/>
            <w:vAlign w:val="center"/>
          </w:tcPr>
          <w:p>
            <w:pPr>
              <w:pStyle w:val="385"/>
              <w:rPr>
                <w:i w:val="0"/>
                <w:iCs w:val="0"/>
                <w:u w:val="single"/>
              </w:rPr>
            </w:pPr>
            <w:r>
              <w:rPr>
                <w:i w:val="0"/>
                <w:iCs w:val="0"/>
                <w:u w:val="single"/>
              </w:rPr>
              <w:t>1</w:t>
            </w:r>
            <w:r>
              <w:rPr>
                <w:rFonts w:hint="eastAsia"/>
                <w:i w:val="0"/>
                <w:iCs w:val="0"/>
                <w:u w:val="single"/>
              </w:rPr>
              <w:t>2</w:t>
            </w:r>
          </w:p>
        </w:tc>
        <w:tc>
          <w:tcPr>
            <w:tcW w:w="2002" w:type="dxa"/>
            <w:noWrap w:val="0"/>
            <w:vAlign w:val="center"/>
          </w:tcPr>
          <w:p>
            <w:pPr>
              <w:jc w:val="center"/>
              <w:rPr>
                <w:i w:val="0"/>
                <w:iCs w:val="0"/>
                <w:sz w:val="21"/>
                <w:szCs w:val="21"/>
                <w:u w:val="single"/>
              </w:rPr>
            </w:pPr>
            <w:r>
              <w:rPr>
                <w:i w:val="0"/>
                <w:iCs w:val="0"/>
                <w:sz w:val="21"/>
                <w:szCs w:val="21"/>
                <w:u w:val="single"/>
              </w:rPr>
              <w:t>可溶性阳离子</w:t>
            </w:r>
            <w:r>
              <w:rPr>
                <w:rFonts w:hint="eastAsia"/>
                <w:i w:val="0"/>
                <w:iCs w:val="0"/>
                <w:sz w:val="21"/>
                <w:szCs w:val="21"/>
                <w:u w:val="single"/>
              </w:rPr>
              <w:t>（</w:t>
            </w:r>
            <w:r>
              <w:rPr>
                <w:i w:val="0"/>
                <w:iCs w:val="0"/>
                <w:sz w:val="21"/>
                <w:szCs w:val="21"/>
                <w:u w:val="single"/>
              </w:rPr>
              <w:t>Ca</w:t>
            </w:r>
            <w:r>
              <w:rPr>
                <w:i w:val="0"/>
                <w:iCs w:val="0"/>
                <w:sz w:val="21"/>
                <w:szCs w:val="21"/>
                <w:u w:val="single"/>
                <w:vertAlign w:val="superscript"/>
              </w:rPr>
              <w:t>2+</w:t>
            </w:r>
            <w:r>
              <w:rPr>
                <w:rFonts w:hint="eastAsia"/>
                <w:i w:val="0"/>
                <w:iCs w:val="0"/>
                <w:sz w:val="21"/>
                <w:szCs w:val="21"/>
                <w:u w:val="single"/>
              </w:rPr>
              <w:t>）</w:t>
            </w:r>
          </w:p>
        </w:tc>
        <w:tc>
          <w:tcPr>
            <w:tcW w:w="1348" w:type="dxa"/>
            <w:noWrap w:val="0"/>
            <w:vAlign w:val="center"/>
          </w:tcPr>
          <w:p>
            <w:pPr>
              <w:widowControl/>
              <w:jc w:val="center"/>
              <w:textAlignment w:val="center"/>
              <w:rPr>
                <w:i w:val="0"/>
                <w:iCs w:val="0"/>
                <w:color w:val="000000"/>
                <w:sz w:val="21"/>
                <w:szCs w:val="21"/>
                <w:u w:val="single"/>
              </w:rPr>
            </w:pPr>
            <w:r>
              <w:rPr>
                <w:rFonts w:hint="eastAsia"/>
                <w:i w:val="0"/>
                <w:iCs w:val="0"/>
                <w:kern w:val="0"/>
                <w:sz w:val="21"/>
                <w:szCs w:val="21"/>
                <w:u w:val="single"/>
                <w:lang w:bidi="ar"/>
              </w:rPr>
              <w:t>4.87</w:t>
            </w:r>
          </w:p>
        </w:tc>
        <w:tc>
          <w:tcPr>
            <w:tcW w:w="1289" w:type="dxa"/>
            <w:noWrap w:val="0"/>
            <w:vAlign w:val="center"/>
          </w:tcPr>
          <w:p>
            <w:pPr>
              <w:widowControl/>
              <w:jc w:val="center"/>
              <w:textAlignment w:val="center"/>
              <w:rPr>
                <w:i w:val="0"/>
                <w:iCs w:val="0"/>
                <w:color w:val="000000"/>
                <w:sz w:val="21"/>
                <w:szCs w:val="21"/>
                <w:u w:val="single"/>
              </w:rPr>
            </w:pPr>
            <w:r>
              <w:rPr>
                <w:rFonts w:hint="eastAsia"/>
                <w:i w:val="0"/>
                <w:iCs w:val="0"/>
                <w:kern w:val="0"/>
                <w:sz w:val="21"/>
                <w:szCs w:val="21"/>
                <w:u w:val="single"/>
                <w:lang w:bidi="ar"/>
              </w:rPr>
              <w:t>4.54</w:t>
            </w:r>
          </w:p>
        </w:tc>
        <w:tc>
          <w:tcPr>
            <w:tcW w:w="1386" w:type="dxa"/>
            <w:noWrap w:val="0"/>
            <w:vAlign w:val="center"/>
          </w:tcPr>
          <w:p>
            <w:pPr>
              <w:widowControl/>
              <w:jc w:val="center"/>
              <w:textAlignment w:val="center"/>
              <w:rPr>
                <w:i w:val="0"/>
                <w:iCs w:val="0"/>
                <w:sz w:val="21"/>
                <w:szCs w:val="21"/>
                <w:u w:val="single"/>
              </w:rPr>
            </w:pPr>
            <w:r>
              <w:rPr>
                <w:rFonts w:hint="eastAsia"/>
                <w:i w:val="0"/>
                <w:iCs w:val="0"/>
                <w:kern w:val="0"/>
                <w:sz w:val="21"/>
                <w:szCs w:val="21"/>
                <w:u w:val="single"/>
                <w:lang w:bidi="ar"/>
              </w:rPr>
              <w:t>4.02</w:t>
            </w:r>
          </w:p>
        </w:tc>
        <w:tc>
          <w:tcPr>
            <w:tcW w:w="1386" w:type="dxa"/>
            <w:noWrap w:val="0"/>
            <w:vAlign w:val="center"/>
          </w:tcPr>
          <w:p>
            <w:pPr>
              <w:widowControl/>
              <w:jc w:val="center"/>
              <w:textAlignment w:val="center"/>
              <w:rPr>
                <w:i w:val="0"/>
                <w:iCs w:val="0"/>
                <w:sz w:val="21"/>
                <w:szCs w:val="21"/>
                <w:u w:val="single"/>
              </w:rPr>
            </w:pPr>
            <w:r>
              <w:rPr>
                <w:rFonts w:hint="eastAsia"/>
                <w:i w:val="0"/>
                <w:iCs w:val="0"/>
                <w:kern w:val="0"/>
                <w:sz w:val="21"/>
                <w:szCs w:val="21"/>
                <w:u w:val="single"/>
                <w:lang w:bidi="ar"/>
              </w:rPr>
              <w:t>3.11</w:t>
            </w:r>
          </w:p>
        </w:tc>
        <w:tc>
          <w:tcPr>
            <w:tcW w:w="1386" w:type="dxa"/>
            <w:noWrap w:val="0"/>
            <w:vAlign w:val="center"/>
          </w:tcPr>
          <w:p>
            <w:pPr>
              <w:widowControl/>
              <w:jc w:val="center"/>
              <w:textAlignment w:val="center"/>
              <w:rPr>
                <w:i w:val="0"/>
                <w:iCs w:val="0"/>
                <w:sz w:val="21"/>
                <w:szCs w:val="21"/>
                <w:u w:val="single"/>
              </w:rPr>
            </w:pPr>
            <w:r>
              <w:rPr>
                <w:rFonts w:hint="eastAsia"/>
                <w:i w:val="0"/>
                <w:iCs w:val="0"/>
                <w:kern w:val="0"/>
                <w:sz w:val="21"/>
                <w:szCs w:val="21"/>
                <w:u w:val="single"/>
                <w:lang w:bidi="ar"/>
              </w:rPr>
              <w:t>3.59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3" w:type="dxa"/>
            <w:noWrap w:val="0"/>
            <w:vAlign w:val="center"/>
          </w:tcPr>
          <w:p>
            <w:pPr>
              <w:pStyle w:val="385"/>
              <w:rPr>
                <w:i w:val="0"/>
                <w:iCs w:val="0"/>
                <w:u w:val="single"/>
              </w:rPr>
            </w:pPr>
            <w:r>
              <w:rPr>
                <w:i w:val="0"/>
                <w:iCs w:val="0"/>
                <w:u w:val="single"/>
              </w:rPr>
              <w:t>1</w:t>
            </w:r>
            <w:r>
              <w:rPr>
                <w:rFonts w:hint="eastAsia"/>
                <w:i w:val="0"/>
                <w:iCs w:val="0"/>
                <w:u w:val="single"/>
              </w:rPr>
              <w:t>3</w:t>
            </w:r>
          </w:p>
        </w:tc>
        <w:tc>
          <w:tcPr>
            <w:tcW w:w="2002" w:type="dxa"/>
            <w:noWrap w:val="0"/>
            <w:vAlign w:val="center"/>
          </w:tcPr>
          <w:p>
            <w:pPr>
              <w:jc w:val="center"/>
              <w:rPr>
                <w:i w:val="0"/>
                <w:iCs w:val="0"/>
                <w:sz w:val="21"/>
                <w:szCs w:val="21"/>
                <w:u w:val="single"/>
              </w:rPr>
            </w:pPr>
            <w:r>
              <w:rPr>
                <w:i w:val="0"/>
                <w:iCs w:val="0"/>
                <w:sz w:val="21"/>
                <w:szCs w:val="21"/>
                <w:u w:val="single"/>
              </w:rPr>
              <w:t>可溶性阳离子</w:t>
            </w:r>
            <w:r>
              <w:rPr>
                <w:rFonts w:hint="eastAsia"/>
                <w:i w:val="0"/>
                <w:iCs w:val="0"/>
                <w:sz w:val="21"/>
                <w:szCs w:val="21"/>
                <w:u w:val="single"/>
              </w:rPr>
              <w:t>（</w:t>
            </w:r>
            <w:r>
              <w:rPr>
                <w:i w:val="0"/>
                <w:iCs w:val="0"/>
                <w:sz w:val="21"/>
                <w:szCs w:val="21"/>
                <w:u w:val="single"/>
              </w:rPr>
              <w:t>Na</w:t>
            </w:r>
            <w:r>
              <w:rPr>
                <w:i w:val="0"/>
                <w:iCs w:val="0"/>
                <w:sz w:val="21"/>
                <w:szCs w:val="21"/>
                <w:u w:val="single"/>
                <w:vertAlign w:val="superscript"/>
              </w:rPr>
              <w:t>+</w:t>
            </w:r>
            <w:r>
              <w:rPr>
                <w:rFonts w:hint="eastAsia"/>
                <w:i w:val="0"/>
                <w:iCs w:val="0"/>
                <w:sz w:val="21"/>
                <w:szCs w:val="21"/>
                <w:u w:val="single"/>
              </w:rPr>
              <w:t>）</w:t>
            </w:r>
          </w:p>
        </w:tc>
        <w:tc>
          <w:tcPr>
            <w:tcW w:w="1348" w:type="dxa"/>
            <w:noWrap w:val="0"/>
            <w:vAlign w:val="center"/>
          </w:tcPr>
          <w:p>
            <w:pPr>
              <w:widowControl/>
              <w:jc w:val="center"/>
              <w:textAlignment w:val="center"/>
              <w:rPr>
                <w:i w:val="0"/>
                <w:iCs w:val="0"/>
                <w:sz w:val="21"/>
                <w:szCs w:val="21"/>
                <w:u w:val="single"/>
              </w:rPr>
            </w:pPr>
            <w:r>
              <w:rPr>
                <w:rFonts w:hint="eastAsia"/>
                <w:i w:val="0"/>
                <w:iCs w:val="0"/>
                <w:kern w:val="0"/>
                <w:sz w:val="21"/>
                <w:szCs w:val="21"/>
                <w:u w:val="single"/>
                <w:lang w:bidi="ar"/>
              </w:rPr>
              <w:t>1.59</w:t>
            </w:r>
          </w:p>
        </w:tc>
        <w:tc>
          <w:tcPr>
            <w:tcW w:w="1289" w:type="dxa"/>
            <w:noWrap w:val="0"/>
            <w:vAlign w:val="center"/>
          </w:tcPr>
          <w:p>
            <w:pPr>
              <w:widowControl/>
              <w:jc w:val="center"/>
              <w:textAlignment w:val="center"/>
              <w:rPr>
                <w:i w:val="0"/>
                <w:iCs w:val="0"/>
                <w:sz w:val="21"/>
                <w:szCs w:val="21"/>
                <w:u w:val="single"/>
              </w:rPr>
            </w:pPr>
            <w:r>
              <w:rPr>
                <w:rFonts w:hint="eastAsia"/>
                <w:i w:val="0"/>
                <w:iCs w:val="0"/>
                <w:kern w:val="0"/>
                <w:sz w:val="21"/>
                <w:szCs w:val="21"/>
                <w:u w:val="single"/>
                <w:lang w:bidi="ar"/>
              </w:rPr>
              <w:t>2.47</w:t>
            </w:r>
          </w:p>
        </w:tc>
        <w:tc>
          <w:tcPr>
            <w:tcW w:w="1386" w:type="dxa"/>
            <w:noWrap w:val="0"/>
            <w:vAlign w:val="center"/>
          </w:tcPr>
          <w:p>
            <w:pPr>
              <w:widowControl/>
              <w:jc w:val="center"/>
              <w:textAlignment w:val="center"/>
              <w:rPr>
                <w:i w:val="0"/>
                <w:iCs w:val="0"/>
                <w:sz w:val="21"/>
                <w:szCs w:val="21"/>
                <w:u w:val="single"/>
              </w:rPr>
            </w:pPr>
            <w:r>
              <w:rPr>
                <w:rFonts w:hint="eastAsia"/>
                <w:i w:val="0"/>
                <w:iCs w:val="0"/>
                <w:kern w:val="0"/>
                <w:sz w:val="21"/>
                <w:szCs w:val="21"/>
                <w:u w:val="single"/>
                <w:lang w:bidi="ar"/>
              </w:rPr>
              <w:t>1.46</w:t>
            </w:r>
          </w:p>
        </w:tc>
        <w:tc>
          <w:tcPr>
            <w:tcW w:w="1386" w:type="dxa"/>
            <w:noWrap w:val="0"/>
            <w:vAlign w:val="center"/>
          </w:tcPr>
          <w:p>
            <w:pPr>
              <w:widowControl/>
              <w:jc w:val="center"/>
              <w:textAlignment w:val="center"/>
              <w:rPr>
                <w:i w:val="0"/>
                <w:iCs w:val="0"/>
                <w:color w:val="000000"/>
                <w:kern w:val="0"/>
                <w:sz w:val="21"/>
                <w:szCs w:val="21"/>
                <w:u w:val="single"/>
                <w:lang w:bidi="ar"/>
              </w:rPr>
            </w:pPr>
            <w:r>
              <w:rPr>
                <w:rFonts w:hint="eastAsia"/>
                <w:i w:val="0"/>
                <w:iCs w:val="0"/>
                <w:kern w:val="0"/>
                <w:sz w:val="21"/>
                <w:szCs w:val="21"/>
                <w:u w:val="single"/>
                <w:lang w:bidi="ar"/>
              </w:rPr>
              <w:t>0.721</w:t>
            </w:r>
          </w:p>
        </w:tc>
        <w:tc>
          <w:tcPr>
            <w:tcW w:w="1386" w:type="dxa"/>
            <w:noWrap w:val="0"/>
            <w:vAlign w:val="center"/>
          </w:tcPr>
          <w:p>
            <w:pPr>
              <w:widowControl/>
              <w:jc w:val="center"/>
              <w:textAlignment w:val="center"/>
              <w:rPr>
                <w:i w:val="0"/>
                <w:iCs w:val="0"/>
                <w:color w:val="000000"/>
                <w:kern w:val="0"/>
                <w:sz w:val="21"/>
                <w:szCs w:val="21"/>
                <w:u w:val="single"/>
                <w:lang w:bidi="ar"/>
              </w:rPr>
            </w:pPr>
            <w:r>
              <w:rPr>
                <w:rFonts w:hint="eastAsia"/>
                <w:i w:val="0"/>
                <w:iCs w:val="0"/>
                <w:kern w:val="0"/>
                <w:sz w:val="21"/>
                <w:szCs w:val="21"/>
                <w:u w:val="single"/>
                <w:lang w:bidi="ar"/>
              </w:rPr>
              <w:t>1.85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3" w:type="dxa"/>
            <w:noWrap w:val="0"/>
            <w:vAlign w:val="center"/>
          </w:tcPr>
          <w:p>
            <w:pPr>
              <w:pStyle w:val="385"/>
              <w:rPr>
                <w:i w:val="0"/>
                <w:iCs w:val="0"/>
                <w:u w:val="single"/>
              </w:rPr>
            </w:pPr>
            <w:r>
              <w:rPr>
                <w:i w:val="0"/>
                <w:iCs w:val="0"/>
                <w:u w:val="single"/>
              </w:rPr>
              <w:t>1</w:t>
            </w:r>
            <w:r>
              <w:rPr>
                <w:rFonts w:hint="eastAsia"/>
                <w:i w:val="0"/>
                <w:iCs w:val="0"/>
                <w:u w:val="single"/>
              </w:rPr>
              <w:t>4</w:t>
            </w:r>
          </w:p>
        </w:tc>
        <w:tc>
          <w:tcPr>
            <w:tcW w:w="2002" w:type="dxa"/>
            <w:noWrap w:val="0"/>
            <w:vAlign w:val="center"/>
          </w:tcPr>
          <w:p>
            <w:pPr>
              <w:jc w:val="center"/>
              <w:rPr>
                <w:i w:val="0"/>
                <w:iCs w:val="0"/>
                <w:sz w:val="21"/>
                <w:szCs w:val="21"/>
                <w:u w:val="single"/>
              </w:rPr>
            </w:pPr>
            <w:r>
              <w:rPr>
                <w:i w:val="0"/>
                <w:iCs w:val="0"/>
                <w:sz w:val="21"/>
                <w:szCs w:val="21"/>
                <w:u w:val="single"/>
              </w:rPr>
              <w:t>可溶性阳离子（Mg</w:t>
            </w:r>
            <w:r>
              <w:rPr>
                <w:i w:val="0"/>
                <w:iCs w:val="0"/>
                <w:sz w:val="21"/>
                <w:szCs w:val="21"/>
                <w:u w:val="single"/>
                <w:vertAlign w:val="superscript"/>
              </w:rPr>
              <w:t>2+</w:t>
            </w:r>
            <w:r>
              <w:rPr>
                <w:i w:val="0"/>
                <w:iCs w:val="0"/>
                <w:sz w:val="21"/>
                <w:szCs w:val="21"/>
                <w:u w:val="single"/>
              </w:rPr>
              <w:t>）</w:t>
            </w:r>
          </w:p>
        </w:tc>
        <w:tc>
          <w:tcPr>
            <w:tcW w:w="1348" w:type="dxa"/>
            <w:noWrap w:val="0"/>
            <w:vAlign w:val="center"/>
          </w:tcPr>
          <w:p>
            <w:pPr>
              <w:widowControl/>
              <w:jc w:val="center"/>
              <w:textAlignment w:val="center"/>
              <w:rPr>
                <w:i w:val="0"/>
                <w:iCs w:val="0"/>
                <w:sz w:val="21"/>
                <w:szCs w:val="21"/>
                <w:u w:val="single"/>
              </w:rPr>
            </w:pPr>
            <w:r>
              <w:rPr>
                <w:rFonts w:hint="eastAsia"/>
                <w:i w:val="0"/>
                <w:iCs w:val="0"/>
                <w:kern w:val="0"/>
                <w:sz w:val="21"/>
                <w:szCs w:val="21"/>
                <w:u w:val="single"/>
                <w:lang w:bidi="ar"/>
              </w:rPr>
              <w:t>2.13</w:t>
            </w:r>
          </w:p>
        </w:tc>
        <w:tc>
          <w:tcPr>
            <w:tcW w:w="1289" w:type="dxa"/>
            <w:noWrap w:val="0"/>
            <w:vAlign w:val="center"/>
          </w:tcPr>
          <w:p>
            <w:pPr>
              <w:widowControl/>
              <w:jc w:val="center"/>
              <w:textAlignment w:val="center"/>
              <w:rPr>
                <w:i w:val="0"/>
                <w:iCs w:val="0"/>
                <w:sz w:val="21"/>
                <w:szCs w:val="21"/>
                <w:u w:val="single"/>
              </w:rPr>
            </w:pPr>
            <w:r>
              <w:rPr>
                <w:rFonts w:hint="eastAsia"/>
                <w:i w:val="0"/>
                <w:iCs w:val="0"/>
                <w:kern w:val="0"/>
                <w:sz w:val="21"/>
                <w:szCs w:val="21"/>
                <w:u w:val="single"/>
                <w:lang w:bidi="ar"/>
              </w:rPr>
              <w:t>2.86</w:t>
            </w:r>
          </w:p>
        </w:tc>
        <w:tc>
          <w:tcPr>
            <w:tcW w:w="1386" w:type="dxa"/>
            <w:noWrap w:val="0"/>
            <w:vAlign w:val="center"/>
          </w:tcPr>
          <w:p>
            <w:pPr>
              <w:widowControl/>
              <w:jc w:val="center"/>
              <w:textAlignment w:val="center"/>
              <w:rPr>
                <w:i w:val="0"/>
                <w:iCs w:val="0"/>
                <w:sz w:val="21"/>
                <w:szCs w:val="21"/>
                <w:u w:val="single"/>
              </w:rPr>
            </w:pPr>
            <w:r>
              <w:rPr>
                <w:rFonts w:hint="eastAsia"/>
                <w:i w:val="0"/>
                <w:iCs w:val="0"/>
                <w:kern w:val="0"/>
                <w:sz w:val="21"/>
                <w:szCs w:val="21"/>
                <w:u w:val="single"/>
                <w:lang w:bidi="ar"/>
              </w:rPr>
              <w:t>1.89</w:t>
            </w:r>
          </w:p>
        </w:tc>
        <w:tc>
          <w:tcPr>
            <w:tcW w:w="1386" w:type="dxa"/>
            <w:noWrap w:val="0"/>
            <w:vAlign w:val="center"/>
          </w:tcPr>
          <w:p>
            <w:pPr>
              <w:widowControl/>
              <w:jc w:val="center"/>
              <w:textAlignment w:val="center"/>
              <w:rPr>
                <w:i w:val="0"/>
                <w:iCs w:val="0"/>
                <w:sz w:val="21"/>
                <w:szCs w:val="21"/>
                <w:u w:val="single"/>
              </w:rPr>
            </w:pPr>
            <w:r>
              <w:rPr>
                <w:rFonts w:hint="eastAsia"/>
                <w:i w:val="0"/>
                <w:iCs w:val="0"/>
                <w:kern w:val="0"/>
                <w:sz w:val="21"/>
                <w:szCs w:val="21"/>
                <w:u w:val="single"/>
                <w:lang w:bidi="ar"/>
              </w:rPr>
              <w:t>2.53</w:t>
            </w:r>
          </w:p>
        </w:tc>
        <w:tc>
          <w:tcPr>
            <w:tcW w:w="1386" w:type="dxa"/>
            <w:noWrap w:val="0"/>
            <w:vAlign w:val="center"/>
          </w:tcPr>
          <w:p>
            <w:pPr>
              <w:widowControl/>
              <w:jc w:val="center"/>
              <w:textAlignment w:val="center"/>
              <w:rPr>
                <w:i w:val="0"/>
                <w:iCs w:val="0"/>
                <w:sz w:val="21"/>
                <w:szCs w:val="21"/>
                <w:u w:val="single"/>
              </w:rPr>
            </w:pPr>
            <w:r>
              <w:rPr>
                <w:rFonts w:hint="eastAsia"/>
                <w:i w:val="0"/>
                <w:iCs w:val="0"/>
                <w:kern w:val="0"/>
                <w:sz w:val="21"/>
                <w:szCs w:val="21"/>
                <w:u w:val="single"/>
                <w:lang w:bidi="ar"/>
              </w:rPr>
              <w:t>1.46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3" w:type="dxa"/>
            <w:noWrap w:val="0"/>
            <w:vAlign w:val="center"/>
          </w:tcPr>
          <w:p>
            <w:pPr>
              <w:pStyle w:val="385"/>
              <w:rPr>
                <w:i w:val="0"/>
                <w:iCs w:val="0"/>
                <w:u w:val="single"/>
              </w:rPr>
            </w:pPr>
            <w:r>
              <w:rPr>
                <w:rFonts w:hint="eastAsia"/>
                <w:i w:val="0"/>
                <w:iCs w:val="0"/>
                <w:u w:val="single"/>
              </w:rPr>
              <w:t>15</w:t>
            </w:r>
          </w:p>
        </w:tc>
        <w:tc>
          <w:tcPr>
            <w:tcW w:w="2002" w:type="dxa"/>
            <w:noWrap w:val="0"/>
            <w:vAlign w:val="center"/>
          </w:tcPr>
          <w:p>
            <w:pPr>
              <w:jc w:val="center"/>
              <w:rPr>
                <w:i w:val="0"/>
                <w:iCs w:val="0"/>
                <w:sz w:val="21"/>
                <w:szCs w:val="21"/>
                <w:u w:val="single"/>
              </w:rPr>
            </w:pPr>
            <w:r>
              <w:rPr>
                <w:i w:val="0"/>
                <w:iCs w:val="0"/>
                <w:sz w:val="21"/>
                <w:szCs w:val="21"/>
                <w:u w:val="single"/>
              </w:rPr>
              <w:t>无机阴离子（Cl</w:t>
            </w:r>
            <w:r>
              <w:rPr>
                <w:i w:val="0"/>
                <w:iCs w:val="0"/>
                <w:sz w:val="21"/>
                <w:szCs w:val="21"/>
                <w:u w:val="single"/>
                <w:vertAlign w:val="superscript"/>
              </w:rPr>
              <w:t>-</w:t>
            </w:r>
            <w:r>
              <w:rPr>
                <w:i w:val="0"/>
                <w:iCs w:val="0"/>
                <w:sz w:val="21"/>
                <w:szCs w:val="21"/>
                <w:u w:val="single"/>
              </w:rPr>
              <w:t>）</w:t>
            </w:r>
          </w:p>
        </w:tc>
        <w:tc>
          <w:tcPr>
            <w:tcW w:w="1348" w:type="dxa"/>
            <w:noWrap w:val="0"/>
            <w:vAlign w:val="center"/>
          </w:tcPr>
          <w:p>
            <w:pPr>
              <w:widowControl/>
              <w:jc w:val="center"/>
              <w:textAlignment w:val="center"/>
              <w:rPr>
                <w:i w:val="0"/>
                <w:iCs w:val="0"/>
                <w:sz w:val="21"/>
                <w:szCs w:val="21"/>
                <w:u w:val="single"/>
              </w:rPr>
            </w:pPr>
            <w:r>
              <w:rPr>
                <w:rFonts w:hint="eastAsia"/>
                <w:i w:val="0"/>
                <w:iCs w:val="0"/>
                <w:sz w:val="21"/>
                <w:szCs w:val="21"/>
                <w:u w:val="single"/>
              </w:rPr>
              <w:t>13.7</w:t>
            </w:r>
          </w:p>
        </w:tc>
        <w:tc>
          <w:tcPr>
            <w:tcW w:w="1289" w:type="dxa"/>
            <w:noWrap w:val="0"/>
            <w:vAlign w:val="center"/>
          </w:tcPr>
          <w:p>
            <w:pPr>
              <w:widowControl/>
              <w:jc w:val="center"/>
              <w:textAlignment w:val="center"/>
              <w:rPr>
                <w:i w:val="0"/>
                <w:iCs w:val="0"/>
                <w:sz w:val="21"/>
                <w:szCs w:val="21"/>
                <w:u w:val="single"/>
              </w:rPr>
            </w:pPr>
            <w:r>
              <w:rPr>
                <w:rFonts w:hint="eastAsia"/>
                <w:i w:val="0"/>
                <w:iCs w:val="0"/>
                <w:sz w:val="21"/>
                <w:szCs w:val="21"/>
                <w:u w:val="single"/>
              </w:rPr>
              <w:t>4.23</w:t>
            </w:r>
          </w:p>
        </w:tc>
        <w:tc>
          <w:tcPr>
            <w:tcW w:w="1386" w:type="dxa"/>
            <w:noWrap w:val="0"/>
            <w:vAlign w:val="center"/>
          </w:tcPr>
          <w:p>
            <w:pPr>
              <w:widowControl/>
              <w:jc w:val="center"/>
              <w:textAlignment w:val="center"/>
              <w:rPr>
                <w:i w:val="0"/>
                <w:iCs w:val="0"/>
                <w:sz w:val="21"/>
                <w:szCs w:val="21"/>
                <w:u w:val="single"/>
              </w:rPr>
            </w:pPr>
            <w:r>
              <w:rPr>
                <w:rFonts w:hint="eastAsia"/>
                <w:i w:val="0"/>
                <w:iCs w:val="0"/>
                <w:sz w:val="21"/>
                <w:szCs w:val="21"/>
                <w:u w:val="single"/>
              </w:rPr>
              <w:t>7.66</w:t>
            </w:r>
          </w:p>
        </w:tc>
        <w:tc>
          <w:tcPr>
            <w:tcW w:w="1386" w:type="dxa"/>
            <w:noWrap w:val="0"/>
            <w:vAlign w:val="center"/>
          </w:tcPr>
          <w:p>
            <w:pPr>
              <w:widowControl/>
              <w:jc w:val="center"/>
              <w:textAlignment w:val="center"/>
              <w:rPr>
                <w:i w:val="0"/>
                <w:iCs w:val="0"/>
                <w:color w:val="000000"/>
                <w:kern w:val="0"/>
                <w:sz w:val="21"/>
                <w:szCs w:val="21"/>
                <w:u w:val="single"/>
                <w:lang w:bidi="ar"/>
              </w:rPr>
            </w:pPr>
            <w:r>
              <w:rPr>
                <w:rFonts w:hint="eastAsia"/>
                <w:i w:val="0"/>
                <w:iCs w:val="0"/>
                <w:sz w:val="21"/>
                <w:szCs w:val="21"/>
                <w:u w:val="single"/>
              </w:rPr>
              <w:t>8.36</w:t>
            </w:r>
          </w:p>
        </w:tc>
        <w:tc>
          <w:tcPr>
            <w:tcW w:w="1386" w:type="dxa"/>
            <w:noWrap w:val="0"/>
            <w:vAlign w:val="center"/>
          </w:tcPr>
          <w:p>
            <w:pPr>
              <w:widowControl/>
              <w:jc w:val="center"/>
              <w:textAlignment w:val="center"/>
              <w:rPr>
                <w:i w:val="0"/>
                <w:iCs w:val="0"/>
                <w:color w:val="000000"/>
                <w:kern w:val="0"/>
                <w:sz w:val="21"/>
                <w:szCs w:val="21"/>
                <w:u w:val="single"/>
                <w:lang w:bidi="ar"/>
              </w:rPr>
            </w:pPr>
            <w:r>
              <w:rPr>
                <w:rFonts w:hint="eastAsia"/>
                <w:i w:val="0"/>
                <w:iCs w:val="0"/>
                <w:sz w:val="21"/>
                <w:szCs w:val="21"/>
                <w:u w:val="single"/>
              </w:rPr>
              <w:t>13.1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3" w:type="dxa"/>
            <w:noWrap w:val="0"/>
            <w:vAlign w:val="center"/>
          </w:tcPr>
          <w:p>
            <w:pPr>
              <w:pStyle w:val="385"/>
              <w:rPr>
                <w:i w:val="0"/>
                <w:iCs w:val="0"/>
                <w:u w:val="single"/>
              </w:rPr>
            </w:pPr>
            <w:r>
              <w:rPr>
                <w:rFonts w:hint="eastAsia"/>
                <w:i w:val="0"/>
                <w:iCs w:val="0"/>
                <w:u w:val="single"/>
              </w:rPr>
              <w:t>16</w:t>
            </w:r>
          </w:p>
        </w:tc>
        <w:tc>
          <w:tcPr>
            <w:tcW w:w="2002" w:type="dxa"/>
            <w:noWrap w:val="0"/>
            <w:vAlign w:val="center"/>
          </w:tcPr>
          <w:p>
            <w:pPr>
              <w:jc w:val="center"/>
              <w:rPr>
                <w:i w:val="0"/>
                <w:iCs w:val="0"/>
                <w:sz w:val="21"/>
                <w:szCs w:val="21"/>
                <w:u w:val="single"/>
              </w:rPr>
            </w:pPr>
            <w:r>
              <w:rPr>
                <w:i w:val="0"/>
                <w:iCs w:val="0"/>
                <w:sz w:val="21"/>
                <w:szCs w:val="21"/>
                <w:u w:val="single"/>
              </w:rPr>
              <w:t>无机阴离子（SO</w:t>
            </w:r>
            <w:r>
              <w:rPr>
                <w:i w:val="0"/>
                <w:iCs w:val="0"/>
                <w:sz w:val="21"/>
                <w:szCs w:val="21"/>
                <w:u w:val="single"/>
                <w:vertAlign w:val="subscript"/>
              </w:rPr>
              <w:t>4</w:t>
            </w:r>
            <w:r>
              <w:rPr>
                <w:i w:val="0"/>
                <w:iCs w:val="0"/>
                <w:sz w:val="21"/>
                <w:szCs w:val="21"/>
                <w:u w:val="single"/>
                <w:vertAlign w:val="superscript"/>
              </w:rPr>
              <w:t>2-</w:t>
            </w:r>
            <w:r>
              <w:rPr>
                <w:i w:val="0"/>
                <w:iCs w:val="0"/>
                <w:sz w:val="21"/>
                <w:szCs w:val="21"/>
                <w:u w:val="single"/>
              </w:rPr>
              <w:t>）</w:t>
            </w:r>
          </w:p>
        </w:tc>
        <w:tc>
          <w:tcPr>
            <w:tcW w:w="1348" w:type="dxa"/>
            <w:noWrap w:val="0"/>
            <w:vAlign w:val="center"/>
          </w:tcPr>
          <w:p>
            <w:pPr>
              <w:widowControl/>
              <w:jc w:val="center"/>
              <w:textAlignment w:val="center"/>
              <w:rPr>
                <w:i w:val="0"/>
                <w:iCs w:val="0"/>
                <w:color w:val="000000"/>
                <w:kern w:val="0"/>
                <w:sz w:val="21"/>
                <w:szCs w:val="21"/>
                <w:u w:val="single"/>
                <w:lang w:bidi="ar"/>
              </w:rPr>
            </w:pPr>
            <w:r>
              <w:rPr>
                <w:rFonts w:hint="eastAsia"/>
                <w:i w:val="0"/>
                <w:iCs w:val="0"/>
                <w:kern w:val="0"/>
                <w:sz w:val="21"/>
                <w:szCs w:val="21"/>
                <w:u w:val="single"/>
                <w:lang w:bidi="ar"/>
              </w:rPr>
              <w:t>18.6</w:t>
            </w:r>
          </w:p>
        </w:tc>
        <w:tc>
          <w:tcPr>
            <w:tcW w:w="1289" w:type="dxa"/>
            <w:noWrap w:val="0"/>
            <w:vAlign w:val="center"/>
          </w:tcPr>
          <w:p>
            <w:pPr>
              <w:widowControl/>
              <w:jc w:val="center"/>
              <w:textAlignment w:val="center"/>
              <w:rPr>
                <w:i w:val="0"/>
                <w:iCs w:val="0"/>
                <w:color w:val="000000"/>
                <w:kern w:val="0"/>
                <w:sz w:val="21"/>
                <w:szCs w:val="21"/>
                <w:u w:val="single"/>
                <w:lang w:bidi="ar"/>
              </w:rPr>
            </w:pPr>
            <w:r>
              <w:rPr>
                <w:rFonts w:hint="eastAsia"/>
                <w:i w:val="0"/>
                <w:iCs w:val="0"/>
                <w:kern w:val="0"/>
                <w:sz w:val="21"/>
                <w:szCs w:val="21"/>
                <w:u w:val="single"/>
                <w:lang w:bidi="ar"/>
              </w:rPr>
              <w:t>10.9</w:t>
            </w:r>
          </w:p>
        </w:tc>
        <w:tc>
          <w:tcPr>
            <w:tcW w:w="1386" w:type="dxa"/>
            <w:noWrap w:val="0"/>
            <w:vAlign w:val="center"/>
          </w:tcPr>
          <w:p>
            <w:pPr>
              <w:widowControl/>
              <w:jc w:val="center"/>
              <w:textAlignment w:val="center"/>
              <w:rPr>
                <w:i w:val="0"/>
                <w:iCs w:val="0"/>
                <w:color w:val="000000"/>
                <w:kern w:val="0"/>
                <w:sz w:val="21"/>
                <w:szCs w:val="21"/>
                <w:u w:val="single"/>
                <w:lang w:bidi="ar"/>
              </w:rPr>
            </w:pPr>
            <w:r>
              <w:rPr>
                <w:rFonts w:hint="eastAsia"/>
                <w:i w:val="0"/>
                <w:iCs w:val="0"/>
                <w:kern w:val="0"/>
                <w:sz w:val="21"/>
                <w:szCs w:val="21"/>
                <w:u w:val="single"/>
                <w:lang w:bidi="ar"/>
              </w:rPr>
              <w:t>3.56</w:t>
            </w:r>
          </w:p>
        </w:tc>
        <w:tc>
          <w:tcPr>
            <w:tcW w:w="1386" w:type="dxa"/>
            <w:noWrap w:val="0"/>
            <w:vAlign w:val="center"/>
          </w:tcPr>
          <w:p>
            <w:pPr>
              <w:widowControl/>
              <w:jc w:val="center"/>
              <w:textAlignment w:val="center"/>
              <w:rPr>
                <w:i w:val="0"/>
                <w:iCs w:val="0"/>
                <w:color w:val="000000"/>
                <w:kern w:val="0"/>
                <w:sz w:val="21"/>
                <w:szCs w:val="21"/>
                <w:u w:val="single"/>
                <w:lang w:bidi="ar"/>
              </w:rPr>
            </w:pPr>
            <w:r>
              <w:rPr>
                <w:rFonts w:hint="eastAsia"/>
                <w:i w:val="0"/>
                <w:iCs w:val="0"/>
                <w:kern w:val="0"/>
                <w:sz w:val="21"/>
                <w:szCs w:val="21"/>
                <w:u w:val="single"/>
                <w:lang w:bidi="ar"/>
              </w:rPr>
              <w:t>21.6</w:t>
            </w:r>
          </w:p>
        </w:tc>
        <w:tc>
          <w:tcPr>
            <w:tcW w:w="1386" w:type="dxa"/>
            <w:noWrap w:val="0"/>
            <w:vAlign w:val="center"/>
          </w:tcPr>
          <w:p>
            <w:pPr>
              <w:widowControl/>
              <w:jc w:val="center"/>
              <w:textAlignment w:val="center"/>
              <w:rPr>
                <w:i w:val="0"/>
                <w:iCs w:val="0"/>
                <w:color w:val="000000"/>
                <w:kern w:val="0"/>
                <w:sz w:val="21"/>
                <w:szCs w:val="21"/>
                <w:u w:val="single"/>
                <w:lang w:bidi="ar"/>
              </w:rPr>
            </w:pPr>
            <w:r>
              <w:rPr>
                <w:rFonts w:hint="eastAsia"/>
                <w:i w:val="0"/>
                <w:iCs w:val="0"/>
                <w:kern w:val="0"/>
                <w:sz w:val="21"/>
                <w:szCs w:val="21"/>
                <w:u w:val="single"/>
                <w:lang w:bidi="ar"/>
              </w:rPr>
              <w:t>23.8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center"/>
          </w:tcPr>
          <w:p>
            <w:pPr>
              <w:pStyle w:val="385"/>
              <w:rPr>
                <w:i w:val="0"/>
                <w:iCs w:val="0"/>
                <w:u w:val="single"/>
              </w:rPr>
            </w:pPr>
            <w:r>
              <w:rPr>
                <w:rFonts w:hint="eastAsia"/>
                <w:i w:val="0"/>
                <w:iCs w:val="0"/>
                <w:u w:val="single"/>
              </w:rPr>
              <w:t>17</w:t>
            </w:r>
          </w:p>
        </w:tc>
        <w:tc>
          <w:tcPr>
            <w:tcW w:w="2002" w:type="dxa"/>
            <w:noWrap w:val="0"/>
            <w:vAlign w:val="center"/>
          </w:tcPr>
          <w:p>
            <w:pPr>
              <w:adjustRightInd w:val="0"/>
              <w:snapToGrid w:val="0"/>
              <w:jc w:val="center"/>
              <w:rPr>
                <w:i w:val="0"/>
                <w:iCs w:val="0"/>
                <w:sz w:val="21"/>
                <w:szCs w:val="21"/>
                <w:u w:val="single"/>
              </w:rPr>
            </w:pPr>
            <w:r>
              <w:rPr>
                <w:i w:val="0"/>
                <w:iCs w:val="0"/>
                <w:sz w:val="21"/>
                <w:szCs w:val="21"/>
                <w:u w:val="single"/>
              </w:rPr>
              <w:t>碳酸根</w:t>
            </w:r>
          </w:p>
        </w:tc>
        <w:tc>
          <w:tcPr>
            <w:tcW w:w="1348" w:type="dxa"/>
            <w:noWrap w:val="0"/>
            <w:vAlign w:val="center"/>
          </w:tcPr>
          <w:p>
            <w:pPr>
              <w:widowControl/>
              <w:jc w:val="center"/>
              <w:textAlignment w:val="center"/>
              <w:rPr>
                <w:i w:val="0"/>
                <w:iCs w:val="0"/>
                <w:color w:val="000000"/>
                <w:kern w:val="0"/>
                <w:sz w:val="21"/>
                <w:szCs w:val="21"/>
                <w:u w:val="single"/>
                <w:lang w:bidi="ar"/>
              </w:rPr>
            </w:pPr>
            <w:r>
              <w:rPr>
                <w:rFonts w:hint="eastAsia"/>
                <w:i w:val="0"/>
                <w:iCs w:val="0"/>
                <w:kern w:val="0"/>
                <w:sz w:val="21"/>
                <w:szCs w:val="21"/>
                <w:u w:val="single"/>
                <w:lang w:bidi="ar"/>
              </w:rPr>
              <w:t>5</w:t>
            </w:r>
            <w:r>
              <w:rPr>
                <w:i w:val="0"/>
                <w:iCs w:val="0"/>
                <w:kern w:val="0"/>
                <w:sz w:val="21"/>
                <w:szCs w:val="21"/>
                <w:u w:val="single"/>
                <w:lang w:bidi="ar"/>
              </w:rPr>
              <w:t>L</w:t>
            </w:r>
          </w:p>
        </w:tc>
        <w:tc>
          <w:tcPr>
            <w:tcW w:w="1289" w:type="dxa"/>
            <w:noWrap w:val="0"/>
            <w:vAlign w:val="center"/>
          </w:tcPr>
          <w:p>
            <w:pPr>
              <w:widowControl/>
              <w:jc w:val="center"/>
              <w:textAlignment w:val="center"/>
              <w:rPr>
                <w:i w:val="0"/>
                <w:iCs w:val="0"/>
                <w:color w:val="000000"/>
                <w:kern w:val="0"/>
                <w:sz w:val="21"/>
                <w:szCs w:val="21"/>
                <w:u w:val="single"/>
                <w:lang w:bidi="ar"/>
              </w:rPr>
            </w:pPr>
            <w:r>
              <w:rPr>
                <w:rFonts w:hint="eastAsia"/>
                <w:i w:val="0"/>
                <w:iCs w:val="0"/>
                <w:kern w:val="0"/>
                <w:sz w:val="21"/>
                <w:szCs w:val="21"/>
                <w:u w:val="single"/>
                <w:lang w:bidi="ar"/>
              </w:rPr>
              <w:t>5</w:t>
            </w:r>
            <w:r>
              <w:rPr>
                <w:i w:val="0"/>
                <w:iCs w:val="0"/>
                <w:kern w:val="0"/>
                <w:sz w:val="21"/>
                <w:szCs w:val="21"/>
                <w:u w:val="single"/>
                <w:lang w:bidi="ar"/>
              </w:rPr>
              <w:t>L</w:t>
            </w:r>
          </w:p>
        </w:tc>
        <w:tc>
          <w:tcPr>
            <w:tcW w:w="1386" w:type="dxa"/>
            <w:noWrap w:val="0"/>
            <w:vAlign w:val="center"/>
          </w:tcPr>
          <w:p>
            <w:pPr>
              <w:widowControl/>
              <w:jc w:val="center"/>
              <w:textAlignment w:val="center"/>
              <w:rPr>
                <w:i w:val="0"/>
                <w:iCs w:val="0"/>
                <w:color w:val="000000"/>
                <w:kern w:val="0"/>
                <w:sz w:val="21"/>
                <w:szCs w:val="21"/>
                <w:u w:val="single"/>
                <w:lang w:bidi="ar"/>
              </w:rPr>
            </w:pPr>
            <w:r>
              <w:rPr>
                <w:rFonts w:hint="eastAsia"/>
                <w:i w:val="0"/>
                <w:iCs w:val="0"/>
                <w:kern w:val="0"/>
                <w:sz w:val="21"/>
                <w:szCs w:val="21"/>
                <w:u w:val="single"/>
                <w:lang w:bidi="ar"/>
              </w:rPr>
              <w:t>5</w:t>
            </w:r>
            <w:r>
              <w:rPr>
                <w:i w:val="0"/>
                <w:iCs w:val="0"/>
                <w:kern w:val="0"/>
                <w:sz w:val="21"/>
                <w:szCs w:val="21"/>
                <w:u w:val="single"/>
                <w:lang w:bidi="ar"/>
              </w:rPr>
              <w:t>L</w:t>
            </w:r>
          </w:p>
        </w:tc>
        <w:tc>
          <w:tcPr>
            <w:tcW w:w="1386" w:type="dxa"/>
            <w:noWrap w:val="0"/>
            <w:vAlign w:val="center"/>
          </w:tcPr>
          <w:p>
            <w:pPr>
              <w:widowControl/>
              <w:jc w:val="center"/>
              <w:textAlignment w:val="center"/>
              <w:rPr>
                <w:rFonts w:hint="eastAsia"/>
                <w:i w:val="0"/>
                <w:iCs w:val="0"/>
                <w:kern w:val="0"/>
                <w:sz w:val="21"/>
                <w:szCs w:val="21"/>
                <w:u w:val="single"/>
                <w:lang w:bidi="ar"/>
              </w:rPr>
            </w:pPr>
            <w:r>
              <w:rPr>
                <w:rFonts w:hint="eastAsia"/>
                <w:i w:val="0"/>
                <w:iCs w:val="0"/>
                <w:kern w:val="0"/>
                <w:sz w:val="21"/>
                <w:szCs w:val="21"/>
                <w:u w:val="single"/>
                <w:lang w:bidi="ar"/>
              </w:rPr>
              <w:t>5</w:t>
            </w:r>
            <w:r>
              <w:rPr>
                <w:i w:val="0"/>
                <w:iCs w:val="0"/>
                <w:kern w:val="0"/>
                <w:sz w:val="21"/>
                <w:szCs w:val="21"/>
                <w:u w:val="single"/>
                <w:lang w:bidi="ar"/>
              </w:rPr>
              <w:t>L</w:t>
            </w:r>
          </w:p>
        </w:tc>
        <w:tc>
          <w:tcPr>
            <w:tcW w:w="1386" w:type="dxa"/>
            <w:noWrap w:val="0"/>
            <w:vAlign w:val="center"/>
          </w:tcPr>
          <w:p>
            <w:pPr>
              <w:widowControl/>
              <w:jc w:val="center"/>
              <w:textAlignment w:val="center"/>
              <w:rPr>
                <w:rFonts w:hint="eastAsia"/>
                <w:i w:val="0"/>
                <w:iCs w:val="0"/>
                <w:sz w:val="21"/>
                <w:szCs w:val="21"/>
                <w:u w:val="single"/>
              </w:rPr>
            </w:pPr>
            <w:r>
              <w:rPr>
                <w:rFonts w:hint="eastAsia"/>
                <w:i w:val="0"/>
                <w:iCs w:val="0"/>
                <w:kern w:val="0"/>
                <w:sz w:val="21"/>
                <w:szCs w:val="21"/>
                <w:u w:val="single"/>
                <w:lang w:bidi="ar"/>
              </w:rPr>
              <w:t>5</w:t>
            </w:r>
            <w:r>
              <w:rPr>
                <w:i w:val="0"/>
                <w:iCs w:val="0"/>
                <w:kern w:val="0"/>
                <w:sz w:val="21"/>
                <w:szCs w:val="21"/>
                <w:u w:val="single"/>
                <w:lang w:bidi="ar"/>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center"/>
          </w:tcPr>
          <w:p>
            <w:pPr>
              <w:pStyle w:val="385"/>
              <w:rPr>
                <w:i w:val="0"/>
                <w:iCs w:val="0"/>
                <w:u w:val="single"/>
              </w:rPr>
            </w:pPr>
            <w:r>
              <w:rPr>
                <w:rFonts w:hint="eastAsia"/>
                <w:i w:val="0"/>
                <w:iCs w:val="0"/>
                <w:u w:val="single"/>
              </w:rPr>
              <w:t>18</w:t>
            </w:r>
          </w:p>
        </w:tc>
        <w:tc>
          <w:tcPr>
            <w:tcW w:w="2002" w:type="dxa"/>
            <w:noWrap w:val="0"/>
            <w:vAlign w:val="center"/>
          </w:tcPr>
          <w:p>
            <w:pPr>
              <w:adjustRightInd w:val="0"/>
              <w:snapToGrid w:val="0"/>
              <w:jc w:val="center"/>
              <w:rPr>
                <w:i w:val="0"/>
                <w:iCs w:val="0"/>
                <w:sz w:val="21"/>
                <w:szCs w:val="21"/>
                <w:u w:val="single"/>
              </w:rPr>
            </w:pPr>
            <w:r>
              <w:rPr>
                <w:i w:val="0"/>
                <w:iCs w:val="0"/>
                <w:sz w:val="21"/>
                <w:szCs w:val="21"/>
                <w:u w:val="single"/>
              </w:rPr>
              <w:t>重碳酸根</w:t>
            </w:r>
          </w:p>
        </w:tc>
        <w:tc>
          <w:tcPr>
            <w:tcW w:w="1348" w:type="dxa"/>
            <w:noWrap w:val="0"/>
            <w:vAlign w:val="center"/>
          </w:tcPr>
          <w:p>
            <w:pPr>
              <w:widowControl/>
              <w:jc w:val="center"/>
              <w:textAlignment w:val="center"/>
              <w:rPr>
                <w:i w:val="0"/>
                <w:iCs w:val="0"/>
                <w:color w:val="000000"/>
                <w:sz w:val="21"/>
                <w:szCs w:val="21"/>
                <w:u w:val="single"/>
              </w:rPr>
            </w:pPr>
            <w:r>
              <w:rPr>
                <w:rFonts w:hint="eastAsia"/>
                <w:i w:val="0"/>
                <w:iCs w:val="0"/>
                <w:kern w:val="0"/>
                <w:sz w:val="21"/>
                <w:szCs w:val="21"/>
                <w:u w:val="single"/>
                <w:lang w:bidi="ar"/>
              </w:rPr>
              <w:t>84</w:t>
            </w:r>
          </w:p>
        </w:tc>
        <w:tc>
          <w:tcPr>
            <w:tcW w:w="1289" w:type="dxa"/>
            <w:noWrap w:val="0"/>
            <w:vAlign w:val="center"/>
          </w:tcPr>
          <w:p>
            <w:pPr>
              <w:widowControl/>
              <w:jc w:val="center"/>
              <w:textAlignment w:val="center"/>
              <w:rPr>
                <w:i w:val="0"/>
                <w:iCs w:val="0"/>
                <w:color w:val="000000"/>
                <w:sz w:val="21"/>
                <w:szCs w:val="21"/>
                <w:u w:val="single"/>
              </w:rPr>
            </w:pPr>
            <w:r>
              <w:rPr>
                <w:rFonts w:hint="eastAsia"/>
                <w:i w:val="0"/>
                <w:iCs w:val="0"/>
                <w:kern w:val="0"/>
                <w:sz w:val="21"/>
                <w:szCs w:val="21"/>
                <w:u w:val="single"/>
                <w:lang w:bidi="ar"/>
              </w:rPr>
              <w:t>98</w:t>
            </w:r>
          </w:p>
        </w:tc>
        <w:tc>
          <w:tcPr>
            <w:tcW w:w="1386" w:type="dxa"/>
            <w:noWrap w:val="0"/>
            <w:vAlign w:val="center"/>
          </w:tcPr>
          <w:p>
            <w:pPr>
              <w:widowControl/>
              <w:jc w:val="center"/>
              <w:textAlignment w:val="center"/>
              <w:rPr>
                <w:i w:val="0"/>
                <w:iCs w:val="0"/>
                <w:color w:val="000000"/>
                <w:sz w:val="21"/>
                <w:szCs w:val="21"/>
                <w:u w:val="single"/>
              </w:rPr>
            </w:pPr>
            <w:r>
              <w:rPr>
                <w:rFonts w:hint="eastAsia"/>
                <w:i w:val="0"/>
                <w:iCs w:val="0"/>
                <w:kern w:val="0"/>
                <w:sz w:val="21"/>
                <w:szCs w:val="21"/>
                <w:u w:val="single"/>
                <w:lang w:bidi="ar"/>
              </w:rPr>
              <w:t>73</w:t>
            </w:r>
          </w:p>
        </w:tc>
        <w:tc>
          <w:tcPr>
            <w:tcW w:w="1386" w:type="dxa"/>
            <w:noWrap w:val="0"/>
            <w:vAlign w:val="center"/>
          </w:tcPr>
          <w:p>
            <w:pPr>
              <w:widowControl/>
              <w:jc w:val="center"/>
              <w:textAlignment w:val="center"/>
              <w:rPr>
                <w:i w:val="0"/>
                <w:iCs w:val="0"/>
                <w:color w:val="000000"/>
                <w:kern w:val="0"/>
                <w:sz w:val="21"/>
                <w:szCs w:val="21"/>
                <w:u w:val="single"/>
                <w:lang w:bidi="ar"/>
              </w:rPr>
            </w:pPr>
            <w:r>
              <w:rPr>
                <w:rFonts w:hint="eastAsia"/>
                <w:i w:val="0"/>
                <w:iCs w:val="0"/>
                <w:kern w:val="0"/>
                <w:sz w:val="21"/>
                <w:szCs w:val="21"/>
                <w:u w:val="single"/>
                <w:lang w:bidi="ar"/>
              </w:rPr>
              <w:t>76</w:t>
            </w:r>
          </w:p>
        </w:tc>
        <w:tc>
          <w:tcPr>
            <w:tcW w:w="1386" w:type="dxa"/>
            <w:noWrap w:val="0"/>
            <w:vAlign w:val="center"/>
          </w:tcPr>
          <w:p>
            <w:pPr>
              <w:widowControl/>
              <w:jc w:val="center"/>
              <w:textAlignment w:val="center"/>
              <w:rPr>
                <w:i w:val="0"/>
                <w:iCs w:val="0"/>
                <w:color w:val="000000"/>
                <w:kern w:val="0"/>
                <w:sz w:val="21"/>
                <w:szCs w:val="21"/>
                <w:u w:val="single"/>
                <w:lang w:bidi="ar"/>
              </w:rPr>
            </w:pPr>
            <w:r>
              <w:rPr>
                <w:rFonts w:hint="eastAsia"/>
                <w:i w:val="0"/>
                <w:iCs w:val="0"/>
                <w:kern w:val="0"/>
                <w:sz w:val="21"/>
                <w:szCs w:val="21"/>
                <w:u w:val="single"/>
                <w:lang w:bidi="ar"/>
              </w:rPr>
              <w:t>93</w:t>
            </w:r>
          </w:p>
        </w:tc>
      </w:tr>
    </w:tbl>
    <w:p>
      <w:pPr>
        <w:pStyle w:val="386"/>
        <w:spacing w:before="0" w:beforeLines="0" w:after="0" w:afterLines="0"/>
        <w:ind w:firstLine="0" w:firstLineChars="0"/>
        <w:rPr>
          <w:i w:val="0"/>
          <w:iCs w:val="0"/>
          <w:sz w:val="21"/>
          <w:szCs w:val="21"/>
          <w:u w:val="single"/>
        </w:rPr>
      </w:pPr>
      <w:r>
        <w:rPr>
          <w:i w:val="0"/>
          <w:iCs w:val="0"/>
          <w:sz w:val="21"/>
          <w:szCs w:val="21"/>
          <w:u w:val="single"/>
        </w:rPr>
        <w:t>注：L 表示低于检出限。单位：mg/L，pH 无量纲。</w:t>
      </w:r>
    </w:p>
    <w:p>
      <w:pPr>
        <w:adjustRightInd w:val="0"/>
        <w:snapToGrid w:val="0"/>
        <w:spacing w:line="360" w:lineRule="auto"/>
        <w:ind w:firstLine="520" w:firstLineChars="200"/>
        <w:jc w:val="left"/>
        <w:rPr>
          <w:i w:val="0"/>
          <w:iCs w:val="0"/>
          <w:sz w:val="26"/>
          <w:szCs w:val="26"/>
        </w:rPr>
      </w:pPr>
      <w:r>
        <w:rPr>
          <w:i w:val="0"/>
          <w:iCs w:val="0"/>
          <w:sz w:val="26"/>
          <w:szCs w:val="26"/>
        </w:rPr>
        <w:t>7、地下水环境质量评价</w:t>
      </w:r>
    </w:p>
    <w:p>
      <w:pPr>
        <w:adjustRightInd w:val="0"/>
        <w:snapToGrid w:val="0"/>
        <w:spacing w:line="360" w:lineRule="auto"/>
        <w:ind w:firstLine="520" w:firstLineChars="200"/>
        <w:jc w:val="left"/>
        <w:rPr>
          <w:i w:val="0"/>
          <w:iCs w:val="0"/>
          <w:sz w:val="26"/>
          <w:szCs w:val="26"/>
        </w:rPr>
      </w:pPr>
      <w:r>
        <w:rPr>
          <w:i w:val="0"/>
          <w:iCs w:val="0"/>
          <w:sz w:val="26"/>
          <w:szCs w:val="26"/>
        </w:rPr>
        <w:t>采用单项标准指数法进行地下水质量评价。即将地下水监测点第i项地下水指标的监测浓度值Ci与标准浓度值Si相比，比值为Pi，用Pi来评价其是否满足地下水质量功能标准。地下水质量单项评价指数公式如下：</w:t>
      </w:r>
    </w:p>
    <w:p>
      <w:pPr>
        <w:adjustRightInd w:val="0"/>
        <w:snapToGrid w:val="0"/>
        <w:spacing w:line="360" w:lineRule="auto"/>
        <w:ind w:firstLine="520" w:firstLineChars="200"/>
        <w:jc w:val="center"/>
        <w:rPr>
          <w:i w:val="0"/>
          <w:iCs w:val="0"/>
          <w:snapToGrid w:val="0"/>
          <w:sz w:val="26"/>
          <w:szCs w:val="26"/>
        </w:rPr>
      </w:pPr>
      <w:r>
        <w:rPr>
          <w:i w:val="0"/>
          <w:iCs w:val="0"/>
          <w:snapToGrid w:val="0"/>
          <w:position w:val="-26"/>
          <w:sz w:val="26"/>
          <w:szCs w:val="26"/>
        </w:rPr>
        <w:object>
          <v:shape id="_x0000_i1025" o:spt="75" type="#_x0000_t75" style="height:42.75pt;width:51.75pt;" o:ole="t" filled="f" stroked="f" coordsize="21600,21600">
            <v:path/>
            <v:fill on="f" focussize="0,0"/>
            <v:stroke on="f"/>
            <v:imagedata r:id="rId33" o:title="251532001259516"/>
            <o:lock v:ext="edit" grouping="f" rotation="f" text="f" aspectratio="t"/>
            <w10:wrap type="none"/>
            <w10:anchorlock/>
          </v:shape>
          <o:OLEObject Type="Embed" ProgID="Excel.Sheet.8" ShapeID="_x0000_i1025" DrawAspect="Content" ObjectID="_1468075725" r:id="rId32">
            <o:LockedField>false</o:LockedField>
          </o:OLEObject>
        </w:object>
      </w:r>
      <w:r>
        <w:rPr>
          <w:i w:val="0"/>
          <w:iCs w:val="0"/>
          <w:snapToGrid w:val="0"/>
        </w:rPr>
        <w:t>(pH除外)</w:t>
      </w:r>
    </w:p>
    <w:p>
      <w:pPr>
        <w:adjustRightInd w:val="0"/>
        <w:snapToGrid w:val="0"/>
        <w:spacing w:line="360" w:lineRule="auto"/>
        <w:ind w:firstLine="480" w:firstLineChars="200"/>
        <w:rPr>
          <w:i w:val="0"/>
          <w:iCs w:val="0"/>
          <w:szCs w:val="28"/>
        </w:rPr>
      </w:pPr>
      <w:r>
        <w:rPr>
          <w:i w:val="0"/>
          <w:iCs w:val="0"/>
        </w:rPr>
        <w:t>S</w:t>
      </w:r>
      <w:r>
        <w:rPr>
          <w:i w:val="0"/>
          <w:iCs w:val="0"/>
          <w:vertAlign w:val="subscript"/>
        </w:rPr>
        <w:t>pH</w:t>
      </w:r>
      <w:r>
        <w:rPr>
          <w:i w:val="0"/>
          <w:iCs w:val="0"/>
        </w:rPr>
        <w:t>计算公式如下：</w:t>
      </w:r>
    </w:p>
    <w:p>
      <w:pPr>
        <w:tabs>
          <w:tab w:val="right" w:pos="4628"/>
        </w:tabs>
        <w:spacing w:line="360" w:lineRule="auto"/>
        <w:ind w:firstLine="1080" w:firstLineChars="450"/>
        <w:rPr>
          <w:rFonts w:hint="eastAsia"/>
          <w:i w:val="0"/>
          <w:iCs w:val="0"/>
        </w:rPr>
      </w:pPr>
      <w:r>
        <w:rPr>
          <w:i w:val="0"/>
          <w:iCs w:val="0"/>
          <w:position w:val="-28"/>
        </w:rPr>
        <w:object>
          <v:shape id="_x0000_i1026" o:spt="75" type="#_x0000_t75" style="height:32.85pt;width:66.95pt;" o:ole="t" filled="f" stroked="f" coordsize="21600,21600">
            <v:path/>
            <v:fill on="f" focussize="0,0"/>
            <v:stroke on="f"/>
            <v:imagedata r:id="rId35" o:title=""/>
            <o:lock v:ext="edit" grouping="f" rotation="f" text="f" aspectratio="t"/>
            <w10:wrap type="none"/>
            <w10:anchorlock/>
          </v:shape>
          <o:OLEObject Type="Embed" ProgID="Equation.3" ShapeID="_x0000_i1026" DrawAspect="Content" ObjectID="_1468075726" r:id="rId34">
            <o:LockedField>false</o:LockedField>
          </o:OLEObject>
        </w:object>
      </w:r>
      <w:r>
        <w:rPr>
          <w:i w:val="0"/>
          <w:iCs w:val="0"/>
        </w:rPr>
        <w:t>(pH</w:t>
      </w:r>
      <w:r>
        <w:rPr>
          <w:i w:val="0"/>
          <w:iCs w:val="0"/>
          <w:vertAlign w:val="subscript"/>
        </w:rPr>
        <w:t>j</w:t>
      </w:r>
      <w:r>
        <w:rPr>
          <w:i w:val="0"/>
          <w:iCs w:val="0"/>
        </w:rPr>
        <w:t>≤7.0)</w:t>
      </w:r>
    </w:p>
    <w:p>
      <w:pPr>
        <w:tabs>
          <w:tab w:val="right" w:pos="4628"/>
        </w:tabs>
        <w:spacing w:line="360" w:lineRule="auto"/>
        <w:ind w:firstLine="960" w:firstLineChars="400"/>
        <w:rPr>
          <w:i w:val="0"/>
          <w:iCs w:val="0"/>
        </w:rPr>
      </w:pPr>
      <w:r>
        <w:rPr>
          <w:i w:val="0"/>
          <w:iCs w:val="0"/>
          <w:position w:val="-28"/>
        </w:rPr>
        <w:object>
          <v:shape id="_x0000_i1027" o:spt="75" type="#_x0000_t75" style="height:32.85pt;width:67.75pt;" o:ole="t" filled="f" stroked="f" coordsize="21600,21600">
            <v:path/>
            <v:fill on="f" focussize="0,0"/>
            <v:stroke on="f"/>
            <v:imagedata r:id="rId37" o:title=""/>
            <o:lock v:ext="edit" grouping="f" rotation="f" text="f" aspectratio="t"/>
            <w10:wrap type="none"/>
            <w10:anchorlock/>
          </v:shape>
          <o:OLEObject Type="Embed" ProgID="Equation.3" ShapeID="_x0000_i1027" DrawAspect="Content" ObjectID="_1468075727" r:id="rId36">
            <o:LockedField>false</o:LockedField>
          </o:OLEObject>
        </w:object>
      </w:r>
      <w:r>
        <w:rPr>
          <w:i w:val="0"/>
          <w:iCs w:val="0"/>
        </w:rPr>
        <w:t>(pH</w:t>
      </w:r>
      <w:r>
        <w:rPr>
          <w:i w:val="0"/>
          <w:iCs w:val="0"/>
          <w:vertAlign w:val="subscript"/>
        </w:rPr>
        <w:t>i</w:t>
      </w:r>
      <w:r>
        <w:rPr>
          <w:i w:val="0"/>
          <w:iCs w:val="0"/>
        </w:rPr>
        <w:t>＞7.0)</w:t>
      </w:r>
    </w:p>
    <w:p>
      <w:pPr>
        <w:spacing w:line="360" w:lineRule="auto"/>
        <w:ind w:firstLine="480" w:firstLineChars="200"/>
        <w:rPr>
          <w:i w:val="0"/>
          <w:iCs w:val="0"/>
        </w:rPr>
      </w:pPr>
      <w:r>
        <w:rPr>
          <w:i w:val="0"/>
          <w:iCs w:val="0"/>
        </w:rPr>
        <w:t>式中：S</w:t>
      </w:r>
      <w:r>
        <w:rPr>
          <w:i w:val="0"/>
          <w:iCs w:val="0"/>
          <w:vertAlign w:val="subscript"/>
        </w:rPr>
        <w:t>pH，j</w:t>
      </w:r>
      <w:r>
        <w:rPr>
          <w:i w:val="0"/>
          <w:iCs w:val="0"/>
        </w:rPr>
        <w:t>—pH的指数，大于1表明该水质因子超标；</w:t>
      </w:r>
    </w:p>
    <w:p>
      <w:pPr>
        <w:spacing w:line="360" w:lineRule="auto"/>
        <w:ind w:firstLine="480" w:firstLineChars="200"/>
        <w:rPr>
          <w:i w:val="0"/>
          <w:iCs w:val="0"/>
        </w:rPr>
      </w:pPr>
      <w:r>
        <w:rPr>
          <w:i w:val="0"/>
          <w:iCs w:val="0"/>
        </w:rPr>
        <w:t>pH</w:t>
      </w:r>
      <w:r>
        <w:rPr>
          <w:i w:val="0"/>
          <w:iCs w:val="0"/>
          <w:vertAlign w:val="subscript"/>
        </w:rPr>
        <w:t>j</w:t>
      </w:r>
      <w:r>
        <w:rPr>
          <w:i w:val="0"/>
          <w:iCs w:val="0"/>
        </w:rPr>
        <w:t>—pH值实测统计代表值；</w:t>
      </w:r>
    </w:p>
    <w:p>
      <w:pPr>
        <w:spacing w:line="360" w:lineRule="auto"/>
        <w:ind w:firstLine="480" w:firstLineChars="200"/>
        <w:rPr>
          <w:i w:val="0"/>
          <w:iCs w:val="0"/>
        </w:rPr>
      </w:pPr>
      <w:r>
        <w:rPr>
          <w:i w:val="0"/>
          <w:iCs w:val="0"/>
        </w:rPr>
        <w:t>pH</w:t>
      </w:r>
      <w:r>
        <w:rPr>
          <w:i w:val="0"/>
          <w:iCs w:val="0"/>
          <w:vertAlign w:val="subscript"/>
        </w:rPr>
        <w:t>sd</w:t>
      </w:r>
      <w:r>
        <w:rPr>
          <w:i w:val="0"/>
          <w:iCs w:val="0"/>
        </w:rPr>
        <w:t>—评价标准中pH值的下限值；</w:t>
      </w:r>
    </w:p>
    <w:p>
      <w:pPr>
        <w:spacing w:line="360" w:lineRule="auto"/>
        <w:ind w:firstLine="480" w:firstLineChars="200"/>
        <w:rPr>
          <w:i w:val="0"/>
          <w:iCs w:val="0"/>
          <w:snapToGrid w:val="0"/>
          <w:sz w:val="26"/>
          <w:szCs w:val="26"/>
        </w:rPr>
      </w:pPr>
      <w:r>
        <w:rPr>
          <w:i w:val="0"/>
          <w:iCs w:val="0"/>
        </w:rPr>
        <w:t>pH</w:t>
      </w:r>
      <w:r>
        <w:rPr>
          <w:i w:val="0"/>
          <w:iCs w:val="0"/>
          <w:vertAlign w:val="subscript"/>
        </w:rPr>
        <w:t>su</w:t>
      </w:r>
      <w:r>
        <w:rPr>
          <w:i w:val="0"/>
          <w:iCs w:val="0"/>
        </w:rPr>
        <w:t>—评价标准中pH值的上限值。</w:t>
      </w:r>
    </w:p>
    <w:p>
      <w:pPr>
        <w:adjustRightInd w:val="0"/>
        <w:snapToGrid w:val="0"/>
        <w:spacing w:line="360" w:lineRule="auto"/>
        <w:ind w:firstLine="520" w:firstLineChars="200"/>
        <w:jc w:val="left"/>
        <w:rPr>
          <w:i w:val="0"/>
          <w:iCs w:val="0"/>
          <w:sz w:val="26"/>
          <w:szCs w:val="26"/>
        </w:rPr>
      </w:pPr>
      <w:r>
        <w:rPr>
          <w:i w:val="0"/>
          <w:iCs w:val="0"/>
          <w:sz w:val="26"/>
          <w:szCs w:val="26"/>
        </w:rPr>
        <w:t>8、评价结果</w:t>
      </w:r>
    </w:p>
    <w:p>
      <w:pPr>
        <w:adjustRightInd w:val="0"/>
        <w:snapToGrid w:val="0"/>
        <w:spacing w:line="360" w:lineRule="auto"/>
        <w:ind w:firstLine="520" w:firstLineChars="200"/>
        <w:jc w:val="left"/>
        <w:rPr>
          <w:i w:val="0"/>
          <w:iCs w:val="0"/>
          <w:sz w:val="26"/>
          <w:szCs w:val="26"/>
        </w:rPr>
      </w:pPr>
      <w:r>
        <w:rPr>
          <w:i w:val="0"/>
          <w:iCs w:val="0"/>
          <w:sz w:val="26"/>
          <w:szCs w:val="26"/>
        </w:rPr>
        <w:t>本评价区域地下水评价结果见表</w:t>
      </w:r>
      <w:r>
        <w:rPr>
          <w:rFonts w:hint="eastAsia"/>
          <w:i w:val="0"/>
          <w:iCs w:val="0"/>
          <w:sz w:val="26"/>
          <w:szCs w:val="26"/>
        </w:rPr>
        <w:t>4-9</w:t>
      </w:r>
      <w:r>
        <w:rPr>
          <w:i w:val="0"/>
          <w:iCs w:val="0"/>
          <w:sz w:val="26"/>
          <w:szCs w:val="26"/>
        </w:rPr>
        <w:t>。</w:t>
      </w:r>
    </w:p>
    <w:p>
      <w:pPr>
        <w:pStyle w:val="24"/>
        <w:spacing w:line="240" w:lineRule="auto"/>
        <w:rPr>
          <w:rFonts w:hint="eastAsia"/>
          <w:b/>
          <w:i w:val="0"/>
          <w:iCs w:val="0"/>
        </w:rPr>
      </w:pPr>
      <w:r>
        <w:rPr>
          <w:rFonts w:hint="eastAsia"/>
          <w:b/>
          <w:i w:val="0"/>
          <w:iCs w:val="0"/>
        </w:rPr>
        <w:t>表4-9地下水质量评价结果（标准指数）</w:t>
      </w:r>
    </w:p>
    <w:tbl>
      <w:tblPr>
        <w:tblStyle w:val="58"/>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2002"/>
        <w:gridCol w:w="1348"/>
        <w:gridCol w:w="1289"/>
        <w:gridCol w:w="1386"/>
        <w:gridCol w:w="1386"/>
        <w:gridCol w:w="13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center"/>
          </w:tcPr>
          <w:p>
            <w:pPr>
              <w:pStyle w:val="385"/>
              <w:rPr>
                <w:i w:val="0"/>
                <w:iCs w:val="0"/>
              </w:rPr>
            </w:pPr>
            <w:r>
              <w:rPr>
                <w:i w:val="0"/>
                <w:iCs w:val="0"/>
              </w:rPr>
              <w:t>序号</w:t>
            </w:r>
          </w:p>
        </w:tc>
        <w:tc>
          <w:tcPr>
            <w:tcW w:w="1078" w:type="pct"/>
            <w:noWrap w:val="0"/>
            <w:vAlign w:val="center"/>
          </w:tcPr>
          <w:p>
            <w:pPr>
              <w:pStyle w:val="385"/>
              <w:rPr>
                <w:i w:val="0"/>
                <w:iCs w:val="0"/>
              </w:rPr>
            </w:pPr>
            <w:r>
              <w:rPr>
                <w:i w:val="0"/>
                <w:iCs w:val="0"/>
              </w:rPr>
              <w:t>监测项目</w:t>
            </w:r>
          </w:p>
        </w:tc>
        <w:tc>
          <w:tcPr>
            <w:tcW w:w="726" w:type="pct"/>
            <w:noWrap w:val="0"/>
            <w:vAlign w:val="center"/>
          </w:tcPr>
          <w:p>
            <w:pPr>
              <w:pStyle w:val="385"/>
              <w:rPr>
                <w:i w:val="0"/>
                <w:iCs w:val="0"/>
              </w:rPr>
            </w:pPr>
            <w:r>
              <w:rPr>
                <w:i w:val="0"/>
                <w:iCs w:val="0"/>
              </w:rPr>
              <w:t>1#</w:t>
            </w:r>
          </w:p>
        </w:tc>
        <w:tc>
          <w:tcPr>
            <w:tcW w:w="694" w:type="pct"/>
            <w:noWrap w:val="0"/>
            <w:vAlign w:val="center"/>
          </w:tcPr>
          <w:p>
            <w:pPr>
              <w:pStyle w:val="385"/>
              <w:rPr>
                <w:i w:val="0"/>
                <w:iCs w:val="0"/>
              </w:rPr>
            </w:pPr>
            <w:r>
              <w:rPr>
                <w:i w:val="0"/>
                <w:iCs w:val="0"/>
              </w:rPr>
              <w:t>2#</w:t>
            </w:r>
          </w:p>
        </w:tc>
        <w:tc>
          <w:tcPr>
            <w:tcW w:w="746" w:type="pct"/>
            <w:noWrap w:val="0"/>
            <w:vAlign w:val="center"/>
          </w:tcPr>
          <w:p>
            <w:pPr>
              <w:pStyle w:val="385"/>
              <w:rPr>
                <w:i w:val="0"/>
                <w:iCs w:val="0"/>
              </w:rPr>
            </w:pPr>
            <w:r>
              <w:rPr>
                <w:i w:val="0"/>
                <w:iCs w:val="0"/>
              </w:rPr>
              <w:t>3#</w:t>
            </w:r>
          </w:p>
        </w:tc>
        <w:tc>
          <w:tcPr>
            <w:tcW w:w="746" w:type="pct"/>
            <w:noWrap w:val="0"/>
            <w:vAlign w:val="center"/>
          </w:tcPr>
          <w:p>
            <w:pPr>
              <w:pStyle w:val="385"/>
              <w:rPr>
                <w:rFonts w:hint="eastAsia"/>
                <w:i w:val="0"/>
                <w:iCs w:val="0"/>
              </w:rPr>
            </w:pPr>
            <w:r>
              <w:rPr>
                <w:rFonts w:hint="eastAsia"/>
                <w:i w:val="0"/>
                <w:iCs w:val="0"/>
              </w:rPr>
              <w:t>4</w:t>
            </w:r>
            <w:r>
              <w:rPr>
                <w:i w:val="0"/>
                <w:iCs w:val="0"/>
              </w:rPr>
              <w:t>#</w:t>
            </w:r>
          </w:p>
        </w:tc>
        <w:tc>
          <w:tcPr>
            <w:tcW w:w="746" w:type="pct"/>
            <w:noWrap w:val="0"/>
            <w:vAlign w:val="center"/>
          </w:tcPr>
          <w:p>
            <w:pPr>
              <w:pStyle w:val="385"/>
              <w:rPr>
                <w:rFonts w:hint="eastAsia"/>
                <w:i w:val="0"/>
                <w:iCs w:val="0"/>
              </w:rPr>
            </w:pPr>
            <w:r>
              <w:rPr>
                <w:rFonts w:hint="eastAsia"/>
                <w:i w:val="0"/>
                <w:iCs w:val="0"/>
              </w:rPr>
              <w:t>5</w:t>
            </w:r>
            <w:r>
              <w:rPr>
                <w:i w:val="0"/>
                <w:iCs w:val="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center"/>
          </w:tcPr>
          <w:p>
            <w:pPr>
              <w:pStyle w:val="385"/>
              <w:rPr>
                <w:i w:val="0"/>
                <w:iCs w:val="0"/>
              </w:rPr>
            </w:pPr>
            <w:r>
              <w:rPr>
                <w:i w:val="0"/>
                <w:iCs w:val="0"/>
              </w:rPr>
              <w:t>1</w:t>
            </w:r>
          </w:p>
        </w:tc>
        <w:tc>
          <w:tcPr>
            <w:tcW w:w="1078" w:type="pct"/>
            <w:noWrap w:val="0"/>
            <w:vAlign w:val="center"/>
          </w:tcPr>
          <w:p>
            <w:pPr>
              <w:pStyle w:val="385"/>
              <w:rPr>
                <w:i w:val="0"/>
                <w:iCs w:val="0"/>
              </w:rPr>
            </w:pPr>
            <w:r>
              <w:rPr>
                <w:i w:val="0"/>
                <w:iCs w:val="0"/>
              </w:rPr>
              <w:t>K</w:t>
            </w:r>
            <w:r>
              <w:rPr>
                <w:i w:val="0"/>
                <w:iCs w:val="0"/>
                <w:vertAlign w:val="superscript"/>
              </w:rPr>
              <w:t>+</w:t>
            </w:r>
          </w:p>
        </w:tc>
        <w:tc>
          <w:tcPr>
            <w:tcW w:w="726" w:type="pct"/>
            <w:noWrap w:val="0"/>
            <w:vAlign w:val="center"/>
          </w:tcPr>
          <w:p>
            <w:pPr>
              <w:pStyle w:val="385"/>
              <w:rPr>
                <w:i w:val="0"/>
                <w:iCs w:val="0"/>
              </w:rPr>
            </w:pPr>
            <w:r>
              <w:rPr>
                <w:i w:val="0"/>
                <w:iCs w:val="0"/>
              </w:rPr>
              <w:t>/</w:t>
            </w:r>
          </w:p>
        </w:tc>
        <w:tc>
          <w:tcPr>
            <w:tcW w:w="694" w:type="pct"/>
            <w:noWrap w:val="0"/>
            <w:vAlign w:val="center"/>
          </w:tcPr>
          <w:p>
            <w:pPr>
              <w:pStyle w:val="385"/>
              <w:rPr>
                <w:i w:val="0"/>
                <w:iCs w:val="0"/>
              </w:rPr>
            </w:pPr>
            <w:r>
              <w:rPr>
                <w:i w:val="0"/>
                <w:iCs w:val="0"/>
              </w:rPr>
              <w:t>/</w:t>
            </w:r>
          </w:p>
        </w:tc>
        <w:tc>
          <w:tcPr>
            <w:tcW w:w="746" w:type="pct"/>
            <w:noWrap w:val="0"/>
            <w:vAlign w:val="center"/>
          </w:tcPr>
          <w:p>
            <w:pPr>
              <w:pStyle w:val="385"/>
              <w:rPr>
                <w:i w:val="0"/>
                <w:iCs w:val="0"/>
              </w:rPr>
            </w:pPr>
            <w:r>
              <w:rPr>
                <w:i w:val="0"/>
                <w:iCs w:val="0"/>
              </w:rPr>
              <w:t>/</w:t>
            </w:r>
          </w:p>
        </w:tc>
        <w:tc>
          <w:tcPr>
            <w:tcW w:w="746" w:type="pct"/>
            <w:noWrap w:val="0"/>
            <w:vAlign w:val="center"/>
          </w:tcPr>
          <w:p>
            <w:pPr>
              <w:pStyle w:val="385"/>
              <w:rPr>
                <w:i w:val="0"/>
                <w:iCs w:val="0"/>
              </w:rPr>
            </w:pPr>
            <w:r>
              <w:rPr>
                <w:i w:val="0"/>
                <w:iCs w:val="0"/>
              </w:rPr>
              <w:t>/</w:t>
            </w:r>
          </w:p>
        </w:tc>
        <w:tc>
          <w:tcPr>
            <w:tcW w:w="746" w:type="pct"/>
            <w:noWrap w:val="0"/>
            <w:vAlign w:val="center"/>
          </w:tcPr>
          <w:p>
            <w:pPr>
              <w:pStyle w:val="385"/>
              <w:rPr>
                <w:i w:val="0"/>
                <w:iCs w:val="0"/>
              </w:rPr>
            </w:pPr>
            <w:r>
              <w:rPr>
                <w:i w:val="0"/>
                <w:iCs w:val="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center"/>
          </w:tcPr>
          <w:p>
            <w:pPr>
              <w:pStyle w:val="385"/>
              <w:rPr>
                <w:i w:val="0"/>
                <w:iCs w:val="0"/>
              </w:rPr>
            </w:pPr>
            <w:r>
              <w:rPr>
                <w:i w:val="0"/>
                <w:iCs w:val="0"/>
              </w:rPr>
              <w:t>2</w:t>
            </w:r>
          </w:p>
        </w:tc>
        <w:tc>
          <w:tcPr>
            <w:tcW w:w="1078" w:type="pct"/>
            <w:noWrap w:val="0"/>
            <w:vAlign w:val="center"/>
          </w:tcPr>
          <w:p>
            <w:pPr>
              <w:pStyle w:val="385"/>
              <w:rPr>
                <w:i w:val="0"/>
                <w:iCs w:val="0"/>
              </w:rPr>
            </w:pPr>
            <w:r>
              <w:rPr>
                <w:i w:val="0"/>
                <w:iCs w:val="0"/>
              </w:rPr>
              <w:t>Na</w:t>
            </w:r>
            <w:r>
              <w:rPr>
                <w:i w:val="0"/>
                <w:iCs w:val="0"/>
                <w:vertAlign w:val="superscript"/>
              </w:rPr>
              <w:t>+</w:t>
            </w:r>
          </w:p>
        </w:tc>
        <w:tc>
          <w:tcPr>
            <w:tcW w:w="726" w:type="pct"/>
            <w:noWrap w:val="0"/>
            <w:vAlign w:val="center"/>
          </w:tcPr>
          <w:p>
            <w:pPr>
              <w:pStyle w:val="385"/>
              <w:rPr>
                <w:i w:val="0"/>
                <w:iCs w:val="0"/>
              </w:rPr>
            </w:pPr>
            <w:r>
              <w:rPr>
                <w:rFonts w:hint="eastAsia"/>
                <w:i w:val="0"/>
                <w:iCs w:val="0"/>
              </w:rPr>
              <w:t>/</w:t>
            </w:r>
          </w:p>
        </w:tc>
        <w:tc>
          <w:tcPr>
            <w:tcW w:w="694" w:type="pct"/>
            <w:noWrap w:val="0"/>
            <w:vAlign w:val="center"/>
          </w:tcPr>
          <w:p>
            <w:pPr>
              <w:pStyle w:val="385"/>
              <w:rPr>
                <w:i w:val="0"/>
                <w:iCs w:val="0"/>
              </w:rPr>
            </w:pPr>
            <w:r>
              <w:rPr>
                <w:rFonts w:hint="eastAsia"/>
                <w:i w:val="0"/>
                <w:iCs w:val="0"/>
              </w:rPr>
              <w:t>/</w:t>
            </w:r>
          </w:p>
        </w:tc>
        <w:tc>
          <w:tcPr>
            <w:tcW w:w="746" w:type="pct"/>
            <w:noWrap w:val="0"/>
            <w:vAlign w:val="center"/>
          </w:tcPr>
          <w:p>
            <w:pPr>
              <w:pStyle w:val="385"/>
              <w:rPr>
                <w:i w:val="0"/>
                <w:iCs w:val="0"/>
              </w:rPr>
            </w:pPr>
            <w:r>
              <w:rPr>
                <w:rFonts w:hint="eastAsia"/>
                <w:i w:val="0"/>
                <w:iCs w:val="0"/>
              </w:rPr>
              <w:t>/</w:t>
            </w:r>
          </w:p>
        </w:tc>
        <w:tc>
          <w:tcPr>
            <w:tcW w:w="746" w:type="pct"/>
            <w:noWrap w:val="0"/>
            <w:vAlign w:val="center"/>
          </w:tcPr>
          <w:p>
            <w:pPr>
              <w:pStyle w:val="385"/>
              <w:rPr>
                <w:i w:val="0"/>
                <w:iCs w:val="0"/>
              </w:rPr>
            </w:pPr>
            <w:r>
              <w:rPr>
                <w:rFonts w:hint="eastAsia"/>
                <w:i w:val="0"/>
                <w:iCs w:val="0"/>
              </w:rPr>
              <w:t>/</w:t>
            </w:r>
          </w:p>
        </w:tc>
        <w:tc>
          <w:tcPr>
            <w:tcW w:w="746" w:type="pct"/>
            <w:noWrap w:val="0"/>
            <w:vAlign w:val="center"/>
          </w:tcPr>
          <w:p>
            <w:pPr>
              <w:pStyle w:val="385"/>
              <w:rPr>
                <w:i w:val="0"/>
                <w:iCs w:val="0"/>
              </w:rPr>
            </w:pPr>
            <w:r>
              <w:rPr>
                <w:rFonts w:hint="eastAsia"/>
                <w:i w:val="0"/>
                <w:iCs w:val="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center"/>
          </w:tcPr>
          <w:p>
            <w:pPr>
              <w:pStyle w:val="385"/>
              <w:rPr>
                <w:i w:val="0"/>
                <w:iCs w:val="0"/>
              </w:rPr>
            </w:pPr>
            <w:r>
              <w:rPr>
                <w:i w:val="0"/>
                <w:iCs w:val="0"/>
              </w:rPr>
              <w:t>3</w:t>
            </w:r>
          </w:p>
        </w:tc>
        <w:tc>
          <w:tcPr>
            <w:tcW w:w="1078" w:type="pct"/>
            <w:noWrap w:val="0"/>
            <w:vAlign w:val="center"/>
          </w:tcPr>
          <w:p>
            <w:pPr>
              <w:pStyle w:val="385"/>
              <w:rPr>
                <w:i w:val="0"/>
                <w:iCs w:val="0"/>
              </w:rPr>
            </w:pPr>
            <w:r>
              <w:rPr>
                <w:i w:val="0"/>
                <w:iCs w:val="0"/>
              </w:rPr>
              <w:t>Ca</w:t>
            </w:r>
            <w:r>
              <w:rPr>
                <w:i w:val="0"/>
                <w:iCs w:val="0"/>
                <w:vertAlign w:val="superscript"/>
              </w:rPr>
              <w:t>2+</w:t>
            </w:r>
          </w:p>
        </w:tc>
        <w:tc>
          <w:tcPr>
            <w:tcW w:w="726" w:type="pct"/>
            <w:noWrap w:val="0"/>
            <w:vAlign w:val="center"/>
          </w:tcPr>
          <w:p>
            <w:pPr>
              <w:pStyle w:val="385"/>
              <w:rPr>
                <w:i w:val="0"/>
                <w:iCs w:val="0"/>
              </w:rPr>
            </w:pPr>
            <w:r>
              <w:rPr>
                <w:i w:val="0"/>
                <w:iCs w:val="0"/>
              </w:rPr>
              <w:t>/</w:t>
            </w:r>
          </w:p>
        </w:tc>
        <w:tc>
          <w:tcPr>
            <w:tcW w:w="694" w:type="pct"/>
            <w:noWrap w:val="0"/>
            <w:vAlign w:val="center"/>
          </w:tcPr>
          <w:p>
            <w:pPr>
              <w:pStyle w:val="385"/>
              <w:rPr>
                <w:i w:val="0"/>
                <w:iCs w:val="0"/>
              </w:rPr>
            </w:pPr>
            <w:r>
              <w:rPr>
                <w:i w:val="0"/>
                <w:iCs w:val="0"/>
              </w:rPr>
              <w:t>/</w:t>
            </w:r>
          </w:p>
        </w:tc>
        <w:tc>
          <w:tcPr>
            <w:tcW w:w="746" w:type="pct"/>
            <w:noWrap w:val="0"/>
            <w:vAlign w:val="center"/>
          </w:tcPr>
          <w:p>
            <w:pPr>
              <w:pStyle w:val="385"/>
              <w:rPr>
                <w:i w:val="0"/>
                <w:iCs w:val="0"/>
              </w:rPr>
            </w:pPr>
            <w:r>
              <w:rPr>
                <w:i w:val="0"/>
                <w:iCs w:val="0"/>
              </w:rPr>
              <w:t>/</w:t>
            </w:r>
          </w:p>
        </w:tc>
        <w:tc>
          <w:tcPr>
            <w:tcW w:w="746" w:type="pct"/>
            <w:noWrap w:val="0"/>
            <w:vAlign w:val="center"/>
          </w:tcPr>
          <w:p>
            <w:pPr>
              <w:pStyle w:val="385"/>
              <w:rPr>
                <w:i w:val="0"/>
                <w:iCs w:val="0"/>
              </w:rPr>
            </w:pPr>
            <w:r>
              <w:rPr>
                <w:i w:val="0"/>
                <w:iCs w:val="0"/>
              </w:rPr>
              <w:t>/</w:t>
            </w:r>
          </w:p>
        </w:tc>
        <w:tc>
          <w:tcPr>
            <w:tcW w:w="746" w:type="pct"/>
            <w:noWrap w:val="0"/>
            <w:vAlign w:val="center"/>
          </w:tcPr>
          <w:p>
            <w:pPr>
              <w:pStyle w:val="385"/>
              <w:rPr>
                <w:i w:val="0"/>
                <w:iCs w:val="0"/>
              </w:rPr>
            </w:pPr>
            <w:r>
              <w:rPr>
                <w:i w:val="0"/>
                <w:iCs w:val="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center"/>
          </w:tcPr>
          <w:p>
            <w:pPr>
              <w:pStyle w:val="385"/>
              <w:rPr>
                <w:i w:val="0"/>
                <w:iCs w:val="0"/>
              </w:rPr>
            </w:pPr>
            <w:r>
              <w:rPr>
                <w:i w:val="0"/>
                <w:iCs w:val="0"/>
              </w:rPr>
              <w:t>4</w:t>
            </w:r>
          </w:p>
        </w:tc>
        <w:tc>
          <w:tcPr>
            <w:tcW w:w="1078" w:type="pct"/>
            <w:noWrap w:val="0"/>
            <w:vAlign w:val="center"/>
          </w:tcPr>
          <w:p>
            <w:pPr>
              <w:pStyle w:val="385"/>
              <w:rPr>
                <w:i w:val="0"/>
                <w:iCs w:val="0"/>
              </w:rPr>
            </w:pPr>
            <w:r>
              <w:rPr>
                <w:i w:val="0"/>
                <w:iCs w:val="0"/>
              </w:rPr>
              <w:t>Mg</w:t>
            </w:r>
            <w:r>
              <w:rPr>
                <w:i w:val="0"/>
                <w:iCs w:val="0"/>
                <w:vertAlign w:val="superscript"/>
              </w:rPr>
              <w:t>2+</w:t>
            </w:r>
          </w:p>
        </w:tc>
        <w:tc>
          <w:tcPr>
            <w:tcW w:w="726" w:type="pct"/>
            <w:noWrap w:val="0"/>
            <w:vAlign w:val="center"/>
          </w:tcPr>
          <w:p>
            <w:pPr>
              <w:pStyle w:val="385"/>
              <w:rPr>
                <w:i w:val="0"/>
                <w:iCs w:val="0"/>
              </w:rPr>
            </w:pPr>
            <w:r>
              <w:rPr>
                <w:i w:val="0"/>
                <w:iCs w:val="0"/>
              </w:rPr>
              <w:t>/</w:t>
            </w:r>
          </w:p>
        </w:tc>
        <w:tc>
          <w:tcPr>
            <w:tcW w:w="694" w:type="pct"/>
            <w:noWrap w:val="0"/>
            <w:vAlign w:val="center"/>
          </w:tcPr>
          <w:p>
            <w:pPr>
              <w:pStyle w:val="385"/>
              <w:rPr>
                <w:i w:val="0"/>
                <w:iCs w:val="0"/>
              </w:rPr>
            </w:pPr>
            <w:r>
              <w:rPr>
                <w:i w:val="0"/>
                <w:iCs w:val="0"/>
              </w:rPr>
              <w:t>/</w:t>
            </w:r>
          </w:p>
        </w:tc>
        <w:tc>
          <w:tcPr>
            <w:tcW w:w="746" w:type="pct"/>
            <w:noWrap w:val="0"/>
            <w:vAlign w:val="center"/>
          </w:tcPr>
          <w:p>
            <w:pPr>
              <w:pStyle w:val="385"/>
              <w:rPr>
                <w:i w:val="0"/>
                <w:iCs w:val="0"/>
              </w:rPr>
            </w:pPr>
            <w:r>
              <w:rPr>
                <w:i w:val="0"/>
                <w:iCs w:val="0"/>
              </w:rPr>
              <w:t>/</w:t>
            </w:r>
          </w:p>
        </w:tc>
        <w:tc>
          <w:tcPr>
            <w:tcW w:w="746" w:type="pct"/>
            <w:noWrap w:val="0"/>
            <w:vAlign w:val="center"/>
          </w:tcPr>
          <w:p>
            <w:pPr>
              <w:pStyle w:val="385"/>
              <w:rPr>
                <w:i w:val="0"/>
                <w:iCs w:val="0"/>
              </w:rPr>
            </w:pPr>
            <w:r>
              <w:rPr>
                <w:i w:val="0"/>
                <w:iCs w:val="0"/>
              </w:rPr>
              <w:t>/</w:t>
            </w:r>
          </w:p>
        </w:tc>
        <w:tc>
          <w:tcPr>
            <w:tcW w:w="746" w:type="pct"/>
            <w:noWrap w:val="0"/>
            <w:vAlign w:val="center"/>
          </w:tcPr>
          <w:p>
            <w:pPr>
              <w:pStyle w:val="385"/>
              <w:rPr>
                <w:i w:val="0"/>
                <w:iCs w:val="0"/>
              </w:rPr>
            </w:pPr>
            <w:r>
              <w:rPr>
                <w:i w:val="0"/>
                <w:iCs w:val="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center"/>
          </w:tcPr>
          <w:p>
            <w:pPr>
              <w:pStyle w:val="385"/>
              <w:rPr>
                <w:i w:val="0"/>
                <w:iCs w:val="0"/>
              </w:rPr>
            </w:pPr>
            <w:r>
              <w:rPr>
                <w:i w:val="0"/>
                <w:iCs w:val="0"/>
              </w:rPr>
              <w:t>5</w:t>
            </w:r>
          </w:p>
        </w:tc>
        <w:tc>
          <w:tcPr>
            <w:tcW w:w="1078" w:type="pct"/>
            <w:noWrap w:val="0"/>
            <w:vAlign w:val="center"/>
          </w:tcPr>
          <w:p>
            <w:pPr>
              <w:pStyle w:val="385"/>
              <w:rPr>
                <w:i w:val="0"/>
                <w:iCs w:val="0"/>
              </w:rPr>
            </w:pPr>
            <w:r>
              <w:rPr>
                <w:i w:val="0"/>
                <w:iCs w:val="0"/>
              </w:rPr>
              <w:t>CO</w:t>
            </w:r>
            <w:r>
              <w:rPr>
                <w:i w:val="0"/>
                <w:iCs w:val="0"/>
                <w:vertAlign w:val="subscript"/>
              </w:rPr>
              <w:t>3</w:t>
            </w:r>
            <w:r>
              <w:rPr>
                <w:i w:val="0"/>
                <w:iCs w:val="0"/>
                <w:vertAlign w:val="superscript"/>
              </w:rPr>
              <w:t>2-</w:t>
            </w:r>
          </w:p>
        </w:tc>
        <w:tc>
          <w:tcPr>
            <w:tcW w:w="726" w:type="pct"/>
            <w:noWrap w:val="0"/>
            <w:vAlign w:val="center"/>
          </w:tcPr>
          <w:p>
            <w:pPr>
              <w:pStyle w:val="385"/>
              <w:rPr>
                <w:i w:val="0"/>
                <w:iCs w:val="0"/>
              </w:rPr>
            </w:pPr>
            <w:r>
              <w:rPr>
                <w:i w:val="0"/>
                <w:iCs w:val="0"/>
              </w:rPr>
              <w:t>/</w:t>
            </w:r>
          </w:p>
        </w:tc>
        <w:tc>
          <w:tcPr>
            <w:tcW w:w="694" w:type="pct"/>
            <w:noWrap w:val="0"/>
            <w:vAlign w:val="center"/>
          </w:tcPr>
          <w:p>
            <w:pPr>
              <w:pStyle w:val="385"/>
              <w:rPr>
                <w:i w:val="0"/>
                <w:iCs w:val="0"/>
              </w:rPr>
            </w:pPr>
            <w:r>
              <w:rPr>
                <w:i w:val="0"/>
                <w:iCs w:val="0"/>
              </w:rPr>
              <w:t>/</w:t>
            </w:r>
          </w:p>
        </w:tc>
        <w:tc>
          <w:tcPr>
            <w:tcW w:w="746" w:type="pct"/>
            <w:noWrap w:val="0"/>
            <w:vAlign w:val="center"/>
          </w:tcPr>
          <w:p>
            <w:pPr>
              <w:pStyle w:val="385"/>
              <w:rPr>
                <w:i w:val="0"/>
                <w:iCs w:val="0"/>
              </w:rPr>
            </w:pPr>
            <w:r>
              <w:rPr>
                <w:i w:val="0"/>
                <w:iCs w:val="0"/>
              </w:rPr>
              <w:t>/</w:t>
            </w:r>
          </w:p>
        </w:tc>
        <w:tc>
          <w:tcPr>
            <w:tcW w:w="746" w:type="pct"/>
            <w:noWrap w:val="0"/>
            <w:vAlign w:val="center"/>
          </w:tcPr>
          <w:p>
            <w:pPr>
              <w:pStyle w:val="385"/>
              <w:rPr>
                <w:i w:val="0"/>
                <w:iCs w:val="0"/>
              </w:rPr>
            </w:pPr>
            <w:r>
              <w:rPr>
                <w:i w:val="0"/>
                <w:iCs w:val="0"/>
              </w:rPr>
              <w:t>/</w:t>
            </w:r>
          </w:p>
        </w:tc>
        <w:tc>
          <w:tcPr>
            <w:tcW w:w="746" w:type="pct"/>
            <w:noWrap w:val="0"/>
            <w:vAlign w:val="center"/>
          </w:tcPr>
          <w:p>
            <w:pPr>
              <w:pStyle w:val="385"/>
              <w:rPr>
                <w:i w:val="0"/>
                <w:iCs w:val="0"/>
              </w:rPr>
            </w:pPr>
            <w:r>
              <w:rPr>
                <w:i w:val="0"/>
                <w:iCs w:val="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center"/>
          </w:tcPr>
          <w:p>
            <w:pPr>
              <w:pStyle w:val="385"/>
              <w:rPr>
                <w:i w:val="0"/>
                <w:iCs w:val="0"/>
              </w:rPr>
            </w:pPr>
            <w:r>
              <w:rPr>
                <w:i w:val="0"/>
                <w:iCs w:val="0"/>
              </w:rPr>
              <w:t>6</w:t>
            </w:r>
          </w:p>
        </w:tc>
        <w:tc>
          <w:tcPr>
            <w:tcW w:w="1078" w:type="pct"/>
            <w:noWrap w:val="0"/>
            <w:vAlign w:val="center"/>
          </w:tcPr>
          <w:p>
            <w:pPr>
              <w:pStyle w:val="385"/>
              <w:rPr>
                <w:i w:val="0"/>
                <w:iCs w:val="0"/>
              </w:rPr>
            </w:pPr>
            <w:r>
              <w:rPr>
                <w:i w:val="0"/>
                <w:iCs w:val="0"/>
              </w:rPr>
              <w:t>HCO</w:t>
            </w:r>
            <w:r>
              <w:rPr>
                <w:i w:val="0"/>
                <w:iCs w:val="0"/>
                <w:vertAlign w:val="superscript"/>
              </w:rPr>
              <w:t>3-</w:t>
            </w:r>
          </w:p>
        </w:tc>
        <w:tc>
          <w:tcPr>
            <w:tcW w:w="726" w:type="pct"/>
            <w:noWrap w:val="0"/>
            <w:vAlign w:val="center"/>
          </w:tcPr>
          <w:p>
            <w:pPr>
              <w:pStyle w:val="385"/>
              <w:rPr>
                <w:i w:val="0"/>
                <w:iCs w:val="0"/>
              </w:rPr>
            </w:pPr>
            <w:r>
              <w:rPr>
                <w:i w:val="0"/>
                <w:iCs w:val="0"/>
              </w:rPr>
              <w:t>/</w:t>
            </w:r>
          </w:p>
        </w:tc>
        <w:tc>
          <w:tcPr>
            <w:tcW w:w="694" w:type="pct"/>
            <w:noWrap w:val="0"/>
            <w:vAlign w:val="center"/>
          </w:tcPr>
          <w:p>
            <w:pPr>
              <w:pStyle w:val="385"/>
              <w:rPr>
                <w:i w:val="0"/>
                <w:iCs w:val="0"/>
              </w:rPr>
            </w:pPr>
            <w:r>
              <w:rPr>
                <w:i w:val="0"/>
                <w:iCs w:val="0"/>
              </w:rPr>
              <w:t>/</w:t>
            </w:r>
          </w:p>
        </w:tc>
        <w:tc>
          <w:tcPr>
            <w:tcW w:w="746" w:type="pct"/>
            <w:noWrap w:val="0"/>
            <w:vAlign w:val="center"/>
          </w:tcPr>
          <w:p>
            <w:pPr>
              <w:pStyle w:val="385"/>
              <w:rPr>
                <w:i w:val="0"/>
                <w:iCs w:val="0"/>
              </w:rPr>
            </w:pPr>
            <w:r>
              <w:rPr>
                <w:i w:val="0"/>
                <w:iCs w:val="0"/>
              </w:rPr>
              <w:t>/</w:t>
            </w:r>
          </w:p>
        </w:tc>
        <w:tc>
          <w:tcPr>
            <w:tcW w:w="746" w:type="pct"/>
            <w:noWrap w:val="0"/>
            <w:vAlign w:val="center"/>
          </w:tcPr>
          <w:p>
            <w:pPr>
              <w:pStyle w:val="385"/>
              <w:rPr>
                <w:i w:val="0"/>
                <w:iCs w:val="0"/>
              </w:rPr>
            </w:pPr>
            <w:r>
              <w:rPr>
                <w:i w:val="0"/>
                <w:iCs w:val="0"/>
              </w:rPr>
              <w:t>/</w:t>
            </w:r>
          </w:p>
        </w:tc>
        <w:tc>
          <w:tcPr>
            <w:tcW w:w="746" w:type="pct"/>
            <w:noWrap w:val="0"/>
            <w:vAlign w:val="center"/>
          </w:tcPr>
          <w:p>
            <w:pPr>
              <w:pStyle w:val="385"/>
              <w:rPr>
                <w:i w:val="0"/>
                <w:iCs w:val="0"/>
              </w:rPr>
            </w:pPr>
            <w:r>
              <w:rPr>
                <w:i w:val="0"/>
                <w:iCs w:val="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center"/>
          </w:tcPr>
          <w:p>
            <w:pPr>
              <w:pStyle w:val="385"/>
              <w:rPr>
                <w:i w:val="0"/>
                <w:iCs w:val="0"/>
              </w:rPr>
            </w:pPr>
            <w:r>
              <w:rPr>
                <w:i w:val="0"/>
                <w:iCs w:val="0"/>
              </w:rPr>
              <w:t>7</w:t>
            </w:r>
          </w:p>
        </w:tc>
        <w:tc>
          <w:tcPr>
            <w:tcW w:w="1078" w:type="pct"/>
            <w:noWrap w:val="0"/>
            <w:vAlign w:val="center"/>
          </w:tcPr>
          <w:p>
            <w:pPr>
              <w:pStyle w:val="385"/>
              <w:rPr>
                <w:i w:val="0"/>
                <w:iCs w:val="0"/>
              </w:rPr>
            </w:pPr>
            <w:r>
              <w:rPr>
                <w:rFonts w:hint="eastAsia"/>
                <w:i w:val="0"/>
                <w:iCs w:val="0"/>
              </w:rPr>
              <w:t>CI</w:t>
            </w:r>
            <w:r>
              <w:rPr>
                <w:rFonts w:hint="eastAsia"/>
                <w:i w:val="0"/>
                <w:iCs w:val="0"/>
                <w:vertAlign w:val="superscript"/>
              </w:rPr>
              <w:t>-</w:t>
            </w:r>
          </w:p>
        </w:tc>
        <w:tc>
          <w:tcPr>
            <w:tcW w:w="1348" w:type="dxa"/>
            <w:noWrap w:val="0"/>
            <w:vAlign w:val="center"/>
          </w:tcPr>
          <w:p>
            <w:pPr>
              <w:pStyle w:val="385"/>
              <w:rPr>
                <w:i w:val="0"/>
                <w:iCs w:val="0"/>
              </w:rPr>
            </w:pPr>
            <w:r>
              <w:rPr>
                <w:i w:val="0"/>
                <w:iCs w:val="0"/>
              </w:rPr>
              <w:t>/</w:t>
            </w:r>
          </w:p>
        </w:tc>
        <w:tc>
          <w:tcPr>
            <w:tcW w:w="1289" w:type="dxa"/>
            <w:noWrap w:val="0"/>
            <w:vAlign w:val="center"/>
          </w:tcPr>
          <w:p>
            <w:pPr>
              <w:pStyle w:val="385"/>
              <w:rPr>
                <w:i w:val="0"/>
                <w:iCs w:val="0"/>
              </w:rPr>
            </w:pPr>
            <w:r>
              <w:rPr>
                <w:i w:val="0"/>
                <w:iCs w:val="0"/>
              </w:rPr>
              <w:t>/</w:t>
            </w:r>
          </w:p>
        </w:tc>
        <w:tc>
          <w:tcPr>
            <w:tcW w:w="1386" w:type="dxa"/>
            <w:noWrap w:val="0"/>
            <w:vAlign w:val="center"/>
          </w:tcPr>
          <w:p>
            <w:pPr>
              <w:pStyle w:val="385"/>
              <w:rPr>
                <w:i w:val="0"/>
                <w:iCs w:val="0"/>
              </w:rPr>
            </w:pPr>
            <w:r>
              <w:rPr>
                <w:i w:val="0"/>
                <w:iCs w:val="0"/>
              </w:rPr>
              <w:t>/</w:t>
            </w:r>
          </w:p>
        </w:tc>
        <w:tc>
          <w:tcPr>
            <w:tcW w:w="1386" w:type="dxa"/>
            <w:noWrap w:val="0"/>
            <w:vAlign w:val="center"/>
          </w:tcPr>
          <w:p>
            <w:pPr>
              <w:pStyle w:val="385"/>
              <w:rPr>
                <w:i w:val="0"/>
                <w:iCs w:val="0"/>
              </w:rPr>
            </w:pPr>
            <w:r>
              <w:rPr>
                <w:i w:val="0"/>
                <w:iCs w:val="0"/>
              </w:rPr>
              <w:t>/</w:t>
            </w:r>
          </w:p>
        </w:tc>
        <w:tc>
          <w:tcPr>
            <w:tcW w:w="1386" w:type="dxa"/>
            <w:noWrap w:val="0"/>
            <w:vAlign w:val="center"/>
          </w:tcPr>
          <w:p>
            <w:pPr>
              <w:pStyle w:val="385"/>
              <w:rPr>
                <w:i w:val="0"/>
                <w:iCs w:val="0"/>
              </w:rPr>
            </w:pPr>
            <w:r>
              <w:rPr>
                <w:i w:val="0"/>
                <w:iCs w:val="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center"/>
          </w:tcPr>
          <w:p>
            <w:pPr>
              <w:pStyle w:val="385"/>
              <w:rPr>
                <w:i w:val="0"/>
                <w:iCs w:val="0"/>
              </w:rPr>
            </w:pPr>
            <w:r>
              <w:rPr>
                <w:i w:val="0"/>
                <w:iCs w:val="0"/>
              </w:rPr>
              <w:t>8</w:t>
            </w:r>
          </w:p>
        </w:tc>
        <w:tc>
          <w:tcPr>
            <w:tcW w:w="1078" w:type="pct"/>
            <w:noWrap w:val="0"/>
            <w:vAlign w:val="center"/>
          </w:tcPr>
          <w:p>
            <w:pPr>
              <w:pStyle w:val="385"/>
              <w:rPr>
                <w:i w:val="0"/>
                <w:iCs w:val="0"/>
              </w:rPr>
            </w:pPr>
            <w:r>
              <w:rPr>
                <w:rFonts w:hint="eastAsia"/>
                <w:i w:val="0"/>
                <w:iCs w:val="0"/>
              </w:rPr>
              <w:t>SO4</w:t>
            </w:r>
            <w:r>
              <w:rPr>
                <w:rFonts w:hint="eastAsia"/>
                <w:i w:val="0"/>
                <w:iCs w:val="0"/>
                <w:vertAlign w:val="superscript"/>
              </w:rPr>
              <w:t>2-</w:t>
            </w:r>
          </w:p>
        </w:tc>
        <w:tc>
          <w:tcPr>
            <w:tcW w:w="1348" w:type="dxa"/>
            <w:noWrap w:val="0"/>
            <w:vAlign w:val="center"/>
          </w:tcPr>
          <w:p>
            <w:pPr>
              <w:pStyle w:val="385"/>
              <w:rPr>
                <w:i w:val="0"/>
                <w:iCs w:val="0"/>
              </w:rPr>
            </w:pPr>
            <w:r>
              <w:rPr>
                <w:i w:val="0"/>
                <w:iCs w:val="0"/>
              </w:rPr>
              <w:t>/</w:t>
            </w:r>
          </w:p>
        </w:tc>
        <w:tc>
          <w:tcPr>
            <w:tcW w:w="1289" w:type="dxa"/>
            <w:noWrap w:val="0"/>
            <w:vAlign w:val="center"/>
          </w:tcPr>
          <w:p>
            <w:pPr>
              <w:pStyle w:val="385"/>
              <w:rPr>
                <w:i w:val="0"/>
                <w:iCs w:val="0"/>
              </w:rPr>
            </w:pPr>
            <w:r>
              <w:rPr>
                <w:i w:val="0"/>
                <w:iCs w:val="0"/>
              </w:rPr>
              <w:t>/</w:t>
            </w:r>
          </w:p>
        </w:tc>
        <w:tc>
          <w:tcPr>
            <w:tcW w:w="1386" w:type="dxa"/>
            <w:noWrap w:val="0"/>
            <w:vAlign w:val="center"/>
          </w:tcPr>
          <w:p>
            <w:pPr>
              <w:pStyle w:val="385"/>
              <w:rPr>
                <w:i w:val="0"/>
                <w:iCs w:val="0"/>
              </w:rPr>
            </w:pPr>
            <w:r>
              <w:rPr>
                <w:i w:val="0"/>
                <w:iCs w:val="0"/>
              </w:rPr>
              <w:t>/</w:t>
            </w:r>
          </w:p>
        </w:tc>
        <w:tc>
          <w:tcPr>
            <w:tcW w:w="1386" w:type="dxa"/>
            <w:noWrap w:val="0"/>
            <w:vAlign w:val="center"/>
          </w:tcPr>
          <w:p>
            <w:pPr>
              <w:pStyle w:val="385"/>
              <w:rPr>
                <w:i w:val="0"/>
                <w:iCs w:val="0"/>
              </w:rPr>
            </w:pPr>
            <w:r>
              <w:rPr>
                <w:i w:val="0"/>
                <w:iCs w:val="0"/>
              </w:rPr>
              <w:t>/</w:t>
            </w:r>
          </w:p>
        </w:tc>
        <w:tc>
          <w:tcPr>
            <w:tcW w:w="1386" w:type="dxa"/>
            <w:noWrap w:val="0"/>
            <w:vAlign w:val="center"/>
          </w:tcPr>
          <w:p>
            <w:pPr>
              <w:pStyle w:val="385"/>
              <w:rPr>
                <w:i w:val="0"/>
                <w:iCs w:val="0"/>
              </w:rPr>
            </w:pPr>
            <w:r>
              <w:rPr>
                <w:i w:val="0"/>
                <w:iCs w:val="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center"/>
          </w:tcPr>
          <w:p>
            <w:pPr>
              <w:pStyle w:val="385"/>
              <w:rPr>
                <w:i w:val="0"/>
                <w:iCs w:val="0"/>
              </w:rPr>
            </w:pPr>
            <w:r>
              <w:rPr>
                <w:i w:val="0"/>
                <w:iCs w:val="0"/>
              </w:rPr>
              <w:t>9</w:t>
            </w:r>
          </w:p>
        </w:tc>
        <w:tc>
          <w:tcPr>
            <w:tcW w:w="1078" w:type="pct"/>
            <w:noWrap w:val="0"/>
            <w:vAlign w:val="center"/>
          </w:tcPr>
          <w:p>
            <w:pPr>
              <w:pStyle w:val="385"/>
              <w:rPr>
                <w:i w:val="0"/>
                <w:iCs w:val="0"/>
              </w:rPr>
            </w:pPr>
            <w:r>
              <w:rPr>
                <w:i w:val="0"/>
                <w:iCs w:val="0"/>
              </w:rPr>
              <w:t>pH（无量纲）</w:t>
            </w:r>
          </w:p>
        </w:tc>
        <w:tc>
          <w:tcPr>
            <w:tcW w:w="726" w:type="pct"/>
            <w:noWrap w:val="0"/>
            <w:vAlign w:val="center"/>
          </w:tcPr>
          <w:p>
            <w:pPr>
              <w:pStyle w:val="385"/>
              <w:rPr>
                <w:i w:val="0"/>
                <w:iCs w:val="0"/>
              </w:rPr>
            </w:pPr>
            <w:r>
              <w:rPr>
                <w:rFonts w:hint="eastAsia"/>
                <w:i w:val="0"/>
                <w:iCs w:val="0"/>
              </w:rPr>
              <w:t>0</w:t>
            </w:r>
          </w:p>
        </w:tc>
        <w:tc>
          <w:tcPr>
            <w:tcW w:w="694" w:type="pct"/>
            <w:noWrap w:val="0"/>
            <w:vAlign w:val="center"/>
          </w:tcPr>
          <w:p>
            <w:pPr>
              <w:pStyle w:val="385"/>
              <w:rPr>
                <w:i w:val="0"/>
                <w:iCs w:val="0"/>
              </w:rPr>
            </w:pPr>
            <w:r>
              <w:rPr>
                <w:rFonts w:hint="eastAsia"/>
                <w:i w:val="0"/>
                <w:iCs w:val="0"/>
              </w:rPr>
              <w:t>0.13</w:t>
            </w:r>
          </w:p>
        </w:tc>
        <w:tc>
          <w:tcPr>
            <w:tcW w:w="746" w:type="pct"/>
            <w:noWrap w:val="0"/>
            <w:vAlign w:val="center"/>
          </w:tcPr>
          <w:p>
            <w:pPr>
              <w:pStyle w:val="385"/>
              <w:rPr>
                <w:i w:val="0"/>
                <w:iCs w:val="0"/>
              </w:rPr>
            </w:pPr>
            <w:r>
              <w:rPr>
                <w:rFonts w:hint="eastAsia"/>
                <w:i w:val="0"/>
                <w:iCs w:val="0"/>
              </w:rPr>
              <w:t>0.07</w:t>
            </w:r>
          </w:p>
        </w:tc>
        <w:tc>
          <w:tcPr>
            <w:tcW w:w="746" w:type="pct"/>
            <w:noWrap w:val="0"/>
            <w:vAlign w:val="center"/>
          </w:tcPr>
          <w:p>
            <w:pPr>
              <w:pStyle w:val="385"/>
              <w:rPr>
                <w:i w:val="0"/>
                <w:iCs w:val="0"/>
              </w:rPr>
            </w:pPr>
            <w:r>
              <w:rPr>
                <w:rFonts w:hint="eastAsia"/>
                <w:i w:val="0"/>
                <w:iCs w:val="0"/>
              </w:rPr>
              <w:t>0.33</w:t>
            </w:r>
          </w:p>
        </w:tc>
        <w:tc>
          <w:tcPr>
            <w:tcW w:w="746" w:type="pct"/>
            <w:noWrap w:val="0"/>
            <w:vAlign w:val="center"/>
          </w:tcPr>
          <w:p>
            <w:pPr>
              <w:pStyle w:val="385"/>
              <w:rPr>
                <w:i w:val="0"/>
                <w:iCs w:val="0"/>
              </w:rPr>
            </w:pPr>
            <w:r>
              <w:rPr>
                <w:rFonts w:hint="eastAsia"/>
                <w:i w:val="0"/>
                <w:iCs w:val="0"/>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center"/>
          </w:tcPr>
          <w:p>
            <w:pPr>
              <w:pStyle w:val="385"/>
              <w:rPr>
                <w:i w:val="0"/>
                <w:iCs w:val="0"/>
              </w:rPr>
            </w:pPr>
            <w:r>
              <w:rPr>
                <w:i w:val="0"/>
                <w:iCs w:val="0"/>
              </w:rPr>
              <w:t>10</w:t>
            </w:r>
          </w:p>
        </w:tc>
        <w:tc>
          <w:tcPr>
            <w:tcW w:w="1078" w:type="pct"/>
            <w:noWrap w:val="0"/>
            <w:vAlign w:val="center"/>
          </w:tcPr>
          <w:p>
            <w:pPr>
              <w:jc w:val="center"/>
              <w:rPr>
                <w:i w:val="0"/>
                <w:iCs w:val="0"/>
                <w:sz w:val="21"/>
                <w:szCs w:val="21"/>
              </w:rPr>
            </w:pPr>
            <w:r>
              <w:rPr>
                <w:i w:val="0"/>
                <w:iCs w:val="0"/>
                <w:sz w:val="21"/>
                <w:szCs w:val="21"/>
              </w:rPr>
              <w:t>总硬度</w:t>
            </w:r>
          </w:p>
        </w:tc>
        <w:tc>
          <w:tcPr>
            <w:tcW w:w="1348" w:type="dxa"/>
            <w:noWrap w:val="0"/>
            <w:vAlign w:val="center"/>
          </w:tcPr>
          <w:p>
            <w:pPr>
              <w:pStyle w:val="385"/>
              <w:rPr>
                <w:i w:val="0"/>
                <w:iCs w:val="0"/>
              </w:rPr>
            </w:pPr>
            <w:r>
              <w:rPr>
                <w:rFonts w:hint="eastAsia"/>
                <w:i w:val="0"/>
                <w:iCs w:val="0"/>
              </w:rPr>
              <w:t xml:space="preserve">0.58 </w:t>
            </w:r>
          </w:p>
        </w:tc>
        <w:tc>
          <w:tcPr>
            <w:tcW w:w="1289" w:type="dxa"/>
            <w:noWrap w:val="0"/>
            <w:vAlign w:val="center"/>
          </w:tcPr>
          <w:p>
            <w:pPr>
              <w:pStyle w:val="385"/>
              <w:rPr>
                <w:i w:val="0"/>
                <w:iCs w:val="0"/>
              </w:rPr>
            </w:pPr>
            <w:r>
              <w:rPr>
                <w:rFonts w:hint="eastAsia"/>
                <w:i w:val="0"/>
                <w:iCs w:val="0"/>
              </w:rPr>
              <w:t xml:space="preserve">0.51 </w:t>
            </w:r>
          </w:p>
        </w:tc>
        <w:tc>
          <w:tcPr>
            <w:tcW w:w="1386" w:type="dxa"/>
            <w:noWrap w:val="0"/>
            <w:vAlign w:val="center"/>
          </w:tcPr>
          <w:p>
            <w:pPr>
              <w:pStyle w:val="385"/>
              <w:rPr>
                <w:i w:val="0"/>
                <w:iCs w:val="0"/>
              </w:rPr>
            </w:pPr>
            <w:r>
              <w:rPr>
                <w:rFonts w:hint="eastAsia"/>
                <w:i w:val="0"/>
                <w:iCs w:val="0"/>
              </w:rPr>
              <w:t xml:space="preserve">0.67 </w:t>
            </w:r>
          </w:p>
        </w:tc>
        <w:tc>
          <w:tcPr>
            <w:tcW w:w="1386" w:type="dxa"/>
            <w:noWrap w:val="0"/>
            <w:vAlign w:val="center"/>
          </w:tcPr>
          <w:p>
            <w:pPr>
              <w:pStyle w:val="385"/>
              <w:rPr>
                <w:i w:val="0"/>
                <w:iCs w:val="0"/>
              </w:rPr>
            </w:pPr>
            <w:r>
              <w:rPr>
                <w:rFonts w:hint="eastAsia"/>
                <w:i w:val="0"/>
                <w:iCs w:val="0"/>
              </w:rPr>
              <w:t xml:space="preserve">0.63 </w:t>
            </w:r>
          </w:p>
        </w:tc>
        <w:tc>
          <w:tcPr>
            <w:tcW w:w="1386" w:type="dxa"/>
            <w:noWrap w:val="0"/>
            <w:vAlign w:val="center"/>
          </w:tcPr>
          <w:p>
            <w:pPr>
              <w:pStyle w:val="385"/>
              <w:rPr>
                <w:i w:val="0"/>
                <w:iCs w:val="0"/>
              </w:rPr>
            </w:pPr>
            <w:r>
              <w:rPr>
                <w:rFonts w:hint="eastAsia"/>
                <w:i w:val="0"/>
                <w:iCs w:val="0"/>
              </w:rPr>
              <w:t xml:space="preserve">0.59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center"/>
          </w:tcPr>
          <w:p>
            <w:pPr>
              <w:pStyle w:val="385"/>
              <w:rPr>
                <w:i w:val="0"/>
                <w:iCs w:val="0"/>
              </w:rPr>
            </w:pPr>
            <w:r>
              <w:rPr>
                <w:i w:val="0"/>
                <w:iCs w:val="0"/>
              </w:rPr>
              <w:t>11</w:t>
            </w:r>
          </w:p>
        </w:tc>
        <w:tc>
          <w:tcPr>
            <w:tcW w:w="1078" w:type="pct"/>
            <w:noWrap w:val="0"/>
            <w:vAlign w:val="center"/>
          </w:tcPr>
          <w:p>
            <w:pPr>
              <w:jc w:val="center"/>
              <w:rPr>
                <w:i w:val="0"/>
                <w:iCs w:val="0"/>
                <w:sz w:val="21"/>
                <w:szCs w:val="21"/>
              </w:rPr>
            </w:pPr>
            <w:r>
              <w:rPr>
                <w:i w:val="0"/>
                <w:iCs w:val="0"/>
                <w:sz w:val="21"/>
                <w:szCs w:val="21"/>
              </w:rPr>
              <w:t>NH</w:t>
            </w:r>
            <w:r>
              <w:rPr>
                <w:i w:val="0"/>
                <w:iCs w:val="0"/>
                <w:sz w:val="21"/>
                <w:szCs w:val="21"/>
                <w:vertAlign w:val="subscript"/>
              </w:rPr>
              <w:t>3</w:t>
            </w:r>
            <w:r>
              <w:rPr>
                <w:i w:val="0"/>
                <w:iCs w:val="0"/>
                <w:sz w:val="21"/>
                <w:szCs w:val="21"/>
              </w:rPr>
              <w:t>-N</w:t>
            </w:r>
          </w:p>
        </w:tc>
        <w:tc>
          <w:tcPr>
            <w:tcW w:w="1348" w:type="dxa"/>
            <w:noWrap w:val="0"/>
            <w:vAlign w:val="center"/>
          </w:tcPr>
          <w:p>
            <w:pPr>
              <w:pStyle w:val="385"/>
              <w:rPr>
                <w:i w:val="0"/>
                <w:iCs w:val="0"/>
              </w:rPr>
            </w:pPr>
            <w:r>
              <w:rPr>
                <w:rFonts w:hint="eastAsia"/>
                <w:i w:val="0"/>
                <w:iCs w:val="0"/>
              </w:rPr>
              <w:t xml:space="preserve">0.43 </w:t>
            </w:r>
          </w:p>
        </w:tc>
        <w:tc>
          <w:tcPr>
            <w:tcW w:w="1289" w:type="dxa"/>
            <w:noWrap w:val="0"/>
            <w:vAlign w:val="center"/>
          </w:tcPr>
          <w:p>
            <w:pPr>
              <w:pStyle w:val="385"/>
              <w:rPr>
                <w:i w:val="0"/>
                <w:iCs w:val="0"/>
              </w:rPr>
            </w:pPr>
            <w:r>
              <w:rPr>
                <w:rFonts w:hint="eastAsia"/>
                <w:i w:val="0"/>
                <w:iCs w:val="0"/>
              </w:rPr>
              <w:t xml:space="preserve">0.32 </w:t>
            </w:r>
          </w:p>
        </w:tc>
        <w:tc>
          <w:tcPr>
            <w:tcW w:w="1386" w:type="dxa"/>
            <w:noWrap w:val="0"/>
            <w:vAlign w:val="center"/>
          </w:tcPr>
          <w:p>
            <w:pPr>
              <w:pStyle w:val="385"/>
              <w:rPr>
                <w:i w:val="0"/>
                <w:iCs w:val="0"/>
              </w:rPr>
            </w:pPr>
            <w:r>
              <w:rPr>
                <w:rFonts w:hint="eastAsia"/>
                <w:i w:val="0"/>
                <w:iCs w:val="0"/>
              </w:rPr>
              <w:t xml:space="preserve">0.40 </w:t>
            </w:r>
          </w:p>
        </w:tc>
        <w:tc>
          <w:tcPr>
            <w:tcW w:w="1386" w:type="dxa"/>
            <w:noWrap w:val="0"/>
            <w:vAlign w:val="center"/>
          </w:tcPr>
          <w:p>
            <w:pPr>
              <w:pStyle w:val="385"/>
              <w:rPr>
                <w:i w:val="0"/>
                <w:iCs w:val="0"/>
              </w:rPr>
            </w:pPr>
            <w:r>
              <w:rPr>
                <w:rFonts w:hint="eastAsia"/>
                <w:i w:val="0"/>
                <w:iCs w:val="0"/>
              </w:rPr>
              <w:t xml:space="preserve">0.29 </w:t>
            </w:r>
          </w:p>
        </w:tc>
        <w:tc>
          <w:tcPr>
            <w:tcW w:w="1386" w:type="dxa"/>
            <w:noWrap w:val="0"/>
            <w:vAlign w:val="center"/>
          </w:tcPr>
          <w:p>
            <w:pPr>
              <w:pStyle w:val="385"/>
              <w:rPr>
                <w:i w:val="0"/>
                <w:iCs w:val="0"/>
              </w:rPr>
            </w:pPr>
            <w:r>
              <w:rPr>
                <w:rFonts w:hint="eastAsia"/>
                <w:i w:val="0"/>
                <w:iCs w:val="0"/>
              </w:rPr>
              <w:t xml:space="preserve">0.20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0" w:type="pct"/>
            <w:noWrap w:val="0"/>
            <w:vAlign w:val="center"/>
          </w:tcPr>
          <w:p>
            <w:pPr>
              <w:pStyle w:val="385"/>
              <w:rPr>
                <w:i w:val="0"/>
                <w:iCs w:val="0"/>
              </w:rPr>
            </w:pPr>
            <w:r>
              <w:rPr>
                <w:i w:val="0"/>
                <w:iCs w:val="0"/>
              </w:rPr>
              <w:t>12</w:t>
            </w:r>
          </w:p>
        </w:tc>
        <w:tc>
          <w:tcPr>
            <w:tcW w:w="1078" w:type="pct"/>
            <w:noWrap w:val="0"/>
            <w:vAlign w:val="center"/>
          </w:tcPr>
          <w:p>
            <w:pPr>
              <w:jc w:val="center"/>
              <w:rPr>
                <w:i w:val="0"/>
                <w:iCs w:val="0"/>
                <w:sz w:val="21"/>
                <w:szCs w:val="21"/>
              </w:rPr>
            </w:pPr>
            <w:r>
              <w:rPr>
                <w:i w:val="0"/>
                <w:iCs w:val="0"/>
                <w:sz w:val="21"/>
                <w:szCs w:val="21"/>
              </w:rPr>
              <w:t>耗氧量</w:t>
            </w:r>
          </w:p>
        </w:tc>
        <w:tc>
          <w:tcPr>
            <w:tcW w:w="1348" w:type="dxa"/>
            <w:noWrap w:val="0"/>
            <w:vAlign w:val="center"/>
          </w:tcPr>
          <w:p>
            <w:pPr>
              <w:pStyle w:val="385"/>
              <w:rPr>
                <w:i w:val="0"/>
                <w:iCs w:val="0"/>
              </w:rPr>
            </w:pPr>
            <w:r>
              <w:rPr>
                <w:rFonts w:hint="eastAsia"/>
                <w:i w:val="0"/>
                <w:iCs w:val="0"/>
              </w:rPr>
              <w:t xml:space="preserve">0.63 </w:t>
            </w:r>
          </w:p>
        </w:tc>
        <w:tc>
          <w:tcPr>
            <w:tcW w:w="1289" w:type="dxa"/>
            <w:noWrap w:val="0"/>
            <w:vAlign w:val="center"/>
          </w:tcPr>
          <w:p>
            <w:pPr>
              <w:pStyle w:val="385"/>
              <w:rPr>
                <w:i w:val="0"/>
                <w:iCs w:val="0"/>
              </w:rPr>
            </w:pPr>
            <w:r>
              <w:rPr>
                <w:rFonts w:hint="eastAsia"/>
                <w:i w:val="0"/>
                <w:iCs w:val="0"/>
              </w:rPr>
              <w:t xml:space="preserve">0.73 </w:t>
            </w:r>
          </w:p>
        </w:tc>
        <w:tc>
          <w:tcPr>
            <w:tcW w:w="1386" w:type="dxa"/>
            <w:noWrap w:val="0"/>
            <w:vAlign w:val="center"/>
          </w:tcPr>
          <w:p>
            <w:pPr>
              <w:pStyle w:val="385"/>
              <w:rPr>
                <w:i w:val="0"/>
                <w:iCs w:val="0"/>
              </w:rPr>
            </w:pPr>
            <w:r>
              <w:rPr>
                <w:rFonts w:hint="eastAsia"/>
                <w:i w:val="0"/>
                <w:iCs w:val="0"/>
              </w:rPr>
              <w:t xml:space="preserve">0.60 </w:t>
            </w:r>
          </w:p>
        </w:tc>
        <w:tc>
          <w:tcPr>
            <w:tcW w:w="1386" w:type="dxa"/>
            <w:noWrap w:val="0"/>
            <w:vAlign w:val="center"/>
          </w:tcPr>
          <w:p>
            <w:pPr>
              <w:pStyle w:val="385"/>
              <w:rPr>
                <w:i w:val="0"/>
                <w:iCs w:val="0"/>
              </w:rPr>
            </w:pPr>
            <w:r>
              <w:rPr>
                <w:rFonts w:hint="eastAsia"/>
                <w:i w:val="0"/>
                <w:iCs w:val="0"/>
              </w:rPr>
              <w:t xml:space="preserve">0.57 </w:t>
            </w:r>
          </w:p>
        </w:tc>
        <w:tc>
          <w:tcPr>
            <w:tcW w:w="1386" w:type="dxa"/>
            <w:noWrap w:val="0"/>
            <w:vAlign w:val="center"/>
          </w:tcPr>
          <w:p>
            <w:pPr>
              <w:pStyle w:val="385"/>
              <w:rPr>
                <w:i w:val="0"/>
                <w:iCs w:val="0"/>
              </w:rPr>
            </w:pPr>
            <w:r>
              <w:rPr>
                <w:rFonts w:hint="eastAsia"/>
                <w:i w:val="0"/>
                <w:iCs w:val="0"/>
              </w:rPr>
              <w:t xml:space="preserve">0.67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center"/>
          </w:tcPr>
          <w:p>
            <w:pPr>
              <w:pStyle w:val="385"/>
              <w:rPr>
                <w:i w:val="0"/>
                <w:iCs w:val="0"/>
              </w:rPr>
            </w:pPr>
            <w:r>
              <w:rPr>
                <w:i w:val="0"/>
                <w:iCs w:val="0"/>
              </w:rPr>
              <w:t>13</w:t>
            </w:r>
          </w:p>
        </w:tc>
        <w:tc>
          <w:tcPr>
            <w:tcW w:w="1078" w:type="pct"/>
            <w:noWrap w:val="0"/>
            <w:vAlign w:val="center"/>
          </w:tcPr>
          <w:p>
            <w:pPr>
              <w:jc w:val="center"/>
              <w:rPr>
                <w:i w:val="0"/>
                <w:iCs w:val="0"/>
                <w:sz w:val="21"/>
                <w:szCs w:val="21"/>
              </w:rPr>
            </w:pPr>
            <w:r>
              <w:rPr>
                <w:i w:val="0"/>
                <w:iCs w:val="0"/>
                <w:kern w:val="0"/>
                <w:sz w:val="21"/>
                <w:szCs w:val="21"/>
                <w:lang w:bidi="ar"/>
              </w:rPr>
              <w:t>总大肠菌群（MPN/100mL）</w:t>
            </w:r>
          </w:p>
        </w:tc>
        <w:tc>
          <w:tcPr>
            <w:tcW w:w="726" w:type="pct"/>
            <w:noWrap w:val="0"/>
            <w:vAlign w:val="center"/>
          </w:tcPr>
          <w:p>
            <w:pPr>
              <w:pStyle w:val="385"/>
              <w:rPr>
                <w:i w:val="0"/>
                <w:iCs w:val="0"/>
              </w:rPr>
            </w:pPr>
            <w:r>
              <w:rPr>
                <w:i w:val="0"/>
                <w:iCs w:val="0"/>
              </w:rPr>
              <w:t>未检出</w:t>
            </w:r>
          </w:p>
        </w:tc>
        <w:tc>
          <w:tcPr>
            <w:tcW w:w="694" w:type="pct"/>
            <w:noWrap w:val="0"/>
            <w:vAlign w:val="center"/>
          </w:tcPr>
          <w:p>
            <w:pPr>
              <w:pStyle w:val="385"/>
              <w:rPr>
                <w:i w:val="0"/>
                <w:iCs w:val="0"/>
              </w:rPr>
            </w:pPr>
            <w:r>
              <w:rPr>
                <w:i w:val="0"/>
                <w:iCs w:val="0"/>
              </w:rPr>
              <w:t>未检出</w:t>
            </w:r>
          </w:p>
        </w:tc>
        <w:tc>
          <w:tcPr>
            <w:tcW w:w="746" w:type="pct"/>
            <w:noWrap w:val="0"/>
            <w:vAlign w:val="center"/>
          </w:tcPr>
          <w:p>
            <w:pPr>
              <w:pStyle w:val="385"/>
              <w:rPr>
                <w:i w:val="0"/>
                <w:iCs w:val="0"/>
              </w:rPr>
            </w:pPr>
            <w:r>
              <w:rPr>
                <w:i w:val="0"/>
                <w:iCs w:val="0"/>
              </w:rPr>
              <w:t>未检出</w:t>
            </w:r>
          </w:p>
        </w:tc>
        <w:tc>
          <w:tcPr>
            <w:tcW w:w="746" w:type="pct"/>
            <w:noWrap w:val="0"/>
            <w:vAlign w:val="center"/>
          </w:tcPr>
          <w:p>
            <w:pPr>
              <w:pStyle w:val="385"/>
              <w:rPr>
                <w:i w:val="0"/>
                <w:iCs w:val="0"/>
              </w:rPr>
            </w:pPr>
            <w:r>
              <w:rPr>
                <w:i w:val="0"/>
                <w:iCs w:val="0"/>
              </w:rPr>
              <w:t>未检出</w:t>
            </w:r>
          </w:p>
        </w:tc>
        <w:tc>
          <w:tcPr>
            <w:tcW w:w="746" w:type="pct"/>
            <w:noWrap w:val="0"/>
            <w:vAlign w:val="center"/>
          </w:tcPr>
          <w:p>
            <w:pPr>
              <w:pStyle w:val="385"/>
              <w:rPr>
                <w:i w:val="0"/>
                <w:iCs w:val="0"/>
              </w:rPr>
            </w:pPr>
            <w:r>
              <w:rPr>
                <w:i w:val="0"/>
                <w:iCs w:val="0"/>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center"/>
          </w:tcPr>
          <w:p>
            <w:pPr>
              <w:pStyle w:val="385"/>
              <w:rPr>
                <w:i w:val="0"/>
                <w:iCs w:val="0"/>
              </w:rPr>
            </w:pPr>
            <w:r>
              <w:rPr>
                <w:i w:val="0"/>
                <w:iCs w:val="0"/>
              </w:rPr>
              <w:t>14</w:t>
            </w:r>
          </w:p>
        </w:tc>
        <w:tc>
          <w:tcPr>
            <w:tcW w:w="1078" w:type="pct"/>
            <w:noWrap w:val="0"/>
            <w:vAlign w:val="center"/>
          </w:tcPr>
          <w:p>
            <w:pPr>
              <w:jc w:val="center"/>
              <w:rPr>
                <w:i w:val="0"/>
                <w:iCs w:val="0"/>
                <w:sz w:val="21"/>
                <w:szCs w:val="21"/>
              </w:rPr>
            </w:pPr>
            <w:r>
              <w:rPr>
                <w:i w:val="0"/>
                <w:iCs w:val="0"/>
                <w:sz w:val="21"/>
                <w:szCs w:val="21"/>
              </w:rPr>
              <w:t>挥发性酚类</w:t>
            </w:r>
          </w:p>
        </w:tc>
        <w:tc>
          <w:tcPr>
            <w:tcW w:w="726" w:type="pct"/>
            <w:noWrap w:val="0"/>
            <w:vAlign w:val="center"/>
          </w:tcPr>
          <w:p>
            <w:pPr>
              <w:pStyle w:val="385"/>
              <w:rPr>
                <w:i w:val="0"/>
                <w:iCs w:val="0"/>
              </w:rPr>
            </w:pPr>
            <w:r>
              <w:rPr>
                <w:i w:val="0"/>
                <w:iCs w:val="0"/>
              </w:rPr>
              <w:t>未检出</w:t>
            </w:r>
          </w:p>
        </w:tc>
        <w:tc>
          <w:tcPr>
            <w:tcW w:w="694" w:type="pct"/>
            <w:noWrap w:val="0"/>
            <w:vAlign w:val="center"/>
          </w:tcPr>
          <w:p>
            <w:pPr>
              <w:pStyle w:val="385"/>
              <w:rPr>
                <w:i w:val="0"/>
                <w:iCs w:val="0"/>
              </w:rPr>
            </w:pPr>
            <w:r>
              <w:rPr>
                <w:i w:val="0"/>
                <w:iCs w:val="0"/>
              </w:rPr>
              <w:t>未检出</w:t>
            </w:r>
          </w:p>
        </w:tc>
        <w:tc>
          <w:tcPr>
            <w:tcW w:w="746" w:type="pct"/>
            <w:noWrap w:val="0"/>
            <w:vAlign w:val="center"/>
          </w:tcPr>
          <w:p>
            <w:pPr>
              <w:pStyle w:val="385"/>
              <w:rPr>
                <w:i w:val="0"/>
                <w:iCs w:val="0"/>
              </w:rPr>
            </w:pPr>
            <w:r>
              <w:rPr>
                <w:i w:val="0"/>
                <w:iCs w:val="0"/>
              </w:rPr>
              <w:t>未检出</w:t>
            </w:r>
          </w:p>
        </w:tc>
        <w:tc>
          <w:tcPr>
            <w:tcW w:w="746" w:type="pct"/>
            <w:noWrap w:val="0"/>
            <w:vAlign w:val="center"/>
          </w:tcPr>
          <w:p>
            <w:pPr>
              <w:pStyle w:val="385"/>
              <w:rPr>
                <w:i w:val="0"/>
                <w:iCs w:val="0"/>
              </w:rPr>
            </w:pPr>
            <w:r>
              <w:rPr>
                <w:i w:val="0"/>
                <w:iCs w:val="0"/>
              </w:rPr>
              <w:t>未检出</w:t>
            </w:r>
          </w:p>
        </w:tc>
        <w:tc>
          <w:tcPr>
            <w:tcW w:w="746" w:type="pct"/>
            <w:noWrap w:val="0"/>
            <w:vAlign w:val="center"/>
          </w:tcPr>
          <w:p>
            <w:pPr>
              <w:pStyle w:val="385"/>
              <w:rPr>
                <w:i w:val="0"/>
                <w:iCs w:val="0"/>
              </w:rPr>
            </w:pPr>
            <w:r>
              <w:rPr>
                <w:i w:val="0"/>
                <w:iCs w:val="0"/>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center"/>
          </w:tcPr>
          <w:p>
            <w:pPr>
              <w:pStyle w:val="385"/>
              <w:rPr>
                <w:i w:val="0"/>
                <w:iCs w:val="0"/>
              </w:rPr>
            </w:pPr>
            <w:r>
              <w:rPr>
                <w:i w:val="0"/>
                <w:iCs w:val="0"/>
              </w:rPr>
              <w:t>15</w:t>
            </w:r>
          </w:p>
        </w:tc>
        <w:tc>
          <w:tcPr>
            <w:tcW w:w="1078" w:type="pct"/>
            <w:noWrap w:val="0"/>
            <w:vAlign w:val="center"/>
          </w:tcPr>
          <w:p>
            <w:pPr>
              <w:jc w:val="center"/>
              <w:rPr>
                <w:i w:val="0"/>
                <w:iCs w:val="0"/>
                <w:sz w:val="21"/>
                <w:szCs w:val="21"/>
              </w:rPr>
            </w:pPr>
            <w:r>
              <w:rPr>
                <w:i w:val="0"/>
                <w:iCs w:val="0"/>
                <w:sz w:val="21"/>
                <w:szCs w:val="21"/>
              </w:rPr>
              <w:t>硫酸盐</w:t>
            </w:r>
          </w:p>
        </w:tc>
        <w:tc>
          <w:tcPr>
            <w:tcW w:w="1348" w:type="dxa"/>
            <w:noWrap w:val="0"/>
            <w:vAlign w:val="center"/>
          </w:tcPr>
          <w:p>
            <w:pPr>
              <w:pStyle w:val="385"/>
              <w:rPr>
                <w:i w:val="0"/>
                <w:iCs w:val="0"/>
              </w:rPr>
            </w:pPr>
            <w:r>
              <w:rPr>
                <w:rFonts w:hint="eastAsia"/>
                <w:i w:val="0"/>
                <w:iCs w:val="0"/>
              </w:rPr>
              <w:t xml:space="preserve">0.07 </w:t>
            </w:r>
          </w:p>
        </w:tc>
        <w:tc>
          <w:tcPr>
            <w:tcW w:w="1289" w:type="dxa"/>
            <w:noWrap w:val="0"/>
            <w:vAlign w:val="center"/>
          </w:tcPr>
          <w:p>
            <w:pPr>
              <w:pStyle w:val="385"/>
              <w:rPr>
                <w:i w:val="0"/>
                <w:iCs w:val="0"/>
              </w:rPr>
            </w:pPr>
            <w:r>
              <w:rPr>
                <w:rFonts w:hint="eastAsia"/>
                <w:i w:val="0"/>
                <w:iCs w:val="0"/>
              </w:rPr>
              <w:t xml:space="preserve">0.04 </w:t>
            </w:r>
          </w:p>
        </w:tc>
        <w:tc>
          <w:tcPr>
            <w:tcW w:w="1386" w:type="dxa"/>
            <w:noWrap w:val="0"/>
            <w:vAlign w:val="center"/>
          </w:tcPr>
          <w:p>
            <w:pPr>
              <w:pStyle w:val="385"/>
              <w:rPr>
                <w:i w:val="0"/>
                <w:iCs w:val="0"/>
              </w:rPr>
            </w:pPr>
            <w:r>
              <w:rPr>
                <w:rFonts w:hint="eastAsia"/>
                <w:i w:val="0"/>
                <w:iCs w:val="0"/>
              </w:rPr>
              <w:t xml:space="preserve">0.01 </w:t>
            </w:r>
          </w:p>
        </w:tc>
        <w:tc>
          <w:tcPr>
            <w:tcW w:w="1386" w:type="dxa"/>
            <w:noWrap w:val="0"/>
            <w:vAlign w:val="center"/>
          </w:tcPr>
          <w:p>
            <w:pPr>
              <w:pStyle w:val="385"/>
              <w:rPr>
                <w:i w:val="0"/>
                <w:iCs w:val="0"/>
              </w:rPr>
            </w:pPr>
            <w:r>
              <w:rPr>
                <w:rFonts w:hint="eastAsia"/>
                <w:i w:val="0"/>
                <w:iCs w:val="0"/>
              </w:rPr>
              <w:t xml:space="preserve">0.09 </w:t>
            </w:r>
          </w:p>
        </w:tc>
        <w:tc>
          <w:tcPr>
            <w:tcW w:w="1386" w:type="dxa"/>
            <w:noWrap w:val="0"/>
            <w:vAlign w:val="center"/>
          </w:tcPr>
          <w:p>
            <w:pPr>
              <w:pStyle w:val="385"/>
              <w:rPr>
                <w:i w:val="0"/>
                <w:iCs w:val="0"/>
              </w:rPr>
            </w:pPr>
            <w:r>
              <w:rPr>
                <w:rFonts w:hint="eastAsia"/>
                <w:i w:val="0"/>
                <w:iCs w:val="0"/>
              </w:rPr>
              <w:t xml:space="preserve">0.10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center"/>
          </w:tcPr>
          <w:p>
            <w:pPr>
              <w:pStyle w:val="385"/>
              <w:rPr>
                <w:i w:val="0"/>
                <w:iCs w:val="0"/>
              </w:rPr>
            </w:pPr>
            <w:r>
              <w:rPr>
                <w:i w:val="0"/>
                <w:iCs w:val="0"/>
              </w:rPr>
              <w:t>16</w:t>
            </w:r>
          </w:p>
        </w:tc>
        <w:tc>
          <w:tcPr>
            <w:tcW w:w="1078" w:type="pct"/>
            <w:noWrap w:val="0"/>
            <w:vAlign w:val="center"/>
          </w:tcPr>
          <w:p>
            <w:pPr>
              <w:jc w:val="center"/>
              <w:rPr>
                <w:i w:val="0"/>
                <w:iCs w:val="0"/>
                <w:sz w:val="21"/>
                <w:szCs w:val="21"/>
              </w:rPr>
            </w:pPr>
            <w:r>
              <w:rPr>
                <w:i w:val="0"/>
                <w:iCs w:val="0"/>
                <w:sz w:val="21"/>
                <w:szCs w:val="21"/>
              </w:rPr>
              <w:t>氯化物</w:t>
            </w:r>
          </w:p>
        </w:tc>
        <w:tc>
          <w:tcPr>
            <w:tcW w:w="1348" w:type="dxa"/>
            <w:noWrap w:val="0"/>
            <w:vAlign w:val="center"/>
          </w:tcPr>
          <w:p>
            <w:pPr>
              <w:pStyle w:val="385"/>
              <w:rPr>
                <w:i w:val="0"/>
                <w:iCs w:val="0"/>
              </w:rPr>
            </w:pPr>
            <w:r>
              <w:rPr>
                <w:rFonts w:hint="eastAsia"/>
                <w:i w:val="0"/>
                <w:iCs w:val="0"/>
              </w:rPr>
              <w:t xml:space="preserve">0.05 </w:t>
            </w:r>
          </w:p>
        </w:tc>
        <w:tc>
          <w:tcPr>
            <w:tcW w:w="1289" w:type="dxa"/>
            <w:noWrap w:val="0"/>
            <w:vAlign w:val="center"/>
          </w:tcPr>
          <w:p>
            <w:pPr>
              <w:pStyle w:val="385"/>
              <w:rPr>
                <w:i w:val="0"/>
                <w:iCs w:val="0"/>
              </w:rPr>
            </w:pPr>
            <w:r>
              <w:rPr>
                <w:rFonts w:hint="eastAsia"/>
                <w:i w:val="0"/>
                <w:iCs w:val="0"/>
              </w:rPr>
              <w:t xml:space="preserve">0.02 </w:t>
            </w:r>
          </w:p>
        </w:tc>
        <w:tc>
          <w:tcPr>
            <w:tcW w:w="1386" w:type="dxa"/>
            <w:noWrap w:val="0"/>
            <w:vAlign w:val="center"/>
          </w:tcPr>
          <w:p>
            <w:pPr>
              <w:pStyle w:val="385"/>
              <w:rPr>
                <w:i w:val="0"/>
                <w:iCs w:val="0"/>
              </w:rPr>
            </w:pPr>
            <w:r>
              <w:rPr>
                <w:rFonts w:hint="eastAsia"/>
                <w:i w:val="0"/>
                <w:iCs w:val="0"/>
              </w:rPr>
              <w:t xml:space="preserve">0.03 </w:t>
            </w:r>
          </w:p>
        </w:tc>
        <w:tc>
          <w:tcPr>
            <w:tcW w:w="1386" w:type="dxa"/>
            <w:noWrap w:val="0"/>
            <w:vAlign w:val="center"/>
          </w:tcPr>
          <w:p>
            <w:pPr>
              <w:pStyle w:val="385"/>
              <w:rPr>
                <w:i w:val="0"/>
                <w:iCs w:val="0"/>
              </w:rPr>
            </w:pPr>
            <w:r>
              <w:rPr>
                <w:rFonts w:hint="eastAsia"/>
                <w:i w:val="0"/>
                <w:iCs w:val="0"/>
              </w:rPr>
              <w:t xml:space="preserve">0.03 </w:t>
            </w:r>
          </w:p>
        </w:tc>
        <w:tc>
          <w:tcPr>
            <w:tcW w:w="1386" w:type="dxa"/>
            <w:noWrap w:val="0"/>
            <w:vAlign w:val="center"/>
          </w:tcPr>
          <w:p>
            <w:pPr>
              <w:pStyle w:val="385"/>
              <w:rPr>
                <w:i w:val="0"/>
                <w:iCs w:val="0"/>
              </w:rPr>
            </w:pPr>
            <w:r>
              <w:rPr>
                <w:rFonts w:hint="eastAsia"/>
                <w:i w:val="0"/>
                <w:iCs w:val="0"/>
              </w:rPr>
              <w:t xml:space="preserve">0.05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center"/>
          </w:tcPr>
          <w:p>
            <w:pPr>
              <w:pStyle w:val="385"/>
              <w:rPr>
                <w:i w:val="0"/>
                <w:iCs w:val="0"/>
              </w:rPr>
            </w:pPr>
            <w:r>
              <w:rPr>
                <w:i w:val="0"/>
                <w:iCs w:val="0"/>
              </w:rPr>
              <w:t>17</w:t>
            </w:r>
          </w:p>
        </w:tc>
        <w:tc>
          <w:tcPr>
            <w:tcW w:w="1078" w:type="pct"/>
            <w:noWrap w:val="0"/>
            <w:vAlign w:val="center"/>
          </w:tcPr>
          <w:p>
            <w:pPr>
              <w:jc w:val="center"/>
              <w:rPr>
                <w:i w:val="0"/>
                <w:iCs w:val="0"/>
                <w:sz w:val="21"/>
                <w:szCs w:val="21"/>
              </w:rPr>
            </w:pPr>
            <w:r>
              <w:rPr>
                <w:i w:val="0"/>
                <w:iCs w:val="0"/>
                <w:sz w:val="21"/>
                <w:szCs w:val="21"/>
              </w:rPr>
              <w:t>阴离子表面活性剂</w:t>
            </w:r>
          </w:p>
        </w:tc>
        <w:tc>
          <w:tcPr>
            <w:tcW w:w="726" w:type="pct"/>
            <w:noWrap w:val="0"/>
            <w:vAlign w:val="center"/>
          </w:tcPr>
          <w:p>
            <w:pPr>
              <w:pStyle w:val="385"/>
              <w:rPr>
                <w:i w:val="0"/>
                <w:iCs w:val="0"/>
              </w:rPr>
            </w:pPr>
            <w:r>
              <w:rPr>
                <w:i w:val="0"/>
                <w:iCs w:val="0"/>
              </w:rPr>
              <w:t>未检出</w:t>
            </w:r>
          </w:p>
        </w:tc>
        <w:tc>
          <w:tcPr>
            <w:tcW w:w="694" w:type="pct"/>
            <w:noWrap w:val="0"/>
            <w:vAlign w:val="center"/>
          </w:tcPr>
          <w:p>
            <w:pPr>
              <w:pStyle w:val="385"/>
              <w:rPr>
                <w:i w:val="0"/>
                <w:iCs w:val="0"/>
              </w:rPr>
            </w:pPr>
            <w:r>
              <w:rPr>
                <w:i w:val="0"/>
                <w:iCs w:val="0"/>
              </w:rPr>
              <w:t>未检出</w:t>
            </w:r>
          </w:p>
        </w:tc>
        <w:tc>
          <w:tcPr>
            <w:tcW w:w="746" w:type="pct"/>
            <w:noWrap w:val="0"/>
            <w:vAlign w:val="center"/>
          </w:tcPr>
          <w:p>
            <w:pPr>
              <w:pStyle w:val="385"/>
              <w:rPr>
                <w:i w:val="0"/>
                <w:iCs w:val="0"/>
              </w:rPr>
            </w:pPr>
            <w:r>
              <w:rPr>
                <w:i w:val="0"/>
                <w:iCs w:val="0"/>
              </w:rPr>
              <w:t>未检出</w:t>
            </w:r>
          </w:p>
        </w:tc>
        <w:tc>
          <w:tcPr>
            <w:tcW w:w="746" w:type="pct"/>
            <w:noWrap w:val="0"/>
            <w:vAlign w:val="center"/>
          </w:tcPr>
          <w:p>
            <w:pPr>
              <w:pStyle w:val="385"/>
              <w:rPr>
                <w:i w:val="0"/>
                <w:iCs w:val="0"/>
              </w:rPr>
            </w:pPr>
            <w:r>
              <w:rPr>
                <w:i w:val="0"/>
                <w:iCs w:val="0"/>
              </w:rPr>
              <w:t>未检出</w:t>
            </w:r>
          </w:p>
        </w:tc>
        <w:tc>
          <w:tcPr>
            <w:tcW w:w="746" w:type="pct"/>
            <w:noWrap w:val="0"/>
            <w:vAlign w:val="center"/>
          </w:tcPr>
          <w:p>
            <w:pPr>
              <w:pStyle w:val="385"/>
              <w:rPr>
                <w:i w:val="0"/>
                <w:iCs w:val="0"/>
              </w:rPr>
            </w:pPr>
            <w:r>
              <w:rPr>
                <w:i w:val="0"/>
                <w:iCs w:val="0"/>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0" w:type="pct"/>
            <w:noWrap w:val="0"/>
            <w:vAlign w:val="center"/>
          </w:tcPr>
          <w:p>
            <w:pPr>
              <w:pStyle w:val="385"/>
              <w:rPr>
                <w:i w:val="0"/>
                <w:iCs w:val="0"/>
              </w:rPr>
            </w:pPr>
            <w:r>
              <w:rPr>
                <w:i w:val="0"/>
                <w:iCs w:val="0"/>
              </w:rPr>
              <w:t>18</w:t>
            </w:r>
          </w:p>
        </w:tc>
        <w:tc>
          <w:tcPr>
            <w:tcW w:w="1078" w:type="pct"/>
            <w:noWrap w:val="0"/>
            <w:vAlign w:val="center"/>
          </w:tcPr>
          <w:p>
            <w:pPr>
              <w:widowControl/>
              <w:jc w:val="center"/>
              <w:rPr>
                <w:i w:val="0"/>
                <w:iCs w:val="0"/>
                <w:sz w:val="21"/>
                <w:szCs w:val="21"/>
              </w:rPr>
            </w:pPr>
            <w:r>
              <w:rPr>
                <w:i w:val="0"/>
                <w:iCs w:val="0"/>
                <w:kern w:val="0"/>
                <w:sz w:val="21"/>
                <w:szCs w:val="21"/>
                <w:lang w:bidi="ar"/>
              </w:rPr>
              <w:t>溶解性总固体</w:t>
            </w:r>
          </w:p>
        </w:tc>
        <w:tc>
          <w:tcPr>
            <w:tcW w:w="1348" w:type="dxa"/>
            <w:noWrap w:val="0"/>
            <w:vAlign w:val="center"/>
          </w:tcPr>
          <w:p>
            <w:pPr>
              <w:pStyle w:val="385"/>
              <w:rPr>
                <w:i w:val="0"/>
                <w:iCs w:val="0"/>
              </w:rPr>
            </w:pPr>
            <w:r>
              <w:rPr>
                <w:rFonts w:hint="eastAsia"/>
                <w:i w:val="0"/>
                <w:iCs w:val="0"/>
              </w:rPr>
              <w:t xml:space="preserve">0.46 </w:t>
            </w:r>
          </w:p>
        </w:tc>
        <w:tc>
          <w:tcPr>
            <w:tcW w:w="1289" w:type="dxa"/>
            <w:noWrap w:val="0"/>
            <w:vAlign w:val="center"/>
          </w:tcPr>
          <w:p>
            <w:pPr>
              <w:pStyle w:val="385"/>
              <w:rPr>
                <w:i w:val="0"/>
                <w:iCs w:val="0"/>
              </w:rPr>
            </w:pPr>
            <w:r>
              <w:rPr>
                <w:rFonts w:hint="eastAsia"/>
                <w:i w:val="0"/>
                <w:iCs w:val="0"/>
              </w:rPr>
              <w:t xml:space="preserve">0.51 </w:t>
            </w:r>
          </w:p>
        </w:tc>
        <w:tc>
          <w:tcPr>
            <w:tcW w:w="1386" w:type="dxa"/>
            <w:noWrap w:val="0"/>
            <w:vAlign w:val="center"/>
          </w:tcPr>
          <w:p>
            <w:pPr>
              <w:pStyle w:val="385"/>
              <w:rPr>
                <w:i w:val="0"/>
                <w:iCs w:val="0"/>
              </w:rPr>
            </w:pPr>
            <w:r>
              <w:rPr>
                <w:rFonts w:hint="eastAsia"/>
                <w:i w:val="0"/>
                <w:iCs w:val="0"/>
              </w:rPr>
              <w:t xml:space="preserve">0.53 </w:t>
            </w:r>
          </w:p>
        </w:tc>
        <w:tc>
          <w:tcPr>
            <w:tcW w:w="1386" w:type="dxa"/>
            <w:noWrap w:val="0"/>
            <w:vAlign w:val="center"/>
          </w:tcPr>
          <w:p>
            <w:pPr>
              <w:pStyle w:val="385"/>
              <w:rPr>
                <w:i w:val="0"/>
                <w:iCs w:val="0"/>
              </w:rPr>
            </w:pPr>
            <w:r>
              <w:rPr>
                <w:rFonts w:hint="eastAsia"/>
                <w:i w:val="0"/>
                <w:iCs w:val="0"/>
              </w:rPr>
              <w:t xml:space="preserve">0.40 </w:t>
            </w:r>
          </w:p>
        </w:tc>
        <w:tc>
          <w:tcPr>
            <w:tcW w:w="1386" w:type="dxa"/>
            <w:noWrap w:val="0"/>
            <w:vAlign w:val="center"/>
          </w:tcPr>
          <w:p>
            <w:pPr>
              <w:pStyle w:val="385"/>
              <w:rPr>
                <w:i w:val="0"/>
                <w:iCs w:val="0"/>
              </w:rPr>
            </w:pPr>
            <w:r>
              <w:rPr>
                <w:rFonts w:hint="eastAsia"/>
                <w:i w:val="0"/>
                <w:iCs w:val="0"/>
              </w:rPr>
              <w:t xml:space="preserve">0.41 </w:t>
            </w:r>
          </w:p>
        </w:tc>
      </w:tr>
    </w:tbl>
    <w:p>
      <w:pPr>
        <w:adjustRightInd w:val="0"/>
        <w:snapToGrid w:val="0"/>
        <w:spacing w:line="360" w:lineRule="auto"/>
        <w:ind w:firstLine="360" w:firstLineChars="200"/>
        <w:jc w:val="left"/>
        <w:rPr>
          <w:i w:val="0"/>
          <w:iCs w:val="0"/>
          <w:sz w:val="26"/>
          <w:szCs w:val="26"/>
        </w:rPr>
      </w:pPr>
      <w:r>
        <w:rPr>
          <w:i w:val="0"/>
          <w:iCs w:val="0"/>
          <w:sz w:val="18"/>
          <w:szCs w:val="18"/>
        </w:rPr>
        <w:t>注：“-”表示低于检出限。</w:t>
      </w:r>
    </w:p>
    <w:p>
      <w:pPr>
        <w:tabs>
          <w:tab w:val="right" w:pos="4628"/>
        </w:tabs>
        <w:spacing w:line="360" w:lineRule="auto"/>
        <w:ind w:firstLine="480"/>
        <w:rPr>
          <w:i w:val="0"/>
          <w:iCs w:val="0"/>
        </w:rPr>
      </w:pPr>
      <w:r>
        <w:rPr>
          <w:i w:val="0"/>
          <w:iCs w:val="0"/>
        </w:rPr>
        <w:t>由表可以看出：各监测点的地下水污染物指标均满足《地下水质量标准》中的</w:t>
      </w:r>
      <w:r>
        <w:rPr>
          <w:rFonts w:hint="eastAsia" w:ascii="宋体" w:hAnsi="宋体" w:cs="宋体"/>
          <w:i w:val="0"/>
          <w:iCs w:val="0"/>
        </w:rPr>
        <w:t>Ⅲ</w:t>
      </w:r>
      <w:r>
        <w:rPr>
          <w:i w:val="0"/>
          <w:iCs w:val="0"/>
        </w:rPr>
        <w:t>类标准要求，区域地下水环境质量较好。</w:t>
      </w:r>
    </w:p>
    <w:p>
      <w:pPr>
        <w:pStyle w:val="76"/>
        <w:spacing w:line="360" w:lineRule="auto"/>
        <w:ind w:firstLine="480"/>
        <w:rPr>
          <w:rFonts w:hint="default" w:ascii="Times New Roman" w:hAnsi="Times New Roman"/>
          <w:i w:val="0"/>
          <w:iCs w:val="0"/>
          <w:color w:val="auto"/>
          <w:sz w:val="24"/>
        </w:rPr>
      </w:pPr>
      <w:r>
        <w:rPr>
          <w:rFonts w:hint="default" w:ascii="Times New Roman" w:hAnsi="Times New Roman"/>
          <w:i w:val="0"/>
          <w:iCs w:val="0"/>
          <w:color w:val="auto"/>
          <w:sz w:val="24"/>
        </w:rPr>
        <w:t>地下水水化学性质监测：</w:t>
      </w:r>
    </w:p>
    <w:p>
      <w:pPr>
        <w:pStyle w:val="76"/>
        <w:spacing w:line="360" w:lineRule="auto"/>
        <w:ind w:firstLine="480"/>
        <w:rPr>
          <w:rFonts w:hint="default" w:ascii="Times New Roman" w:hAnsi="Times New Roman"/>
          <w:i w:val="0"/>
          <w:iCs w:val="0"/>
          <w:color w:val="auto"/>
          <w:sz w:val="24"/>
        </w:rPr>
      </w:pPr>
      <w:r>
        <w:rPr>
          <w:rFonts w:hint="default" w:ascii="Times New Roman" w:hAnsi="Times New Roman"/>
          <w:i w:val="0"/>
          <w:iCs w:val="0"/>
          <w:color w:val="auto"/>
          <w:sz w:val="24"/>
        </w:rPr>
        <w:t>本项目对区域地下水进行K</w:t>
      </w:r>
      <w:r>
        <w:rPr>
          <w:rFonts w:hint="default" w:ascii="Times New Roman" w:hAnsi="Times New Roman"/>
          <w:i w:val="0"/>
          <w:iCs w:val="0"/>
          <w:color w:val="auto"/>
          <w:sz w:val="24"/>
          <w:vertAlign w:val="superscript"/>
        </w:rPr>
        <w:t>+</w:t>
      </w:r>
      <w:r>
        <w:rPr>
          <w:rFonts w:hint="default" w:ascii="Times New Roman" w:hAnsi="Times New Roman"/>
          <w:i w:val="0"/>
          <w:iCs w:val="0"/>
          <w:color w:val="auto"/>
          <w:sz w:val="24"/>
        </w:rPr>
        <w:t>、Na</w:t>
      </w:r>
      <w:r>
        <w:rPr>
          <w:rFonts w:hint="default" w:ascii="Times New Roman" w:hAnsi="Times New Roman"/>
          <w:i w:val="0"/>
          <w:iCs w:val="0"/>
          <w:color w:val="auto"/>
          <w:sz w:val="24"/>
          <w:vertAlign w:val="superscript"/>
        </w:rPr>
        <w:t>+</w:t>
      </w:r>
      <w:r>
        <w:rPr>
          <w:rFonts w:hint="default" w:ascii="Times New Roman" w:hAnsi="Times New Roman"/>
          <w:i w:val="0"/>
          <w:iCs w:val="0"/>
          <w:color w:val="auto"/>
          <w:sz w:val="24"/>
        </w:rPr>
        <w:t>、Ca</w:t>
      </w:r>
      <w:r>
        <w:rPr>
          <w:rFonts w:hint="default" w:ascii="Times New Roman" w:hAnsi="Times New Roman"/>
          <w:i w:val="0"/>
          <w:iCs w:val="0"/>
          <w:color w:val="auto"/>
          <w:sz w:val="24"/>
          <w:vertAlign w:val="superscript"/>
        </w:rPr>
        <w:t>2+</w:t>
      </w:r>
      <w:r>
        <w:rPr>
          <w:rFonts w:hint="default" w:ascii="Times New Roman" w:hAnsi="Times New Roman"/>
          <w:i w:val="0"/>
          <w:iCs w:val="0"/>
          <w:color w:val="auto"/>
          <w:sz w:val="24"/>
        </w:rPr>
        <w:t>、Mg</w:t>
      </w:r>
      <w:r>
        <w:rPr>
          <w:rFonts w:hint="default" w:ascii="Times New Roman" w:hAnsi="Times New Roman"/>
          <w:i w:val="0"/>
          <w:iCs w:val="0"/>
          <w:color w:val="auto"/>
          <w:sz w:val="24"/>
          <w:vertAlign w:val="superscript"/>
        </w:rPr>
        <w:t>2+</w:t>
      </w:r>
      <w:r>
        <w:rPr>
          <w:rFonts w:hint="default" w:ascii="Times New Roman" w:hAnsi="Times New Roman"/>
          <w:i w:val="0"/>
          <w:iCs w:val="0"/>
          <w:color w:val="auto"/>
          <w:sz w:val="24"/>
        </w:rPr>
        <w:t>、CO</w:t>
      </w:r>
      <w:r>
        <w:rPr>
          <w:rFonts w:hint="default" w:ascii="Times New Roman" w:hAnsi="Times New Roman"/>
          <w:i w:val="0"/>
          <w:iCs w:val="0"/>
          <w:color w:val="auto"/>
          <w:sz w:val="24"/>
          <w:vertAlign w:val="subscript"/>
        </w:rPr>
        <w:t>3</w:t>
      </w:r>
      <w:r>
        <w:rPr>
          <w:rFonts w:hint="default" w:ascii="Times New Roman" w:hAnsi="Times New Roman"/>
          <w:i w:val="0"/>
          <w:iCs w:val="0"/>
          <w:color w:val="auto"/>
          <w:sz w:val="24"/>
          <w:vertAlign w:val="superscript"/>
        </w:rPr>
        <w:t>2-</w:t>
      </w:r>
      <w:r>
        <w:rPr>
          <w:rFonts w:hint="default" w:ascii="Times New Roman" w:hAnsi="Times New Roman"/>
          <w:i w:val="0"/>
          <w:iCs w:val="0"/>
          <w:color w:val="auto"/>
          <w:sz w:val="24"/>
        </w:rPr>
        <w:t>、HCO</w:t>
      </w:r>
      <w:r>
        <w:rPr>
          <w:rFonts w:hint="default" w:ascii="Times New Roman" w:hAnsi="Times New Roman"/>
          <w:i w:val="0"/>
          <w:iCs w:val="0"/>
          <w:color w:val="auto"/>
          <w:sz w:val="24"/>
          <w:vertAlign w:val="subscript"/>
        </w:rPr>
        <w:t>3</w:t>
      </w:r>
      <w:r>
        <w:rPr>
          <w:rFonts w:hint="default" w:ascii="Times New Roman" w:hAnsi="Times New Roman"/>
          <w:i w:val="0"/>
          <w:iCs w:val="0"/>
          <w:color w:val="auto"/>
          <w:sz w:val="24"/>
          <w:vertAlign w:val="superscript"/>
        </w:rPr>
        <w:t>-</w:t>
      </w:r>
      <w:r>
        <w:rPr>
          <w:rFonts w:hint="default" w:ascii="Times New Roman" w:hAnsi="Times New Roman"/>
          <w:i w:val="0"/>
          <w:iCs w:val="0"/>
          <w:color w:val="auto"/>
          <w:sz w:val="24"/>
        </w:rPr>
        <w:t>、SO</w:t>
      </w:r>
      <w:r>
        <w:rPr>
          <w:rFonts w:hint="default" w:ascii="Times New Roman" w:hAnsi="Times New Roman"/>
          <w:i w:val="0"/>
          <w:iCs w:val="0"/>
          <w:color w:val="auto"/>
          <w:sz w:val="24"/>
          <w:vertAlign w:val="subscript"/>
        </w:rPr>
        <w:t>4</w:t>
      </w:r>
      <w:r>
        <w:rPr>
          <w:rFonts w:hint="default" w:ascii="Times New Roman" w:hAnsi="Times New Roman"/>
          <w:i w:val="0"/>
          <w:iCs w:val="0"/>
          <w:color w:val="auto"/>
          <w:sz w:val="24"/>
          <w:vertAlign w:val="superscript"/>
        </w:rPr>
        <w:t>2-</w:t>
      </w:r>
      <w:r>
        <w:rPr>
          <w:rFonts w:hint="default" w:ascii="Times New Roman" w:hAnsi="Times New Roman"/>
          <w:i w:val="0"/>
          <w:iCs w:val="0"/>
          <w:color w:val="auto"/>
          <w:sz w:val="24"/>
        </w:rPr>
        <w:t>以及Cl</w:t>
      </w:r>
      <w:r>
        <w:rPr>
          <w:rFonts w:hint="default" w:ascii="Times New Roman" w:hAnsi="Times New Roman"/>
          <w:i w:val="0"/>
          <w:iCs w:val="0"/>
          <w:color w:val="auto"/>
          <w:sz w:val="24"/>
          <w:vertAlign w:val="superscript"/>
        </w:rPr>
        <w:t>-</w:t>
      </w:r>
      <w:r>
        <w:rPr>
          <w:rFonts w:hint="default" w:ascii="Times New Roman" w:hAnsi="Times New Roman"/>
          <w:i w:val="0"/>
          <w:iCs w:val="0"/>
          <w:color w:val="auto"/>
          <w:sz w:val="24"/>
        </w:rPr>
        <w:t>浓度的监测，以确定出地下水化学类型。</w:t>
      </w:r>
    </w:p>
    <w:p>
      <w:pPr>
        <w:pStyle w:val="24"/>
        <w:spacing w:line="240" w:lineRule="auto"/>
        <w:rPr>
          <w:rFonts w:hint="eastAsia"/>
          <w:b/>
          <w:i w:val="0"/>
          <w:iCs w:val="0"/>
        </w:rPr>
      </w:pPr>
      <w:r>
        <w:rPr>
          <w:rFonts w:hint="eastAsia"/>
          <w:b/>
          <w:i w:val="0"/>
          <w:iCs w:val="0"/>
        </w:rPr>
        <w:t>表4-10本项目地下水水化学性质一览表</w:t>
      </w:r>
    </w:p>
    <w:tbl>
      <w:tblPr>
        <w:tblStyle w:val="58"/>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52"/>
        <w:gridCol w:w="2012"/>
        <w:gridCol w:w="1515"/>
        <w:gridCol w:w="1196"/>
        <w:gridCol w:w="1196"/>
        <w:gridCol w:w="12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160" w:type="pct"/>
            <w:vMerge w:val="restart"/>
            <w:noWrap w:val="0"/>
            <w:vAlign w:val="center"/>
          </w:tcPr>
          <w:p>
            <w:pPr>
              <w:pStyle w:val="271"/>
              <w:jc w:val="center"/>
              <w:rPr>
                <w:rFonts w:ascii="Times New Roman" w:hAnsi="Times New Roman" w:cs="Times New Roman"/>
                <w:i w:val="0"/>
                <w:iCs w:val="0"/>
                <w:szCs w:val="21"/>
              </w:rPr>
            </w:pPr>
            <w:r>
              <w:rPr>
                <w:rFonts w:ascii="Times New Roman" w:hAnsi="Times New Roman" w:cs="Times New Roman"/>
                <w:i w:val="0"/>
                <w:iCs w:val="0"/>
                <w:szCs w:val="21"/>
              </w:rPr>
              <w:t>监测项目</w:t>
            </w:r>
          </w:p>
        </w:tc>
        <w:tc>
          <w:tcPr>
            <w:tcW w:w="3839" w:type="pct"/>
            <w:gridSpan w:val="5"/>
            <w:noWrap w:val="0"/>
            <w:vAlign w:val="center"/>
          </w:tcPr>
          <w:p>
            <w:pPr>
              <w:pStyle w:val="271"/>
              <w:jc w:val="center"/>
              <w:rPr>
                <w:rFonts w:ascii="Times New Roman" w:hAnsi="Times New Roman" w:cs="Times New Roman"/>
                <w:i w:val="0"/>
                <w:iCs w:val="0"/>
                <w:szCs w:val="21"/>
              </w:rPr>
            </w:pPr>
            <w:r>
              <w:rPr>
                <w:rFonts w:ascii="Times New Roman" w:hAnsi="Times New Roman" w:cs="Times New Roman"/>
                <w:i w:val="0"/>
                <w:iCs w:val="0"/>
                <w:szCs w:val="21"/>
              </w:rPr>
              <w:t>监测结果</w:t>
            </w:r>
            <w:r>
              <w:rPr>
                <w:rFonts w:hint="eastAsia" w:ascii="Times New Roman" w:hAnsi="Times New Roman" w:cs="Times New Roman"/>
                <w:i w:val="0"/>
                <w:iCs w:val="0"/>
                <w:szCs w:val="21"/>
              </w:rPr>
              <w:t>（meq/L）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160" w:type="pct"/>
            <w:vMerge w:val="continue"/>
            <w:noWrap w:val="0"/>
            <w:vAlign w:val="center"/>
          </w:tcPr>
          <w:p>
            <w:pPr>
              <w:pStyle w:val="271"/>
              <w:ind w:firstLine="360"/>
              <w:jc w:val="center"/>
              <w:rPr>
                <w:rFonts w:ascii="Times New Roman" w:hAnsi="Times New Roman" w:cs="Times New Roman"/>
                <w:i w:val="0"/>
                <w:iCs w:val="0"/>
                <w:szCs w:val="21"/>
              </w:rPr>
            </w:pPr>
          </w:p>
        </w:tc>
        <w:tc>
          <w:tcPr>
            <w:tcW w:w="1084" w:type="pct"/>
            <w:noWrap w:val="0"/>
            <w:vAlign w:val="center"/>
          </w:tcPr>
          <w:p>
            <w:pPr>
              <w:pStyle w:val="271"/>
              <w:jc w:val="center"/>
              <w:rPr>
                <w:rFonts w:hint="eastAsia" w:ascii="Times New Roman" w:hAnsi="Times New Roman" w:cs="Times New Roman"/>
                <w:i w:val="0"/>
                <w:iCs w:val="0"/>
                <w:szCs w:val="21"/>
              </w:rPr>
            </w:pPr>
            <w:r>
              <w:rPr>
                <w:rFonts w:ascii="Times New Roman" w:hAnsi="Times New Roman" w:cs="Times New Roman"/>
                <w:i w:val="0"/>
                <w:iCs w:val="0"/>
                <w:szCs w:val="21"/>
              </w:rPr>
              <w:t>1#</w:t>
            </w:r>
          </w:p>
        </w:tc>
        <w:tc>
          <w:tcPr>
            <w:tcW w:w="816" w:type="pct"/>
            <w:noWrap w:val="0"/>
            <w:vAlign w:val="center"/>
          </w:tcPr>
          <w:p>
            <w:pPr>
              <w:pStyle w:val="271"/>
              <w:jc w:val="center"/>
              <w:rPr>
                <w:rFonts w:hint="eastAsia" w:ascii="Times New Roman" w:hAnsi="Times New Roman" w:cs="Times New Roman"/>
                <w:i w:val="0"/>
                <w:iCs w:val="0"/>
                <w:szCs w:val="21"/>
              </w:rPr>
            </w:pPr>
            <w:r>
              <w:rPr>
                <w:rFonts w:ascii="Times New Roman" w:hAnsi="Times New Roman" w:cs="Times New Roman"/>
                <w:i w:val="0"/>
                <w:iCs w:val="0"/>
                <w:szCs w:val="21"/>
              </w:rPr>
              <w:t>2#</w:t>
            </w:r>
          </w:p>
        </w:tc>
        <w:tc>
          <w:tcPr>
            <w:tcW w:w="644" w:type="pct"/>
            <w:noWrap w:val="0"/>
            <w:vAlign w:val="center"/>
          </w:tcPr>
          <w:p>
            <w:pPr>
              <w:pStyle w:val="271"/>
              <w:jc w:val="center"/>
              <w:rPr>
                <w:rFonts w:hint="eastAsia" w:ascii="Times New Roman" w:hAnsi="Times New Roman" w:cs="Times New Roman"/>
                <w:i w:val="0"/>
                <w:iCs w:val="0"/>
                <w:szCs w:val="21"/>
              </w:rPr>
            </w:pPr>
            <w:r>
              <w:rPr>
                <w:rFonts w:ascii="Times New Roman" w:hAnsi="Times New Roman" w:cs="Times New Roman"/>
                <w:i w:val="0"/>
                <w:iCs w:val="0"/>
                <w:szCs w:val="21"/>
              </w:rPr>
              <w:t>3#</w:t>
            </w:r>
          </w:p>
        </w:tc>
        <w:tc>
          <w:tcPr>
            <w:tcW w:w="644" w:type="pct"/>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4#</w:t>
            </w:r>
          </w:p>
        </w:tc>
        <w:tc>
          <w:tcPr>
            <w:tcW w:w="649" w:type="pct"/>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160" w:type="pct"/>
            <w:noWrap w:val="0"/>
            <w:vAlign w:val="center"/>
          </w:tcPr>
          <w:p>
            <w:pPr>
              <w:jc w:val="center"/>
              <w:rPr>
                <w:rFonts w:eastAsia="Times New Roman"/>
                <w:i w:val="0"/>
                <w:iCs w:val="0"/>
                <w:sz w:val="21"/>
                <w:szCs w:val="21"/>
              </w:rPr>
            </w:pPr>
            <w:r>
              <w:rPr>
                <w:rFonts w:hint="eastAsia"/>
                <w:i w:val="0"/>
                <w:iCs w:val="0"/>
                <w:sz w:val="21"/>
                <w:szCs w:val="21"/>
              </w:rPr>
              <w:t>K</w:t>
            </w:r>
            <w:r>
              <w:rPr>
                <w:rFonts w:hint="eastAsia"/>
                <w:i w:val="0"/>
                <w:iCs w:val="0"/>
                <w:sz w:val="21"/>
                <w:szCs w:val="21"/>
                <w:vertAlign w:val="superscript"/>
              </w:rPr>
              <w:t>+</w:t>
            </w:r>
          </w:p>
        </w:tc>
        <w:tc>
          <w:tcPr>
            <w:tcW w:w="2012" w:type="dxa"/>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 xml:space="preserve">0.016 </w:t>
            </w:r>
          </w:p>
        </w:tc>
        <w:tc>
          <w:tcPr>
            <w:tcW w:w="1515" w:type="dxa"/>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 xml:space="preserve">0.014 </w:t>
            </w:r>
          </w:p>
        </w:tc>
        <w:tc>
          <w:tcPr>
            <w:tcW w:w="1196" w:type="dxa"/>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 xml:space="preserve">0.015 </w:t>
            </w:r>
          </w:p>
        </w:tc>
        <w:tc>
          <w:tcPr>
            <w:tcW w:w="1196" w:type="dxa"/>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 xml:space="preserve">0.016 </w:t>
            </w:r>
          </w:p>
        </w:tc>
        <w:tc>
          <w:tcPr>
            <w:tcW w:w="1209" w:type="dxa"/>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 xml:space="preserve">0.013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160" w:type="pct"/>
            <w:noWrap w:val="0"/>
            <w:vAlign w:val="center"/>
          </w:tcPr>
          <w:p>
            <w:pPr>
              <w:jc w:val="center"/>
              <w:rPr>
                <w:rFonts w:eastAsia="Times New Roman"/>
                <w:i w:val="0"/>
                <w:iCs w:val="0"/>
                <w:sz w:val="21"/>
                <w:szCs w:val="21"/>
              </w:rPr>
            </w:pPr>
            <w:r>
              <w:rPr>
                <w:rFonts w:hint="eastAsia"/>
                <w:i w:val="0"/>
                <w:iCs w:val="0"/>
                <w:sz w:val="21"/>
                <w:szCs w:val="21"/>
              </w:rPr>
              <w:t>Na</w:t>
            </w:r>
            <w:r>
              <w:rPr>
                <w:rFonts w:hint="eastAsia"/>
                <w:i w:val="0"/>
                <w:iCs w:val="0"/>
                <w:sz w:val="21"/>
                <w:szCs w:val="21"/>
                <w:vertAlign w:val="superscript"/>
              </w:rPr>
              <w:t>+</w:t>
            </w:r>
          </w:p>
        </w:tc>
        <w:tc>
          <w:tcPr>
            <w:tcW w:w="2012" w:type="dxa"/>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 xml:space="preserve">0.21 </w:t>
            </w:r>
          </w:p>
        </w:tc>
        <w:tc>
          <w:tcPr>
            <w:tcW w:w="1515" w:type="dxa"/>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 xml:space="preserve">0.20 </w:t>
            </w:r>
          </w:p>
        </w:tc>
        <w:tc>
          <w:tcPr>
            <w:tcW w:w="1196" w:type="dxa"/>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 xml:space="preserve">0.17 </w:t>
            </w:r>
          </w:p>
        </w:tc>
        <w:tc>
          <w:tcPr>
            <w:tcW w:w="1196" w:type="dxa"/>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 xml:space="preserve">0.13 </w:t>
            </w:r>
          </w:p>
        </w:tc>
        <w:tc>
          <w:tcPr>
            <w:tcW w:w="1209" w:type="dxa"/>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 xml:space="preserve">0.16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160" w:type="pct"/>
            <w:noWrap w:val="0"/>
            <w:vAlign w:val="center"/>
          </w:tcPr>
          <w:p>
            <w:pPr>
              <w:jc w:val="center"/>
              <w:rPr>
                <w:rFonts w:eastAsia="Times New Roman"/>
                <w:i w:val="0"/>
                <w:iCs w:val="0"/>
                <w:sz w:val="21"/>
                <w:szCs w:val="21"/>
              </w:rPr>
            </w:pPr>
            <w:r>
              <w:rPr>
                <w:rFonts w:hint="eastAsia"/>
                <w:i w:val="0"/>
                <w:iCs w:val="0"/>
                <w:sz w:val="21"/>
                <w:szCs w:val="21"/>
              </w:rPr>
              <w:t>Ca</w:t>
            </w:r>
            <w:r>
              <w:rPr>
                <w:rFonts w:hint="eastAsia"/>
                <w:i w:val="0"/>
                <w:iCs w:val="0"/>
                <w:sz w:val="21"/>
                <w:szCs w:val="21"/>
                <w:vertAlign w:val="superscript"/>
              </w:rPr>
              <w:t>2+</w:t>
            </w:r>
          </w:p>
        </w:tc>
        <w:tc>
          <w:tcPr>
            <w:tcW w:w="2012" w:type="dxa"/>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 xml:space="preserve">0.244 </w:t>
            </w:r>
          </w:p>
        </w:tc>
        <w:tc>
          <w:tcPr>
            <w:tcW w:w="1515" w:type="dxa"/>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 xml:space="preserve">0.227 </w:t>
            </w:r>
          </w:p>
        </w:tc>
        <w:tc>
          <w:tcPr>
            <w:tcW w:w="1196" w:type="dxa"/>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 xml:space="preserve">0.201 </w:t>
            </w:r>
          </w:p>
        </w:tc>
        <w:tc>
          <w:tcPr>
            <w:tcW w:w="1196" w:type="dxa"/>
            <w:noWrap w:val="0"/>
            <w:vAlign w:val="center"/>
          </w:tcPr>
          <w:p>
            <w:pPr>
              <w:pStyle w:val="271"/>
              <w:jc w:val="center"/>
              <w:rPr>
                <w:rFonts w:hint="eastAsia" w:ascii="Times New Roman" w:hAnsi="Times New Roman" w:cs="Times New Roman"/>
                <w:i w:val="0"/>
                <w:iCs w:val="0"/>
                <w:szCs w:val="21"/>
              </w:rPr>
            </w:pPr>
            <w:r>
              <w:rPr>
                <w:rFonts w:hint="eastAsia" w:ascii="Times New Roman" w:hAnsi="Times New Roman" w:cs="Times New Roman"/>
                <w:i w:val="0"/>
                <w:iCs w:val="0"/>
                <w:szCs w:val="21"/>
              </w:rPr>
              <w:t xml:space="preserve">0.156 </w:t>
            </w:r>
          </w:p>
        </w:tc>
        <w:tc>
          <w:tcPr>
            <w:tcW w:w="1209" w:type="dxa"/>
            <w:noWrap w:val="0"/>
            <w:vAlign w:val="center"/>
          </w:tcPr>
          <w:p>
            <w:pPr>
              <w:pStyle w:val="271"/>
              <w:jc w:val="center"/>
              <w:rPr>
                <w:rFonts w:hint="eastAsia" w:ascii="Times New Roman" w:hAnsi="Times New Roman" w:cs="Times New Roman"/>
                <w:i w:val="0"/>
                <w:iCs w:val="0"/>
                <w:szCs w:val="21"/>
              </w:rPr>
            </w:pPr>
            <w:r>
              <w:rPr>
                <w:rFonts w:hint="eastAsia" w:ascii="Times New Roman" w:hAnsi="Times New Roman" w:cs="Times New Roman"/>
                <w:i w:val="0"/>
                <w:iCs w:val="0"/>
                <w:szCs w:val="21"/>
              </w:rPr>
              <w:t xml:space="preserve">0.180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160" w:type="pct"/>
            <w:noWrap w:val="0"/>
            <w:vAlign w:val="center"/>
          </w:tcPr>
          <w:p>
            <w:pPr>
              <w:jc w:val="center"/>
              <w:rPr>
                <w:rFonts w:eastAsia="Times New Roman"/>
                <w:i w:val="0"/>
                <w:iCs w:val="0"/>
                <w:sz w:val="21"/>
                <w:szCs w:val="21"/>
              </w:rPr>
            </w:pPr>
            <w:r>
              <w:rPr>
                <w:rFonts w:hint="eastAsia"/>
                <w:i w:val="0"/>
                <w:iCs w:val="0"/>
                <w:sz w:val="21"/>
                <w:szCs w:val="21"/>
              </w:rPr>
              <w:t>Mg</w:t>
            </w:r>
            <w:r>
              <w:rPr>
                <w:rFonts w:hint="eastAsia"/>
                <w:i w:val="0"/>
                <w:iCs w:val="0"/>
                <w:sz w:val="21"/>
                <w:szCs w:val="21"/>
                <w:vertAlign w:val="superscript"/>
              </w:rPr>
              <w:t>2+</w:t>
            </w:r>
          </w:p>
        </w:tc>
        <w:tc>
          <w:tcPr>
            <w:tcW w:w="2012" w:type="dxa"/>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 xml:space="preserve">0.178 </w:t>
            </w:r>
          </w:p>
        </w:tc>
        <w:tc>
          <w:tcPr>
            <w:tcW w:w="1515" w:type="dxa"/>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 xml:space="preserve">0.238 </w:t>
            </w:r>
          </w:p>
        </w:tc>
        <w:tc>
          <w:tcPr>
            <w:tcW w:w="1196" w:type="dxa"/>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 xml:space="preserve">0.158 </w:t>
            </w:r>
          </w:p>
        </w:tc>
        <w:tc>
          <w:tcPr>
            <w:tcW w:w="1196" w:type="dxa"/>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 xml:space="preserve">0.211 </w:t>
            </w:r>
          </w:p>
        </w:tc>
        <w:tc>
          <w:tcPr>
            <w:tcW w:w="1209" w:type="dxa"/>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 xml:space="preserve">0.122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160" w:type="pct"/>
            <w:noWrap w:val="0"/>
            <w:vAlign w:val="center"/>
          </w:tcPr>
          <w:p>
            <w:pPr>
              <w:jc w:val="center"/>
              <w:rPr>
                <w:rFonts w:eastAsia="Times New Roman"/>
                <w:i w:val="0"/>
                <w:iCs w:val="0"/>
                <w:sz w:val="21"/>
                <w:szCs w:val="21"/>
              </w:rPr>
            </w:pPr>
            <w:r>
              <w:rPr>
                <w:rFonts w:hint="eastAsia"/>
                <w:i w:val="0"/>
                <w:iCs w:val="0"/>
                <w:sz w:val="21"/>
                <w:szCs w:val="21"/>
              </w:rPr>
              <w:t>CO</w:t>
            </w:r>
            <w:r>
              <w:rPr>
                <w:rFonts w:hint="eastAsia"/>
                <w:i w:val="0"/>
                <w:iCs w:val="0"/>
                <w:sz w:val="21"/>
                <w:szCs w:val="21"/>
                <w:vertAlign w:val="subscript"/>
              </w:rPr>
              <w:t>3</w:t>
            </w:r>
            <w:r>
              <w:rPr>
                <w:rFonts w:hint="eastAsia"/>
                <w:i w:val="0"/>
                <w:iCs w:val="0"/>
                <w:sz w:val="21"/>
                <w:szCs w:val="21"/>
                <w:vertAlign w:val="superscript"/>
              </w:rPr>
              <w:t>2-</w:t>
            </w:r>
          </w:p>
        </w:tc>
        <w:tc>
          <w:tcPr>
            <w:tcW w:w="1084" w:type="pct"/>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w:t>
            </w:r>
          </w:p>
        </w:tc>
        <w:tc>
          <w:tcPr>
            <w:tcW w:w="816" w:type="pct"/>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w:t>
            </w:r>
          </w:p>
        </w:tc>
        <w:tc>
          <w:tcPr>
            <w:tcW w:w="644" w:type="pct"/>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w:t>
            </w:r>
          </w:p>
        </w:tc>
        <w:tc>
          <w:tcPr>
            <w:tcW w:w="644" w:type="pct"/>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w:t>
            </w:r>
          </w:p>
        </w:tc>
        <w:tc>
          <w:tcPr>
            <w:tcW w:w="649" w:type="pct"/>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160" w:type="pct"/>
            <w:noWrap w:val="0"/>
            <w:vAlign w:val="center"/>
          </w:tcPr>
          <w:p>
            <w:pPr>
              <w:jc w:val="center"/>
              <w:rPr>
                <w:rFonts w:eastAsia="Times New Roman"/>
                <w:i w:val="0"/>
                <w:iCs w:val="0"/>
                <w:sz w:val="21"/>
                <w:szCs w:val="21"/>
              </w:rPr>
            </w:pPr>
            <w:r>
              <w:rPr>
                <w:rFonts w:hint="eastAsia"/>
                <w:i w:val="0"/>
                <w:iCs w:val="0"/>
                <w:sz w:val="21"/>
                <w:szCs w:val="21"/>
              </w:rPr>
              <w:t>HCO</w:t>
            </w:r>
            <w:r>
              <w:rPr>
                <w:rFonts w:hint="eastAsia"/>
                <w:i w:val="0"/>
                <w:iCs w:val="0"/>
                <w:sz w:val="21"/>
                <w:szCs w:val="21"/>
                <w:vertAlign w:val="subscript"/>
              </w:rPr>
              <w:t>3</w:t>
            </w:r>
            <w:r>
              <w:rPr>
                <w:rFonts w:hint="eastAsia"/>
                <w:i w:val="0"/>
                <w:iCs w:val="0"/>
                <w:sz w:val="21"/>
                <w:szCs w:val="21"/>
                <w:vertAlign w:val="superscript"/>
              </w:rPr>
              <w:t>-</w:t>
            </w:r>
          </w:p>
        </w:tc>
        <w:tc>
          <w:tcPr>
            <w:tcW w:w="2012" w:type="dxa"/>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 xml:space="preserve">1.377 </w:t>
            </w:r>
          </w:p>
        </w:tc>
        <w:tc>
          <w:tcPr>
            <w:tcW w:w="1515" w:type="dxa"/>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 xml:space="preserve">1.607 </w:t>
            </w:r>
          </w:p>
        </w:tc>
        <w:tc>
          <w:tcPr>
            <w:tcW w:w="1196" w:type="dxa"/>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 xml:space="preserve">1.197 </w:t>
            </w:r>
          </w:p>
        </w:tc>
        <w:tc>
          <w:tcPr>
            <w:tcW w:w="1196" w:type="dxa"/>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 xml:space="preserve">1.246 </w:t>
            </w:r>
          </w:p>
        </w:tc>
        <w:tc>
          <w:tcPr>
            <w:tcW w:w="1209" w:type="dxa"/>
            <w:noWrap w:val="0"/>
            <w:vAlign w:val="center"/>
          </w:tcPr>
          <w:p>
            <w:pPr>
              <w:pStyle w:val="271"/>
              <w:jc w:val="center"/>
              <w:rPr>
                <w:rFonts w:hint="eastAsia" w:ascii="Times New Roman" w:hAnsi="Times New Roman" w:cs="Times New Roman"/>
                <w:i w:val="0"/>
                <w:iCs w:val="0"/>
                <w:szCs w:val="21"/>
              </w:rPr>
            </w:pPr>
            <w:r>
              <w:rPr>
                <w:rFonts w:hint="eastAsia" w:ascii="Times New Roman" w:hAnsi="Times New Roman" w:cs="Times New Roman"/>
                <w:i w:val="0"/>
                <w:iCs w:val="0"/>
                <w:szCs w:val="21"/>
              </w:rPr>
              <w:t xml:space="preserve">1.525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160" w:type="pct"/>
            <w:noWrap w:val="0"/>
            <w:vAlign w:val="center"/>
          </w:tcPr>
          <w:p>
            <w:pPr>
              <w:jc w:val="center"/>
              <w:rPr>
                <w:rFonts w:eastAsia="Times New Roman"/>
                <w:i w:val="0"/>
                <w:iCs w:val="0"/>
                <w:sz w:val="21"/>
                <w:szCs w:val="21"/>
              </w:rPr>
            </w:pPr>
            <w:r>
              <w:rPr>
                <w:i w:val="0"/>
                <w:iCs w:val="0"/>
                <w:sz w:val="21"/>
                <w:szCs w:val="21"/>
              </w:rPr>
              <w:t>Cl</w:t>
            </w:r>
            <w:r>
              <w:rPr>
                <w:i w:val="0"/>
                <w:iCs w:val="0"/>
                <w:sz w:val="21"/>
                <w:szCs w:val="21"/>
                <w:vertAlign w:val="superscript"/>
              </w:rPr>
              <w:t>-</w:t>
            </w:r>
          </w:p>
        </w:tc>
        <w:tc>
          <w:tcPr>
            <w:tcW w:w="2012" w:type="dxa"/>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 xml:space="preserve">0.396 </w:t>
            </w:r>
          </w:p>
        </w:tc>
        <w:tc>
          <w:tcPr>
            <w:tcW w:w="1515" w:type="dxa"/>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 xml:space="preserve">0.122 </w:t>
            </w:r>
          </w:p>
        </w:tc>
        <w:tc>
          <w:tcPr>
            <w:tcW w:w="1196" w:type="dxa"/>
            <w:noWrap w:val="0"/>
            <w:vAlign w:val="center"/>
          </w:tcPr>
          <w:p>
            <w:pPr>
              <w:pStyle w:val="271"/>
              <w:jc w:val="center"/>
              <w:rPr>
                <w:rFonts w:hint="eastAsia" w:ascii="Times New Roman" w:hAnsi="Times New Roman" w:cs="Times New Roman"/>
                <w:i w:val="0"/>
                <w:iCs w:val="0"/>
                <w:szCs w:val="21"/>
              </w:rPr>
            </w:pPr>
            <w:r>
              <w:rPr>
                <w:rFonts w:hint="eastAsia" w:ascii="Times New Roman" w:hAnsi="Times New Roman" w:cs="Times New Roman"/>
                <w:i w:val="0"/>
                <w:iCs w:val="0"/>
                <w:szCs w:val="21"/>
              </w:rPr>
              <w:t xml:space="preserve">0.221 </w:t>
            </w:r>
          </w:p>
        </w:tc>
        <w:tc>
          <w:tcPr>
            <w:tcW w:w="1196" w:type="dxa"/>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 xml:space="preserve">0.241 </w:t>
            </w:r>
          </w:p>
        </w:tc>
        <w:tc>
          <w:tcPr>
            <w:tcW w:w="1209" w:type="dxa"/>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 xml:space="preserve">0.378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160" w:type="pct"/>
            <w:noWrap w:val="0"/>
            <w:vAlign w:val="center"/>
          </w:tcPr>
          <w:p>
            <w:pPr>
              <w:jc w:val="center"/>
              <w:rPr>
                <w:rFonts w:eastAsia="Times New Roman"/>
                <w:i w:val="0"/>
                <w:iCs w:val="0"/>
                <w:sz w:val="21"/>
                <w:szCs w:val="21"/>
              </w:rPr>
            </w:pPr>
            <w:r>
              <w:rPr>
                <w:i w:val="0"/>
                <w:iCs w:val="0"/>
                <w:sz w:val="21"/>
                <w:szCs w:val="21"/>
              </w:rPr>
              <w:t>SO</w:t>
            </w:r>
            <w:r>
              <w:rPr>
                <w:i w:val="0"/>
                <w:iCs w:val="0"/>
                <w:sz w:val="21"/>
                <w:szCs w:val="21"/>
                <w:vertAlign w:val="subscript"/>
              </w:rPr>
              <w:t>4</w:t>
            </w:r>
            <w:r>
              <w:rPr>
                <w:i w:val="0"/>
                <w:iCs w:val="0"/>
                <w:sz w:val="21"/>
                <w:szCs w:val="21"/>
                <w:vertAlign w:val="superscript"/>
              </w:rPr>
              <w:t>2-</w:t>
            </w:r>
          </w:p>
        </w:tc>
        <w:tc>
          <w:tcPr>
            <w:tcW w:w="2012" w:type="dxa"/>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 xml:space="preserve">0.380 </w:t>
            </w:r>
          </w:p>
        </w:tc>
        <w:tc>
          <w:tcPr>
            <w:tcW w:w="1515" w:type="dxa"/>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 xml:space="preserve">0.222 </w:t>
            </w:r>
          </w:p>
        </w:tc>
        <w:tc>
          <w:tcPr>
            <w:tcW w:w="1196" w:type="dxa"/>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 xml:space="preserve">0.073 </w:t>
            </w:r>
          </w:p>
        </w:tc>
        <w:tc>
          <w:tcPr>
            <w:tcW w:w="1196" w:type="dxa"/>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 xml:space="preserve">0.441 </w:t>
            </w:r>
          </w:p>
        </w:tc>
        <w:tc>
          <w:tcPr>
            <w:tcW w:w="1209" w:type="dxa"/>
            <w:noWrap w:val="0"/>
            <w:vAlign w:val="center"/>
          </w:tcPr>
          <w:p>
            <w:pPr>
              <w:pStyle w:val="271"/>
              <w:jc w:val="center"/>
              <w:rPr>
                <w:rFonts w:ascii="Times New Roman" w:hAnsi="Times New Roman" w:cs="Times New Roman"/>
                <w:i w:val="0"/>
                <w:iCs w:val="0"/>
                <w:szCs w:val="21"/>
              </w:rPr>
            </w:pPr>
            <w:r>
              <w:rPr>
                <w:rFonts w:hint="eastAsia" w:ascii="Times New Roman" w:hAnsi="Times New Roman" w:cs="Times New Roman"/>
                <w:i w:val="0"/>
                <w:iCs w:val="0"/>
                <w:szCs w:val="21"/>
              </w:rPr>
              <w:t xml:space="preserve">0.486 </w:t>
            </w:r>
          </w:p>
        </w:tc>
      </w:tr>
    </w:tbl>
    <w:p>
      <w:pPr>
        <w:spacing w:line="360" w:lineRule="auto"/>
        <w:ind w:firstLine="480" w:firstLineChars="200"/>
        <w:rPr>
          <w:i w:val="0"/>
          <w:iCs w:val="0"/>
        </w:rPr>
      </w:pPr>
      <w:r>
        <w:rPr>
          <w:i w:val="0"/>
          <w:iCs w:val="0"/>
        </w:rPr>
        <w:t>通过对上述数据进行统计分析，确定水化学类型为</w:t>
      </w:r>
      <w:r>
        <w:rPr>
          <w:i w:val="0"/>
          <w:iCs w:val="0"/>
          <w:color w:val="000000"/>
        </w:rPr>
        <w:t>SO</w:t>
      </w:r>
      <w:r>
        <w:rPr>
          <w:i w:val="0"/>
          <w:iCs w:val="0"/>
          <w:color w:val="000000"/>
          <w:vertAlign w:val="subscript"/>
        </w:rPr>
        <w:t>4</w:t>
      </w:r>
      <w:r>
        <w:rPr>
          <w:i w:val="0"/>
          <w:iCs w:val="0"/>
          <w:color w:val="000000"/>
        </w:rPr>
        <w:t>+Cl-</w:t>
      </w:r>
      <w:r>
        <w:rPr>
          <w:rFonts w:hint="eastAsia"/>
          <w:i w:val="0"/>
          <w:iCs w:val="0"/>
          <w:color w:val="000000"/>
        </w:rPr>
        <w:t>Ca</w:t>
      </w:r>
      <w:r>
        <w:rPr>
          <w:i w:val="0"/>
          <w:iCs w:val="0"/>
          <w:color w:val="000000"/>
        </w:rPr>
        <w:t>+M</w:t>
      </w:r>
      <w:r>
        <w:rPr>
          <w:rFonts w:hint="eastAsia"/>
          <w:i w:val="0"/>
          <w:iCs w:val="0"/>
          <w:color w:val="000000"/>
        </w:rPr>
        <w:t>g</w:t>
      </w:r>
      <w:r>
        <w:rPr>
          <w:i w:val="0"/>
          <w:iCs w:val="0"/>
        </w:rPr>
        <w:t>型水</w:t>
      </w:r>
      <w:r>
        <w:rPr>
          <w:rFonts w:hint="eastAsia"/>
          <w:i w:val="0"/>
          <w:iCs w:val="0"/>
        </w:rPr>
        <w:t>为主</w:t>
      </w:r>
      <w:r>
        <w:rPr>
          <w:i w:val="0"/>
          <w:iCs w:val="0"/>
        </w:rPr>
        <w:t>。</w:t>
      </w:r>
    </w:p>
    <w:p>
      <w:pPr>
        <w:pStyle w:val="3"/>
        <w:spacing w:before="120" w:after="360" w:line="360" w:lineRule="auto"/>
        <w:jc w:val="center"/>
        <w:rPr>
          <w:i w:val="0"/>
          <w:iCs w:val="0"/>
          <w:sz w:val="36"/>
        </w:rPr>
        <w:sectPr>
          <w:footerReference r:id="rId13" w:type="default"/>
          <w:pgSz w:w="11907" w:h="16840"/>
          <w:pgMar w:top="1304" w:right="1418" w:bottom="1304" w:left="1418"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
        <w:spacing w:before="120" w:after="360" w:line="360" w:lineRule="auto"/>
        <w:jc w:val="center"/>
        <w:rPr>
          <w:i w:val="0"/>
          <w:iCs w:val="0"/>
          <w:sz w:val="36"/>
        </w:rPr>
      </w:pPr>
      <w:bookmarkStart w:id="120" w:name="_Toc27569"/>
      <w:r>
        <w:rPr>
          <w:i w:val="0"/>
          <w:iCs w:val="0"/>
          <w:sz w:val="36"/>
        </w:rPr>
        <w:t>第</w:t>
      </w:r>
      <w:r>
        <w:rPr>
          <w:rFonts w:hint="eastAsia"/>
          <w:i w:val="0"/>
          <w:iCs w:val="0"/>
          <w:sz w:val="36"/>
        </w:rPr>
        <w:t>五</w:t>
      </w:r>
      <w:r>
        <w:rPr>
          <w:i w:val="0"/>
          <w:iCs w:val="0"/>
          <w:sz w:val="36"/>
        </w:rPr>
        <w:t>章环境影响预测与评价</w:t>
      </w:r>
      <w:bookmarkEnd w:id="120"/>
    </w:p>
    <w:p>
      <w:pPr>
        <w:pStyle w:val="4"/>
        <w:spacing w:before="0" w:after="0"/>
        <w:rPr>
          <w:rFonts w:ascii="Times New Roman" w:hAnsi="Times New Roman" w:eastAsia="宋体"/>
          <w:b/>
          <w:i w:val="0"/>
          <w:iCs w:val="0"/>
          <w:sz w:val="28"/>
          <w:szCs w:val="28"/>
        </w:rPr>
      </w:pPr>
      <w:bookmarkStart w:id="121" w:name="_Toc145470794"/>
      <w:bookmarkStart w:id="122" w:name="_Toc153683613"/>
      <w:bookmarkStart w:id="123" w:name="_Toc151364603"/>
      <w:bookmarkStart w:id="124" w:name="_Toc322528012"/>
      <w:bookmarkStart w:id="125" w:name="_Toc322681991"/>
      <w:bookmarkStart w:id="126" w:name="_Toc145471073"/>
      <w:bookmarkStart w:id="127" w:name="_Toc150766917"/>
      <w:bookmarkStart w:id="128" w:name="_Toc151352896"/>
      <w:bookmarkStart w:id="129" w:name="_Toc7722"/>
      <w:r>
        <w:rPr>
          <w:rFonts w:hint="eastAsia" w:ascii="Times New Roman" w:hAnsi="Times New Roman" w:eastAsia="宋体"/>
          <w:b/>
          <w:i w:val="0"/>
          <w:iCs w:val="0"/>
          <w:sz w:val="28"/>
          <w:szCs w:val="28"/>
        </w:rPr>
        <w:t>5</w:t>
      </w:r>
      <w:r>
        <w:rPr>
          <w:rFonts w:ascii="Times New Roman" w:hAnsi="Times New Roman" w:eastAsia="宋体"/>
          <w:b/>
          <w:i w:val="0"/>
          <w:iCs w:val="0"/>
          <w:sz w:val="28"/>
          <w:szCs w:val="28"/>
        </w:rPr>
        <w:t>.1施工期环境影响</w:t>
      </w:r>
      <w:bookmarkEnd w:id="121"/>
      <w:bookmarkEnd w:id="122"/>
      <w:bookmarkEnd w:id="123"/>
      <w:bookmarkEnd w:id="124"/>
      <w:bookmarkEnd w:id="125"/>
      <w:bookmarkEnd w:id="126"/>
      <w:bookmarkEnd w:id="127"/>
      <w:bookmarkEnd w:id="128"/>
      <w:r>
        <w:rPr>
          <w:rFonts w:hint="eastAsia" w:ascii="Times New Roman" w:hAnsi="Times New Roman" w:eastAsia="宋体"/>
          <w:b/>
          <w:i w:val="0"/>
          <w:iCs w:val="0"/>
          <w:sz w:val="28"/>
          <w:szCs w:val="28"/>
        </w:rPr>
        <w:t>预测与评价</w:t>
      </w:r>
      <w:bookmarkEnd w:id="129"/>
    </w:p>
    <w:p>
      <w:pPr>
        <w:spacing w:line="360" w:lineRule="auto"/>
        <w:ind w:firstLine="480" w:firstLineChars="200"/>
        <w:rPr>
          <w:rFonts w:hint="eastAsia"/>
          <w:i w:val="0"/>
          <w:iCs w:val="0"/>
        </w:rPr>
      </w:pPr>
      <w:bookmarkStart w:id="130" w:name="_Toc322528013"/>
      <w:bookmarkStart w:id="131" w:name="_Toc322681992"/>
      <w:r>
        <w:rPr>
          <w:rFonts w:hint="eastAsia"/>
          <w:i w:val="0"/>
          <w:iCs w:val="0"/>
        </w:rPr>
        <w:t>项目建设施工阶段主要包括中施工准备、土方、地基开挖等主体建筑物施工，以及装修和设备安装调试等，其中施工准备主要为场地平整硬化等；土方施工主要包括测量放线、土方开挖、砼浇筑及养护等；结构施工主要包括构架切割、构架吊装及结构安装等；设备安装主要包括主体设备、辅助设备的安装及调试等。不同的施工阶段，除有一定量的施工机械进驻现场外，还伴有一定量的建筑材料的运输作业，从而产生施工扬尘、施工废水、施工噪声和一定量的固体废物。</w:t>
      </w:r>
    </w:p>
    <w:p>
      <w:pPr>
        <w:adjustRightInd w:val="0"/>
        <w:snapToGrid w:val="0"/>
        <w:spacing w:line="360" w:lineRule="auto"/>
        <w:ind w:firstLine="480" w:firstLineChars="200"/>
        <w:rPr>
          <w:rFonts w:hint="eastAsia"/>
          <w:i w:val="0"/>
          <w:iCs w:val="0"/>
          <w:lang w:val="zh-CN"/>
        </w:rPr>
      </w:pPr>
      <w:bookmarkStart w:id="132" w:name="_Toc9264"/>
      <w:bookmarkStart w:id="133" w:name="_Toc7819"/>
      <w:bookmarkStart w:id="134" w:name="_Toc114236723"/>
      <w:bookmarkStart w:id="135" w:name="_Toc27842"/>
      <w:bookmarkStart w:id="136" w:name="_Toc112603667"/>
      <w:bookmarkStart w:id="137" w:name="_Toc86884801"/>
      <w:bookmarkStart w:id="138" w:name="_Toc114236544"/>
      <w:bookmarkStart w:id="139" w:name="_Toc16807"/>
      <w:bookmarkStart w:id="140" w:name="_Toc27071"/>
      <w:r>
        <w:rPr>
          <w:rFonts w:hint="eastAsia"/>
          <w:i w:val="0"/>
          <w:iCs w:val="0"/>
        </w:rPr>
        <w:t>5.1.1</w:t>
      </w:r>
      <w:r>
        <w:rPr>
          <w:rFonts w:hint="eastAsia"/>
          <w:i w:val="0"/>
          <w:iCs w:val="0"/>
          <w:lang w:val="zh-CN"/>
        </w:rPr>
        <w:t>施工期环境空气影响分析</w:t>
      </w:r>
      <w:bookmarkEnd w:id="132"/>
      <w:bookmarkEnd w:id="133"/>
      <w:bookmarkEnd w:id="134"/>
      <w:bookmarkEnd w:id="135"/>
      <w:bookmarkEnd w:id="136"/>
      <w:bookmarkEnd w:id="137"/>
      <w:bookmarkEnd w:id="138"/>
      <w:bookmarkEnd w:id="139"/>
      <w:bookmarkEnd w:id="140"/>
    </w:p>
    <w:p>
      <w:pPr>
        <w:spacing w:line="360" w:lineRule="auto"/>
        <w:ind w:firstLine="480" w:firstLineChars="200"/>
        <w:rPr>
          <w:rFonts w:hint="eastAsia"/>
          <w:i w:val="0"/>
          <w:iCs w:val="0"/>
        </w:rPr>
      </w:pPr>
      <w:bookmarkStart w:id="141" w:name="_Toc947"/>
      <w:bookmarkStart w:id="142" w:name="_Toc13644"/>
      <w:bookmarkStart w:id="143" w:name="_Toc6966"/>
      <w:bookmarkStart w:id="144" w:name="_Toc7347"/>
      <w:bookmarkStart w:id="145" w:name="_Toc20039"/>
      <w:r>
        <w:rPr>
          <w:rFonts w:hint="eastAsia"/>
          <w:i w:val="0"/>
          <w:iCs w:val="0"/>
        </w:rPr>
        <w:t>项目施工期大气污染物主要来源于建筑材料如水泥、砂子等在装卸、运输、堆放过程中因风力作用而产生的的扬尘，以无组织形式排放。据有关资料，在天气干燥、无风速影响条件下不同粒径的尘粒的沉降速度见下表。</w:t>
      </w:r>
    </w:p>
    <w:p>
      <w:pPr>
        <w:pStyle w:val="24"/>
        <w:spacing w:line="240" w:lineRule="auto"/>
        <w:rPr>
          <w:rFonts w:hint="eastAsia"/>
          <w:b/>
          <w:i w:val="0"/>
          <w:iCs w:val="0"/>
        </w:rPr>
      </w:pPr>
      <w:bookmarkStart w:id="146" w:name="_Ref32680431"/>
      <w:r>
        <w:rPr>
          <w:b/>
          <w:i w:val="0"/>
          <w:iCs w:val="0"/>
        </w:rPr>
        <w:t>表5-1</w:t>
      </w:r>
      <w:r>
        <w:rPr>
          <w:rFonts w:hint="eastAsia"/>
          <w:b/>
          <w:i w:val="0"/>
          <w:iCs w:val="0"/>
        </w:rPr>
        <w:t>不同粒径的沉降速度</w:t>
      </w:r>
      <w:bookmarkEnd w:id="146"/>
    </w:p>
    <w:tbl>
      <w:tblPr>
        <w:tblStyle w:val="58"/>
        <w:tblW w:w="4998"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2026"/>
        <w:gridCol w:w="931"/>
        <w:gridCol w:w="947"/>
        <w:gridCol w:w="1098"/>
        <w:gridCol w:w="1098"/>
        <w:gridCol w:w="1098"/>
        <w:gridCol w:w="1098"/>
        <w:gridCol w:w="988"/>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 w:type="pct"/>
            <w:tcBorders>
              <w:top w:val="single" w:color="auto" w:sz="12" w:space="0"/>
              <w:left w:val="nil"/>
              <w:bottom w:val="single" w:color="auto" w:sz="4" w:space="0"/>
              <w:right w:val="single" w:color="auto" w:sz="4" w:space="0"/>
            </w:tcBorders>
            <w:noWrap w:val="0"/>
            <w:vAlign w:val="center"/>
          </w:tcPr>
          <w:p>
            <w:pPr>
              <w:pStyle w:val="390"/>
              <w:rPr>
                <w:i w:val="0"/>
                <w:iCs w:val="0"/>
                <w:color w:val="000000"/>
              </w:rPr>
            </w:pPr>
            <w:r>
              <w:rPr>
                <w:i w:val="0"/>
                <w:iCs w:val="0"/>
                <w:color w:val="000000"/>
              </w:rPr>
              <w:t>粒径（μm）</w:t>
            </w:r>
          </w:p>
        </w:tc>
        <w:tc>
          <w:tcPr>
            <w:tcW w:w="501" w:type="pct"/>
            <w:tcBorders>
              <w:top w:val="single" w:color="auto" w:sz="12"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10</w:t>
            </w:r>
          </w:p>
        </w:tc>
        <w:tc>
          <w:tcPr>
            <w:tcW w:w="510" w:type="pct"/>
            <w:tcBorders>
              <w:top w:val="single" w:color="auto" w:sz="12"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20</w:t>
            </w:r>
          </w:p>
        </w:tc>
        <w:tc>
          <w:tcPr>
            <w:tcW w:w="591" w:type="pct"/>
            <w:tcBorders>
              <w:top w:val="single" w:color="auto" w:sz="12"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30</w:t>
            </w:r>
          </w:p>
        </w:tc>
        <w:tc>
          <w:tcPr>
            <w:tcW w:w="591" w:type="pct"/>
            <w:tcBorders>
              <w:top w:val="single" w:color="auto" w:sz="12"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40</w:t>
            </w:r>
          </w:p>
        </w:tc>
        <w:tc>
          <w:tcPr>
            <w:tcW w:w="591" w:type="pct"/>
            <w:tcBorders>
              <w:top w:val="single" w:color="auto" w:sz="12"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50</w:t>
            </w:r>
          </w:p>
        </w:tc>
        <w:tc>
          <w:tcPr>
            <w:tcW w:w="591" w:type="pct"/>
            <w:tcBorders>
              <w:top w:val="single" w:color="auto" w:sz="12"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60</w:t>
            </w:r>
          </w:p>
        </w:tc>
        <w:tc>
          <w:tcPr>
            <w:tcW w:w="532" w:type="pct"/>
            <w:tcBorders>
              <w:top w:val="single" w:color="auto" w:sz="12" w:space="0"/>
              <w:left w:val="single" w:color="auto" w:sz="4" w:space="0"/>
              <w:bottom w:val="single" w:color="auto" w:sz="4" w:space="0"/>
              <w:right w:val="nil"/>
            </w:tcBorders>
            <w:noWrap w:val="0"/>
            <w:vAlign w:val="center"/>
          </w:tcPr>
          <w:p>
            <w:pPr>
              <w:pStyle w:val="390"/>
              <w:rPr>
                <w:i w:val="0"/>
                <w:iCs w:val="0"/>
                <w:color w:val="000000"/>
              </w:rPr>
            </w:pPr>
            <w:r>
              <w:rPr>
                <w:i w:val="0"/>
                <w:iCs w:val="0"/>
                <w:color w:val="000000"/>
              </w:rPr>
              <w:t>70</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 w:type="pct"/>
            <w:tcBorders>
              <w:top w:val="single" w:color="auto" w:sz="4" w:space="0"/>
              <w:left w:val="nil"/>
              <w:bottom w:val="single" w:color="auto" w:sz="4" w:space="0"/>
              <w:right w:val="single" w:color="auto" w:sz="4" w:space="0"/>
            </w:tcBorders>
            <w:noWrap w:val="0"/>
            <w:vAlign w:val="center"/>
          </w:tcPr>
          <w:p>
            <w:pPr>
              <w:pStyle w:val="390"/>
              <w:rPr>
                <w:i w:val="0"/>
                <w:iCs w:val="0"/>
                <w:color w:val="000000"/>
              </w:rPr>
            </w:pPr>
            <w:r>
              <w:rPr>
                <w:i w:val="0"/>
                <w:iCs w:val="0"/>
                <w:color w:val="000000"/>
              </w:rPr>
              <w:t>沉降速度（m/s）</w:t>
            </w:r>
          </w:p>
        </w:tc>
        <w:tc>
          <w:tcPr>
            <w:tcW w:w="501" w:type="pct"/>
            <w:tcBorders>
              <w:top w:val="single" w:color="auto" w:sz="4"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0.03</w:t>
            </w:r>
          </w:p>
        </w:tc>
        <w:tc>
          <w:tcPr>
            <w:tcW w:w="510" w:type="pct"/>
            <w:tcBorders>
              <w:top w:val="single" w:color="auto" w:sz="4"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0.012</w:t>
            </w:r>
          </w:p>
        </w:tc>
        <w:tc>
          <w:tcPr>
            <w:tcW w:w="591" w:type="pct"/>
            <w:tcBorders>
              <w:top w:val="single" w:color="auto" w:sz="4"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0.027</w:t>
            </w:r>
          </w:p>
        </w:tc>
        <w:tc>
          <w:tcPr>
            <w:tcW w:w="591" w:type="pct"/>
            <w:tcBorders>
              <w:top w:val="single" w:color="auto" w:sz="4"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0.048</w:t>
            </w:r>
          </w:p>
        </w:tc>
        <w:tc>
          <w:tcPr>
            <w:tcW w:w="591" w:type="pct"/>
            <w:tcBorders>
              <w:top w:val="single" w:color="auto" w:sz="4"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0.075</w:t>
            </w:r>
          </w:p>
        </w:tc>
        <w:tc>
          <w:tcPr>
            <w:tcW w:w="591" w:type="pct"/>
            <w:tcBorders>
              <w:top w:val="single" w:color="auto" w:sz="4"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0.108</w:t>
            </w:r>
          </w:p>
        </w:tc>
        <w:tc>
          <w:tcPr>
            <w:tcW w:w="532" w:type="pct"/>
            <w:tcBorders>
              <w:top w:val="single" w:color="auto" w:sz="4" w:space="0"/>
              <w:left w:val="single" w:color="auto" w:sz="4" w:space="0"/>
              <w:bottom w:val="single" w:color="auto" w:sz="4" w:space="0"/>
              <w:right w:val="nil"/>
            </w:tcBorders>
            <w:noWrap w:val="0"/>
            <w:vAlign w:val="center"/>
          </w:tcPr>
          <w:p>
            <w:pPr>
              <w:pStyle w:val="390"/>
              <w:rPr>
                <w:i w:val="0"/>
                <w:iCs w:val="0"/>
                <w:color w:val="000000"/>
              </w:rPr>
            </w:pPr>
            <w:r>
              <w:rPr>
                <w:i w:val="0"/>
                <w:iCs w:val="0"/>
                <w:color w:val="000000"/>
              </w:rPr>
              <w:t>0.147</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 w:type="pct"/>
            <w:tcBorders>
              <w:top w:val="single" w:color="auto" w:sz="4" w:space="0"/>
              <w:left w:val="nil"/>
              <w:bottom w:val="single" w:color="auto" w:sz="4" w:space="0"/>
              <w:right w:val="single" w:color="auto" w:sz="4" w:space="0"/>
            </w:tcBorders>
            <w:noWrap w:val="0"/>
            <w:vAlign w:val="center"/>
          </w:tcPr>
          <w:p>
            <w:pPr>
              <w:pStyle w:val="390"/>
              <w:rPr>
                <w:i w:val="0"/>
                <w:iCs w:val="0"/>
                <w:color w:val="000000"/>
              </w:rPr>
            </w:pPr>
            <w:r>
              <w:rPr>
                <w:i w:val="0"/>
                <w:iCs w:val="0"/>
                <w:color w:val="000000"/>
              </w:rPr>
              <w:t>粒径（μm）</w:t>
            </w:r>
          </w:p>
        </w:tc>
        <w:tc>
          <w:tcPr>
            <w:tcW w:w="501" w:type="pct"/>
            <w:tcBorders>
              <w:top w:val="single" w:color="auto" w:sz="4"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80</w:t>
            </w:r>
          </w:p>
        </w:tc>
        <w:tc>
          <w:tcPr>
            <w:tcW w:w="510" w:type="pct"/>
            <w:tcBorders>
              <w:top w:val="single" w:color="auto" w:sz="4"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90</w:t>
            </w:r>
          </w:p>
        </w:tc>
        <w:tc>
          <w:tcPr>
            <w:tcW w:w="591" w:type="pct"/>
            <w:tcBorders>
              <w:top w:val="single" w:color="auto" w:sz="4"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100</w:t>
            </w:r>
          </w:p>
        </w:tc>
        <w:tc>
          <w:tcPr>
            <w:tcW w:w="591" w:type="pct"/>
            <w:tcBorders>
              <w:top w:val="single" w:color="auto" w:sz="4"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150</w:t>
            </w:r>
          </w:p>
        </w:tc>
        <w:tc>
          <w:tcPr>
            <w:tcW w:w="591" w:type="pct"/>
            <w:tcBorders>
              <w:top w:val="single" w:color="auto" w:sz="4"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200</w:t>
            </w:r>
          </w:p>
        </w:tc>
        <w:tc>
          <w:tcPr>
            <w:tcW w:w="591" w:type="pct"/>
            <w:tcBorders>
              <w:top w:val="single" w:color="auto" w:sz="4"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250</w:t>
            </w:r>
          </w:p>
        </w:tc>
        <w:tc>
          <w:tcPr>
            <w:tcW w:w="532" w:type="pct"/>
            <w:tcBorders>
              <w:top w:val="single" w:color="auto" w:sz="4" w:space="0"/>
              <w:left w:val="single" w:color="auto" w:sz="4" w:space="0"/>
              <w:bottom w:val="single" w:color="auto" w:sz="4" w:space="0"/>
              <w:right w:val="nil"/>
            </w:tcBorders>
            <w:noWrap w:val="0"/>
            <w:vAlign w:val="center"/>
          </w:tcPr>
          <w:p>
            <w:pPr>
              <w:pStyle w:val="390"/>
              <w:rPr>
                <w:i w:val="0"/>
                <w:iCs w:val="0"/>
                <w:color w:val="000000"/>
              </w:rPr>
            </w:pPr>
            <w:r>
              <w:rPr>
                <w:i w:val="0"/>
                <w:iCs w:val="0"/>
                <w:color w:val="000000"/>
              </w:rPr>
              <w:t>350</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 w:type="pct"/>
            <w:tcBorders>
              <w:top w:val="single" w:color="auto" w:sz="4" w:space="0"/>
              <w:left w:val="nil"/>
              <w:bottom w:val="single" w:color="auto" w:sz="4" w:space="0"/>
              <w:right w:val="single" w:color="auto" w:sz="4" w:space="0"/>
            </w:tcBorders>
            <w:noWrap w:val="0"/>
            <w:vAlign w:val="center"/>
          </w:tcPr>
          <w:p>
            <w:pPr>
              <w:pStyle w:val="390"/>
              <w:rPr>
                <w:i w:val="0"/>
                <w:iCs w:val="0"/>
                <w:color w:val="000000"/>
              </w:rPr>
            </w:pPr>
            <w:r>
              <w:rPr>
                <w:i w:val="0"/>
                <w:iCs w:val="0"/>
                <w:color w:val="000000"/>
              </w:rPr>
              <w:t>沉降速度（m/s）</w:t>
            </w:r>
          </w:p>
        </w:tc>
        <w:tc>
          <w:tcPr>
            <w:tcW w:w="501" w:type="pct"/>
            <w:tcBorders>
              <w:top w:val="single" w:color="auto" w:sz="4"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0.158</w:t>
            </w:r>
          </w:p>
        </w:tc>
        <w:tc>
          <w:tcPr>
            <w:tcW w:w="510" w:type="pct"/>
            <w:tcBorders>
              <w:top w:val="single" w:color="auto" w:sz="4"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0.17</w:t>
            </w:r>
          </w:p>
        </w:tc>
        <w:tc>
          <w:tcPr>
            <w:tcW w:w="591" w:type="pct"/>
            <w:tcBorders>
              <w:top w:val="single" w:color="auto" w:sz="4"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0.12</w:t>
            </w:r>
          </w:p>
        </w:tc>
        <w:tc>
          <w:tcPr>
            <w:tcW w:w="591" w:type="pct"/>
            <w:tcBorders>
              <w:top w:val="single" w:color="auto" w:sz="4"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0.239</w:t>
            </w:r>
          </w:p>
        </w:tc>
        <w:tc>
          <w:tcPr>
            <w:tcW w:w="591" w:type="pct"/>
            <w:tcBorders>
              <w:top w:val="single" w:color="auto" w:sz="4"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0.804</w:t>
            </w:r>
          </w:p>
        </w:tc>
        <w:tc>
          <w:tcPr>
            <w:tcW w:w="591" w:type="pct"/>
            <w:tcBorders>
              <w:top w:val="single" w:color="auto" w:sz="4" w:space="0"/>
              <w:left w:val="single" w:color="auto" w:sz="4" w:space="0"/>
              <w:bottom w:val="single" w:color="auto" w:sz="4" w:space="0"/>
              <w:right w:val="single" w:color="auto" w:sz="4" w:space="0"/>
            </w:tcBorders>
            <w:noWrap w:val="0"/>
            <w:vAlign w:val="center"/>
          </w:tcPr>
          <w:p>
            <w:pPr>
              <w:pStyle w:val="390"/>
              <w:rPr>
                <w:i w:val="0"/>
                <w:iCs w:val="0"/>
                <w:color w:val="000000"/>
              </w:rPr>
            </w:pPr>
            <w:r>
              <w:rPr>
                <w:rFonts w:hint="eastAsia"/>
                <w:i w:val="0"/>
                <w:iCs w:val="0"/>
                <w:color w:val="000000"/>
              </w:rPr>
              <w:t>2.</w:t>
            </w:r>
            <w:r>
              <w:rPr>
                <w:i w:val="0"/>
                <w:iCs w:val="0"/>
                <w:color w:val="000000"/>
              </w:rPr>
              <w:t>005</w:t>
            </w:r>
          </w:p>
        </w:tc>
        <w:tc>
          <w:tcPr>
            <w:tcW w:w="532" w:type="pct"/>
            <w:tcBorders>
              <w:top w:val="single" w:color="auto" w:sz="4" w:space="0"/>
              <w:left w:val="single" w:color="auto" w:sz="4" w:space="0"/>
              <w:bottom w:val="single" w:color="auto" w:sz="4" w:space="0"/>
              <w:right w:val="nil"/>
            </w:tcBorders>
            <w:noWrap w:val="0"/>
            <w:vAlign w:val="center"/>
          </w:tcPr>
          <w:p>
            <w:pPr>
              <w:pStyle w:val="390"/>
              <w:rPr>
                <w:i w:val="0"/>
                <w:iCs w:val="0"/>
                <w:color w:val="000000"/>
              </w:rPr>
            </w:pPr>
            <w:r>
              <w:rPr>
                <w:rFonts w:hint="eastAsia"/>
                <w:i w:val="0"/>
                <w:iCs w:val="0"/>
                <w:color w:val="000000"/>
              </w:rPr>
              <w:t>2.</w:t>
            </w:r>
            <w:r>
              <w:rPr>
                <w:i w:val="0"/>
                <w:iCs w:val="0"/>
                <w:color w:val="000000"/>
              </w:rPr>
              <w:t>829</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 w:type="pct"/>
            <w:tcBorders>
              <w:top w:val="single" w:color="auto" w:sz="4" w:space="0"/>
              <w:left w:val="nil"/>
              <w:bottom w:val="single" w:color="auto" w:sz="4" w:space="0"/>
              <w:right w:val="single" w:color="auto" w:sz="4" w:space="0"/>
            </w:tcBorders>
            <w:noWrap w:val="0"/>
            <w:vAlign w:val="center"/>
          </w:tcPr>
          <w:p>
            <w:pPr>
              <w:pStyle w:val="390"/>
              <w:rPr>
                <w:i w:val="0"/>
                <w:iCs w:val="0"/>
                <w:color w:val="000000"/>
              </w:rPr>
            </w:pPr>
            <w:r>
              <w:rPr>
                <w:i w:val="0"/>
                <w:iCs w:val="0"/>
                <w:color w:val="000000"/>
              </w:rPr>
              <w:t>粒径（μm）</w:t>
            </w:r>
          </w:p>
        </w:tc>
        <w:tc>
          <w:tcPr>
            <w:tcW w:w="501" w:type="pct"/>
            <w:tcBorders>
              <w:top w:val="single" w:color="auto" w:sz="4"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450</w:t>
            </w:r>
          </w:p>
        </w:tc>
        <w:tc>
          <w:tcPr>
            <w:tcW w:w="510" w:type="pct"/>
            <w:tcBorders>
              <w:top w:val="single" w:color="auto" w:sz="4"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550</w:t>
            </w:r>
          </w:p>
        </w:tc>
        <w:tc>
          <w:tcPr>
            <w:tcW w:w="591" w:type="pct"/>
            <w:tcBorders>
              <w:top w:val="single" w:color="auto" w:sz="4"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650</w:t>
            </w:r>
          </w:p>
        </w:tc>
        <w:tc>
          <w:tcPr>
            <w:tcW w:w="591" w:type="pct"/>
            <w:tcBorders>
              <w:top w:val="single" w:color="auto" w:sz="4"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750</w:t>
            </w:r>
          </w:p>
        </w:tc>
        <w:tc>
          <w:tcPr>
            <w:tcW w:w="591" w:type="pct"/>
            <w:tcBorders>
              <w:top w:val="single" w:color="auto" w:sz="4"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850</w:t>
            </w:r>
          </w:p>
        </w:tc>
        <w:tc>
          <w:tcPr>
            <w:tcW w:w="591" w:type="pct"/>
            <w:tcBorders>
              <w:top w:val="single" w:color="auto" w:sz="4"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950</w:t>
            </w:r>
          </w:p>
        </w:tc>
        <w:tc>
          <w:tcPr>
            <w:tcW w:w="532" w:type="pct"/>
            <w:tcBorders>
              <w:top w:val="single" w:color="auto" w:sz="4" w:space="0"/>
              <w:left w:val="single" w:color="auto" w:sz="4" w:space="0"/>
              <w:bottom w:val="single" w:color="auto" w:sz="4" w:space="0"/>
              <w:right w:val="nil"/>
            </w:tcBorders>
            <w:noWrap w:val="0"/>
            <w:vAlign w:val="center"/>
          </w:tcPr>
          <w:p>
            <w:pPr>
              <w:pStyle w:val="390"/>
              <w:rPr>
                <w:i w:val="0"/>
                <w:iCs w:val="0"/>
                <w:color w:val="000000"/>
              </w:rPr>
            </w:pPr>
            <w:r>
              <w:rPr>
                <w:i w:val="0"/>
                <w:iCs w:val="0"/>
                <w:color w:val="000000"/>
              </w:rPr>
              <w:t>1050</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 w:type="pct"/>
            <w:tcBorders>
              <w:top w:val="single" w:color="auto" w:sz="4" w:space="0"/>
              <w:left w:val="nil"/>
              <w:bottom w:val="single" w:color="auto" w:sz="12" w:space="0"/>
              <w:right w:val="single" w:color="auto" w:sz="4" w:space="0"/>
            </w:tcBorders>
            <w:noWrap w:val="0"/>
            <w:vAlign w:val="center"/>
          </w:tcPr>
          <w:p>
            <w:pPr>
              <w:pStyle w:val="390"/>
              <w:rPr>
                <w:i w:val="0"/>
                <w:iCs w:val="0"/>
                <w:color w:val="000000"/>
              </w:rPr>
            </w:pPr>
            <w:r>
              <w:rPr>
                <w:i w:val="0"/>
                <w:iCs w:val="0"/>
                <w:color w:val="000000"/>
              </w:rPr>
              <w:t>沉降速度（m/s）</w:t>
            </w:r>
          </w:p>
        </w:tc>
        <w:tc>
          <w:tcPr>
            <w:tcW w:w="501" w:type="pct"/>
            <w:tcBorders>
              <w:top w:val="single" w:color="auto" w:sz="4" w:space="0"/>
              <w:left w:val="single" w:color="auto" w:sz="4" w:space="0"/>
              <w:bottom w:val="single" w:color="auto" w:sz="12" w:space="0"/>
              <w:right w:val="single" w:color="auto" w:sz="4" w:space="0"/>
            </w:tcBorders>
            <w:noWrap w:val="0"/>
            <w:vAlign w:val="center"/>
          </w:tcPr>
          <w:p>
            <w:pPr>
              <w:pStyle w:val="390"/>
              <w:rPr>
                <w:i w:val="0"/>
                <w:iCs w:val="0"/>
                <w:color w:val="000000"/>
              </w:rPr>
            </w:pPr>
            <w:r>
              <w:rPr>
                <w:rFonts w:hint="eastAsia"/>
                <w:i w:val="0"/>
                <w:iCs w:val="0"/>
                <w:color w:val="000000"/>
              </w:rPr>
              <w:t>2.</w:t>
            </w:r>
            <w:r>
              <w:rPr>
                <w:i w:val="0"/>
                <w:iCs w:val="0"/>
                <w:color w:val="000000"/>
              </w:rPr>
              <w:t>211</w:t>
            </w:r>
          </w:p>
        </w:tc>
        <w:tc>
          <w:tcPr>
            <w:tcW w:w="510" w:type="pct"/>
            <w:tcBorders>
              <w:top w:val="single" w:color="auto" w:sz="4" w:space="0"/>
              <w:left w:val="single" w:color="auto" w:sz="4" w:space="0"/>
              <w:bottom w:val="single" w:color="auto" w:sz="12" w:space="0"/>
              <w:right w:val="single" w:color="auto" w:sz="4" w:space="0"/>
            </w:tcBorders>
            <w:noWrap w:val="0"/>
            <w:vAlign w:val="center"/>
          </w:tcPr>
          <w:p>
            <w:pPr>
              <w:pStyle w:val="390"/>
              <w:rPr>
                <w:i w:val="0"/>
                <w:iCs w:val="0"/>
                <w:color w:val="000000"/>
              </w:rPr>
            </w:pPr>
            <w:r>
              <w:rPr>
                <w:rFonts w:hint="eastAsia"/>
                <w:i w:val="0"/>
                <w:iCs w:val="0"/>
                <w:color w:val="000000"/>
              </w:rPr>
              <w:t>2.</w:t>
            </w:r>
            <w:r>
              <w:rPr>
                <w:i w:val="0"/>
                <w:iCs w:val="0"/>
                <w:color w:val="000000"/>
              </w:rPr>
              <w:t>614</w:t>
            </w:r>
          </w:p>
        </w:tc>
        <w:tc>
          <w:tcPr>
            <w:tcW w:w="591" w:type="pct"/>
            <w:tcBorders>
              <w:top w:val="single" w:color="auto" w:sz="4" w:space="0"/>
              <w:left w:val="single" w:color="auto" w:sz="4" w:space="0"/>
              <w:bottom w:val="single" w:color="auto" w:sz="12" w:space="0"/>
              <w:right w:val="single" w:color="auto" w:sz="4" w:space="0"/>
            </w:tcBorders>
            <w:noWrap w:val="0"/>
            <w:vAlign w:val="center"/>
          </w:tcPr>
          <w:p>
            <w:pPr>
              <w:pStyle w:val="390"/>
              <w:rPr>
                <w:i w:val="0"/>
                <w:iCs w:val="0"/>
                <w:color w:val="000000"/>
              </w:rPr>
            </w:pPr>
            <w:r>
              <w:rPr>
                <w:rFonts w:hint="eastAsia"/>
                <w:i w:val="0"/>
                <w:iCs w:val="0"/>
                <w:color w:val="000000"/>
              </w:rPr>
              <w:t>3.</w:t>
            </w:r>
            <w:r>
              <w:rPr>
                <w:i w:val="0"/>
                <w:iCs w:val="0"/>
                <w:color w:val="000000"/>
              </w:rPr>
              <w:t>016</w:t>
            </w:r>
          </w:p>
        </w:tc>
        <w:tc>
          <w:tcPr>
            <w:tcW w:w="591" w:type="pct"/>
            <w:tcBorders>
              <w:top w:val="single" w:color="auto" w:sz="4" w:space="0"/>
              <w:left w:val="single" w:color="auto" w:sz="4" w:space="0"/>
              <w:bottom w:val="single" w:color="auto" w:sz="12" w:space="0"/>
              <w:right w:val="single" w:color="auto" w:sz="4" w:space="0"/>
            </w:tcBorders>
            <w:noWrap w:val="0"/>
            <w:vAlign w:val="center"/>
          </w:tcPr>
          <w:p>
            <w:pPr>
              <w:pStyle w:val="390"/>
              <w:rPr>
                <w:i w:val="0"/>
                <w:iCs w:val="0"/>
                <w:color w:val="000000"/>
              </w:rPr>
            </w:pPr>
            <w:r>
              <w:rPr>
                <w:rFonts w:hint="eastAsia"/>
                <w:i w:val="0"/>
                <w:iCs w:val="0"/>
                <w:color w:val="000000"/>
              </w:rPr>
              <w:t>3.</w:t>
            </w:r>
            <w:r>
              <w:rPr>
                <w:i w:val="0"/>
                <w:iCs w:val="0"/>
                <w:color w:val="000000"/>
              </w:rPr>
              <w:t>418</w:t>
            </w:r>
          </w:p>
        </w:tc>
        <w:tc>
          <w:tcPr>
            <w:tcW w:w="591" w:type="pct"/>
            <w:tcBorders>
              <w:top w:val="single" w:color="auto" w:sz="4" w:space="0"/>
              <w:left w:val="single" w:color="auto" w:sz="4" w:space="0"/>
              <w:bottom w:val="single" w:color="auto" w:sz="12" w:space="0"/>
              <w:right w:val="single" w:color="auto" w:sz="4" w:space="0"/>
            </w:tcBorders>
            <w:noWrap w:val="0"/>
            <w:vAlign w:val="center"/>
          </w:tcPr>
          <w:p>
            <w:pPr>
              <w:pStyle w:val="390"/>
              <w:rPr>
                <w:i w:val="0"/>
                <w:iCs w:val="0"/>
                <w:color w:val="000000"/>
              </w:rPr>
            </w:pPr>
            <w:r>
              <w:rPr>
                <w:rFonts w:hint="eastAsia"/>
                <w:i w:val="0"/>
                <w:iCs w:val="0"/>
                <w:color w:val="000000"/>
              </w:rPr>
              <w:t>3.</w:t>
            </w:r>
            <w:r>
              <w:rPr>
                <w:i w:val="0"/>
                <w:iCs w:val="0"/>
                <w:color w:val="000000"/>
              </w:rPr>
              <w:t>82</w:t>
            </w:r>
          </w:p>
        </w:tc>
        <w:tc>
          <w:tcPr>
            <w:tcW w:w="591" w:type="pct"/>
            <w:tcBorders>
              <w:top w:val="single" w:color="auto" w:sz="4" w:space="0"/>
              <w:left w:val="single" w:color="auto" w:sz="4" w:space="0"/>
              <w:bottom w:val="single" w:color="auto" w:sz="12" w:space="0"/>
              <w:right w:val="single" w:color="auto" w:sz="4" w:space="0"/>
            </w:tcBorders>
            <w:noWrap w:val="0"/>
            <w:vAlign w:val="center"/>
          </w:tcPr>
          <w:p>
            <w:pPr>
              <w:pStyle w:val="390"/>
              <w:rPr>
                <w:i w:val="0"/>
                <w:iCs w:val="0"/>
                <w:color w:val="000000"/>
              </w:rPr>
            </w:pPr>
            <w:r>
              <w:rPr>
                <w:rFonts w:hint="eastAsia"/>
                <w:i w:val="0"/>
                <w:iCs w:val="0"/>
                <w:color w:val="000000"/>
              </w:rPr>
              <w:t>4.</w:t>
            </w:r>
            <w:r>
              <w:rPr>
                <w:i w:val="0"/>
                <w:iCs w:val="0"/>
                <w:color w:val="000000"/>
              </w:rPr>
              <w:t>22</w:t>
            </w:r>
          </w:p>
        </w:tc>
        <w:tc>
          <w:tcPr>
            <w:tcW w:w="532" w:type="pct"/>
            <w:tcBorders>
              <w:top w:val="single" w:color="auto" w:sz="4" w:space="0"/>
              <w:left w:val="single" w:color="auto" w:sz="4" w:space="0"/>
              <w:bottom w:val="single" w:color="auto" w:sz="12" w:space="0"/>
              <w:right w:val="nil"/>
            </w:tcBorders>
            <w:noWrap w:val="0"/>
            <w:vAlign w:val="center"/>
          </w:tcPr>
          <w:p>
            <w:pPr>
              <w:pStyle w:val="390"/>
              <w:rPr>
                <w:i w:val="0"/>
                <w:iCs w:val="0"/>
                <w:color w:val="000000"/>
              </w:rPr>
            </w:pPr>
            <w:r>
              <w:rPr>
                <w:rFonts w:hint="eastAsia"/>
                <w:i w:val="0"/>
                <w:iCs w:val="0"/>
                <w:color w:val="000000"/>
              </w:rPr>
              <w:t>4.</w:t>
            </w:r>
            <w:r>
              <w:rPr>
                <w:i w:val="0"/>
                <w:iCs w:val="0"/>
                <w:color w:val="000000"/>
              </w:rPr>
              <w:t>62</w:t>
            </w:r>
          </w:p>
        </w:tc>
      </w:tr>
    </w:tbl>
    <w:p>
      <w:pPr>
        <w:spacing w:line="360" w:lineRule="auto"/>
        <w:ind w:firstLine="480" w:firstLineChars="200"/>
        <w:rPr>
          <w:rFonts w:hint="eastAsia"/>
          <w:i w:val="0"/>
          <w:iCs w:val="0"/>
        </w:rPr>
      </w:pPr>
      <w:r>
        <w:rPr>
          <w:rFonts w:hint="eastAsia"/>
          <w:i w:val="0"/>
          <w:iCs w:val="0"/>
        </w:rPr>
        <w:t>由上表可知，尘粒的沉降速度随着粒径的增大而增大，当粒径大于250μm时，主要影响范围在扬尘点下风向近距离范围内，对外环境影响的主要为微小尘粒，由于施工季节的不同，其影响范围和方向也不同。</w:t>
      </w:r>
    </w:p>
    <w:p>
      <w:pPr>
        <w:spacing w:line="360" w:lineRule="auto"/>
        <w:ind w:firstLine="480" w:firstLineChars="200"/>
        <w:rPr>
          <w:rFonts w:hint="eastAsia"/>
          <w:i w:val="0"/>
          <w:iCs w:val="0"/>
        </w:rPr>
      </w:pPr>
      <w:r>
        <w:rPr>
          <w:rFonts w:hint="eastAsia"/>
          <w:i w:val="0"/>
          <w:iCs w:val="0"/>
        </w:rPr>
        <w:t>施工期若经常洒水抑尘，可以大大降低扬尘的产生，</w:t>
      </w:r>
      <w:r>
        <w:rPr>
          <w:rFonts w:hint="eastAsia"/>
          <w:i w:val="0"/>
          <w:iCs w:val="0"/>
        </w:rPr>
        <w:fldChar w:fldCharType="begin"/>
      </w:r>
      <w:r>
        <w:rPr>
          <w:rFonts w:hint="eastAsia"/>
          <w:i w:val="0"/>
          <w:iCs w:val="0"/>
        </w:rPr>
        <w:instrText xml:space="preserve"> REF _Ref32680435 \r \h  \* MERGEFORMAT </w:instrText>
      </w:r>
      <w:r>
        <w:rPr>
          <w:rFonts w:hint="eastAsia"/>
          <w:i w:val="0"/>
          <w:iCs w:val="0"/>
        </w:rPr>
        <w:fldChar w:fldCharType="separate"/>
      </w:r>
      <w:r>
        <w:rPr>
          <w:rFonts w:hint="eastAsia"/>
          <w:i w:val="0"/>
          <w:iCs w:val="0"/>
        </w:rPr>
        <w:t>表5-2</w:t>
      </w:r>
      <w:r>
        <w:rPr>
          <w:rFonts w:hint="eastAsia"/>
          <w:i w:val="0"/>
          <w:iCs w:val="0"/>
        </w:rPr>
        <w:fldChar w:fldCharType="end"/>
      </w:r>
      <w:r>
        <w:rPr>
          <w:rFonts w:hint="eastAsia"/>
          <w:i w:val="0"/>
          <w:iCs w:val="0"/>
        </w:rPr>
        <w:t>为天气干燥、风速3m/s条件下施工场地洒水抑尘试验结果。</w:t>
      </w:r>
    </w:p>
    <w:p>
      <w:pPr>
        <w:pStyle w:val="24"/>
        <w:spacing w:line="240" w:lineRule="auto"/>
        <w:rPr>
          <w:b/>
          <w:i w:val="0"/>
          <w:iCs w:val="0"/>
        </w:rPr>
      </w:pPr>
      <w:bookmarkStart w:id="147" w:name="_Ref32680435"/>
      <w:r>
        <w:rPr>
          <w:b/>
          <w:i w:val="0"/>
          <w:iCs w:val="0"/>
        </w:rPr>
        <w:t>表5-2施工场地洒水抑尘试验结果</w:t>
      </w:r>
      <w:bookmarkEnd w:id="147"/>
    </w:p>
    <w:tbl>
      <w:tblPr>
        <w:tblStyle w:val="58"/>
        <w:tblW w:w="4999"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706"/>
        <w:gridCol w:w="1518"/>
        <w:gridCol w:w="1347"/>
        <w:gridCol w:w="1487"/>
        <w:gridCol w:w="1485"/>
        <w:gridCol w:w="1743"/>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pct"/>
            <w:gridSpan w:val="2"/>
            <w:tcBorders>
              <w:top w:val="single" w:color="auto" w:sz="12" w:space="0"/>
              <w:left w:val="nil"/>
              <w:bottom w:val="single" w:color="auto" w:sz="4" w:space="0"/>
              <w:right w:val="single" w:color="auto" w:sz="4" w:space="0"/>
            </w:tcBorders>
            <w:noWrap w:val="0"/>
            <w:vAlign w:val="center"/>
          </w:tcPr>
          <w:p>
            <w:pPr>
              <w:pStyle w:val="390"/>
              <w:rPr>
                <w:i w:val="0"/>
                <w:iCs w:val="0"/>
                <w:color w:val="000000"/>
              </w:rPr>
            </w:pPr>
            <w:r>
              <w:rPr>
                <w:i w:val="0"/>
                <w:iCs w:val="0"/>
                <w:color w:val="000000"/>
              </w:rPr>
              <w:t>距离（m）</w:t>
            </w:r>
          </w:p>
        </w:tc>
        <w:tc>
          <w:tcPr>
            <w:tcW w:w="725" w:type="pct"/>
            <w:tcBorders>
              <w:top w:val="single" w:color="auto" w:sz="12"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5</w:t>
            </w:r>
          </w:p>
        </w:tc>
        <w:tc>
          <w:tcPr>
            <w:tcW w:w="800" w:type="pct"/>
            <w:tcBorders>
              <w:top w:val="single" w:color="auto" w:sz="12"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20</w:t>
            </w:r>
          </w:p>
        </w:tc>
        <w:tc>
          <w:tcPr>
            <w:tcW w:w="799" w:type="pct"/>
            <w:tcBorders>
              <w:top w:val="single" w:color="auto" w:sz="12"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50</w:t>
            </w:r>
          </w:p>
        </w:tc>
        <w:tc>
          <w:tcPr>
            <w:tcW w:w="938" w:type="pct"/>
            <w:tcBorders>
              <w:top w:val="single" w:color="auto" w:sz="12" w:space="0"/>
              <w:left w:val="single" w:color="auto" w:sz="4" w:space="0"/>
              <w:bottom w:val="single" w:color="auto" w:sz="4" w:space="0"/>
              <w:right w:val="nil"/>
            </w:tcBorders>
            <w:noWrap w:val="0"/>
            <w:vAlign w:val="center"/>
          </w:tcPr>
          <w:p>
            <w:pPr>
              <w:pStyle w:val="390"/>
              <w:rPr>
                <w:i w:val="0"/>
                <w:iCs w:val="0"/>
                <w:color w:val="000000"/>
              </w:rPr>
            </w:pPr>
            <w:r>
              <w:rPr>
                <w:i w:val="0"/>
                <w:iCs w:val="0"/>
                <w:color w:val="000000"/>
              </w:rPr>
              <w:t>100</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pct"/>
            <w:vMerge w:val="restart"/>
            <w:tcBorders>
              <w:top w:val="single" w:color="auto" w:sz="4" w:space="0"/>
              <w:left w:val="nil"/>
              <w:bottom w:val="single" w:color="auto" w:sz="12" w:space="0"/>
              <w:right w:val="single" w:color="auto" w:sz="4" w:space="0"/>
            </w:tcBorders>
            <w:noWrap w:val="0"/>
            <w:vAlign w:val="center"/>
          </w:tcPr>
          <w:p>
            <w:pPr>
              <w:pStyle w:val="390"/>
              <w:rPr>
                <w:i w:val="0"/>
                <w:iCs w:val="0"/>
                <w:color w:val="000000"/>
              </w:rPr>
            </w:pPr>
            <w:r>
              <w:rPr>
                <w:i w:val="0"/>
                <w:iCs w:val="0"/>
                <w:color w:val="000000"/>
              </w:rPr>
              <w:t>TSP小时平均浓度（mg/m</w:t>
            </w:r>
            <w:r>
              <w:rPr>
                <w:i w:val="0"/>
                <w:iCs w:val="0"/>
                <w:color w:val="000000"/>
                <w:vertAlign w:val="superscript"/>
              </w:rPr>
              <w:t>3</w:t>
            </w:r>
            <w:r>
              <w:rPr>
                <w:i w:val="0"/>
                <w:iCs w:val="0"/>
                <w:color w:val="000000"/>
              </w:rPr>
              <w:t>）</w:t>
            </w:r>
          </w:p>
        </w:tc>
        <w:tc>
          <w:tcPr>
            <w:tcW w:w="816" w:type="pct"/>
            <w:tcBorders>
              <w:top w:val="single" w:color="auto" w:sz="4"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不洒水</w:t>
            </w:r>
          </w:p>
        </w:tc>
        <w:tc>
          <w:tcPr>
            <w:tcW w:w="725" w:type="pct"/>
            <w:tcBorders>
              <w:top w:val="single" w:color="auto" w:sz="4" w:space="0"/>
              <w:left w:val="single" w:color="auto" w:sz="4" w:space="0"/>
              <w:bottom w:val="single" w:color="auto" w:sz="4" w:space="0"/>
              <w:right w:val="single" w:color="auto" w:sz="4" w:space="0"/>
            </w:tcBorders>
            <w:noWrap w:val="0"/>
            <w:vAlign w:val="center"/>
          </w:tcPr>
          <w:p>
            <w:pPr>
              <w:pStyle w:val="390"/>
              <w:rPr>
                <w:i w:val="0"/>
                <w:iCs w:val="0"/>
                <w:color w:val="000000"/>
              </w:rPr>
            </w:pPr>
            <w:r>
              <w:rPr>
                <w:i w:val="0"/>
                <w:iCs w:val="0"/>
                <w:color w:val="000000"/>
              </w:rPr>
              <w:t>10.14</w:t>
            </w:r>
          </w:p>
        </w:tc>
        <w:tc>
          <w:tcPr>
            <w:tcW w:w="800" w:type="pct"/>
            <w:tcBorders>
              <w:top w:val="single" w:color="auto" w:sz="4" w:space="0"/>
              <w:left w:val="single" w:color="auto" w:sz="4" w:space="0"/>
              <w:bottom w:val="single" w:color="auto" w:sz="4" w:space="0"/>
              <w:right w:val="single" w:color="auto" w:sz="4" w:space="0"/>
            </w:tcBorders>
            <w:noWrap w:val="0"/>
            <w:vAlign w:val="center"/>
          </w:tcPr>
          <w:p>
            <w:pPr>
              <w:pStyle w:val="390"/>
              <w:rPr>
                <w:i w:val="0"/>
                <w:iCs w:val="0"/>
                <w:color w:val="000000"/>
              </w:rPr>
            </w:pPr>
            <w:r>
              <w:rPr>
                <w:rFonts w:hint="eastAsia"/>
                <w:i w:val="0"/>
                <w:iCs w:val="0"/>
                <w:color w:val="000000"/>
              </w:rPr>
              <w:t>2.</w:t>
            </w:r>
            <w:r>
              <w:rPr>
                <w:i w:val="0"/>
                <w:iCs w:val="0"/>
                <w:color w:val="000000"/>
              </w:rPr>
              <w:t>89</w:t>
            </w:r>
          </w:p>
        </w:tc>
        <w:tc>
          <w:tcPr>
            <w:tcW w:w="799" w:type="pct"/>
            <w:tcBorders>
              <w:top w:val="single" w:color="auto" w:sz="4" w:space="0"/>
              <w:left w:val="single" w:color="auto" w:sz="4" w:space="0"/>
              <w:bottom w:val="single" w:color="auto" w:sz="4" w:space="0"/>
              <w:right w:val="single" w:color="auto" w:sz="4" w:space="0"/>
            </w:tcBorders>
            <w:noWrap w:val="0"/>
            <w:vAlign w:val="center"/>
          </w:tcPr>
          <w:p>
            <w:pPr>
              <w:pStyle w:val="390"/>
              <w:rPr>
                <w:i w:val="0"/>
                <w:iCs w:val="0"/>
                <w:color w:val="000000"/>
              </w:rPr>
            </w:pPr>
            <w:r>
              <w:rPr>
                <w:rFonts w:hint="eastAsia"/>
                <w:i w:val="0"/>
                <w:iCs w:val="0"/>
                <w:color w:val="000000"/>
              </w:rPr>
              <w:t>1.</w:t>
            </w:r>
            <w:r>
              <w:rPr>
                <w:i w:val="0"/>
                <w:iCs w:val="0"/>
                <w:color w:val="000000"/>
              </w:rPr>
              <w:t>15</w:t>
            </w:r>
          </w:p>
        </w:tc>
        <w:tc>
          <w:tcPr>
            <w:tcW w:w="938" w:type="pct"/>
            <w:tcBorders>
              <w:top w:val="single" w:color="auto" w:sz="4" w:space="0"/>
              <w:left w:val="single" w:color="auto" w:sz="4" w:space="0"/>
              <w:bottom w:val="single" w:color="auto" w:sz="4" w:space="0"/>
              <w:right w:val="nil"/>
            </w:tcBorders>
            <w:noWrap w:val="0"/>
            <w:vAlign w:val="center"/>
          </w:tcPr>
          <w:p>
            <w:pPr>
              <w:pStyle w:val="390"/>
              <w:rPr>
                <w:i w:val="0"/>
                <w:iCs w:val="0"/>
                <w:color w:val="000000"/>
              </w:rPr>
            </w:pPr>
            <w:r>
              <w:rPr>
                <w:i w:val="0"/>
                <w:iCs w:val="0"/>
                <w:color w:val="000000"/>
              </w:rPr>
              <w:t>0.86</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pct"/>
            <w:vMerge w:val="continue"/>
            <w:tcBorders>
              <w:top w:val="single" w:color="auto" w:sz="4" w:space="0"/>
              <w:left w:val="nil"/>
              <w:bottom w:val="single" w:color="auto" w:sz="12" w:space="0"/>
              <w:right w:val="single" w:color="auto" w:sz="4" w:space="0"/>
            </w:tcBorders>
            <w:noWrap w:val="0"/>
            <w:vAlign w:val="center"/>
          </w:tcPr>
          <w:p>
            <w:pPr>
              <w:pStyle w:val="390"/>
              <w:rPr>
                <w:i w:val="0"/>
                <w:iCs w:val="0"/>
                <w:color w:val="000000"/>
              </w:rPr>
            </w:pPr>
          </w:p>
        </w:tc>
        <w:tc>
          <w:tcPr>
            <w:tcW w:w="816" w:type="pct"/>
            <w:tcBorders>
              <w:top w:val="single" w:color="auto" w:sz="4" w:space="0"/>
              <w:left w:val="single" w:color="auto" w:sz="4" w:space="0"/>
              <w:bottom w:val="single" w:color="auto" w:sz="12" w:space="0"/>
              <w:right w:val="single" w:color="auto" w:sz="4" w:space="0"/>
            </w:tcBorders>
            <w:noWrap w:val="0"/>
            <w:vAlign w:val="center"/>
          </w:tcPr>
          <w:p>
            <w:pPr>
              <w:pStyle w:val="390"/>
              <w:rPr>
                <w:i w:val="0"/>
                <w:iCs w:val="0"/>
                <w:color w:val="000000"/>
              </w:rPr>
            </w:pPr>
            <w:r>
              <w:rPr>
                <w:i w:val="0"/>
                <w:iCs w:val="0"/>
                <w:color w:val="000000"/>
              </w:rPr>
              <w:t>洒水</w:t>
            </w:r>
          </w:p>
        </w:tc>
        <w:tc>
          <w:tcPr>
            <w:tcW w:w="725" w:type="pct"/>
            <w:tcBorders>
              <w:top w:val="single" w:color="auto" w:sz="4" w:space="0"/>
              <w:left w:val="single" w:color="auto" w:sz="4" w:space="0"/>
              <w:bottom w:val="single" w:color="auto" w:sz="12" w:space="0"/>
              <w:right w:val="single" w:color="auto" w:sz="4" w:space="0"/>
            </w:tcBorders>
            <w:noWrap w:val="0"/>
            <w:vAlign w:val="center"/>
          </w:tcPr>
          <w:p>
            <w:pPr>
              <w:pStyle w:val="390"/>
              <w:rPr>
                <w:i w:val="0"/>
                <w:iCs w:val="0"/>
                <w:color w:val="000000"/>
              </w:rPr>
            </w:pPr>
            <w:r>
              <w:rPr>
                <w:rFonts w:hint="eastAsia"/>
                <w:i w:val="0"/>
                <w:iCs w:val="0"/>
                <w:color w:val="000000"/>
              </w:rPr>
              <w:t>2.</w:t>
            </w:r>
            <w:r>
              <w:rPr>
                <w:i w:val="0"/>
                <w:iCs w:val="0"/>
                <w:color w:val="000000"/>
              </w:rPr>
              <w:t>01</w:t>
            </w:r>
          </w:p>
        </w:tc>
        <w:tc>
          <w:tcPr>
            <w:tcW w:w="800" w:type="pct"/>
            <w:tcBorders>
              <w:top w:val="single" w:color="auto" w:sz="4" w:space="0"/>
              <w:left w:val="single" w:color="auto" w:sz="4" w:space="0"/>
              <w:bottom w:val="single" w:color="auto" w:sz="12" w:space="0"/>
              <w:right w:val="single" w:color="auto" w:sz="4" w:space="0"/>
            </w:tcBorders>
            <w:noWrap w:val="0"/>
            <w:vAlign w:val="center"/>
          </w:tcPr>
          <w:p>
            <w:pPr>
              <w:pStyle w:val="390"/>
              <w:rPr>
                <w:i w:val="0"/>
                <w:iCs w:val="0"/>
                <w:color w:val="000000"/>
              </w:rPr>
            </w:pPr>
            <w:r>
              <w:rPr>
                <w:rFonts w:hint="eastAsia"/>
                <w:i w:val="0"/>
                <w:iCs w:val="0"/>
                <w:color w:val="000000"/>
              </w:rPr>
              <w:t>1.</w:t>
            </w:r>
            <w:r>
              <w:rPr>
                <w:i w:val="0"/>
                <w:iCs w:val="0"/>
                <w:color w:val="000000"/>
              </w:rPr>
              <w:t>4</w:t>
            </w:r>
          </w:p>
        </w:tc>
        <w:tc>
          <w:tcPr>
            <w:tcW w:w="799" w:type="pct"/>
            <w:tcBorders>
              <w:top w:val="single" w:color="auto" w:sz="4" w:space="0"/>
              <w:left w:val="single" w:color="auto" w:sz="4" w:space="0"/>
              <w:bottom w:val="single" w:color="auto" w:sz="12" w:space="0"/>
              <w:right w:val="single" w:color="auto" w:sz="4" w:space="0"/>
            </w:tcBorders>
            <w:noWrap w:val="0"/>
            <w:vAlign w:val="center"/>
          </w:tcPr>
          <w:p>
            <w:pPr>
              <w:pStyle w:val="390"/>
              <w:rPr>
                <w:i w:val="0"/>
                <w:iCs w:val="0"/>
                <w:color w:val="000000"/>
              </w:rPr>
            </w:pPr>
            <w:r>
              <w:rPr>
                <w:i w:val="0"/>
                <w:iCs w:val="0"/>
                <w:color w:val="000000"/>
              </w:rPr>
              <w:t>0.67</w:t>
            </w:r>
          </w:p>
        </w:tc>
        <w:tc>
          <w:tcPr>
            <w:tcW w:w="938" w:type="pct"/>
            <w:tcBorders>
              <w:top w:val="single" w:color="auto" w:sz="4" w:space="0"/>
              <w:left w:val="single" w:color="auto" w:sz="4" w:space="0"/>
              <w:bottom w:val="single" w:color="auto" w:sz="12" w:space="0"/>
              <w:right w:val="nil"/>
            </w:tcBorders>
            <w:noWrap w:val="0"/>
            <w:vAlign w:val="center"/>
          </w:tcPr>
          <w:p>
            <w:pPr>
              <w:pStyle w:val="390"/>
              <w:rPr>
                <w:i w:val="0"/>
                <w:iCs w:val="0"/>
                <w:color w:val="000000"/>
              </w:rPr>
            </w:pPr>
            <w:r>
              <w:rPr>
                <w:i w:val="0"/>
                <w:iCs w:val="0"/>
                <w:color w:val="000000"/>
              </w:rPr>
              <w:t>0.6</w:t>
            </w:r>
          </w:p>
        </w:tc>
      </w:tr>
    </w:tbl>
    <w:p>
      <w:pPr>
        <w:spacing w:line="360" w:lineRule="auto"/>
        <w:ind w:firstLine="480" w:firstLineChars="200"/>
        <w:rPr>
          <w:rFonts w:hint="eastAsia"/>
          <w:i w:val="0"/>
          <w:iCs w:val="0"/>
        </w:rPr>
      </w:pPr>
      <w:r>
        <w:rPr>
          <w:rFonts w:hint="eastAsia"/>
          <w:i w:val="0"/>
          <w:iCs w:val="0"/>
        </w:rPr>
        <w:t>由上表可知，经过洒水抑尘，可降低扬尘量70%左右，将其影响范围可控制在50m内。</w:t>
      </w:r>
    </w:p>
    <w:p>
      <w:pPr>
        <w:spacing w:line="360" w:lineRule="auto"/>
        <w:ind w:firstLine="480" w:firstLineChars="200"/>
        <w:rPr>
          <w:rFonts w:hint="eastAsia"/>
          <w:i w:val="0"/>
          <w:iCs w:val="0"/>
        </w:rPr>
      </w:pPr>
      <w:r>
        <w:rPr>
          <w:rFonts w:hint="eastAsia"/>
          <w:i w:val="0"/>
          <w:iCs w:val="0"/>
        </w:rPr>
        <w:t>2、汽车尾气</w:t>
      </w:r>
    </w:p>
    <w:p>
      <w:pPr>
        <w:spacing w:line="360" w:lineRule="auto"/>
        <w:ind w:firstLine="480" w:firstLineChars="200"/>
        <w:rPr>
          <w:rFonts w:hint="eastAsia"/>
          <w:i w:val="0"/>
          <w:iCs w:val="0"/>
        </w:rPr>
      </w:pPr>
      <w:r>
        <w:rPr>
          <w:rFonts w:hint="eastAsia"/>
          <w:i w:val="0"/>
          <w:iCs w:val="0"/>
        </w:rPr>
        <w:t>施工中将会有各种机械及运输车来往施工现场，主要有运输卡车、翻斗车、挖掘机、铲车、推土机等，会产生颗粒物、CO、碳氢化合物及NO</w:t>
      </w:r>
      <w:r>
        <w:rPr>
          <w:rFonts w:hint="eastAsia"/>
          <w:i w:val="0"/>
          <w:iCs w:val="0"/>
          <w:vertAlign w:val="subscript"/>
        </w:rPr>
        <w:t>X</w:t>
      </w:r>
      <w:r>
        <w:rPr>
          <w:rFonts w:hint="eastAsia"/>
          <w:i w:val="0"/>
          <w:iCs w:val="0"/>
        </w:rPr>
        <w:t>等有害物质，施工现场汽车尾气对环境空气的影响有如下几个特点：</w:t>
      </w:r>
    </w:p>
    <w:p>
      <w:pPr>
        <w:spacing w:line="360" w:lineRule="auto"/>
        <w:ind w:firstLine="480" w:firstLineChars="200"/>
        <w:rPr>
          <w:rFonts w:hint="eastAsia"/>
          <w:i w:val="0"/>
          <w:iCs w:val="0"/>
        </w:rPr>
      </w:pPr>
      <w:r>
        <w:rPr>
          <w:rFonts w:hint="eastAsia"/>
          <w:i w:val="0"/>
          <w:iCs w:val="0"/>
        </w:rPr>
        <w:t>（1）车辆在施工场地范围内活动，尾气呈面源污染形式；</w:t>
      </w:r>
    </w:p>
    <w:p>
      <w:pPr>
        <w:spacing w:line="360" w:lineRule="auto"/>
        <w:ind w:firstLine="480" w:firstLineChars="200"/>
        <w:rPr>
          <w:rFonts w:hint="eastAsia"/>
          <w:i w:val="0"/>
          <w:iCs w:val="0"/>
        </w:rPr>
      </w:pPr>
      <w:r>
        <w:rPr>
          <w:rFonts w:hint="eastAsia"/>
          <w:i w:val="0"/>
          <w:iCs w:val="0"/>
        </w:rPr>
        <w:t>（2）汽车排气筒高度较低，尾气扩散范围不大，对周围环境影响较小；</w:t>
      </w:r>
    </w:p>
    <w:p>
      <w:pPr>
        <w:spacing w:line="360" w:lineRule="auto"/>
        <w:ind w:firstLine="480" w:firstLineChars="200"/>
        <w:rPr>
          <w:rFonts w:hint="eastAsia"/>
          <w:i w:val="0"/>
          <w:iCs w:val="0"/>
        </w:rPr>
      </w:pPr>
      <w:r>
        <w:rPr>
          <w:rFonts w:hint="eastAsia"/>
          <w:i w:val="0"/>
          <w:iCs w:val="0"/>
        </w:rPr>
        <w:t>（3）车辆为非连续行驶状态，污染物排放时间及排放量相对较少。</w:t>
      </w:r>
    </w:p>
    <w:p>
      <w:pPr>
        <w:spacing w:line="360" w:lineRule="auto"/>
        <w:ind w:firstLine="480" w:firstLineChars="200"/>
        <w:rPr>
          <w:rFonts w:hint="eastAsia"/>
          <w:i w:val="0"/>
          <w:iCs w:val="0"/>
        </w:rPr>
      </w:pPr>
      <w:r>
        <w:rPr>
          <w:rFonts w:hint="eastAsia"/>
          <w:i w:val="0"/>
          <w:iCs w:val="0"/>
        </w:rPr>
        <w:t>建立尽量选用低能耗、低污染排放的施工机械、车辆，选用质量高、对大气环境影响小的乙醇汽油，加强机械、车辆的管理和维修。在尽量减少因机械、车辆状况不佳造成空气污染的情况下，施工过程中汽车尾气对环境空气质量影响不大。</w:t>
      </w:r>
    </w:p>
    <w:p>
      <w:pPr>
        <w:adjustRightInd w:val="0"/>
        <w:snapToGrid w:val="0"/>
        <w:spacing w:line="360" w:lineRule="auto"/>
        <w:ind w:firstLine="480" w:firstLineChars="200"/>
        <w:rPr>
          <w:rFonts w:hint="eastAsia"/>
          <w:i w:val="0"/>
          <w:iCs w:val="0"/>
          <w:lang w:val="zh-CN"/>
        </w:rPr>
      </w:pPr>
      <w:bookmarkStart w:id="148" w:name="_Toc12051"/>
      <w:bookmarkStart w:id="149" w:name="_Toc114236724"/>
      <w:bookmarkStart w:id="150" w:name="_Toc12692"/>
      <w:bookmarkStart w:id="151" w:name="_Toc26295"/>
      <w:bookmarkStart w:id="152" w:name="_Toc86884802"/>
      <w:bookmarkStart w:id="153" w:name="_Toc27734"/>
      <w:bookmarkStart w:id="154" w:name="_Toc112603668"/>
      <w:bookmarkStart w:id="155" w:name="_Toc42"/>
      <w:bookmarkStart w:id="156" w:name="_Toc114236545"/>
      <w:r>
        <w:rPr>
          <w:rFonts w:hint="eastAsia"/>
          <w:i w:val="0"/>
          <w:iCs w:val="0"/>
        </w:rPr>
        <w:t>5.1.2</w:t>
      </w:r>
      <w:r>
        <w:rPr>
          <w:rFonts w:hint="eastAsia"/>
          <w:i w:val="0"/>
          <w:iCs w:val="0"/>
          <w:lang w:val="zh-CN"/>
        </w:rPr>
        <w:t>施工期水环境影响分析</w:t>
      </w:r>
      <w:bookmarkEnd w:id="148"/>
      <w:bookmarkEnd w:id="149"/>
      <w:bookmarkEnd w:id="150"/>
      <w:bookmarkEnd w:id="151"/>
      <w:bookmarkEnd w:id="152"/>
      <w:bookmarkEnd w:id="153"/>
      <w:bookmarkEnd w:id="154"/>
      <w:bookmarkEnd w:id="155"/>
      <w:bookmarkEnd w:id="156"/>
    </w:p>
    <w:p>
      <w:pPr>
        <w:spacing w:line="360" w:lineRule="auto"/>
        <w:ind w:firstLine="480" w:firstLineChars="200"/>
        <w:rPr>
          <w:rFonts w:hint="eastAsia"/>
          <w:i w:val="0"/>
          <w:iCs w:val="0"/>
        </w:rPr>
      </w:pPr>
      <w:r>
        <w:rPr>
          <w:rFonts w:hint="eastAsia"/>
          <w:i w:val="0"/>
          <w:iCs w:val="0"/>
        </w:rPr>
        <w:t>1、施工废水</w:t>
      </w:r>
    </w:p>
    <w:p>
      <w:pPr>
        <w:spacing w:line="360" w:lineRule="auto"/>
        <w:ind w:firstLine="480" w:firstLineChars="200"/>
        <w:rPr>
          <w:rFonts w:hint="eastAsia"/>
          <w:i w:val="0"/>
          <w:iCs w:val="0"/>
        </w:rPr>
      </w:pPr>
      <w:r>
        <w:rPr>
          <w:rFonts w:hint="eastAsia"/>
          <w:i w:val="0"/>
          <w:iCs w:val="0"/>
        </w:rPr>
        <w:t>施工生产废水主要是施工过程中产生的含有泥浆或砂石的工程废水，主要污染物为SS，施工废水要经过沉淀池采取澄清处理，上清液用于淋洒现场道路，沉淀物回用于施工过程，不外排，故对周围水环境影响较低。</w:t>
      </w:r>
    </w:p>
    <w:p>
      <w:pPr>
        <w:spacing w:line="360" w:lineRule="auto"/>
        <w:ind w:firstLine="480" w:firstLineChars="200"/>
        <w:rPr>
          <w:rFonts w:hint="eastAsia"/>
          <w:i w:val="0"/>
          <w:iCs w:val="0"/>
        </w:rPr>
      </w:pPr>
      <w:r>
        <w:rPr>
          <w:rFonts w:hint="eastAsia"/>
          <w:i w:val="0"/>
          <w:iCs w:val="0"/>
        </w:rPr>
        <w:t>2、生活污水</w:t>
      </w:r>
    </w:p>
    <w:p>
      <w:pPr>
        <w:spacing w:line="360" w:lineRule="auto"/>
        <w:ind w:firstLine="480" w:firstLineChars="200"/>
        <w:rPr>
          <w:rFonts w:hint="eastAsia"/>
          <w:i w:val="0"/>
          <w:iCs w:val="0"/>
        </w:rPr>
      </w:pPr>
      <w:r>
        <w:rPr>
          <w:rFonts w:hint="eastAsia"/>
          <w:i w:val="0"/>
          <w:iCs w:val="0"/>
        </w:rPr>
        <w:t>根据施工计划，本项目施工周期约为12个月，施工期间最大施工人数为80人，平均用水量按50L/（人·d）计，废水排放量按用水量80%计，则本项目施工期间施工人员排放的污水量为3.2m</w:t>
      </w:r>
      <w:r>
        <w:rPr>
          <w:rFonts w:hint="eastAsia"/>
          <w:i w:val="0"/>
          <w:iCs w:val="0"/>
          <w:vertAlign w:val="superscript"/>
        </w:rPr>
        <w:t>3</w:t>
      </w:r>
      <w:r>
        <w:rPr>
          <w:rFonts w:hint="eastAsia"/>
          <w:i w:val="0"/>
          <w:iCs w:val="0"/>
        </w:rPr>
        <w:t>/d，施工期生活污水产生量为1168m</w:t>
      </w:r>
      <w:r>
        <w:rPr>
          <w:rFonts w:hint="eastAsia"/>
          <w:i w:val="0"/>
          <w:iCs w:val="0"/>
          <w:vertAlign w:val="superscript"/>
        </w:rPr>
        <w:t>3</w:t>
      </w:r>
      <w:r>
        <w:rPr>
          <w:rFonts w:hint="eastAsia"/>
          <w:i w:val="0"/>
          <w:iCs w:val="0"/>
        </w:rPr>
        <w:t>。生活污水排入室外防渗旱厕，定期清抽外运作农家肥使用，不会对地表水环境造成污染。</w:t>
      </w:r>
    </w:p>
    <w:p>
      <w:pPr>
        <w:adjustRightInd w:val="0"/>
        <w:snapToGrid w:val="0"/>
        <w:spacing w:line="360" w:lineRule="auto"/>
        <w:ind w:firstLine="480" w:firstLineChars="200"/>
        <w:rPr>
          <w:rFonts w:hint="eastAsia"/>
          <w:i w:val="0"/>
          <w:iCs w:val="0"/>
          <w:lang w:val="zh-CN"/>
        </w:rPr>
      </w:pPr>
      <w:bookmarkStart w:id="157" w:name="_Toc114236725"/>
      <w:bookmarkStart w:id="158" w:name="_Toc112603669"/>
      <w:bookmarkStart w:id="159" w:name="_Toc114236546"/>
      <w:bookmarkStart w:id="160" w:name="_Toc86884803"/>
      <w:r>
        <w:rPr>
          <w:rFonts w:hint="eastAsia"/>
          <w:i w:val="0"/>
          <w:iCs w:val="0"/>
        </w:rPr>
        <w:t>5.1.3</w:t>
      </w:r>
      <w:r>
        <w:rPr>
          <w:rFonts w:hint="eastAsia"/>
          <w:i w:val="0"/>
          <w:iCs w:val="0"/>
          <w:lang w:val="zh-CN"/>
        </w:rPr>
        <w:t>施工期声环境影响分析</w:t>
      </w:r>
      <w:bookmarkEnd w:id="141"/>
      <w:bookmarkEnd w:id="142"/>
      <w:bookmarkEnd w:id="143"/>
      <w:bookmarkEnd w:id="144"/>
      <w:bookmarkEnd w:id="145"/>
      <w:bookmarkEnd w:id="157"/>
      <w:bookmarkEnd w:id="158"/>
      <w:bookmarkEnd w:id="159"/>
      <w:bookmarkEnd w:id="160"/>
    </w:p>
    <w:p>
      <w:pPr>
        <w:spacing w:line="360" w:lineRule="auto"/>
        <w:ind w:firstLine="480" w:firstLineChars="200"/>
        <w:rPr>
          <w:rFonts w:hint="eastAsia"/>
          <w:i w:val="0"/>
          <w:iCs w:val="0"/>
        </w:rPr>
      </w:pPr>
      <w:r>
        <w:rPr>
          <w:rFonts w:hint="eastAsia"/>
          <w:i w:val="0"/>
          <w:iCs w:val="0"/>
        </w:rPr>
        <w:t>1、施工噪声源调查</w:t>
      </w:r>
    </w:p>
    <w:p>
      <w:pPr>
        <w:spacing w:line="360" w:lineRule="auto"/>
        <w:ind w:firstLine="480" w:firstLineChars="200"/>
        <w:rPr>
          <w:rFonts w:hint="eastAsia"/>
          <w:i w:val="0"/>
          <w:iCs w:val="0"/>
        </w:rPr>
      </w:pPr>
      <w:r>
        <w:rPr>
          <w:rFonts w:hint="eastAsia"/>
          <w:i w:val="0"/>
          <w:iCs w:val="0"/>
        </w:rPr>
        <w:t>拟建项目开始启动后，平整土地、修筑道路、建筑施工等作业中，将动用一定量的施工作业设备和机械，主要有前斗装卸机、铲土机、混凝土泵、移动式吊车、起重机、打桩机等，因而不可避免地产生建筑施工噪声。这些声源具有噪声高、无规则等特点，如不加以控制，往往会对附近敏感点产生噪声污染。据调查，本工程施工常用的机械设备及作业时的声级范围详见下表。</w:t>
      </w:r>
    </w:p>
    <w:p>
      <w:pPr>
        <w:adjustRightInd w:val="0"/>
        <w:snapToGrid w:val="0"/>
        <w:ind w:left="420" w:hanging="420"/>
        <w:jc w:val="center"/>
        <w:rPr>
          <w:i w:val="0"/>
          <w:iCs w:val="0"/>
          <w:color w:val="000000"/>
        </w:rPr>
      </w:pPr>
      <w:bookmarkStart w:id="161" w:name="_Ref32680440"/>
      <w:r>
        <w:rPr>
          <w:b/>
          <w:i w:val="0"/>
          <w:iCs w:val="0"/>
        </w:rPr>
        <w:t>表5-3各种机械设备噪声</w:t>
      </w:r>
      <w:r>
        <w:rPr>
          <w:rFonts w:hint="eastAsia"/>
          <w:b/>
          <w:i w:val="0"/>
          <w:iCs w:val="0"/>
        </w:rPr>
        <w:t>源强</w:t>
      </w:r>
      <w:r>
        <w:rPr>
          <w:b/>
          <w:i w:val="0"/>
          <w:iCs w:val="0"/>
        </w:rPr>
        <w:t>一览表</w:t>
      </w:r>
      <w:bookmarkEnd w:id="161"/>
    </w:p>
    <w:tbl>
      <w:tblPr>
        <w:tblStyle w:val="58"/>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8"/>
        <w:gridCol w:w="3473"/>
        <w:gridCol w:w="3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8" w:type="dxa"/>
            <w:tcBorders>
              <w:top w:val="single" w:color="auto" w:sz="12" w:space="0"/>
              <w:left w:val="nil"/>
            </w:tcBorders>
            <w:noWrap w:val="0"/>
            <w:vAlign w:val="center"/>
          </w:tcPr>
          <w:p>
            <w:pPr>
              <w:adjustRightInd w:val="0"/>
              <w:snapToGrid w:val="0"/>
              <w:jc w:val="center"/>
              <w:rPr>
                <w:i w:val="0"/>
                <w:iCs w:val="0"/>
                <w:color w:val="000000"/>
                <w:sz w:val="21"/>
                <w:szCs w:val="21"/>
              </w:rPr>
            </w:pPr>
            <w:r>
              <w:rPr>
                <w:rFonts w:hint="eastAsia"/>
                <w:i w:val="0"/>
                <w:iCs w:val="0"/>
                <w:color w:val="000000"/>
                <w:sz w:val="21"/>
                <w:szCs w:val="21"/>
              </w:rPr>
              <w:t>施工阶段</w:t>
            </w:r>
          </w:p>
        </w:tc>
        <w:tc>
          <w:tcPr>
            <w:tcW w:w="3473" w:type="dxa"/>
            <w:tcBorders>
              <w:top w:val="single" w:color="auto" w:sz="12" w:space="0"/>
            </w:tcBorders>
            <w:noWrap w:val="0"/>
            <w:vAlign w:val="center"/>
          </w:tcPr>
          <w:p>
            <w:pPr>
              <w:adjustRightInd w:val="0"/>
              <w:snapToGrid w:val="0"/>
              <w:jc w:val="center"/>
              <w:rPr>
                <w:i w:val="0"/>
                <w:iCs w:val="0"/>
                <w:color w:val="000000"/>
                <w:sz w:val="21"/>
                <w:szCs w:val="21"/>
              </w:rPr>
            </w:pPr>
            <w:r>
              <w:rPr>
                <w:rFonts w:hint="eastAsia"/>
                <w:i w:val="0"/>
                <w:iCs w:val="0"/>
                <w:color w:val="000000"/>
                <w:sz w:val="21"/>
                <w:szCs w:val="21"/>
              </w:rPr>
              <w:t>主要噪声源</w:t>
            </w:r>
          </w:p>
        </w:tc>
        <w:tc>
          <w:tcPr>
            <w:tcW w:w="3002" w:type="dxa"/>
            <w:tcBorders>
              <w:top w:val="single" w:color="auto" w:sz="12" w:space="0"/>
              <w:right w:val="nil"/>
            </w:tcBorders>
            <w:noWrap w:val="0"/>
            <w:vAlign w:val="center"/>
          </w:tcPr>
          <w:p>
            <w:pPr>
              <w:adjustRightInd w:val="0"/>
              <w:snapToGrid w:val="0"/>
              <w:jc w:val="center"/>
              <w:rPr>
                <w:i w:val="0"/>
                <w:iCs w:val="0"/>
                <w:color w:val="000000"/>
                <w:sz w:val="21"/>
                <w:szCs w:val="21"/>
              </w:rPr>
            </w:pPr>
            <w:r>
              <w:rPr>
                <w:rFonts w:hint="eastAsia"/>
                <w:i w:val="0"/>
                <w:iCs w:val="0"/>
                <w:color w:val="000000"/>
                <w:sz w:val="21"/>
                <w:szCs w:val="21"/>
              </w:rPr>
              <w:t>声功率级</w:t>
            </w:r>
            <w:r>
              <w:rPr>
                <w:i w:val="0"/>
                <w:iCs w:val="0"/>
                <w:color w:val="000000"/>
                <w:sz w:val="21"/>
                <w:szCs w:val="21"/>
              </w:rPr>
              <w:t>dB</w:t>
            </w:r>
            <w:r>
              <w:rPr>
                <w:rFonts w:hint="eastAsia"/>
                <w:i w:val="0"/>
                <w:iCs w:val="0"/>
                <w:color w:val="000000"/>
                <w:sz w:val="21"/>
                <w:szCs w:val="21"/>
              </w:rPr>
              <w:t>（</w:t>
            </w:r>
            <w:r>
              <w:rPr>
                <w:i w:val="0"/>
                <w:iCs w:val="0"/>
                <w:color w:val="000000"/>
                <w:sz w:val="21"/>
                <w:szCs w:val="21"/>
              </w:rPr>
              <w:t>A</w:t>
            </w:r>
            <w:r>
              <w:rPr>
                <w:rFonts w:hint="eastAsia"/>
                <w:i w:val="0"/>
                <w:iCs w:val="0"/>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8" w:type="dxa"/>
            <w:tcBorders>
              <w:left w:val="nil"/>
            </w:tcBorders>
            <w:noWrap w:val="0"/>
            <w:vAlign w:val="center"/>
          </w:tcPr>
          <w:p>
            <w:pPr>
              <w:adjustRightInd w:val="0"/>
              <w:snapToGrid w:val="0"/>
              <w:jc w:val="center"/>
              <w:rPr>
                <w:i w:val="0"/>
                <w:iCs w:val="0"/>
                <w:color w:val="000000"/>
                <w:sz w:val="21"/>
                <w:szCs w:val="21"/>
              </w:rPr>
            </w:pPr>
            <w:r>
              <w:rPr>
                <w:rFonts w:hint="eastAsia"/>
                <w:i w:val="0"/>
                <w:iCs w:val="0"/>
                <w:color w:val="000000"/>
                <w:sz w:val="21"/>
                <w:szCs w:val="21"/>
              </w:rPr>
              <w:t>土石方阶段</w:t>
            </w:r>
          </w:p>
        </w:tc>
        <w:tc>
          <w:tcPr>
            <w:tcW w:w="3473" w:type="dxa"/>
            <w:noWrap w:val="0"/>
            <w:vAlign w:val="center"/>
          </w:tcPr>
          <w:p>
            <w:pPr>
              <w:adjustRightInd w:val="0"/>
              <w:snapToGrid w:val="0"/>
              <w:jc w:val="center"/>
              <w:rPr>
                <w:i w:val="0"/>
                <w:iCs w:val="0"/>
                <w:color w:val="000000"/>
                <w:sz w:val="21"/>
                <w:szCs w:val="21"/>
              </w:rPr>
            </w:pPr>
            <w:r>
              <w:rPr>
                <w:rFonts w:hint="eastAsia"/>
                <w:i w:val="0"/>
                <w:iCs w:val="0"/>
                <w:color w:val="000000"/>
                <w:sz w:val="21"/>
                <w:szCs w:val="21"/>
              </w:rPr>
              <w:t>推土机、挖掘机等</w:t>
            </w:r>
          </w:p>
        </w:tc>
        <w:tc>
          <w:tcPr>
            <w:tcW w:w="3002" w:type="dxa"/>
            <w:tcBorders>
              <w:right w:val="nil"/>
            </w:tcBorders>
            <w:noWrap w:val="0"/>
            <w:vAlign w:val="center"/>
          </w:tcPr>
          <w:p>
            <w:pPr>
              <w:adjustRightInd w:val="0"/>
              <w:snapToGrid w:val="0"/>
              <w:jc w:val="center"/>
              <w:rPr>
                <w:i w:val="0"/>
                <w:iCs w:val="0"/>
                <w:color w:val="000000"/>
                <w:sz w:val="21"/>
                <w:szCs w:val="21"/>
              </w:rPr>
            </w:pPr>
            <w:r>
              <w:rPr>
                <w:rFonts w:hint="eastAsia"/>
                <w:i w:val="0"/>
                <w:iCs w:val="0"/>
                <w:color w:val="000000"/>
                <w:sz w:val="21"/>
                <w:szCs w:val="21"/>
              </w:rPr>
              <w:t>100~110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8" w:type="dxa"/>
            <w:tcBorders>
              <w:left w:val="nil"/>
            </w:tcBorders>
            <w:noWrap w:val="0"/>
            <w:vAlign w:val="center"/>
          </w:tcPr>
          <w:p>
            <w:pPr>
              <w:adjustRightInd w:val="0"/>
              <w:snapToGrid w:val="0"/>
              <w:jc w:val="center"/>
              <w:rPr>
                <w:i w:val="0"/>
                <w:iCs w:val="0"/>
                <w:color w:val="000000"/>
                <w:sz w:val="21"/>
                <w:szCs w:val="21"/>
              </w:rPr>
            </w:pPr>
            <w:r>
              <w:rPr>
                <w:rFonts w:hint="eastAsia"/>
                <w:i w:val="0"/>
                <w:iCs w:val="0"/>
                <w:color w:val="000000"/>
                <w:sz w:val="21"/>
                <w:szCs w:val="21"/>
              </w:rPr>
              <w:t>基础阶段</w:t>
            </w:r>
          </w:p>
        </w:tc>
        <w:tc>
          <w:tcPr>
            <w:tcW w:w="3473" w:type="dxa"/>
            <w:noWrap w:val="0"/>
            <w:vAlign w:val="center"/>
          </w:tcPr>
          <w:p>
            <w:pPr>
              <w:adjustRightInd w:val="0"/>
              <w:snapToGrid w:val="0"/>
              <w:jc w:val="center"/>
              <w:rPr>
                <w:i w:val="0"/>
                <w:iCs w:val="0"/>
                <w:color w:val="000000"/>
                <w:sz w:val="21"/>
                <w:szCs w:val="21"/>
              </w:rPr>
            </w:pPr>
            <w:r>
              <w:rPr>
                <w:rFonts w:hint="eastAsia"/>
                <w:i w:val="0"/>
                <w:iCs w:val="0"/>
                <w:color w:val="000000"/>
                <w:sz w:val="21"/>
                <w:szCs w:val="21"/>
              </w:rPr>
              <w:t>各种打桩机等</w:t>
            </w:r>
          </w:p>
        </w:tc>
        <w:tc>
          <w:tcPr>
            <w:tcW w:w="3002" w:type="dxa"/>
            <w:tcBorders>
              <w:right w:val="nil"/>
            </w:tcBorders>
            <w:noWrap w:val="0"/>
            <w:vAlign w:val="center"/>
          </w:tcPr>
          <w:p>
            <w:pPr>
              <w:adjustRightInd w:val="0"/>
              <w:snapToGrid w:val="0"/>
              <w:jc w:val="center"/>
              <w:rPr>
                <w:i w:val="0"/>
                <w:iCs w:val="0"/>
                <w:color w:val="000000"/>
                <w:sz w:val="21"/>
                <w:szCs w:val="21"/>
              </w:rPr>
            </w:pPr>
            <w:r>
              <w:rPr>
                <w:rFonts w:hint="eastAsia"/>
                <w:i w:val="0"/>
                <w:iCs w:val="0"/>
                <w:color w:val="000000"/>
                <w:sz w:val="21"/>
                <w:szCs w:val="21"/>
              </w:rPr>
              <w:t>120~135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8" w:type="dxa"/>
            <w:tcBorders>
              <w:left w:val="nil"/>
            </w:tcBorders>
            <w:noWrap w:val="0"/>
            <w:vAlign w:val="center"/>
          </w:tcPr>
          <w:p>
            <w:pPr>
              <w:adjustRightInd w:val="0"/>
              <w:snapToGrid w:val="0"/>
              <w:jc w:val="center"/>
              <w:rPr>
                <w:i w:val="0"/>
                <w:iCs w:val="0"/>
                <w:color w:val="000000"/>
                <w:sz w:val="21"/>
                <w:szCs w:val="21"/>
              </w:rPr>
            </w:pPr>
            <w:r>
              <w:rPr>
                <w:rFonts w:hint="eastAsia"/>
                <w:i w:val="0"/>
                <w:iCs w:val="0"/>
                <w:color w:val="000000"/>
                <w:sz w:val="21"/>
                <w:szCs w:val="21"/>
              </w:rPr>
              <w:t>结构阶段</w:t>
            </w:r>
          </w:p>
        </w:tc>
        <w:tc>
          <w:tcPr>
            <w:tcW w:w="3473" w:type="dxa"/>
            <w:noWrap w:val="0"/>
            <w:vAlign w:val="center"/>
          </w:tcPr>
          <w:p>
            <w:pPr>
              <w:adjustRightInd w:val="0"/>
              <w:snapToGrid w:val="0"/>
              <w:jc w:val="center"/>
              <w:rPr>
                <w:i w:val="0"/>
                <w:iCs w:val="0"/>
                <w:color w:val="000000"/>
                <w:sz w:val="21"/>
                <w:szCs w:val="21"/>
              </w:rPr>
            </w:pPr>
            <w:r>
              <w:rPr>
                <w:rFonts w:hint="eastAsia"/>
                <w:i w:val="0"/>
                <w:iCs w:val="0"/>
                <w:color w:val="000000"/>
                <w:sz w:val="21"/>
                <w:szCs w:val="21"/>
              </w:rPr>
              <w:t>各类混凝土搅拌机</w:t>
            </w:r>
          </w:p>
          <w:p>
            <w:pPr>
              <w:adjustRightInd w:val="0"/>
              <w:snapToGrid w:val="0"/>
              <w:jc w:val="center"/>
              <w:rPr>
                <w:i w:val="0"/>
                <w:iCs w:val="0"/>
                <w:color w:val="000000"/>
                <w:sz w:val="21"/>
                <w:szCs w:val="21"/>
              </w:rPr>
            </w:pPr>
            <w:r>
              <w:rPr>
                <w:rFonts w:hint="eastAsia"/>
                <w:i w:val="0"/>
                <w:iCs w:val="0"/>
                <w:color w:val="000000"/>
                <w:sz w:val="21"/>
                <w:szCs w:val="21"/>
              </w:rPr>
              <w:t>混凝土振捣棒</w:t>
            </w:r>
          </w:p>
        </w:tc>
        <w:tc>
          <w:tcPr>
            <w:tcW w:w="3002" w:type="dxa"/>
            <w:tcBorders>
              <w:right w:val="nil"/>
            </w:tcBorders>
            <w:noWrap w:val="0"/>
            <w:vAlign w:val="center"/>
          </w:tcPr>
          <w:p>
            <w:pPr>
              <w:adjustRightInd w:val="0"/>
              <w:snapToGrid w:val="0"/>
              <w:jc w:val="center"/>
              <w:rPr>
                <w:i w:val="0"/>
                <w:iCs w:val="0"/>
                <w:color w:val="000000"/>
                <w:sz w:val="21"/>
                <w:szCs w:val="21"/>
              </w:rPr>
            </w:pPr>
            <w:r>
              <w:rPr>
                <w:rFonts w:hint="eastAsia"/>
                <w:i w:val="0"/>
                <w:iCs w:val="0"/>
                <w:color w:val="000000"/>
                <w:sz w:val="21"/>
                <w:szCs w:val="21"/>
              </w:rPr>
              <w:t>100~110</w:t>
            </w:r>
          </w:p>
          <w:p>
            <w:pPr>
              <w:adjustRightInd w:val="0"/>
              <w:snapToGrid w:val="0"/>
              <w:jc w:val="center"/>
              <w:rPr>
                <w:i w:val="0"/>
                <w:iCs w:val="0"/>
                <w:color w:val="000000"/>
                <w:sz w:val="21"/>
                <w:szCs w:val="21"/>
              </w:rPr>
            </w:pPr>
            <w:r>
              <w:rPr>
                <w:rFonts w:hint="eastAsia"/>
                <w:i w:val="0"/>
                <w:iCs w:val="0"/>
                <w:color w:val="000000"/>
                <w:sz w:val="21"/>
                <w:szCs w:val="21"/>
              </w:rPr>
              <w:t>95~105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8" w:type="dxa"/>
            <w:tcBorders>
              <w:left w:val="nil"/>
              <w:bottom w:val="single" w:color="auto" w:sz="12" w:space="0"/>
            </w:tcBorders>
            <w:noWrap w:val="0"/>
            <w:vAlign w:val="center"/>
          </w:tcPr>
          <w:p>
            <w:pPr>
              <w:adjustRightInd w:val="0"/>
              <w:snapToGrid w:val="0"/>
              <w:jc w:val="center"/>
              <w:rPr>
                <w:i w:val="0"/>
                <w:iCs w:val="0"/>
                <w:color w:val="000000"/>
                <w:sz w:val="21"/>
                <w:szCs w:val="21"/>
              </w:rPr>
            </w:pPr>
            <w:r>
              <w:rPr>
                <w:rFonts w:hint="eastAsia"/>
                <w:i w:val="0"/>
                <w:iCs w:val="0"/>
                <w:color w:val="000000"/>
                <w:sz w:val="21"/>
                <w:szCs w:val="21"/>
              </w:rPr>
              <w:t>装修阶段</w:t>
            </w:r>
          </w:p>
        </w:tc>
        <w:tc>
          <w:tcPr>
            <w:tcW w:w="3473" w:type="dxa"/>
            <w:tcBorders>
              <w:bottom w:val="single" w:color="auto" w:sz="12" w:space="0"/>
            </w:tcBorders>
            <w:noWrap w:val="0"/>
            <w:vAlign w:val="center"/>
          </w:tcPr>
          <w:p>
            <w:pPr>
              <w:adjustRightInd w:val="0"/>
              <w:snapToGrid w:val="0"/>
              <w:jc w:val="center"/>
              <w:rPr>
                <w:i w:val="0"/>
                <w:iCs w:val="0"/>
                <w:color w:val="000000"/>
                <w:sz w:val="21"/>
                <w:szCs w:val="21"/>
              </w:rPr>
            </w:pPr>
            <w:r>
              <w:rPr>
                <w:rFonts w:hint="eastAsia"/>
                <w:i w:val="0"/>
                <w:iCs w:val="0"/>
                <w:color w:val="000000"/>
                <w:sz w:val="21"/>
                <w:szCs w:val="21"/>
              </w:rPr>
              <w:t>无长时间操作的偶发声源</w:t>
            </w:r>
          </w:p>
        </w:tc>
        <w:tc>
          <w:tcPr>
            <w:tcW w:w="3002" w:type="dxa"/>
            <w:tcBorders>
              <w:bottom w:val="single" w:color="auto" w:sz="12" w:space="0"/>
              <w:right w:val="nil"/>
            </w:tcBorders>
            <w:noWrap w:val="0"/>
            <w:vAlign w:val="center"/>
          </w:tcPr>
          <w:p>
            <w:pPr>
              <w:adjustRightInd w:val="0"/>
              <w:snapToGrid w:val="0"/>
              <w:jc w:val="center"/>
              <w:rPr>
                <w:i w:val="0"/>
                <w:iCs w:val="0"/>
                <w:color w:val="000000"/>
                <w:sz w:val="21"/>
                <w:szCs w:val="21"/>
              </w:rPr>
            </w:pPr>
            <w:r>
              <w:rPr>
                <w:rFonts w:hint="eastAsia"/>
                <w:i w:val="0"/>
                <w:iCs w:val="0"/>
                <w:color w:val="000000"/>
                <w:sz w:val="21"/>
                <w:szCs w:val="21"/>
              </w:rPr>
              <w:t>85~90</w:t>
            </w:r>
          </w:p>
        </w:tc>
      </w:tr>
    </w:tbl>
    <w:p>
      <w:pPr>
        <w:spacing w:line="360" w:lineRule="auto"/>
        <w:ind w:firstLine="480" w:firstLineChars="200"/>
        <w:rPr>
          <w:i w:val="0"/>
          <w:iCs w:val="0"/>
        </w:rPr>
      </w:pPr>
      <w:r>
        <w:rPr>
          <w:rFonts w:hint="eastAsia"/>
          <w:i w:val="0"/>
          <w:iCs w:val="0"/>
        </w:rPr>
        <w:t>由</w:t>
      </w:r>
      <w:r>
        <w:rPr>
          <w:i w:val="0"/>
          <w:iCs w:val="0"/>
        </w:rPr>
        <w:t>上表</w:t>
      </w:r>
      <w:r>
        <w:rPr>
          <w:rFonts w:hint="eastAsia"/>
          <w:i w:val="0"/>
          <w:iCs w:val="0"/>
        </w:rPr>
        <w:t>可以看出，施工现场机械设备噪声值较高，在实际施工过程中，往往各种机械同时工作，各种噪声源辐射相关叠加，噪声级会更高，辐射面也会增大。</w:t>
      </w:r>
    </w:p>
    <w:p>
      <w:pPr>
        <w:spacing w:line="360" w:lineRule="auto"/>
        <w:ind w:firstLine="480" w:firstLineChars="200"/>
        <w:rPr>
          <w:i w:val="0"/>
          <w:iCs w:val="0"/>
        </w:rPr>
      </w:pPr>
      <w:r>
        <w:rPr>
          <w:rFonts w:hint="eastAsia"/>
          <w:i w:val="0"/>
          <w:iCs w:val="0"/>
        </w:rPr>
        <w:t>2、施工机械设备噪声影响预测分析</w:t>
      </w:r>
    </w:p>
    <w:p>
      <w:pPr>
        <w:spacing w:line="360" w:lineRule="auto"/>
        <w:ind w:firstLine="480" w:firstLineChars="200"/>
        <w:rPr>
          <w:rFonts w:hint="eastAsia"/>
          <w:i w:val="0"/>
          <w:iCs w:val="0"/>
        </w:rPr>
      </w:pPr>
      <w:r>
        <w:rPr>
          <w:rFonts w:hint="eastAsia"/>
          <w:i w:val="0"/>
          <w:iCs w:val="0"/>
        </w:rPr>
        <w:t>施工噪声源可视为点声源。根据点声源噪声衰减模式，可估算出施工期间距声源不同距离处的噪声值。由于本项目施工机械产生的噪声主要属中低频噪声，因此在预测其影响时可只考虑其扩散衰减，预测模型可选用：</w:t>
      </w:r>
    </w:p>
    <w:p>
      <w:pPr>
        <w:spacing w:line="360" w:lineRule="auto"/>
        <w:ind w:firstLine="480" w:firstLineChars="200"/>
        <w:rPr>
          <w:i w:val="0"/>
          <w:iCs w:val="0"/>
        </w:rPr>
      </w:pPr>
      <m:oMath>
        <m:sSub>
          <m:sSubPr>
            <m:ctrlPr>
              <w:rPr>
                <w:rFonts w:hint="default" w:ascii="Cambria Math" w:hAnsi="Cambria Math" w:eastAsia="宋体" w:cs="Times New Roman"/>
                <w:i w:val="0"/>
                <w:iCs w:val="0"/>
                <w:color w:val="000000"/>
                <w:kern w:val="2"/>
                <w:sz w:val="24"/>
                <w:szCs w:val="24"/>
                <w:lang w:val="en-US" w:eastAsia="zh-CN" w:bidi="ar-SA"/>
              </w:rPr>
            </m:ctrlPr>
          </m:sSubPr>
          <m:e>
            <m:r>
              <m:rPr>
                <m:nor/>
                <m:sty m:val="p"/>
              </m:rPr>
              <w:rPr>
                <w:rFonts w:hint="default" w:ascii="Cambria Math" w:hAnsi="Cambria Math" w:eastAsia="宋体" w:cs="Times New Roman"/>
                <w:b w:val="0"/>
                <w:i w:val="0"/>
                <w:iCs w:val="0"/>
                <w:color w:val="000000"/>
                <w:kern w:val="2"/>
                <w:sz w:val="24"/>
                <w:szCs w:val="24"/>
                <w:lang w:val="en-US" w:eastAsia="zh-CN" w:bidi="ar-SA"/>
              </w:rPr>
              <m:t>L</m:t>
            </m:r>
            <m:ctrlPr>
              <w:rPr>
                <w:rFonts w:hint="default" w:ascii="Cambria Math" w:hAnsi="Cambria Math" w:eastAsia="宋体" w:cs="Times New Roman"/>
                <w:i w:val="0"/>
                <w:iCs w:val="0"/>
                <w:color w:val="000000"/>
                <w:kern w:val="2"/>
                <w:sz w:val="24"/>
                <w:szCs w:val="24"/>
                <w:lang w:val="en-US" w:eastAsia="zh-CN" w:bidi="ar-SA"/>
              </w:rPr>
            </m:ctrlPr>
          </m:e>
          <m:sub>
            <m:r>
              <m:rPr>
                <m:nor/>
                <m:sty m:val="p"/>
              </m:rPr>
              <w:rPr>
                <w:rFonts w:hint="default" w:ascii="Cambria Math" w:hAnsi="Cambria Math" w:eastAsia="宋体" w:cs="Times New Roman"/>
                <w:b w:val="0"/>
                <w:i w:val="0"/>
                <w:iCs w:val="0"/>
                <w:color w:val="000000"/>
                <w:kern w:val="2"/>
                <w:sz w:val="24"/>
                <w:szCs w:val="24"/>
                <w:lang w:val="en-US" w:eastAsia="zh-CN" w:bidi="ar-SA"/>
              </w:rPr>
              <m:t>2</m:t>
            </m:r>
            <m:ctrlPr>
              <w:rPr>
                <w:rFonts w:hint="default" w:ascii="Cambria Math" w:hAnsi="Cambria Math" w:eastAsia="宋体" w:cs="Times New Roman"/>
                <w:i w:val="0"/>
                <w:iCs w:val="0"/>
                <w:color w:val="000000"/>
                <w:kern w:val="2"/>
                <w:sz w:val="24"/>
                <w:szCs w:val="24"/>
                <w:lang w:val="en-US" w:eastAsia="zh-CN" w:bidi="ar-SA"/>
              </w:rPr>
            </m:ctrlPr>
          </m:sub>
        </m:sSub>
        <m:r>
          <m:rPr>
            <m:nor/>
            <m:sty m:val="p"/>
          </m:rPr>
          <w:rPr>
            <w:rFonts w:hint="default" w:ascii="Cambria Math" w:hAnsi="Cambria Math" w:eastAsia="宋体" w:cs="Times New Roman"/>
            <w:b w:val="0"/>
            <w:i w:val="0"/>
            <w:iCs w:val="0"/>
            <w:color w:val="000000"/>
            <w:kern w:val="2"/>
            <w:sz w:val="24"/>
            <w:szCs w:val="24"/>
            <w:lang w:val="en-US" w:eastAsia="zh-CN" w:bidi="ar-SA"/>
          </w:rPr>
          <m:t>=</m:t>
        </m:r>
        <m:sSub>
          <m:sSubPr>
            <m:ctrlPr>
              <w:rPr>
                <w:rFonts w:hint="default" w:ascii="Cambria Math" w:hAnsi="Cambria Math" w:eastAsia="宋体" w:cs="Times New Roman"/>
                <w:i w:val="0"/>
                <w:iCs w:val="0"/>
                <w:color w:val="000000"/>
                <w:kern w:val="2"/>
                <w:sz w:val="24"/>
                <w:szCs w:val="24"/>
                <w:lang w:val="en-US" w:eastAsia="zh-CN" w:bidi="ar-SA"/>
              </w:rPr>
            </m:ctrlPr>
          </m:sSubPr>
          <m:e>
            <m:r>
              <m:rPr>
                <m:nor/>
                <m:sty m:val="p"/>
              </m:rPr>
              <w:rPr>
                <w:rFonts w:hint="default" w:ascii="Cambria Math" w:hAnsi="Cambria Math" w:eastAsia="宋体" w:cs="Times New Roman"/>
                <w:b w:val="0"/>
                <w:i w:val="0"/>
                <w:iCs w:val="0"/>
                <w:color w:val="000000"/>
                <w:kern w:val="2"/>
                <w:sz w:val="24"/>
                <w:szCs w:val="24"/>
                <w:lang w:val="en-US" w:eastAsia="zh-CN" w:bidi="ar-SA"/>
              </w:rPr>
              <m:t>L</m:t>
            </m:r>
            <m:ctrlPr>
              <w:rPr>
                <w:rFonts w:hint="default" w:ascii="Cambria Math" w:hAnsi="Cambria Math" w:eastAsia="宋体" w:cs="Times New Roman"/>
                <w:i w:val="0"/>
                <w:iCs w:val="0"/>
                <w:color w:val="000000"/>
                <w:kern w:val="2"/>
                <w:sz w:val="24"/>
                <w:szCs w:val="24"/>
                <w:lang w:val="en-US" w:eastAsia="zh-CN" w:bidi="ar-SA"/>
              </w:rPr>
            </m:ctrlPr>
          </m:e>
          <m:sub>
            <m:r>
              <m:rPr>
                <m:nor/>
                <m:sty m:val="p"/>
              </m:rPr>
              <w:rPr>
                <w:rFonts w:hint="default" w:ascii="Cambria Math" w:hAnsi="Cambria Math" w:eastAsia="宋体" w:cs="Times New Roman"/>
                <w:b w:val="0"/>
                <w:i w:val="0"/>
                <w:iCs w:val="0"/>
                <w:color w:val="000000"/>
                <w:kern w:val="2"/>
                <w:sz w:val="24"/>
                <w:szCs w:val="24"/>
                <w:lang w:val="en-US" w:eastAsia="zh-CN" w:bidi="ar-SA"/>
              </w:rPr>
              <m:t>1</m:t>
            </m:r>
            <m:ctrlPr>
              <w:rPr>
                <w:rFonts w:hint="default" w:ascii="Cambria Math" w:hAnsi="Cambria Math" w:eastAsia="宋体" w:cs="Times New Roman"/>
                <w:i w:val="0"/>
                <w:iCs w:val="0"/>
                <w:color w:val="000000"/>
                <w:kern w:val="2"/>
                <w:sz w:val="24"/>
                <w:szCs w:val="24"/>
                <w:lang w:val="en-US" w:eastAsia="zh-CN" w:bidi="ar-SA"/>
              </w:rPr>
            </m:ctrlPr>
          </m:sub>
        </m:sSub>
        <m:r>
          <m:rPr>
            <m:nor/>
            <m:sty m:val="p"/>
          </m:rPr>
          <w:rPr>
            <w:rFonts w:hint="default" w:ascii="Cambria Math" w:hAnsi="Cambria Math" w:eastAsia="宋体" w:cs="Times New Roman"/>
            <w:b w:val="0"/>
            <w:i w:val="0"/>
            <w:iCs w:val="0"/>
            <w:color w:val="000000"/>
            <w:kern w:val="2"/>
            <w:sz w:val="24"/>
            <w:szCs w:val="24"/>
            <w:lang w:val="en-US" w:eastAsia="zh-CN" w:bidi="ar-SA"/>
          </w:rPr>
          <m:t>-20lg</m:t>
        </m:r>
        <m:f>
          <m:fPr>
            <m:ctrlPr>
              <w:rPr>
                <w:rFonts w:hint="default" w:ascii="Cambria Math" w:hAnsi="Cambria Math" w:eastAsia="宋体" w:cs="Times New Roman"/>
                <w:i w:val="0"/>
                <w:iCs w:val="0"/>
                <w:color w:val="000000"/>
                <w:kern w:val="2"/>
                <w:sz w:val="24"/>
                <w:szCs w:val="24"/>
                <w:lang w:val="en-US" w:eastAsia="zh-CN" w:bidi="ar-SA"/>
              </w:rPr>
            </m:ctrlPr>
          </m:fPr>
          <m:num>
            <m:sSub>
              <m:sSubPr>
                <m:ctrlPr>
                  <w:rPr>
                    <w:rFonts w:hint="default" w:ascii="Cambria Math" w:hAnsi="Cambria Math" w:eastAsia="宋体" w:cs="Times New Roman"/>
                    <w:i w:val="0"/>
                    <w:iCs w:val="0"/>
                    <w:color w:val="000000"/>
                    <w:kern w:val="2"/>
                    <w:sz w:val="24"/>
                    <w:szCs w:val="24"/>
                    <w:lang w:val="en-US" w:eastAsia="zh-CN" w:bidi="ar-SA"/>
                  </w:rPr>
                </m:ctrlPr>
              </m:sSubPr>
              <m:e>
                <m:r>
                  <m:rPr>
                    <m:nor/>
                    <m:sty m:val="p"/>
                  </m:rPr>
                  <w:rPr>
                    <w:rFonts w:hint="default" w:ascii="Cambria Math" w:hAnsi="Cambria Math" w:eastAsia="宋体" w:cs="Times New Roman"/>
                    <w:b w:val="0"/>
                    <w:i w:val="0"/>
                    <w:iCs w:val="0"/>
                    <w:color w:val="000000"/>
                    <w:kern w:val="2"/>
                    <w:sz w:val="24"/>
                    <w:szCs w:val="24"/>
                    <w:lang w:val="en-US" w:eastAsia="zh-CN" w:bidi="ar-SA"/>
                  </w:rPr>
                  <m:t>r</m:t>
                </m:r>
                <m:ctrlPr>
                  <w:rPr>
                    <w:rFonts w:hint="default" w:ascii="Cambria Math" w:hAnsi="Cambria Math" w:eastAsia="宋体" w:cs="Times New Roman"/>
                    <w:i w:val="0"/>
                    <w:iCs w:val="0"/>
                    <w:color w:val="000000"/>
                    <w:kern w:val="2"/>
                    <w:sz w:val="24"/>
                    <w:szCs w:val="24"/>
                    <w:lang w:val="en-US" w:eastAsia="zh-CN" w:bidi="ar-SA"/>
                  </w:rPr>
                </m:ctrlPr>
              </m:e>
              <m:sub>
                <m:r>
                  <m:rPr>
                    <m:nor/>
                    <m:sty m:val="p"/>
                  </m:rPr>
                  <w:rPr>
                    <w:rFonts w:hint="default" w:ascii="Cambria Math" w:hAnsi="Cambria Math" w:eastAsia="宋体" w:cs="Times New Roman"/>
                    <w:b w:val="0"/>
                    <w:i w:val="0"/>
                    <w:iCs w:val="0"/>
                    <w:color w:val="000000"/>
                    <w:kern w:val="2"/>
                    <w:sz w:val="24"/>
                    <w:szCs w:val="24"/>
                    <w:lang w:val="en-US" w:eastAsia="zh-CN" w:bidi="ar-SA"/>
                  </w:rPr>
                  <m:t>2</m:t>
                </m:r>
                <m:ctrlPr>
                  <w:rPr>
                    <w:rFonts w:hint="default" w:ascii="Cambria Math" w:hAnsi="Cambria Math" w:eastAsia="宋体" w:cs="Times New Roman"/>
                    <w:i w:val="0"/>
                    <w:iCs w:val="0"/>
                    <w:color w:val="000000"/>
                    <w:kern w:val="2"/>
                    <w:sz w:val="24"/>
                    <w:szCs w:val="24"/>
                    <w:lang w:val="en-US" w:eastAsia="zh-CN" w:bidi="ar-SA"/>
                  </w:rPr>
                </m:ctrlPr>
              </m:sub>
            </m:sSub>
            <m:ctrlPr>
              <w:rPr>
                <w:rFonts w:hint="default" w:ascii="Cambria Math" w:hAnsi="Cambria Math" w:eastAsia="宋体" w:cs="Times New Roman"/>
                <w:i w:val="0"/>
                <w:iCs w:val="0"/>
                <w:color w:val="000000"/>
                <w:kern w:val="2"/>
                <w:sz w:val="24"/>
                <w:szCs w:val="24"/>
                <w:lang w:val="en-US" w:eastAsia="zh-CN" w:bidi="ar-SA"/>
              </w:rPr>
            </m:ctrlPr>
          </m:num>
          <m:den>
            <m:sSub>
              <m:sSubPr>
                <m:ctrlPr>
                  <w:rPr>
                    <w:rFonts w:hint="default" w:ascii="Cambria Math" w:hAnsi="Cambria Math" w:eastAsia="宋体" w:cs="Times New Roman"/>
                    <w:i w:val="0"/>
                    <w:iCs w:val="0"/>
                    <w:color w:val="000000"/>
                    <w:kern w:val="2"/>
                    <w:sz w:val="24"/>
                    <w:szCs w:val="24"/>
                    <w:lang w:val="en-US" w:eastAsia="zh-CN" w:bidi="ar-SA"/>
                  </w:rPr>
                </m:ctrlPr>
              </m:sSubPr>
              <m:e>
                <m:r>
                  <m:rPr>
                    <m:nor/>
                    <m:sty m:val="p"/>
                  </m:rPr>
                  <w:rPr>
                    <w:rFonts w:hint="default" w:ascii="Cambria Math" w:hAnsi="Cambria Math" w:eastAsia="宋体" w:cs="Times New Roman"/>
                    <w:b w:val="0"/>
                    <w:i w:val="0"/>
                    <w:iCs w:val="0"/>
                    <w:color w:val="000000"/>
                    <w:kern w:val="2"/>
                    <w:sz w:val="24"/>
                    <w:szCs w:val="24"/>
                    <w:lang w:val="en-US" w:eastAsia="zh-CN" w:bidi="ar-SA"/>
                  </w:rPr>
                  <m:t>r</m:t>
                </m:r>
                <m:ctrlPr>
                  <w:rPr>
                    <w:rFonts w:hint="default" w:ascii="Cambria Math" w:hAnsi="Cambria Math" w:eastAsia="宋体" w:cs="Times New Roman"/>
                    <w:i w:val="0"/>
                    <w:iCs w:val="0"/>
                    <w:color w:val="000000"/>
                    <w:kern w:val="2"/>
                    <w:sz w:val="24"/>
                    <w:szCs w:val="24"/>
                    <w:lang w:val="en-US" w:eastAsia="zh-CN" w:bidi="ar-SA"/>
                  </w:rPr>
                </m:ctrlPr>
              </m:e>
              <m:sub>
                <m:r>
                  <m:rPr>
                    <m:nor/>
                    <m:sty m:val="p"/>
                  </m:rPr>
                  <w:rPr>
                    <w:rFonts w:hint="default" w:ascii="Cambria Math" w:hAnsi="Cambria Math" w:eastAsia="宋体" w:cs="Times New Roman"/>
                    <w:b w:val="0"/>
                    <w:i w:val="0"/>
                    <w:iCs w:val="0"/>
                    <w:color w:val="000000"/>
                    <w:kern w:val="2"/>
                    <w:sz w:val="24"/>
                    <w:szCs w:val="24"/>
                    <w:lang w:val="en-US" w:eastAsia="zh-CN" w:bidi="ar-SA"/>
                  </w:rPr>
                  <m:t>1</m:t>
                </m:r>
                <m:ctrlPr>
                  <w:rPr>
                    <w:rFonts w:hint="default" w:ascii="Cambria Math" w:hAnsi="Cambria Math" w:eastAsia="宋体" w:cs="Times New Roman"/>
                    <w:i w:val="0"/>
                    <w:iCs w:val="0"/>
                    <w:color w:val="000000"/>
                    <w:kern w:val="2"/>
                    <w:sz w:val="24"/>
                    <w:szCs w:val="24"/>
                    <w:lang w:val="en-US" w:eastAsia="zh-CN" w:bidi="ar-SA"/>
                  </w:rPr>
                </m:ctrlPr>
              </m:sub>
            </m:sSub>
            <m:ctrlPr>
              <w:rPr>
                <w:rFonts w:hint="default" w:ascii="Cambria Math" w:hAnsi="Cambria Math" w:eastAsia="宋体" w:cs="Times New Roman"/>
                <w:i w:val="0"/>
                <w:iCs w:val="0"/>
                <w:color w:val="000000"/>
                <w:kern w:val="2"/>
                <w:sz w:val="24"/>
                <w:szCs w:val="24"/>
                <w:lang w:val="en-US" w:eastAsia="zh-CN" w:bidi="ar-SA"/>
              </w:rPr>
            </m:ctrlPr>
          </m:den>
        </m:f>
      </m:oMath>
      <w:r>
        <w:rPr>
          <w:i w:val="0"/>
          <w:iCs w:val="0"/>
        </w:rPr>
        <w:t>（</w:t>
      </w:r>
      <m:oMath>
        <m:sSub>
          <m:sSubPr>
            <m:ctrlPr>
              <w:rPr>
                <w:rFonts w:hint="default" w:ascii="Cambria Math" w:hAnsi="Cambria Math" w:eastAsia="宋体" w:cs="Times New Roman"/>
                <w:i w:val="0"/>
                <w:iCs w:val="0"/>
                <w:color w:val="000000"/>
                <w:kern w:val="2"/>
                <w:sz w:val="24"/>
                <w:szCs w:val="24"/>
                <w:lang w:val="en-US" w:eastAsia="zh-CN" w:bidi="ar-SA"/>
              </w:rPr>
            </m:ctrlPr>
          </m:sSubPr>
          <m:e>
            <m:r>
              <m:rPr>
                <m:nor/>
                <m:sty m:val="p"/>
              </m:rPr>
              <w:rPr>
                <w:rFonts w:hint="default" w:ascii="Cambria Math" w:hAnsi="Cambria Math" w:eastAsia="宋体" w:cs="Times New Roman"/>
                <w:b w:val="0"/>
                <w:i w:val="0"/>
                <w:iCs w:val="0"/>
                <w:color w:val="000000"/>
                <w:kern w:val="2"/>
                <w:sz w:val="24"/>
                <w:szCs w:val="24"/>
                <w:lang w:val="en-US" w:eastAsia="zh-CN" w:bidi="ar-SA"/>
              </w:rPr>
              <m:t>r</m:t>
            </m:r>
            <m:ctrlPr>
              <w:rPr>
                <w:rFonts w:hint="default" w:ascii="Cambria Math" w:hAnsi="Cambria Math" w:eastAsia="宋体" w:cs="Times New Roman"/>
                <w:i w:val="0"/>
                <w:iCs w:val="0"/>
                <w:color w:val="000000"/>
                <w:kern w:val="2"/>
                <w:sz w:val="24"/>
                <w:szCs w:val="24"/>
                <w:lang w:val="en-US" w:eastAsia="zh-CN" w:bidi="ar-SA"/>
              </w:rPr>
            </m:ctrlPr>
          </m:e>
          <m:sub>
            <m:r>
              <m:rPr>
                <m:nor/>
                <m:sty m:val="p"/>
              </m:rPr>
              <w:rPr>
                <w:rFonts w:hint="default" w:ascii="Cambria Math" w:hAnsi="Cambria Math" w:eastAsia="宋体" w:cs="Times New Roman"/>
                <w:b w:val="0"/>
                <w:i w:val="0"/>
                <w:iCs w:val="0"/>
                <w:color w:val="000000"/>
                <w:kern w:val="2"/>
                <w:sz w:val="24"/>
                <w:szCs w:val="24"/>
                <w:lang w:val="en-US" w:eastAsia="zh-CN" w:bidi="ar-SA"/>
              </w:rPr>
              <m:t>2</m:t>
            </m:r>
            <m:ctrlPr>
              <w:rPr>
                <w:rFonts w:hint="default" w:ascii="Cambria Math" w:hAnsi="Cambria Math" w:eastAsia="宋体" w:cs="Times New Roman"/>
                <w:i w:val="0"/>
                <w:iCs w:val="0"/>
                <w:color w:val="000000"/>
                <w:kern w:val="2"/>
                <w:sz w:val="24"/>
                <w:szCs w:val="24"/>
                <w:lang w:val="en-US" w:eastAsia="zh-CN" w:bidi="ar-SA"/>
              </w:rPr>
            </m:ctrlPr>
          </m:sub>
        </m:sSub>
        <m:r>
          <m:rPr>
            <m:sty m:val="p"/>
          </m:rPr>
          <w:rPr>
            <w:rFonts w:hint="default" w:ascii="Cambria Math" w:hAnsi="Cambria Math" w:eastAsia="宋体" w:cs="Times New Roman"/>
            <w:color w:val="000000"/>
            <w:kern w:val="2"/>
            <w:sz w:val="24"/>
            <w:szCs w:val="24"/>
            <w:lang w:val="en-US" w:eastAsia="zh-CN" w:bidi="ar-SA"/>
          </w:rPr>
          <m:t>&gt;</m:t>
        </m:r>
        <m:sSub>
          <m:sSubPr>
            <m:ctrlPr>
              <w:rPr>
                <w:rFonts w:hint="default" w:ascii="Cambria Math" w:hAnsi="Cambria Math" w:eastAsia="宋体" w:cs="Times New Roman"/>
                <w:i w:val="0"/>
                <w:iCs w:val="0"/>
                <w:color w:val="000000"/>
                <w:kern w:val="2"/>
                <w:sz w:val="24"/>
                <w:szCs w:val="24"/>
                <w:lang w:val="en-US" w:eastAsia="zh-CN" w:bidi="ar-SA"/>
              </w:rPr>
            </m:ctrlPr>
          </m:sSubPr>
          <m:e>
            <m:r>
              <m:rPr>
                <m:nor/>
                <m:sty m:val="p"/>
              </m:rPr>
              <w:rPr>
                <w:rFonts w:hint="default" w:ascii="Cambria Math" w:hAnsi="Cambria Math" w:eastAsia="宋体" w:cs="Times New Roman"/>
                <w:b w:val="0"/>
                <w:i w:val="0"/>
                <w:iCs w:val="0"/>
                <w:color w:val="000000"/>
                <w:kern w:val="2"/>
                <w:sz w:val="24"/>
                <w:szCs w:val="24"/>
                <w:lang w:val="en-US" w:eastAsia="zh-CN" w:bidi="ar-SA"/>
              </w:rPr>
              <m:t>r</m:t>
            </m:r>
            <m:ctrlPr>
              <w:rPr>
                <w:rFonts w:hint="default" w:ascii="Cambria Math" w:hAnsi="Cambria Math" w:eastAsia="宋体" w:cs="Times New Roman"/>
                <w:i w:val="0"/>
                <w:iCs w:val="0"/>
                <w:color w:val="000000"/>
                <w:kern w:val="2"/>
                <w:sz w:val="24"/>
                <w:szCs w:val="24"/>
                <w:lang w:val="en-US" w:eastAsia="zh-CN" w:bidi="ar-SA"/>
              </w:rPr>
            </m:ctrlPr>
          </m:e>
          <m:sub>
            <m:r>
              <m:rPr>
                <m:nor/>
                <m:sty m:val="p"/>
              </m:rPr>
              <w:rPr>
                <w:rFonts w:hint="default" w:ascii="Cambria Math" w:hAnsi="Cambria Math" w:eastAsia="宋体" w:cs="Times New Roman"/>
                <w:b w:val="0"/>
                <w:i w:val="0"/>
                <w:iCs w:val="0"/>
                <w:color w:val="000000"/>
                <w:kern w:val="2"/>
                <w:sz w:val="24"/>
                <w:szCs w:val="24"/>
                <w:lang w:val="en-US" w:eastAsia="zh-CN" w:bidi="ar-SA"/>
              </w:rPr>
              <m:t>1</m:t>
            </m:r>
            <m:ctrlPr>
              <w:rPr>
                <w:rFonts w:hint="default" w:ascii="Cambria Math" w:hAnsi="Cambria Math" w:eastAsia="宋体" w:cs="Times New Roman"/>
                <w:i w:val="0"/>
                <w:iCs w:val="0"/>
                <w:color w:val="000000"/>
                <w:kern w:val="2"/>
                <w:sz w:val="24"/>
                <w:szCs w:val="24"/>
                <w:lang w:val="en-US" w:eastAsia="zh-CN" w:bidi="ar-SA"/>
              </w:rPr>
            </m:ctrlPr>
          </m:sub>
        </m:sSub>
        <m:r>
          <m:rPr>
            <m:sty m:val="p"/>
          </m:rPr>
          <w:rPr>
            <w:rFonts w:hint="default" w:ascii="Cambria Math" w:hAnsi="Cambria Math" w:eastAsia="宋体" w:cs="Times New Roman"/>
            <w:color w:val="000000"/>
            <w:kern w:val="2"/>
            <w:sz w:val="24"/>
            <w:szCs w:val="24"/>
            <w:lang w:val="en-US" w:eastAsia="zh-CN" w:bidi="ar-SA"/>
          </w:rPr>
          <m:t>)</m:t>
        </m:r>
      </m:oMath>
    </w:p>
    <w:p>
      <w:pPr>
        <w:spacing w:line="360" w:lineRule="auto"/>
        <w:ind w:firstLine="480" w:firstLineChars="200"/>
        <w:rPr>
          <w:i w:val="0"/>
          <w:iCs w:val="0"/>
        </w:rPr>
      </w:pPr>
      <w:r>
        <w:rPr>
          <w:i w:val="0"/>
          <w:iCs w:val="0"/>
        </w:rPr>
        <w:t>式中：L1、L2分别为距声源</w:t>
      </w:r>
      <m:oMath>
        <m:sSub>
          <m:sSubPr>
            <m:ctrlPr>
              <w:rPr>
                <w:rFonts w:hint="default" w:ascii="Cambria Math" w:hAnsi="Cambria Math" w:eastAsia="宋体" w:cs="Times New Roman"/>
                <w:i w:val="0"/>
                <w:iCs w:val="0"/>
                <w:color w:val="000000"/>
                <w:kern w:val="2"/>
                <w:sz w:val="24"/>
                <w:szCs w:val="24"/>
                <w:lang w:val="en-US" w:eastAsia="zh-CN" w:bidi="ar-SA"/>
              </w:rPr>
            </m:ctrlPr>
          </m:sSubPr>
          <m:e>
            <m:r>
              <m:rPr>
                <m:nor/>
                <m:sty m:val="p"/>
              </m:rPr>
              <w:rPr>
                <w:rFonts w:hint="default" w:ascii="Cambria Math" w:hAnsi="Cambria Math" w:eastAsia="宋体" w:cs="Times New Roman"/>
                <w:b w:val="0"/>
                <w:i w:val="0"/>
                <w:iCs w:val="0"/>
                <w:color w:val="000000"/>
                <w:kern w:val="2"/>
                <w:sz w:val="24"/>
                <w:szCs w:val="24"/>
                <w:lang w:val="en-US" w:eastAsia="zh-CN" w:bidi="ar-SA"/>
              </w:rPr>
              <m:t>r</m:t>
            </m:r>
            <m:ctrlPr>
              <w:rPr>
                <w:rFonts w:hint="default" w:ascii="Cambria Math" w:hAnsi="Cambria Math" w:eastAsia="宋体" w:cs="Times New Roman"/>
                <w:i w:val="0"/>
                <w:iCs w:val="0"/>
                <w:color w:val="000000"/>
                <w:kern w:val="2"/>
                <w:sz w:val="24"/>
                <w:szCs w:val="24"/>
                <w:lang w:val="en-US" w:eastAsia="zh-CN" w:bidi="ar-SA"/>
              </w:rPr>
            </m:ctrlPr>
          </m:e>
          <m:sub>
            <m:r>
              <m:rPr>
                <m:nor/>
                <m:sty m:val="p"/>
              </m:rPr>
              <w:rPr>
                <w:rFonts w:hint="default" w:ascii="Cambria Math" w:hAnsi="Cambria Math" w:eastAsia="宋体" w:cs="Times New Roman"/>
                <w:b w:val="0"/>
                <w:i w:val="0"/>
                <w:iCs w:val="0"/>
                <w:color w:val="000000"/>
                <w:kern w:val="2"/>
                <w:sz w:val="24"/>
                <w:szCs w:val="24"/>
                <w:lang w:val="en-US" w:eastAsia="zh-CN" w:bidi="ar-SA"/>
              </w:rPr>
              <m:t>1</m:t>
            </m:r>
            <m:ctrlPr>
              <w:rPr>
                <w:rFonts w:hint="default" w:ascii="Cambria Math" w:hAnsi="Cambria Math" w:eastAsia="宋体" w:cs="Times New Roman"/>
                <w:i w:val="0"/>
                <w:iCs w:val="0"/>
                <w:color w:val="000000"/>
                <w:kern w:val="2"/>
                <w:sz w:val="24"/>
                <w:szCs w:val="24"/>
                <w:lang w:val="en-US" w:eastAsia="zh-CN" w:bidi="ar-SA"/>
              </w:rPr>
            </m:ctrlPr>
          </m:sub>
        </m:sSub>
      </m:oMath>
      <w:r>
        <w:rPr>
          <w:i w:val="0"/>
          <w:iCs w:val="0"/>
        </w:rPr>
        <w:t>、</w:t>
      </w:r>
      <m:oMath>
        <m:sSub>
          <m:sSubPr>
            <m:ctrlPr>
              <w:rPr>
                <w:rFonts w:hint="default" w:ascii="Cambria Math" w:hAnsi="Cambria Math" w:eastAsia="宋体" w:cs="Times New Roman"/>
                <w:i w:val="0"/>
                <w:iCs w:val="0"/>
                <w:color w:val="000000"/>
                <w:kern w:val="2"/>
                <w:sz w:val="24"/>
                <w:szCs w:val="24"/>
                <w:lang w:val="en-US" w:eastAsia="zh-CN" w:bidi="ar-SA"/>
              </w:rPr>
            </m:ctrlPr>
          </m:sSubPr>
          <m:e>
            <m:r>
              <m:rPr>
                <m:nor/>
                <m:sty m:val="p"/>
              </m:rPr>
              <w:rPr>
                <w:rFonts w:hint="default" w:ascii="Cambria Math" w:hAnsi="Cambria Math" w:eastAsia="宋体" w:cs="Times New Roman"/>
                <w:b w:val="0"/>
                <w:i w:val="0"/>
                <w:iCs w:val="0"/>
                <w:color w:val="000000"/>
                <w:kern w:val="2"/>
                <w:sz w:val="24"/>
                <w:szCs w:val="24"/>
                <w:lang w:val="en-US" w:eastAsia="zh-CN" w:bidi="ar-SA"/>
              </w:rPr>
              <m:t>r</m:t>
            </m:r>
            <m:ctrlPr>
              <w:rPr>
                <w:rFonts w:hint="default" w:ascii="Cambria Math" w:hAnsi="Cambria Math" w:eastAsia="宋体" w:cs="Times New Roman"/>
                <w:i w:val="0"/>
                <w:iCs w:val="0"/>
                <w:color w:val="000000"/>
                <w:kern w:val="2"/>
                <w:sz w:val="24"/>
                <w:szCs w:val="24"/>
                <w:lang w:val="en-US" w:eastAsia="zh-CN" w:bidi="ar-SA"/>
              </w:rPr>
            </m:ctrlPr>
          </m:e>
          <m:sub>
            <m:r>
              <m:rPr>
                <m:nor/>
                <m:sty m:val="p"/>
              </m:rPr>
              <w:rPr>
                <w:rFonts w:hint="default" w:ascii="Cambria Math" w:hAnsi="Cambria Math" w:eastAsia="宋体" w:cs="Times New Roman"/>
                <w:b w:val="0"/>
                <w:i w:val="0"/>
                <w:iCs w:val="0"/>
                <w:color w:val="000000"/>
                <w:kern w:val="2"/>
                <w:sz w:val="24"/>
                <w:szCs w:val="24"/>
                <w:lang w:val="en-US" w:eastAsia="zh-CN" w:bidi="ar-SA"/>
              </w:rPr>
              <m:t>2</m:t>
            </m:r>
            <m:ctrlPr>
              <w:rPr>
                <w:rFonts w:hint="default" w:ascii="Cambria Math" w:hAnsi="Cambria Math" w:eastAsia="宋体" w:cs="Times New Roman"/>
                <w:i w:val="0"/>
                <w:iCs w:val="0"/>
                <w:color w:val="000000"/>
                <w:kern w:val="2"/>
                <w:sz w:val="24"/>
                <w:szCs w:val="24"/>
                <w:lang w:val="en-US" w:eastAsia="zh-CN" w:bidi="ar-SA"/>
              </w:rPr>
            </m:ctrlPr>
          </m:sub>
        </m:sSub>
      </m:oMath>
      <w:r>
        <w:rPr>
          <w:i w:val="0"/>
          <w:iCs w:val="0"/>
        </w:rPr>
        <w:t>处的等效A声级，dB（A）；</w:t>
      </w:r>
    </w:p>
    <w:p>
      <w:pPr>
        <w:spacing w:line="360" w:lineRule="auto"/>
        <w:ind w:firstLine="480" w:firstLineChars="200"/>
        <w:rPr>
          <w:i w:val="0"/>
          <w:iCs w:val="0"/>
        </w:rPr>
      </w:pPr>
      <m:oMath>
        <m:sSub>
          <m:sSubPr>
            <m:ctrlPr>
              <w:rPr>
                <w:rFonts w:hint="default" w:ascii="Cambria Math" w:hAnsi="Cambria Math" w:eastAsia="宋体" w:cs="Times New Roman"/>
                <w:i w:val="0"/>
                <w:iCs w:val="0"/>
                <w:color w:val="000000"/>
                <w:kern w:val="2"/>
                <w:sz w:val="24"/>
                <w:szCs w:val="24"/>
                <w:lang w:val="en-US" w:eastAsia="zh-CN" w:bidi="ar-SA"/>
              </w:rPr>
            </m:ctrlPr>
          </m:sSubPr>
          <m:e>
            <m:r>
              <m:rPr>
                <m:nor/>
                <m:sty m:val="p"/>
              </m:rPr>
              <w:rPr>
                <w:rFonts w:hint="default" w:ascii="Cambria Math" w:hAnsi="Cambria Math" w:eastAsia="宋体" w:cs="Times New Roman"/>
                <w:b w:val="0"/>
                <w:i w:val="0"/>
                <w:iCs w:val="0"/>
                <w:color w:val="000000"/>
                <w:kern w:val="2"/>
                <w:sz w:val="24"/>
                <w:szCs w:val="24"/>
                <w:lang w:val="en-US" w:eastAsia="zh-CN" w:bidi="ar-SA"/>
              </w:rPr>
              <m:t>r</m:t>
            </m:r>
            <m:ctrlPr>
              <w:rPr>
                <w:rFonts w:hint="default" w:ascii="Cambria Math" w:hAnsi="Cambria Math" w:eastAsia="宋体" w:cs="Times New Roman"/>
                <w:i w:val="0"/>
                <w:iCs w:val="0"/>
                <w:color w:val="000000"/>
                <w:kern w:val="2"/>
                <w:sz w:val="24"/>
                <w:szCs w:val="24"/>
                <w:lang w:val="en-US" w:eastAsia="zh-CN" w:bidi="ar-SA"/>
              </w:rPr>
            </m:ctrlPr>
          </m:e>
          <m:sub>
            <m:r>
              <m:rPr>
                <m:nor/>
                <m:sty m:val="p"/>
              </m:rPr>
              <w:rPr>
                <w:rFonts w:hint="default" w:ascii="Cambria Math" w:hAnsi="Cambria Math" w:eastAsia="宋体" w:cs="Times New Roman"/>
                <w:b w:val="0"/>
                <w:i w:val="0"/>
                <w:iCs w:val="0"/>
                <w:color w:val="000000"/>
                <w:kern w:val="2"/>
                <w:sz w:val="24"/>
                <w:szCs w:val="24"/>
                <w:lang w:val="en-US" w:eastAsia="zh-CN" w:bidi="ar-SA"/>
              </w:rPr>
              <m:t>1</m:t>
            </m:r>
            <m:ctrlPr>
              <w:rPr>
                <w:rFonts w:hint="default" w:ascii="Cambria Math" w:hAnsi="Cambria Math" w:eastAsia="宋体" w:cs="Times New Roman"/>
                <w:i w:val="0"/>
                <w:iCs w:val="0"/>
                <w:color w:val="000000"/>
                <w:kern w:val="2"/>
                <w:sz w:val="24"/>
                <w:szCs w:val="24"/>
                <w:lang w:val="en-US" w:eastAsia="zh-CN" w:bidi="ar-SA"/>
              </w:rPr>
            </m:ctrlPr>
          </m:sub>
        </m:sSub>
      </m:oMath>
      <w:r>
        <w:rPr>
          <w:i w:val="0"/>
          <w:iCs w:val="0"/>
        </w:rPr>
        <w:t>、</w:t>
      </w:r>
      <m:oMath>
        <m:sSub>
          <m:sSubPr>
            <m:ctrlPr>
              <w:rPr>
                <w:rFonts w:hint="default" w:ascii="Cambria Math" w:hAnsi="Cambria Math" w:eastAsia="宋体" w:cs="Times New Roman"/>
                <w:i w:val="0"/>
                <w:iCs w:val="0"/>
                <w:color w:val="000000"/>
                <w:kern w:val="2"/>
                <w:sz w:val="24"/>
                <w:szCs w:val="24"/>
                <w:lang w:val="en-US" w:eastAsia="zh-CN" w:bidi="ar-SA"/>
              </w:rPr>
            </m:ctrlPr>
          </m:sSubPr>
          <m:e>
            <m:r>
              <m:rPr>
                <m:nor/>
                <m:sty m:val="p"/>
              </m:rPr>
              <w:rPr>
                <w:rFonts w:hint="default" w:ascii="Cambria Math" w:hAnsi="Cambria Math" w:eastAsia="宋体" w:cs="Times New Roman"/>
                <w:b w:val="0"/>
                <w:i w:val="0"/>
                <w:iCs w:val="0"/>
                <w:color w:val="000000"/>
                <w:kern w:val="2"/>
                <w:sz w:val="24"/>
                <w:szCs w:val="24"/>
                <w:lang w:val="en-US" w:eastAsia="zh-CN" w:bidi="ar-SA"/>
              </w:rPr>
              <m:t>r</m:t>
            </m:r>
            <m:ctrlPr>
              <w:rPr>
                <w:rFonts w:hint="default" w:ascii="Cambria Math" w:hAnsi="Cambria Math" w:eastAsia="宋体" w:cs="Times New Roman"/>
                <w:i w:val="0"/>
                <w:iCs w:val="0"/>
                <w:color w:val="000000"/>
                <w:kern w:val="2"/>
                <w:sz w:val="24"/>
                <w:szCs w:val="24"/>
                <w:lang w:val="en-US" w:eastAsia="zh-CN" w:bidi="ar-SA"/>
              </w:rPr>
            </m:ctrlPr>
          </m:e>
          <m:sub>
            <m:r>
              <m:rPr>
                <m:nor/>
                <m:sty m:val="p"/>
              </m:rPr>
              <w:rPr>
                <w:rFonts w:hint="default" w:ascii="Cambria Math" w:hAnsi="Cambria Math" w:eastAsia="宋体" w:cs="Times New Roman"/>
                <w:b w:val="0"/>
                <w:i w:val="0"/>
                <w:iCs w:val="0"/>
                <w:color w:val="000000"/>
                <w:kern w:val="2"/>
                <w:sz w:val="24"/>
                <w:szCs w:val="24"/>
                <w:lang w:val="en-US" w:eastAsia="zh-CN" w:bidi="ar-SA"/>
              </w:rPr>
              <m:t>2</m:t>
            </m:r>
            <m:ctrlPr>
              <w:rPr>
                <w:rFonts w:hint="default" w:ascii="Cambria Math" w:hAnsi="Cambria Math" w:eastAsia="宋体" w:cs="Times New Roman"/>
                <w:i w:val="0"/>
                <w:iCs w:val="0"/>
                <w:color w:val="000000"/>
                <w:kern w:val="2"/>
                <w:sz w:val="24"/>
                <w:szCs w:val="24"/>
                <w:lang w:val="en-US" w:eastAsia="zh-CN" w:bidi="ar-SA"/>
              </w:rPr>
            </m:ctrlPr>
          </m:sub>
        </m:sSub>
      </m:oMath>
      <w:r>
        <w:rPr>
          <w:i w:val="0"/>
          <w:iCs w:val="0"/>
        </w:rPr>
        <w:t>为接受点距声源的距离，m。</w:t>
      </w:r>
    </w:p>
    <w:p>
      <w:pPr>
        <w:spacing w:line="360" w:lineRule="auto"/>
        <w:ind w:firstLine="480" w:firstLineChars="200"/>
        <w:rPr>
          <w:i w:val="0"/>
          <w:iCs w:val="0"/>
        </w:rPr>
      </w:pPr>
      <w:r>
        <w:rPr>
          <w:i w:val="0"/>
          <w:iCs w:val="0"/>
        </w:rPr>
        <w:t>由上式可推出噪声随距离增加而衰减的量∆L：</w:t>
      </w:r>
    </w:p>
    <w:p>
      <w:pPr>
        <w:spacing w:line="360" w:lineRule="auto"/>
        <w:ind w:firstLine="480" w:firstLineChars="200"/>
        <w:rPr>
          <w:i w:val="0"/>
          <w:iCs w:val="0"/>
        </w:rPr>
      </w:pPr>
      <w:r>
        <w:rPr>
          <w:i w:val="0"/>
          <w:iCs w:val="0"/>
        </w:rPr>
        <w:t>∆L=L1－L2=</w:t>
      </w:r>
      <m:oMath>
        <m:r>
          <m:rPr>
            <m:nor/>
            <m:sty m:val="p"/>
          </m:rPr>
          <w:rPr>
            <w:rFonts w:hint="default" w:ascii="Cambria Math" w:hAnsi="Cambria Math" w:eastAsia="宋体" w:cs="Times New Roman"/>
            <w:b w:val="0"/>
            <w:i w:val="0"/>
            <w:iCs w:val="0"/>
            <w:color w:val="000000"/>
            <w:kern w:val="2"/>
            <w:sz w:val="24"/>
            <w:szCs w:val="24"/>
            <w:lang w:val="en-US" w:eastAsia="zh-CN" w:bidi="ar-SA"/>
          </w:rPr>
          <m:t>20lg</m:t>
        </m:r>
        <m:f>
          <m:fPr>
            <m:ctrlPr>
              <w:rPr>
                <w:rFonts w:hint="default" w:ascii="Cambria Math" w:hAnsi="Cambria Math" w:eastAsia="宋体" w:cs="Times New Roman"/>
                <w:i w:val="0"/>
                <w:iCs w:val="0"/>
                <w:color w:val="000000"/>
                <w:kern w:val="2"/>
                <w:sz w:val="24"/>
                <w:szCs w:val="24"/>
                <w:lang w:val="en-US" w:eastAsia="zh-CN" w:bidi="ar-SA"/>
              </w:rPr>
            </m:ctrlPr>
          </m:fPr>
          <m:num>
            <m:sSub>
              <m:sSubPr>
                <m:ctrlPr>
                  <w:rPr>
                    <w:rFonts w:hint="default" w:ascii="Cambria Math" w:hAnsi="Cambria Math" w:eastAsia="宋体" w:cs="Times New Roman"/>
                    <w:i w:val="0"/>
                    <w:iCs w:val="0"/>
                    <w:color w:val="000000"/>
                    <w:kern w:val="2"/>
                    <w:sz w:val="24"/>
                    <w:szCs w:val="24"/>
                    <w:lang w:val="en-US" w:eastAsia="zh-CN" w:bidi="ar-SA"/>
                  </w:rPr>
                </m:ctrlPr>
              </m:sSubPr>
              <m:e>
                <m:r>
                  <m:rPr>
                    <m:nor/>
                    <m:sty m:val="p"/>
                  </m:rPr>
                  <w:rPr>
                    <w:rFonts w:hint="default" w:ascii="Cambria Math" w:hAnsi="Cambria Math" w:eastAsia="宋体" w:cs="Times New Roman"/>
                    <w:b w:val="0"/>
                    <w:i w:val="0"/>
                    <w:iCs w:val="0"/>
                    <w:color w:val="000000"/>
                    <w:kern w:val="2"/>
                    <w:sz w:val="24"/>
                    <w:szCs w:val="24"/>
                    <w:lang w:val="en-US" w:eastAsia="zh-CN" w:bidi="ar-SA"/>
                  </w:rPr>
                  <m:t>r</m:t>
                </m:r>
                <m:ctrlPr>
                  <w:rPr>
                    <w:rFonts w:hint="default" w:ascii="Cambria Math" w:hAnsi="Cambria Math" w:eastAsia="宋体" w:cs="Times New Roman"/>
                    <w:i w:val="0"/>
                    <w:iCs w:val="0"/>
                    <w:color w:val="000000"/>
                    <w:kern w:val="2"/>
                    <w:sz w:val="24"/>
                    <w:szCs w:val="24"/>
                    <w:lang w:val="en-US" w:eastAsia="zh-CN" w:bidi="ar-SA"/>
                  </w:rPr>
                </m:ctrlPr>
              </m:e>
              <m:sub>
                <m:r>
                  <m:rPr>
                    <m:nor/>
                    <m:sty m:val="p"/>
                  </m:rPr>
                  <w:rPr>
                    <w:rFonts w:hint="default" w:ascii="Cambria Math" w:hAnsi="Cambria Math" w:eastAsia="宋体" w:cs="Times New Roman"/>
                    <w:b w:val="0"/>
                    <w:i w:val="0"/>
                    <w:iCs w:val="0"/>
                    <w:color w:val="000000"/>
                    <w:kern w:val="2"/>
                    <w:sz w:val="24"/>
                    <w:szCs w:val="24"/>
                    <w:lang w:val="en-US" w:eastAsia="zh-CN" w:bidi="ar-SA"/>
                  </w:rPr>
                  <m:t>2</m:t>
                </m:r>
                <m:ctrlPr>
                  <w:rPr>
                    <w:rFonts w:hint="default" w:ascii="Cambria Math" w:hAnsi="Cambria Math" w:eastAsia="宋体" w:cs="Times New Roman"/>
                    <w:i w:val="0"/>
                    <w:iCs w:val="0"/>
                    <w:color w:val="000000"/>
                    <w:kern w:val="2"/>
                    <w:sz w:val="24"/>
                    <w:szCs w:val="24"/>
                    <w:lang w:val="en-US" w:eastAsia="zh-CN" w:bidi="ar-SA"/>
                  </w:rPr>
                </m:ctrlPr>
              </m:sub>
            </m:sSub>
            <m:ctrlPr>
              <w:rPr>
                <w:rFonts w:hint="default" w:ascii="Cambria Math" w:hAnsi="Cambria Math" w:eastAsia="宋体" w:cs="Times New Roman"/>
                <w:i w:val="0"/>
                <w:iCs w:val="0"/>
                <w:color w:val="000000"/>
                <w:kern w:val="2"/>
                <w:sz w:val="24"/>
                <w:szCs w:val="24"/>
                <w:lang w:val="en-US" w:eastAsia="zh-CN" w:bidi="ar-SA"/>
              </w:rPr>
            </m:ctrlPr>
          </m:num>
          <m:den>
            <m:sSub>
              <m:sSubPr>
                <m:ctrlPr>
                  <w:rPr>
                    <w:rFonts w:hint="default" w:ascii="Cambria Math" w:hAnsi="Cambria Math" w:eastAsia="宋体" w:cs="Times New Roman"/>
                    <w:i w:val="0"/>
                    <w:iCs w:val="0"/>
                    <w:color w:val="000000"/>
                    <w:kern w:val="2"/>
                    <w:sz w:val="24"/>
                    <w:szCs w:val="24"/>
                    <w:lang w:val="en-US" w:eastAsia="zh-CN" w:bidi="ar-SA"/>
                  </w:rPr>
                </m:ctrlPr>
              </m:sSubPr>
              <m:e>
                <m:r>
                  <m:rPr>
                    <m:nor/>
                    <m:sty m:val="p"/>
                  </m:rPr>
                  <w:rPr>
                    <w:rFonts w:hint="default" w:ascii="Cambria Math" w:hAnsi="Cambria Math" w:eastAsia="宋体" w:cs="Times New Roman"/>
                    <w:b w:val="0"/>
                    <w:i w:val="0"/>
                    <w:iCs w:val="0"/>
                    <w:color w:val="000000"/>
                    <w:kern w:val="2"/>
                    <w:sz w:val="24"/>
                    <w:szCs w:val="24"/>
                    <w:lang w:val="en-US" w:eastAsia="zh-CN" w:bidi="ar-SA"/>
                  </w:rPr>
                  <m:t>r</m:t>
                </m:r>
                <m:ctrlPr>
                  <w:rPr>
                    <w:rFonts w:hint="default" w:ascii="Cambria Math" w:hAnsi="Cambria Math" w:eastAsia="宋体" w:cs="Times New Roman"/>
                    <w:i w:val="0"/>
                    <w:iCs w:val="0"/>
                    <w:color w:val="000000"/>
                    <w:kern w:val="2"/>
                    <w:sz w:val="24"/>
                    <w:szCs w:val="24"/>
                    <w:lang w:val="en-US" w:eastAsia="zh-CN" w:bidi="ar-SA"/>
                  </w:rPr>
                </m:ctrlPr>
              </m:e>
              <m:sub>
                <m:r>
                  <m:rPr>
                    <m:nor/>
                    <m:sty m:val="p"/>
                  </m:rPr>
                  <w:rPr>
                    <w:rFonts w:hint="default" w:ascii="Cambria Math" w:hAnsi="Cambria Math" w:eastAsia="宋体" w:cs="Times New Roman"/>
                    <w:b w:val="0"/>
                    <w:i w:val="0"/>
                    <w:iCs w:val="0"/>
                    <w:color w:val="000000"/>
                    <w:kern w:val="2"/>
                    <w:sz w:val="24"/>
                    <w:szCs w:val="24"/>
                    <w:lang w:val="en-US" w:eastAsia="zh-CN" w:bidi="ar-SA"/>
                  </w:rPr>
                  <m:t>1</m:t>
                </m:r>
                <m:ctrlPr>
                  <w:rPr>
                    <w:rFonts w:hint="default" w:ascii="Cambria Math" w:hAnsi="Cambria Math" w:eastAsia="宋体" w:cs="Times New Roman"/>
                    <w:i w:val="0"/>
                    <w:iCs w:val="0"/>
                    <w:color w:val="000000"/>
                    <w:kern w:val="2"/>
                    <w:sz w:val="24"/>
                    <w:szCs w:val="24"/>
                    <w:lang w:val="en-US" w:eastAsia="zh-CN" w:bidi="ar-SA"/>
                  </w:rPr>
                </m:ctrlPr>
              </m:sub>
            </m:sSub>
            <m:ctrlPr>
              <w:rPr>
                <w:rFonts w:hint="default" w:ascii="Cambria Math" w:hAnsi="Cambria Math" w:eastAsia="宋体" w:cs="Times New Roman"/>
                <w:i w:val="0"/>
                <w:iCs w:val="0"/>
                <w:color w:val="000000"/>
                <w:kern w:val="2"/>
                <w:sz w:val="24"/>
                <w:szCs w:val="24"/>
                <w:lang w:val="en-US" w:eastAsia="zh-CN" w:bidi="ar-SA"/>
              </w:rPr>
            </m:ctrlPr>
          </m:den>
        </m:f>
      </m:oMath>
    </w:p>
    <w:p>
      <w:pPr>
        <w:spacing w:line="360" w:lineRule="auto"/>
        <w:ind w:firstLine="480" w:firstLineChars="200"/>
        <w:rPr>
          <w:i w:val="0"/>
          <w:iCs w:val="0"/>
        </w:rPr>
      </w:pPr>
      <w:r>
        <w:rPr>
          <w:i w:val="0"/>
          <w:iCs w:val="0"/>
        </w:rPr>
        <w:t>由上式可计算出噪声值随距离衰减的情况，进而计算各类施工机械在不同距离外的噪声值，预测结果详见下表。</w:t>
      </w:r>
    </w:p>
    <w:p>
      <w:pPr>
        <w:adjustRightInd w:val="0"/>
        <w:snapToGrid w:val="0"/>
        <w:ind w:left="420" w:hanging="420"/>
        <w:jc w:val="center"/>
        <w:rPr>
          <w:b/>
          <w:i w:val="0"/>
          <w:iCs w:val="0"/>
        </w:rPr>
      </w:pPr>
      <w:bookmarkStart w:id="162" w:name="_Ref32680449"/>
      <w:r>
        <w:rPr>
          <w:b/>
          <w:i w:val="0"/>
          <w:iCs w:val="0"/>
        </w:rPr>
        <w:t>表5-4</w:t>
      </w:r>
      <w:r>
        <w:rPr>
          <w:rFonts w:hint="eastAsia"/>
          <w:b/>
          <w:i w:val="0"/>
          <w:iCs w:val="0"/>
        </w:rPr>
        <w:t>各种</w:t>
      </w:r>
      <w:r>
        <w:rPr>
          <w:b/>
          <w:i w:val="0"/>
          <w:iCs w:val="0"/>
        </w:rPr>
        <w:t>施工机械在不同距离处的噪声预测值</w:t>
      </w:r>
      <w:r>
        <w:rPr>
          <w:rFonts w:hint="eastAsia"/>
          <w:b/>
          <w:i w:val="0"/>
          <w:iCs w:val="0"/>
        </w:rPr>
        <w:t xml:space="preserve">   单位：dB（A）</w:t>
      </w:r>
      <w:bookmarkEnd w:id="162"/>
    </w:p>
    <w:tbl>
      <w:tblPr>
        <w:tblStyle w:val="5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6"/>
        <w:gridCol w:w="2876"/>
        <w:gridCol w:w="1150"/>
        <w:gridCol w:w="957"/>
        <w:gridCol w:w="957"/>
        <w:gridCol w:w="957"/>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pct"/>
            <w:vMerge w:val="restart"/>
            <w:tcBorders>
              <w:top w:val="single" w:color="auto" w:sz="12" w:space="0"/>
              <w:left w:val="nil"/>
            </w:tcBorders>
            <w:noWrap w:val="0"/>
            <w:vAlign w:val="center"/>
          </w:tcPr>
          <w:p>
            <w:pPr>
              <w:pStyle w:val="390"/>
              <w:rPr>
                <w:i w:val="0"/>
                <w:iCs w:val="0"/>
                <w:color w:val="000000"/>
              </w:rPr>
            </w:pPr>
            <w:r>
              <w:rPr>
                <w:rFonts w:hint="eastAsia"/>
                <w:i w:val="0"/>
                <w:iCs w:val="0"/>
                <w:color w:val="000000"/>
              </w:rPr>
              <w:t>施工阶段</w:t>
            </w:r>
          </w:p>
        </w:tc>
        <w:tc>
          <w:tcPr>
            <w:tcW w:w="1548" w:type="pct"/>
            <w:vMerge w:val="restart"/>
            <w:tcBorders>
              <w:top w:val="single" w:color="auto" w:sz="12" w:space="0"/>
            </w:tcBorders>
            <w:noWrap w:val="0"/>
            <w:vAlign w:val="center"/>
          </w:tcPr>
          <w:p>
            <w:pPr>
              <w:pStyle w:val="390"/>
              <w:rPr>
                <w:i w:val="0"/>
                <w:iCs w:val="0"/>
                <w:color w:val="000000"/>
              </w:rPr>
            </w:pPr>
            <w:r>
              <w:rPr>
                <w:rFonts w:hint="eastAsia"/>
                <w:i w:val="0"/>
                <w:iCs w:val="0"/>
                <w:color w:val="000000"/>
              </w:rPr>
              <w:t>主要噪声源</w:t>
            </w:r>
          </w:p>
        </w:tc>
        <w:tc>
          <w:tcPr>
            <w:tcW w:w="619" w:type="pct"/>
            <w:vMerge w:val="restart"/>
            <w:tcBorders>
              <w:top w:val="single" w:color="auto" w:sz="12" w:space="0"/>
            </w:tcBorders>
            <w:noWrap w:val="0"/>
            <w:vAlign w:val="center"/>
          </w:tcPr>
          <w:p>
            <w:pPr>
              <w:pStyle w:val="390"/>
              <w:rPr>
                <w:i w:val="0"/>
                <w:iCs w:val="0"/>
                <w:color w:val="000000"/>
              </w:rPr>
            </w:pPr>
            <w:r>
              <w:rPr>
                <w:rFonts w:hint="eastAsia"/>
                <w:i w:val="0"/>
                <w:iCs w:val="0"/>
                <w:color w:val="000000"/>
              </w:rPr>
              <w:t>声功率级</w:t>
            </w:r>
          </w:p>
        </w:tc>
        <w:tc>
          <w:tcPr>
            <w:tcW w:w="2047" w:type="pct"/>
            <w:gridSpan w:val="4"/>
            <w:tcBorders>
              <w:top w:val="single" w:color="auto" w:sz="12" w:space="0"/>
              <w:right w:val="nil"/>
            </w:tcBorders>
            <w:noWrap w:val="0"/>
            <w:vAlign w:val="center"/>
          </w:tcPr>
          <w:p>
            <w:pPr>
              <w:pStyle w:val="390"/>
              <w:rPr>
                <w:i w:val="0"/>
                <w:iCs w:val="0"/>
                <w:color w:val="000000"/>
              </w:rPr>
            </w:pPr>
            <w:r>
              <w:rPr>
                <w:rFonts w:hint="eastAsia"/>
                <w:i w:val="0"/>
                <w:iCs w:val="0"/>
                <w:color w:val="000000"/>
              </w:rPr>
              <w:t>距声源距离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pct"/>
            <w:vMerge w:val="continue"/>
            <w:tcBorders>
              <w:left w:val="nil"/>
            </w:tcBorders>
            <w:noWrap w:val="0"/>
            <w:vAlign w:val="center"/>
          </w:tcPr>
          <w:p>
            <w:pPr>
              <w:pStyle w:val="390"/>
              <w:rPr>
                <w:i w:val="0"/>
                <w:iCs w:val="0"/>
                <w:color w:val="000000"/>
              </w:rPr>
            </w:pPr>
          </w:p>
        </w:tc>
        <w:tc>
          <w:tcPr>
            <w:tcW w:w="1548" w:type="pct"/>
            <w:vMerge w:val="continue"/>
            <w:noWrap w:val="0"/>
            <w:vAlign w:val="center"/>
          </w:tcPr>
          <w:p>
            <w:pPr>
              <w:pStyle w:val="390"/>
              <w:rPr>
                <w:i w:val="0"/>
                <w:iCs w:val="0"/>
                <w:color w:val="000000"/>
              </w:rPr>
            </w:pPr>
          </w:p>
        </w:tc>
        <w:tc>
          <w:tcPr>
            <w:tcW w:w="619" w:type="pct"/>
            <w:vMerge w:val="continue"/>
            <w:noWrap w:val="0"/>
            <w:vAlign w:val="center"/>
          </w:tcPr>
          <w:p>
            <w:pPr>
              <w:pStyle w:val="390"/>
              <w:rPr>
                <w:i w:val="0"/>
                <w:iCs w:val="0"/>
                <w:color w:val="000000"/>
              </w:rPr>
            </w:pPr>
          </w:p>
        </w:tc>
        <w:tc>
          <w:tcPr>
            <w:tcW w:w="515" w:type="pct"/>
            <w:noWrap w:val="0"/>
            <w:vAlign w:val="center"/>
          </w:tcPr>
          <w:p>
            <w:pPr>
              <w:pStyle w:val="390"/>
              <w:rPr>
                <w:i w:val="0"/>
                <w:iCs w:val="0"/>
                <w:color w:val="000000"/>
              </w:rPr>
            </w:pPr>
            <w:r>
              <w:rPr>
                <w:rFonts w:hint="eastAsia"/>
                <w:i w:val="0"/>
                <w:iCs w:val="0"/>
                <w:color w:val="000000"/>
              </w:rPr>
              <w:t>100m</w:t>
            </w:r>
          </w:p>
        </w:tc>
        <w:tc>
          <w:tcPr>
            <w:tcW w:w="515" w:type="pct"/>
            <w:noWrap w:val="0"/>
            <w:vAlign w:val="center"/>
          </w:tcPr>
          <w:p>
            <w:pPr>
              <w:pStyle w:val="390"/>
              <w:rPr>
                <w:i w:val="0"/>
                <w:iCs w:val="0"/>
                <w:color w:val="000000"/>
              </w:rPr>
            </w:pPr>
            <w:r>
              <w:rPr>
                <w:i w:val="0"/>
                <w:iCs w:val="0"/>
                <w:color w:val="000000"/>
              </w:rPr>
              <w:t>200m</w:t>
            </w:r>
          </w:p>
        </w:tc>
        <w:tc>
          <w:tcPr>
            <w:tcW w:w="515" w:type="pct"/>
            <w:noWrap w:val="0"/>
            <w:vAlign w:val="center"/>
          </w:tcPr>
          <w:p>
            <w:pPr>
              <w:pStyle w:val="390"/>
              <w:rPr>
                <w:i w:val="0"/>
                <w:iCs w:val="0"/>
                <w:color w:val="000000"/>
              </w:rPr>
            </w:pPr>
            <w:r>
              <w:rPr>
                <w:i w:val="0"/>
                <w:iCs w:val="0"/>
                <w:color w:val="000000"/>
              </w:rPr>
              <w:t>300m</w:t>
            </w:r>
          </w:p>
        </w:tc>
        <w:tc>
          <w:tcPr>
            <w:tcW w:w="500" w:type="pct"/>
            <w:tcBorders>
              <w:right w:val="nil"/>
            </w:tcBorders>
            <w:noWrap w:val="0"/>
            <w:vAlign w:val="center"/>
          </w:tcPr>
          <w:p>
            <w:pPr>
              <w:pStyle w:val="390"/>
              <w:rPr>
                <w:i w:val="0"/>
                <w:iCs w:val="0"/>
                <w:color w:val="000000"/>
              </w:rPr>
            </w:pPr>
            <w:r>
              <w:rPr>
                <w:i w:val="0"/>
                <w:iCs w:val="0"/>
                <w:color w:val="000000"/>
              </w:rPr>
              <w:t>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pct"/>
            <w:tcBorders>
              <w:left w:val="nil"/>
            </w:tcBorders>
            <w:noWrap w:val="0"/>
            <w:vAlign w:val="center"/>
          </w:tcPr>
          <w:p>
            <w:pPr>
              <w:pStyle w:val="390"/>
              <w:rPr>
                <w:i w:val="0"/>
                <w:iCs w:val="0"/>
                <w:color w:val="000000"/>
              </w:rPr>
            </w:pPr>
            <w:r>
              <w:rPr>
                <w:rFonts w:hint="eastAsia"/>
                <w:i w:val="0"/>
                <w:iCs w:val="0"/>
                <w:color w:val="000000"/>
              </w:rPr>
              <w:t>土石方阶段</w:t>
            </w:r>
          </w:p>
        </w:tc>
        <w:tc>
          <w:tcPr>
            <w:tcW w:w="1548" w:type="pct"/>
            <w:noWrap w:val="0"/>
            <w:vAlign w:val="center"/>
          </w:tcPr>
          <w:p>
            <w:pPr>
              <w:pStyle w:val="390"/>
              <w:rPr>
                <w:i w:val="0"/>
                <w:iCs w:val="0"/>
                <w:color w:val="000000"/>
              </w:rPr>
            </w:pPr>
            <w:r>
              <w:rPr>
                <w:rFonts w:hint="eastAsia"/>
                <w:i w:val="0"/>
                <w:iCs w:val="0"/>
                <w:color w:val="000000"/>
              </w:rPr>
              <w:t>推土机、挖掘机等</w:t>
            </w:r>
          </w:p>
        </w:tc>
        <w:tc>
          <w:tcPr>
            <w:tcW w:w="619" w:type="pct"/>
            <w:noWrap w:val="0"/>
            <w:vAlign w:val="center"/>
          </w:tcPr>
          <w:p>
            <w:pPr>
              <w:pStyle w:val="390"/>
              <w:rPr>
                <w:i w:val="0"/>
                <w:iCs w:val="0"/>
                <w:color w:val="000000"/>
              </w:rPr>
            </w:pPr>
            <w:r>
              <w:rPr>
                <w:rFonts w:hint="eastAsia"/>
                <w:i w:val="0"/>
                <w:iCs w:val="0"/>
                <w:color w:val="000000"/>
              </w:rPr>
              <w:t>100~110</w:t>
            </w:r>
          </w:p>
        </w:tc>
        <w:tc>
          <w:tcPr>
            <w:tcW w:w="515" w:type="pct"/>
            <w:noWrap w:val="0"/>
            <w:vAlign w:val="center"/>
          </w:tcPr>
          <w:p>
            <w:pPr>
              <w:pStyle w:val="390"/>
              <w:rPr>
                <w:i w:val="0"/>
                <w:iCs w:val="0"/>
                <w:color w:val="000000"/>
              </w:rPr>
            </w:pPr>
            <w:r>
              <w:rPr>
                <w:rFonts w:hint="eastAsia"/>
                <w:i w:val="0"/>
                <w:iCs w:val="0"/>
                <w:color w:val="000000"/>
              </w:rPr>
              <w:t>60~70</w:t>
            </w:r>
          </w:p>
        </w:tc>
        <w:tc>
          <w:tcPr>
            <w:tcW w:w="515" w:type="pct"/>
            <w:noWrap w:val="0"/>
            <w:vAlign w:val="center"/>
          </w:tcPr>
          <w:p>
            <w:pPr>
              <w:pStyle w:val="390"/>
              <w:rPr>
                <w:i w:val="0"/>
                <w:iCs w:val="0"/>
                <w:color w:val="000000"/>
              </w:rPr>
            </w:pPr>
            <w:r>
              <w:rPr>
                <w:rFonts w:hint="eastAsia"/>
                <w:i w:val="0"/>
                <w:iCs w:val="0"/>
                <w:color w:val="000000"/>
              </w:rPr>
              <w:t>54~64</w:t>
            </w:r>
          </w:p>
        </w:tc>
        <w:tc>
          <w:tcPr>
            <w:tcW w:w="515" w:type="pct"/>
            <w:noWrap w:val="0"/>
            <w:vAlign w:val="center"/>
          </w:tcPr>
          <w:p>
            <w:pPr>
              <w:pStyle w:val="390"/>
              <w:rPr>
                <w:i w:val="0"/>
                <w:iCs w:val="0"/>
                <w:color w:val="000000"/>
              </w:rPr>
            </w:pPr>
            <w:r>
              <w:rPr>
                <w:rFonts w:hint="eastAsia"/>
                <w:i w:val="0"/>
                <w:iCs w:val="0"/>
                <w:color w:val="000000"/>
              </w:rPr>
              <w:t>31~61</w:t>
            </w:r>
          </w:p>
        </w:tc>
        <w:tc>
          <w:tcPr>
            <w:tcW w:w="500" w:type="pct"/>
            <w:tcBorders>
              <w:right w:val="nil"/>
            </w:tcBorders>
            <w:noWrap w:val="0"/>
            <w:vAlign w:val="center"/>
          </w:tcPr>
          <w:p>
            <w:pPr>
              <w:pStyle w:val="390"/>
              <w:rPr>
                <w:i w:val="0"/>
                <w:iCs w:val="0"/>
                <w:color w:val="000000"/>
              </w:rPr>
            </w:pPr>
            <w:r>
              <w:rPr>
                <w:rFonts w:hint="eastAsia"/>
                <w:i w:val="0"/>
                <w:iCs w:val="0"/>
                <w:color w:val="000000"/>
              </w:rPr>
              <w:t>46~56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pct"/>
            <w:tcBorders>
              <w:left w:val="nil"/>
            </w:tcBorders>
            <w:noWrap w:val="0"/>
            <w:vAlign w:val="center"/>
          </w:tcPr>
          <w:p>
            <w:pPr>
              <w:pStyle w:val="390"/>
              <w:rPr>
                <w:i w:val="0"/>
                <w:iCs w:val="0"/>
                <w:color w:val="000000"/>
              </w:rPr>
            </w:pPr>
            <w:r>
              <w:rPr>
                <w:rFonts w:hint="eastAsia"/>
                <w:i w:val="0"/>
                <w:iCs w:val="0"/>
                <w:color w:val="000000"/>
              </w:rPr>
              <w:t>基础阶段</w:t>
            </w:r>
          </w:p>
        </w:tc>
        <w:tc>
          <w:tcPr>
            <w:tcW w:w="1548" w:type="pct"/>
            <w:noWrap w:val="0"/>
            <w:vAlign w:val="center"/>
          </w:tcPr>
          <w:p>
            <w:pPr>
              <w:pStyle w:val="390"/>
              <w:rPr>
                <w:i w:val="0"/>
                <w:iCs w:val="0"/>
                <w:color w:val="000000"/>
              </w:rPr>
            </w:pPr>
            <w:r>
              <w:rPr>
                <w:rFonts w:hint="eastAsia"/>
                <w:i w:val="0"/>
                <w:iCs w:val="0"/>
                <w:color w:val="000000"/>
              </w:rPr>
              <w:t>各种打桩机等</w:t>
            </w:r>
          </w:p>
        </w:tc>
        <w:tc>
          <w:tcPr>
            <w:tcW w:w="619" w:type="pct"/>
            <w:noWrap w:val="0"/>
            <w:vAlign w:val="center"/>
          </w:tcPr>
          <w:p>
            <w:pPr>
              <w:pStyle w:val="390"/>
              <w:rPr>
                <w:i w:val="0"/>
                <w:iCs w:val="0"/>
                <w:color w:val="000000"/>
              </w:rPr>
            </w:pPr>
            <w:r>
              <w:rPr>
                <w:rFonts w:hint="eastAsia"/>
                <w:i w:val="0"/>
                <w:iCs w:val="0"/>
                <w:color w:val="000000"/>
              </w:rPr>
              <w:t>120~130</w:t>
            </w:r>
          </w:p>
        </w:tc>
        <w:tc>
          <w:tcPr>
            <w:tcW w:w="515" w:type="pct"/>
            <w:noWrap w:val="0"/>
            <w:vAlign w:val="center"/>
          </w:tcPr>
          <w:p>
            <w:pPr>
              <w:pStyle w:val="390"/>
              <w:rPr>
                <w:i w:val="0"/>
                <w:iCs w:val="0"/>
                <w:color w:val="000000"/>
              </w:rPr>
            </w:pPr>
            <w:r>
              <w:rPr>
                <w:rFonts w:hint="eastAsia"/>
                <w:i w:val="0"/>
                <w:iCs w:val="0"/>
                <w:color w:val="000000"/>
              </w:rPr>
              <w:t>80~90</w:t>
            </w:r>
          </w:p>
        </w:tc>
        <w:tc>
          <w:tcPr>
            <w:tcW w:w="515" w:type="pct"/>
            <w:noWrap w:val="0"/>
            <w:vAlign w:val="center"/>
          </w:tcPr>
          <w:p>
            <w:pPr>
              <w:pStyle w:val="390"/>
              <w:rPr>
                <w:i w:val="0"/>
                <w:iCs w:val="0"/>
                <w:color w:val="000000"/>
              </w:rPr>
            </w:pPr>
            <w:r>
              <w:rPr>
                <w:rFonts w:hint="eastAsia"/>
                <w:i w:val="0"/>
                <w:iCs w:val="0"/>
                <w:color w:val="000000"/>
              </w:rPr>
              <w:t>74~84</w:t>
            </w:r>
          </w:p>
        </w:tc>
        <w:tc>
          <w:tcPr>
            <w:tcW w:w="515" w:type="pct"/>
            <w:noWrap w:val="0"/>
            <w:vAlign w:val="center"/>
          </w:tcPr>
          <w:p>
            <w:pPr>
              <w:pStyle w:val="390"/>
              <w:rPr>
                <w:i w:val="0"/>
                <w:iCs w:val="0"/>
                <w:color w:val="000000"/>
              </w:rPr>
            </w:pPr>
            <w:r>
              <w:rPr>
                <w:rFonts w:hint="eastAsia"/>
                <w:i w:val="0"/>
                <w:iCs w:val="0"/>
                <w:color w:val="000000"/>
              </w:rPr>
              <w:t>70~81</w:t>
            </w:r>
          </w:p>
        </w:tc>
        <w:tc>
          <w:tcPr>
            <w:tcW w:w="500" w:type="pct"/>
            <w:tcBorders>
              <w:right w:val="nil"/>
            </w:tcBorders>
            <w:noWrap w:val="0"/>
            <w:vAlign w:val="center"/>
          </w:tcPr>
          <w:p>
            <w:pPr>
              <w:pStyle w:val="390"/>
              <w:rPr>
                <w:i w:val="0"/>
                <w:iCs w:val="0"/>
                <w:color w:val="000000"/>
              </w:rPr>
            </w:pPr>
            <w:r>
              <w:rPr>
                <w:rFonts w:hint="eastAsia"/>
                <w:i w:val="0"/>
                <w:iCs w:val="0"/>
                <w:color w:val="000000"/>
              </w:rPr>
              <w:t>66~76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pct"/>
            <w:vMerge w:val="restart"/>
            <w:tcBorders>
              <w:left w:val="nil"/>
            </w:tcBorders>
            <w:noWrap w:val="0"/>
            <w:vAlign w:val="center"/>
          </w:tcPr>
          <w:p>
            <w:pPr>
              <w:pStyle w:val="390"/>
              <w:rPr>
                <w:i w:val="0"/>
                <w:iCs w:val="0"/>
                <w:color w:val="000000"/>
              </w:rPr>
            </w:pPr>
            <w:r>
              <w:rPr>
                <w:rFonts w:hint="eastAsia"/>
                <w:i w:val="0"/>
                <w:iCs w:val="0"/>
                <w:color w:val="000000"/>
              </w:rPr>
              <w:t>结构阶段</w:t>
            </w:r>
          </w:p>
        </w:tc>
        <w:tc>
          <w:tcPr>
            <w:tcW w:w="1548" w:type="pct"/>
            <w:noWrap w:val="0"/>
            <w:vAlign w:val="center"/>
          </w:tcPr>
          <w:p>
            <w:pPr>
              <w:pStyle w:val="390"/>
              <w:rPr>
                <w:i w:val="0"/>
                <w:iCs w:val="0"/>
                <w:color w:val="000000"/>
              </w:rPr>
            </w:pPr>
            <w:r>
              <w:rPr>
                <w:rFonts w:hint="eastAsia"/>
                <w:i w:val="0"/>
                <w:iCs w:val="0"/>
                <w:color w:val="000000"/>
              </w:rPr>
              <w:t>混凝土搅拌机</w:t>
            </w:r>
          </w:p>
        </w:tc>
        <w:tc>
          <w:tcPr>
            <w:tcW w:w="619" w:type="pct"/>
            <w:noWrap w:val="0"/>
            <w:vAlign w:val="center"/>
          </w:tcPr>
          <w:p>
            <w:pPr>
              <w:pStyle w:val="390"/>
              <w:rPr>
                <w:i w:val="0"/>
                <w:iCs w:val="0"/>
                <w:color w:val="000000"/>
              </w:rPr>
            </w:pPr>
            <w:r>
              <w:rPr>
                <w:rFonts w:hint="eastAsia"/>
                <w:i w:val="0"/>
                <w:iCs w:val="0"/>
                <w:color w:val="000000"/>
              </w:rPr>
              <w:t>100~110</w:t>
            </w:r>
          </w:p>
        </w:tc>
        <w:tc>
          <w:tcPr>
            <w:tcW w:w="515" w:type="pct"/>
            <w:noWrap w:val="0"/>
            <w:vAlign w:val="center"/>
          </w:tcPr>
          <w:p>
            <w:pPr>
              <w:pStyle w:val="390"/>
              <w:rPr>
                <w:i w:val="0"/>
                <w:iCs w:val="0"/>
                <w:color w:val="000000"/>
              </w:rPr>
            </w:pPr>
            <w:r>
              <w:rPr>
                <w:rFonts w:hint="eastAsia"/>
                <w:i w:val="0"/>
                <w:iCs w:val="0"/>
                <w:color w:val="000000"/>
              </w:rPr>
              <w:t>60~70</w:t>
            </w:r>
          </w:p>
        </w:tc>
        <w:tc>
          <w:tcPr>
            <w:tcW w:w="515" w:type="pct"/>
            <w:noWrap w:val="0"/>
            <w:vAlign w:val="center"/>
          </w:tcPr>
          <w:p>
            <w:pPr>
              <w:pStyle w:val="390"/>
              <w:rPr>
                <w:i w:val="0"/>
                <w:iCs w:val="0"/>
                <w:color w:val="000000"/>
              </w:rPr>
            </w:pPr>
            <w:r>
              <w:rPr>
                <w:rFonts w:hint="eastAsia"/>
                <w:i w:val="0"/>
                <w:iCs w:val="0"/>
                <w:color w:val="000000"/>
              </w:rPr>
              <w:t>54~64</w:t>
            </w:r>
          </w:p>
        </w:tc>
        <w:tc>
          <w:tcPr>
            <w:tcW w:w="515" w:type="pct"/>
            <w:noWrap w:val="0"/>
            <w:vAlign w:val="center"/>
          </w:tcPr>
          <w:p>
            <w:pPr>
              <w:pStyle w:val="390"/>
              <w:rPr>
                <w:i w:val="0"/>
                <w:iCs w:val="0"/>
                <w:color w:val="000000"/>
              </w:rPr>
            </w:pPr>
            <w:r>
              <w:rPr>
                <w:rFonts w:hint="eastAsia"/>
                <w:i w:val="0"/>
                <w:iCs w:val="0"/>
                <w:color w:val="000000"/>
              </w:rPr>
              <w:t>51~61</w:t>
            </w:r>
          </w:p>
        </w:tc>
        <w:tc>
          <w:tcPr>
            <w:tcW w:w="500" w:type="pct"/>
            <w:tcBorders>
              <w:right w:val="nil"/>
            </w:tcBorders>
            <w:noWrap w:val="0"/>
            <w:vAlign w:val="center"/>
          </w:tcPr>
          <w:p>
            <w:pPr>
              <w:pStyle w:val="390"/>
              <w:rPr>
                <w:i w:val="0"/>
                <w:iCs w:val="0"/>
                <w:color w:val="000000"/>
              </w:rPr>
            </w:pPr>
            <w:r>
              <w:rPr>
                <w:rFonts w:hint="eastAsia"/>
                <w:i w:val="0"/>
                <w:iCs w:val="0"/>
                <w:color w:val="000000"/>
              </w:rPr>
              <w:t>46~56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pct"/>
            <w:vMerge w:val="continue"/>
            <w:tcBorders>
              <w:left w:val="nil"/>
            </w:tcBorders>
            <w:noWrap w:val="0"/>
            <w:vAlign w:val="center"/>
          </w:tcPr>
          <w:p>
            <w:pPr>
              <w:pStyle w:val="390"/>
              <w:rPr>
                <w:i w:val="0"/>
                <w:iCs w:val="0"/>
                <w:color w:val="000000"/>
              </w:rPr>
            </w:pPr>
          </w:p>
        </w:tc>
        <w:tc>
          <w:tcPr>
            <w:tcW w:w="1548" w:type="pct"/>
            <w:noWrap w:val="0"/>
            <w:vAlign w:val="center"/>
          </w:tcPr>
          <w:p>
            <w:pPr>
              <w:pStyle w:val="390"/>
              <w:rPr>
                <w:i w:val="0"/>
                <w:iCs w:val="0"/>
                <w:color w:val="000000"/>
              </w:rPr>
            </w:pPr>
            <w:r>
              <w:rPr>
                <w:rFonts w:hint="eastAsia"/>
                <w:i w:val="0"/>
                <w:iCs w:val="0"/>
                <w:color w:val="000000"/>
              </w:rPr>
              <w:t>混凝土振捣棒</w:t>
            </w:r>
          </w:p>
        </w:tc>
        <w:tc>
          <w:tcPr>
            <w:tcW w:w="619" w:type="pct"/>
            <w:noWrap w:val="0"/>
            <w:vAlign w:val="center"/>
          </w:tcPr>
          <w:p>
            <w:pPr>
              <w:pStyle w:val="390"/>
              <w:rPr>
                <w:i w:val="0"/>
                <w:iCs w:val="0"/>
                <w:color w:val="000000"/>
              </w:rPr>
            </w:pPr>
            <w:r>
              <w:rPr>
                <w:rFonts w:hint="eastAsia"/>
                <w:i w:val="0"/>
                <w:iCs w:val="0"/>
                <w:color w:val="000000"/>
              </w:rPr>
              <w:t>95~105</w:t>
            </w:r>
          </w:p>
        </w:tc>
        <w:tc>
          <w:tcPr>
            <w:tcW w:w="515" w:type="pct"/>
            <w:noWrap w:val="0"/>
            <w:vAlign w:val="center"/>
          </w:tcPr>
          <w:p>
            <w:pPr>
              <w:pStyle w:val="390"/>
              <w:rPr>
                <w:i w:val="0"/>
                <w:iCs w:val="0"/>
                <w:color w:val="000000"/>
              </w:rPr>
            </w:pPr>
            <w:r>
              <w:rPr>
                <w:rFonts w:hint="eastAsia"/>
                <w:i w:val="0"/>
                <w:iCs w:val="0"/>
                <w:color w:val="000000"/>
              </w:rPr>
              <w:t>55~65</w:t>
            </w:r>
          </w:p>
        </w:tc>
        <w:tc>
          <w:tcPr>
            <w:tcW w:w="515" w:type="pct"/>
            <w:noWrap w:val="0"/>
            <w:vAlign w:val="center"/>
          </w:tcPr>
          <w:p>
            <w:pPr>
              <w:pStyle w:val="390"/>
              <w:rPr>
                <w:i w:val="0"/>
                <w:iCs w:val="0"/>
                <w:color w:val="000000"/>
              </w:rPr>
            </w:pPr>
            <w:r>
              <w:rPr>
                <w:rFonts w:hint="eastAsia"/>
                <w:i w:val="0"/>
                <w:iCs w:val="0"/>
                <w:color w:val="000000"/>
              </w:rPr>
              <w:t>49~59</w:t>
            </w:r>
          </w:p>
        </w:tc>
        <w:tc>
          <w:tcPr>
            <w:tcW w:w="515" w:type="pct"/>
            <w:noWrap w:val="0"/>
            <w:vAlign w:val="center"/>
          </w:tcPr>
          <w:p>
            <w:pPr>
              <w:pStyle w:val="390"/>
              <w:rPr>
                <w:i w:val="0"/>
                <w:iCs w:val="0"/>
                <w:color w:val="000000"/>
              </w:rPr>
            </w:pPr>
            <w:r>
              <w:rPr>
                <w:rFonts w:hint="eastAsia"/>
                <w:i w:val="0"/>
                <w:iCs w:val="0"/>
                <w:color w:val="000000"/>
              </w:rPr>
              <w:t>46~56</w:t>
            </w:r>
          </w:p>
        </w:tc>
        <w:tc>
          <w:tcPr>
            <w:tcW w:w="500" w:type="pct"/>
            <w:tcBorders>
              <w:right w:val="nil"/>
            </w:tcBorders>
            <w:noWrap w:val="0"/>
            <w:vAlign w:val="center"/>
          </w:tcPr>
          <w:p>
            <w:pPr>
              <w:pStyle w:val="390"/>
              <w:rPr>
                <w:i w:val="0"/>
                <w:iCs w:val="0"/>
                <w:color w:val="000000"/>
              </w:rPr>
            </w:pPr>
            <w:r>
              <w:rPr>
                <w:rFonts w:hint="eastAsia"/>
                <w:i w:val="0"/>
                <w:iCs w:val="0"/>
                <w:color w:val="000000"/>
              </w:rPr>
              <w:t>41~51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pct"/>
            <w:tcBorders>
              <w:left w:val="nil"/>
              <w:bottom w:val="single" w:color="auto" w:sz="12" w:space="0"/>
            </w:tcBorders>
            <w:noWrap w:val="0"/>
            <w:vAlign w:val="center"/>
          </w:tcPr>
          <w:p>
            <w:pPr>
              <w:pStyle w:val="390"/>
              <w:rPr>
                <w:i w:val="0"/>
                <w:iCs w:val="0"/>
                <w:color w:val="000000"/>
              </w:rPr>
            </w:pPr>
            <w:r>
              <w:rPr>
                <w:rFonts w:hint="eastAsia"/>
                <w:i w:val="0"/>
                <w:iCs w:val="0"/>
                <w:color w:val="000000"/>
              </w:rPr>
              <w:t>装修阶段</w:t>
            </w:r>
          </w:p>
        </w:tc>
        <w:tc>
          <w:tcPr>
            <w:tcW w:w="1548" w:type="pct"/>
            <w:tcBorders>
              <w:bottom w:val="single" w:color="auto" w:sz="12" w:space="0"/>
            </w:tcBorders>
            <w:noWrap w:val="0"/>
            <w:vAlign w:val="center"/>
          </w:tcPr>
          <w:p>
            <w:pPr>
              <w:pStyle w:val="390"/>
              <w:rPr>
                <w:i w:val="0"/>
                <w:iCs w:val="0"/>
                <w:color w:val="000000"/>
              </w:rPr>
            </w:pPr>
            <w:r>
              <w:rPr>
                <w:rFonts w:hint="eastAsia"/>
                <w:i w:val="0"/>
                <w:iCs w:val="0"/>
                <w:color w:val="000000"/>
              </w:rPr>
              <w:t>无长时间操作的偶发声源</w:t>
            </w:r>
          </w:p>
        </w:tc>
        <w:tc>
          <w:tcPr>
            <w:tcW w:w="619" w:type="pct"/>
            <w:tcBorders>
              <w:bottom w:val="single" w:color="auto" w:sz="12" w:space="0"/>
            </w:tcBorders>
            <w:noWrap w:val="0"/>
            <w:vAlign w:val="center"/>
          </w:tcPr>
          <w:p>
            <w:pPr>
              <w:pStyle w:val="390"/>
              <w:rPr>
                <w:i w:val="0"/>
                <w:iCs w:val="0"/>
                <w:color w:val="000000"/>
              </w:rPr>
            </w:pPr>
            <w:r>
              <w:rPr>
                <w:rFonts w:hint="eastAsia"/>
                <w:i w:val="0"/>
                <w:iCs w:val="0"/>
                <w:color w:val="000000"/>
              </w:rPr>
              <w:t>85~90</w:t>
            </w:r>
          </w:p>
        </w:tc>
        <w:tc>
          <w:tcPr>
            <w:tcW w:w="515" w:type="pct"/>
            <w:tcBorders>
              <w:bottom w:val="single" w:color="auto" w:sz="12" w:space="0"/>
            </w:tcBorders>
            <w:noWrap w:val="0"/>
            <w:vAlign w:val="center"/>
          </w:tcPr>
          <w:p>
            <w:pPr>
              <w:pStyle w:val="390"/>
              <w:rPr>
                <w:i w:val="0"/>
                <w:iCs w:val="0"/>
                <w:color w:val="000000"/>
              </w:rPr>
            </w:pPr>
            <w:r>
              <w:rPr>
                <w:rFonts w:hint="eastAsia"/>
                <w:i w:val="0"/>
                <w:iCs w:val="0"/>
                <w:color w:val="000000"/>
              </w:rPr>
              <w:t>45~50</w:t>
            </w:r>
          </w:p>
        </w:tc>
        <w:tc>
          <w:tcPr>
            <w:tcW w:w="515" w:type="pct"/>
            <w:tcBorders>
              <w:bottom w:val="single" w:color="auto" w:sz="12" w:space="0"/>
            </w:tcBorders>
            <w:noWrap w:val="0"/>
            <w:vAlign w:val="center"/>
          </w:tcPr>
          <w:p>
            <w:pPr>
              <w:pStyle w:val="390"/>
              <w:rPr>
                <w:i w:val="0"/>
                <w:iCs w:val="0"/>
                <w:color w:val="000000"/>
              </w:rPr>
            </w:pPr>
            <w:r>
              <w:rPr>
                <w:rFonts w:hint="eastAsia"/>
                <w:i w:val="0"/>
                <w:iCs w:val="0"/>
                <w:color w:val="000000"/>
              </w:rPr>
              <w:t>39~44</w:t>
            </w:r>
          </w:p>
        </w:tc>
        <w:tc>
          <w:tcPr>
            <w:tcW w:w="515" w:type="pct"/>
            <w:tcBorders>
              <w:bottom w:val="single" w:color="auto" w:sz="12" w:space="0"/>
            </w:tcBorders>
            <w:noWrap w:val="0"/>
            <w:vAlign w:val="center"/>
          </w:tcPr>
          <w:p>
            <w:pPr>
              <w:pStyle w:val="390"/>
              <w:rPr>
                <w:i w:val="0"/>
                <w:iCs w:val="0"/>
                <w:color w:val="000000"/>
              </w:rPr>
            </w:pPr>
            <w:r>
              <w:rPr>
                <w:rFonts w:hint="eastAsia"/>
                <w:i w:val="0"/>
                <w:iCs w:val="0"/>
                <w:color w:val="000000"/>
              </w:rPr>
              <w:t>36~41</w:t>
            </w:r>
          </w:p>
        </w:tc>
        <w:tc>
          <w:tcPr>
            <w:tcW w:w="500" w:type="pct"/>
            <w:tcBorders>
              <w:bottom w:val="single" w:color="auto" w:sz="12" w:space="0"/>
              <w:right w:val="nil"/>
            </w:tcBorders>
            <w:noWrap w:val="0"/>
            <w:vAlign w:val="center"/>
          </w:tcPr>
          <w:p>
            <w:pPr>
              <w:pStyle w:val="390"/>
              <w:rPr>
                <w:i w:val="0"/>
                <w:iCs w:val="0"/>
                <w:color w:val="000000"/>
              </w:rPr>
            </w:pPr>
            <w:r>
              <w:rPr>
                <w:rFonts w:hint="eastAsia"/>
                <w:i w:val="0"/>
                <w:iCs w:val="0"/>
                <w:color w:val="000000"/>
              </w:rPr>
              <w:t>31~36</w:t>
            </w:r>
          </w:p>
        </w:tc>
      </w:tr>
    </w:tbl>
    <w:p>
      <w:pPr>
        <w:adjustRightInd w:val="0"/>
        <w:snapToGrid w:val="0"/>
        <w:spacing w:line="360" w:lineRule="auto"/>
        <w:ind w:firstLine="480" w:firstLineChars="200"/>
        <w:rPr>
          <w:i w:val="0"/>
          <w:iCs w:val="0"/>
        </w:rPr>
      </w:pPr>
      <w:r>
        <w:rPr>
          <w:i w:val="0"/>
          <w:iCs w:val="0"/>
        </w:rPr>
        <w:t>在施工现场500m范围内，除装修阶段外，施工其他阶段的噪声均超标准，尤其是基础阶段，由于打桩机噪声很大，致使周围环境噪声严重超标。根据现场踏查，本项目施工场地距离</w:t>
      </w:r>
      <w:r>
        <w:rPr>
          <w:rFonts w:hint="eastAsia"/>
          <w:i w:val="0"/>
          <w:iCs w:val="0"/>
        </w:rPr>
        <w:t>最近村屯后大台20m</w:t>
      </w:r>
      <w:r>
        <w:rPr>
          <w:i w:val="0"/>
          <w:iCs w:val="0"/>
        </w:rPr>
        <w:t>，因此项目施工噪声会对居民造成一定不利影响，建议施工时设置围挡，合理安排施工时间，夜间不施工。</w:t>
      </w:r>
    </w:p>
    <w:p>
      <w:pPr>
        <w:adjustRightInd w:val="0"/>
        <w:snapToGrid w:val="0"/>
        <w:spacing w:line="360" w:lineRule="auto"/>
        <w:ind w:firstLine="480" w:firstLineChars="200"/>
        <w:rPr>
          <w:i w:val="0"/>
          <w:iCs w:val="0"/>
        </w:rPr>
      </w:pPr>
      <w:bookmarkStart w:id="163" w:name="_Toc114236547"/>
      <w:bookmarkStart w:id="164" w:name="_Toc114236726"/>
      <w:bookmarkStart w:id="165" w:name="_Toc86884804"/>
      <w:bookmarkStart w:id="166" w:name="_Toc112603670"/>
      <w:r>
        <w:rPr>
          <w:rFonts w:hint="eastAsia"/>
          <w:i w:val="0"/>
          <w:iCs w:val="0"/>
        </w:rPr>
        <w:t>5.1.4</w:t>
      </w:r>
      <w:r>
        <w:rPr>
          <w:i w:val="0"/>
          <w:iCs w:val="0"/>
        </w:rPr>
        <w:t>施工期固废环境影响分析</w:t>
      </w:r>
      <w:bookmarkEnd w:id="163"/>
      <w:bookmarkEnd w:id="164"/>
      <w:bookmarkEnd w:id="165"/>
      <w:bookmarkEnd w:id="166"/>
    </w:p>
    <w:p>
      <w:pPr>
        <w:spacing w:line="360" w:lineRule="auto"/>
        <w:ind w:firstLine="480" w:firstLineChars="200"/>
        <w:rPr>
          <w:i w:val="0"/>
          <w:iCs w:val="0"/>
        </w:rPr>
      </w:pPr>
      <w:r>
        <w:rPr>
          <w:i w:val="0"/>
          <w:iCs w:val="0"/>
        </w:rPr>
        <w:t>施工期固体废物主要为施工人员生活垃圾和建筑垃圾、装修垃圾，如：石子、混凝土块、砖头、石块、石屑、黄沙、石灰和废木料等。</w:t>
      </w:r>
    </w:p>
    <w:p>
      <w:pPr>
        <w:spacing w:line="360" w:lineRule="auto"/>
        <w:ind w:firstLine="480" w:firstLineChars="200"/>
        <w:rPr>
          <w:i w:val="0"/>
          <w:iCs w:val="0"/>
        </w:rPr>
      </w:pPr>
      <w:r>
        <w:rPr>
          <w:i w:val="0"/>
          <w:iCs w:val="0"/>
        </w:rPr>
        <w:t>本项目建筑垃圾产生量按0.002t/m</w:t>
      </w:r>
      <w:r>
        <w:rPr>
          <w:i w:val="0"/>
          <w:iCs w:val="0"/>
          <w:vertAlign w:val="superscript"/>
        </w:rPr>
        <w:t>2</w:t>
      </w:r>
      <w:r>
        <w:rPr>
          <w:i w:val="0"/>
          <w:iCs w:val="0"/>
        </w:rPr>
        <w:t>进行估算，项目施工期将产生建筑垃圾</w:t>
      </w:r>
      <w:r>
        <w:rPr>
          <w:rFonts w:hint="eastAsia"/>
          <w:i w:val="0"/>
          <w:iCs w:val="0"/>
        </w:rPr>
        <w:t>3.0</w:t>
      </w:r>
      <w:r>
        <w:rPr>
          <w:i w:val="0"/>
          <w:iCs w:val="0"/>
        </w:rPr>
        <w:t>t。</w:t>
      </w:r>
    </w:p>
    <w:p>
      <w:pPr>
        <w:spacing w:line="360" w:lineRule="auto"/>
        <w:ind w:firstLine="480" w:firstLineChars="200"/>
        <w:rPr>
          <w:i w:val="0"/>
          <w:iCs w:val="0"/>
        </w:rPr>
      </w:pPr>
      <w:r>
        <w:rPr>
          <w:i w:val="0"/>
          <w:iCs w:val="0"/>
        </w:rPr>
        <w:t>本项目施工期</w:t>
      </w:r>
      <w:r>
        <w:rPr>
          <w:rFonts w:hint="eastAsia"/>
          <w:i w:val="0"/>
          <w:iCs w:val="0"/>
        </w:rPr>
        <w:t>12</w:t>
      </w:r>
      <w:r>
        <w:rPr>
          <w:i w:val="0"/>
          <w:iCs w:val="0"/>
        </w:rPr>
        <w:t>个月，施工人员约80人，按一般在0.3-0.5kg/人·d计，施工期生活垃圾产生量约为0.04t/d</w:t>
      </w:r>
      <w:r>
        <w:rPr>
          <w:rFonts w:hint="eastAsia"/>
          <w:i w:val="0"/>
          <w:iCs w:val="0"/>
        </w:rPr>
        <w:t>（16.86t</w:t>
      </w:r>
      <w:r>
        <w:rPr>
          <w:i w:val="0"/>
          <w:iCs w:val="0"/>
        </w:rPr>
        <w:t>/</w:t>
      </w:r>
      <w:r>
        <w:rPr>
          <w:rFonts w:hint="eastAsia"/>
          <w:i w:val="0"/>
          <w:iCs w:val="0"/>
        </w:rPr>
        <w:t>a）</w:t>
      </w:r>
      <w:r>
        <w:rPr>
          <w:i w:val="0"/>
          <w:iCs w:val="0"/>
        </w:rPr>
        <w:t>。</w:t>
      </w:r>
    </w:p>
    <w:p>
      <w:pPr>
        <w:spacing w:line="360" w:lineRule="auto"/>
        <w:ind w:firstLine="480" w:firstLineChars="200"/>
        <w:rPr>
          <w:i w:val="0"/>
          <w:iCs w:val="0"/>
        </w:rPr>
      </w:pPr>
      <w:r>
        <w:rPr>
          <w:i w:val="0"/>
          <w:iCs w:val="0"/>
        </w:rPr>
        <w:t>针对各固废物的性质，建议将施工期产生的建筑垃圾应及时清运至政府指定建筑垃圾处理进行处理。施工现场应设置专门生活垃圾箱，由环卫部门统一清运，避免随意抛弃。</w:t>
      </w:r>
    </w:p>
    <w:p>
      <w:pPr>
        <w:spacing w:line="360" w:lineRule="auto"/>
        <w:ind w:firstLine="480" w:firstLineChars="200"/>
        <w:rPr>
          <w:i w:val="0"/>
          <w:iCs w:val="0"/>
        </w:rPr>
      </w:pPr>
      <w:r>
        <w:rPr>
          <w:i w:val="0"/>
          <w:iCs w:val="0"/>
        </w:rPr>
        <w:t>通过采取上述措施后，施工期间固体废物不会对环境产生二次污染。</w:t>
      </w:r>
    </w:p>
    <w:p>
      <w:pPr>
        <w:spacing w:line="360" w:lineRule="auto"/>
        <w:ind w:firstLine="480" w:firstLineChars="200"/>
        <w:rPr>
          <w:rFonts w:hint="eastAsia"/>
          <w:i w:val="0"/>
          <w:iCs w:val="0"/>
          <w:lang w:val="zh-CN"/>
        </w:rPr>
      </w:pPr>
      <w:bookmarkStart w:id="167" w:name="_Toc114236548"/>
      <w:bookmarkStart w:id="168" w:name="_Toc114236727"/>
      <w:bookmarkStart w:id="169" w:name="_Toc112603671"/>
      <w:r>
        <w:rPr>
          <w:rFonts w:hint="eastAsia"/>
          <w:i w:val="0"/>
          <w:iCs w:val="0"/>
        </w:rPr>
        <w:t>5.1.5</w:t>
      </w:r>
      <w:r>
        <w:rPr>
          <w:rFonts w:hint="eastAsia"/>
          <w:i w:val="0"/>
          <w:iCs w:val="0"/>
          <w:lang w:val="zh-CN"/>
        </w:rPr>
        <w:t>施工期生态环境影响</w:t>
      </w:r>
      <w:bookmarkEnd w:id="167"/>
      <w:bookmarkEnd w:id="168"/>
      <w:bookmarkEnd w:id="169"/>
    </w:p>
    <w:p>
      <w:pPr>
        <w:spacing w:line="360" w:lineRule="auto"/>
        <w:ind w:firstLine="480" w:firstLineChars="200"/>
        <w:rPr>
          <w:rFonts w:hint="eastAsia"/>
          <w:i w:val="0"/>
          <w:iCs w:val="0"/>
        </w:rPr>
      </w:pPr>
      <w:r>
        <w:rPr>
          <w:rFonts w:hint="eastAsia"/>
          <w:i w:val="0"/>
          <w:iCs w:val="0"/>
        </w:rPr>
        <w:t>（1）项目对区域生态环境的影响特征</w:t>
      </w:r>
    </w:p>
    <w:p>
      <w:pPr>
        <w:spacing w:line="360" w:lineRule="auto"/>
        <w:ind w:firstLine="480" w:firstLineChars="200"/>
        <w:rPr>
          <w:rFonts w:hint="eastAsia"/>
          <w:i w:val="0"/>
          <w:iCs w:val="0"/>
        </w:rPr>
      </w:pPr>
      <w:r>
        <w:rPr>
          <w:rFonts w:hint="eastAsia"/>
          <w:i w:val="0"/>
          <w:iCs w:val="0"/>
        </w:rPr>
        <w:t>项目对评价区域生态环境的影响特征表现有：施工使工程区的土地利用发生改变，从而对评价区范围内自然体系的生态完整性产生一定程度的影响。工程施工会对施工区的土壤、植被产生破坏影响；工程施工会对在施工区内活动的动物产生一定影响。</w:t>
      </w:r>
    </w:p>
    <w:p>
      <w:pPr>
        <w:spacing w:line="360" w:lineRule="auto"/>
        <w:ind w:firstLine="480" w:firstLineChars="200"/>
        <w:rPr>
          <w:rFonts w:hint="eastAsia"/>
          <w:i w:val="0"/>
          <w:iCs w:val="0"/>
        </w:rPr>
      </w:pPr>
      <w:r>
        <w:rPr>
          <w:rFonts w:hint="eastAsia"/>
          <w:i w:val="0"/>
          <w:iCs w:val="0"/>
        </w:rPr>
        <w:t>建设施工期间，平整场地、开挖基础等挖填土作业将破坏植被和地表，使松疏的土壤直接裸露于环境中，挖填过程中可能造成陡峭边坡，这些行为在雨季时容易因水力作用而产生水土流失。但随着施工结束场地的硬化，可使水土流失得到有效控制。</w:t>
      </w:r>
    </w:p>
    <w:p>
      <w:pPr>
        <w:spacing w:line="360" w:lineRule="auto"/>
        <w:ind w:firstLine="480" w:firstLineChars="200"/>
        <w:rPr>
          <w:rFonts w:hint="eastAsia"/>
          <w:i w:val="0"/>
          <w:iCs w:val="0"/>
        </w:rPr>
      </w:pPr>
      <w:r>
        <w:rPr>
          <w:rFonts w:hint="eastAsia"/>
          <w:i w:val="0"/>
          <w:iCs w:val="0"/>
        </w:rPr>
        <w:t>（2）项目施工期对生态环境的影响</w:t>
      </w:r>
    </w:p>
    <w:p>
      <w:pPr>
        <w:spacing w:line="360" w:lineRule="auto"/>
        <w:ind w:firstLine="480" w:firstLineChars="200"/>
        <w:rPr>
          <w:rFonts w:hint="eastAsia"/>
          <w:i w:val="0"/>
          <w:iCs w:val="0"/>
        </w:rPr>
      </w:pPr>
      <w:r>
        <w:rPr>
          <w:rFonts w:hint="eastAsia"/>
          <w:i w:val="0"/>
          <w:iCs w:val="0"/>
        </w:rPr>
        <w:t>项目施工仅使工程区范围内的土地利用发生改变，而其他区域土地利用方式仍然维持现状。因此，工程施工对生态完整性的影响分析主要是对此工程永久占地范围进行。</w:t>
      </w:r>
    </w:p>
    <w:p>
      <w:pPr>
        <w:spacing w:line="360" w:lineRule="auto"/>
        <w:ind w:firstLine="480" w:firstLineChars="200"/>
        <w:rPr>
          <w:rFonts w:hint="eastAsia"/>
          <w:b/>
          <w:i w:val="0"/>
          <w:iCs w:val="0"/>
          <w:sz w:val="28"/>
          <w:szCs w:val="28"/>
        </w:rPr>
      </w:pPr>
      <w:r>
        <w:rPr>
          <w:rFonts w:hint="eastAsia"/>
          <w:i w:val="0"/>
          <w:iCs w:val="0"/>
        </w:rPr>
        <w:t>施工期内对植被的影响主要体现于工程施工对土地的占用，永久性占地会对地表植被产生直接影响。根据现场调查，评价范围区域内无国家的一、二级保护植物。</w:t>
      </w:r>
    </w:p>
    <w:p>
      <w:pPr>
        <w:pStyle w:val="4"/>
        <w:spacing w:before="0" w:after="0"/>
        <w:rPr>
          <w:rFonts w:ascii="Times New Roman" w:hAnsi="Times New Roman" w:eastAsia="宋体"/>
          <w:b/>
          <w:i w:val="0"/>
          <w:iCs w:val="0"/>
          <w:sz w:val="28"/>
          <w:szCs w:val="28"/>
        </w:rPr>
      </w:pPr>
      <w:bookmarkStart w:id="170" w:name="_Toc897"/>
      <w:r>
        <w:rPr>
          <w:rFonts w:hint="eastAsia" w:ascii="Times New Roman" w:hAnsi="Times New Roman" w:eastAsia="宋体"/>
          <w:b/>
          <w:i w:val="0"/>
          <w:iCs w:val="0"/>
          <w:sz w:val="28"/>
          <w:szCs w:val="28"/>
        </w:rPr>
        <w:t>5</w:t>
      </w:r>
      <w:r>
        <w:rPr>
          <w:rFonts w:ascii="Times New Roman" w:hAnsi="Times New Roman" w:eastAsia="宋体"/>
          <w:b/>
          <w:i w:val="0"/>
          <w:iCs w:val="0"/>
          <w:sz w:val="28"/>
          <w:szCs w:val="28"/>
        </w:rPr>
        <w:t>.2营运期环境影响预测与评价</w:t>
      </w:r>
      <w:bookmarkEnd w:id="130"/>
      <w:bookmarkEnd w:id="131"/>
      <w:bookmarkEnd w:id="170"/>
    </w:p>
    <w:p>
      <w:pPr>
        <w:spacing w:line="360" w:lineRule="auto"/>
        <w:ind w:firstLine="480" w:firstLineChars="200"/>
        <w:rPr>
          <w:i w:val="0"/>
          <w:iCs w:val="0"/>
        </w:rPr>
      </w:pPr>
      <w:r>
        <w:rPr>
          <w:rFonts w:hint="eastAsia"/>
          <w:i w:val="0"/>
          <w:iCs w:val="0"/>
        </w:rPr>
        <w:t>5</w:t>
      </w:r>
      <w:r>
        <w:rPr>
          <w:i w:val="0"/>
          <w:iCs w:val="0"/>
        </w:rPr>
        <w:t>.2.1地表水环境影响</w:t>
      </w:r>
      <w:r>
        <w:rPr>
          <w:rFonts w:hint="eastAsia"/>
          <w:i w:val="0"/>
          <w:iCs w:val="0"/>
        </w:rPr>
        <w:t>预测与评价</w:t>
      </w:r>
    </w:p>
    <w:p>
      <w:pPr>
        <w:spacing w:line="360" w:lineRule="auto"/>
        <w:ind w:firstLine="480" w:firstLineChars="200"/>
        <w:rPr>
          <w:i w:val="0"/>
          <w:iCs w:val="0"/>
          <w:lang w:val="zh-CN"/>
        </w:rPr>
      </w:pPr>
      <w:r>
        <w:rPr>
          <w:rFonts w:hint="eastAsia"/>
          <w:i w:val="0"/>
          <w:iCs w:val="0"/>
          <w:lang w:val="zh-CN"/>
        </w:rPr>
        <w:t>根据《环境影响评价技术导则 地表水》HJ2.3-2018中，5.2.2.2“间接排放建设项目评价等级为三B”及6.6.2.1（d）“水污染影响型三级B评价，可不开展区域污染源调查，主要调查依托污水处理设施的日处理能力、处理工艺、设计进水水质、处理后的废水稳定达标排放情况，同时应调查依托污水处理设施执行的排放标准是否涵盖建设项目排放的有毒有害的特征水污染物。”</w:t>
      </w:r>
    </w:p>
    <w:p>
      <w:pPr>
        <w:spacing w:line="360" w:lineRule="auto"/>
        <w:ind w:firstLine="480" w:firstLineChars="200"/>
        <w:rPr>
          <w:rFonts w:hint="eastAsia"/>
          <w:i w:val="0"/>
          <w:iCs w:val="0"/>
          <w:lang w:val="zh-CN"/>
        </w:rPr>
      </w:pPr>
      <w:r>
        <w:rPr>
          <w:rFonts w:hint="eastAsia"/>
          <w:i w:val="0"/>
          <w:iCs w:val="0"/>
        </w:rPr>
        <w:t>本</w:t>
      </w:r>
      <w:r>
        <w:rPr>
          <w:rFonts w:hint="eastAsia"/>
          <w:i w:val="0"/>
          <w:iCs w:val="0"/>
          <w:lang w:val="zh-CN"/>
        </w:rPr>
        <w:t>项目废水主要为项目废水主要为生活污水、生产废水，其中生产废水主要为</w:t>
      </w:r>
      <w:r>
        <w:rPr>
          <w:rFonts w:hint="eastAsia" w:hAnsi="宋体"/>
          <w:i w:val="0"/>
          <w:iCs w:val="0"/>
          <w:color w:val="000000"/>
        </w:rPr>
        <w:t>发酵车间</w:t>
      </w:r>
      <w:r>
        <w:rPr>
          <w:rFonts w:hint="eastAsia" w:hAnsi="宋体"/>
          <w:i w:val="0"/>
          <w:iCs w:val="0"/>
          <w:color w:val="000000"/>
          <w:lang w:val="en-US" w:eastAsia="zh-CN"/>
        </w:rPr>
        <w:t>洗罐</w:t>
      </w:r>
      <w:r>
        <w:rPr>
          <w:rFonts w:hint="eastAsia" w:hAnsi="宋体"/>
          <w:i w:val="0"/>
          <w:iCs w:val="0"/>
          <w:color w:val="000000"/>
        </w:rPr>
        <w:t>废水、分离干燥车间离心洗涤废水、车间冲洗地面水</w:t>
      </w:r>
      <w:r>
        <w:rPr>
          <w:rFonts w:hint="eastAsia" w:hAnsi="宋体"/>
          <w:i w:val="0"/>
          <w:iCs w:val="0"/>
          <w:color w:val="000000"/>
          <w:lang w:eastAsia="zh-CN"/>
        </w:rPr>
        <w:t>、</w:t>
      </w:r>
      <w:r>
        <w:rPr>
          <w:rFonts w:hint="eastAsia" w:hAnsi="宋体"/>
          <w:i w:val="0"/>
          <w:iCs w:val="0"/>
          <w:color w:val="000000"/>
          <w:lang w:val="en-US" w:eastAsia="zh-CN"/>
        </w:rPr>
        <w:t>喷淋废水、化验废水、循环水系统排水及冷凝水</w:t>
      </w:r>
      <w:r>
        <w:rPr>
          <w:rFonts w:hint="eastAsia"/>
          <w:i w:val="0"/>
          <w:iCs w:val="0"/>
          <w:lang w:val="zh-CN"/>
        </w:rPr>
        <w:t>等。</w:t>
      </w:r>
    </w:p>
    <w:p>
      <w:pPr>
        <w:spacing w:line="360" w:lineRule="auto"/>
        <w:ind w:firstLine="480" w:firstLineChars="200"/>
        <w:rPr>
          <w:bCs/>
          <w:i w:val="0"/>
          <w:iCs w:val="0"/>
        </w:rPr>
      </w:pPr>
      <w:r>
        <w:rPr>
          <w:rFonts w:hint="eastAsia"/>
          <w:i w:val="0"/>
          <w:iCs w:val="0"/>
          <w:lang w:val="zh-CN"/>
        </w:rPr>
        <w:t>本项目产生的食堂废水由油水分离器处理后与生活污水、生产废水经厂内污水管道收集，经过厂内污水处理站采用“水解+UASB+A/O”工艺处理，处理后废水达到《《污水综合排放标准》GB8978-1996表2三级标准排放限值及园区污水处理厂进水指标后排入污水管网内，进入园区污水处理厂处理后排放，因此，属于三级B评价，可不开展区域污染源调查。</w:t>
      </w:r>
      <w:r>
        <w:rPr>
          <w:rFonts w:hint="eastAsia"/>
          <w:i w:val="0"/>
          <w:iCs w:val="0"/>
        </w:rPr>
        <w:t>仅对</w:t>
      </w:r>
      <w:r>
        <w:rPr>
          <w:i w:val="0"/>
          <w:iCs w:val="0"/>
        </w:rPr>
        <w:t>依托污水处理设施的环境可行性进行分析评价。</w:t>
      </w:r>
    </w:p>
    <w:p>
      <w:pPr>
        <w:pStyle w:val="24"/>
        <w:tabs>
          <w:tab w:val="left" w:pos="0"/>
          <w:tab w:val="left" w:pos="1260"/>
        </w:tabs>
        <w:spacing w:line="360" w:lineRule="auto"/>
        <w:ind w:firstLine="482" w:firstLineChars="200"/>
        <w:jc w:val="left"/>
        <w:rPr>
          <w:b/>
          <w:bCs/>
          <w:i w:val="0"/>
          <w:iCs w:val="0"/>
        </w:rPr>
      </w:pPr>
      <w:r>
        <w:rPr>
          <w:rFonts w:hint="eastAsia"/>
          <w:b/>
          <w:bCs/>
          <w:i w:val="0"/>
          <w:iCs w:val="0"/>
        </w:rPr>
        <w:t>1</w:t>
      </w:r>
      <w:r>
        <w:rPr>
          <w:b/>
          <w:bCs/>
          <w:i w:val="0"/>
          <w:iCs w:val="0"/>
        </w:rPr>
        <w:t>、依托污水处理厂的环境可行性评价</w:t>
      </w:r>
    </w:p>
    <w:p>
      <w:pPr>
        <w:pStyle w:val="386"/>
        <w:spacing w:before="0" w:beforeLines="0" w:after="0" w:afterLines="0"/>
        <w:rPr>
          <w:rFonts w:hint="eastAsia"/>
          <w:i w:val="0"/>
          <w:iCs w:val="0"/>
          <w:u w:val="single"/>
          <w:lang w:eastAsia="zh-CN"/>
        </w:rPr>
      </w:pPr>
      <w:bookmarkStart w:id="171" w:name="_Toc5353"/>
      <w:r>
        <w:rPr>
          <w:rFonts w:hint="eastAsia" w:ascii="宋体" w:hAnsi="宋体" w:cs="宋体"/>
          <w:i w:val="0"/>
          <w:iCs w:val="0"/>
          <w:kern w:val="0"/>
          <w:szCs w:val="21"/>
          <w:u w:val="single"/>
        </w:rPr>
        <w:t>长白山特色食药科技产业园</w:t>
      </w:r>
      <w:r>
        <w:rPr>
          <w:rFonts w:hint="eastAsia" w:hAnsi="宋体"/>
          <w:i w:val="0"/>
          <w:iCs w:val="0"/>
          <w:snapToGrid w:val="0"/>
          <w:u w:val="single"/>
        </w:rPr>
        <w:t>污水处理厂</w:t>
      </w:r>
      <w:r>
        <w:rPr>
          <w:i w:val="0"/>
          <w:iCs w:val="0"/>
          <w:u w:val="single"/>
        </w:rPr>
        <w:t>位于</w:t>
      </w:r>
      <w:r>
        <w:rPr>
          <w:rFonts w:hint="eastAsia"/>
          <w:i w:val="0"/>
          <w:iCs w:val="0"/>
          <w:u w:val="single"/>
        </w:rPr>
        <w:t>在长白山特色食药科技产业园区南侧</w:t>
      </w:r>
      <w:r>
        <w:rPr>
          <w:i w:val="0"/>
          <w:iCs w:val="0"/>
          <w:u w:val="single"/>
        </w:rPr>
        <w:t>，</w:t>
      </w:r>
      <w:r>
        <w:rPr>
          <w:rFonts w:hint="eastAsia" w:hAnsi="宋体"/>
          <w:i w:val="0"/>
          <w:iCs w:val="0"/>
          <w:snapToGrid w:val="0"/>
          <w:u w:val="single"/>
        </w:rPr>
        <w:t>设计总规模为</w:t>
      </w:r>
      <w:r>
        <w:rPr>
          <w:rFonts w:hAnsi="宋体"/>
          <w:i w:val="0"/>
          <w:iCs w:val="0"/>
          <w:snapToGrid w:val="0"/>
          <w:u w:val="single"/>
        </w:rPr>
        <w:t>1</w:t>
      </w:r>
      <w:r>
        <w:rPr>
          <w:rFonts w:hint="eastAsia" w:hAnsi="宋体"/>
          <w:i w:val="0"/>
          <w:iCs w:val="0"/>
          <w:snapToGrid w:val="0"/>
          <w:u w:val="single"/>
        </w:rPr>
        <w:t>万m</w:t>
      </w:r>
      <w:r>
        <w:rPr>
          <w:rFonts w:hint="eastAsia" w:hAnsi="宋体"/>
          <w:i w:val="0"/>
          <w:iCs w:val="0"/>
          <w:snapToGrid w:val="0"/>
          <w:u w:val="single"/>
          <w:vertAlign w:val="superscript"/>
        </w:rPr>
        <w:t>3</w:t>
      </w:r>
      <w:r>
        <w:rPr>
          <w:rFonts w:hint="eastAsia" w:hAnsi="宋体"/>
          <w:i w:val="0"/>
          <w:iCs w:val="0"/>
          <w:snapToGrid w:val="0"/>
          <w:u w:val="single"/>
        </w:rPr>
        <w:t>/d。分两期建设，</w:t>
      </w:r>
      <w:r>
        <w:rPr>
          <w:i w:val="0"/>
          <w:iCs w:val="0"/>
          <w:snapToGrid w:val="0"/>
          <w:u w:val="single"/>
        </w:rPr>
        <w:t>近期设计规模5000m</w:t>
      </w:r>
      <w:r>
        <w:rPr>
          <w:rFonts w:hint="eastAsia"/>
          <w:i w:val="0"/>
          <w:iCs w:val="0"/>
          <w:snapToGrid w:val="0"/>
          <w:u w:val="single"/>
          <w:vertAlign w:val="superscript"/>
        </w:rPr>
        <w:t>3</w:t>
      </w:r>
      <w:r>
        <w:rPr>
          <w:i w:val="0"/>
          <w:iCs w:val="0"/>
          <w:snapToGrid w:val="0"/>
          <w:u w:val="single"/>
        </w:rPr>
        <w:t>/d</w:t>
      </w:r>
      <w:r>
        <w:rPr>
          <w:rFonts w:hint="eastAsia"/>
          <w:i w:val="0"/>
          <w:iCs w:val="0"/>
          <w:snapToGrid w:val="0"/>
          <w:u w:val="single"/>
        </w:rPr>
        <w:t>，远期设计规模</w:t>
      </w:r>
      <w:r>
        <w:rPr>
          <w:i w:val="0"/>
          <w:iCs w:val="0"/>
          <w:snapToGrid w:val="0"/>
          <w:u w:val="single"/>
        </w:rPr>
        <w:t>5000m</w:t>
      </w:r>
      <w:r>
        <w:rPr>
          <w:rFonts w:hint="eastAsia"/>
          <w:i w:val="0"/>
          <w:iCs w:val="0"/>
          <w:snapToGrid w:val="0"/>
          <w:u w:val="single"/>
          <w:vertAlign w:val="superscript"/>
        </w:rPr>
        <w:t>3</w:t>
      </w:r>
      <w:r>
        <w:rPr>
          <w:i w:val="0"/>
          <w:iCs w:val="0"/>
          <w:snapToGrid w:val="0"/>
          <w:u w:val="single"/>
        </w:rPr>
        <w:t>/d</w:t>
      </w:r>
      <w:r>
        <w:rPr>
          <w:i w:val="0"/>
          <w:iCs w:val="0"/>
          <w:u w:val="single"/>
        </w:rPr>
        <w:t>，主体工艺采用</w:t>
      </w:r>
      <w:r>
        <w:rPr>
          <w:rFonts w:hint="eastAsia"/>
          <w:i w:val="0"/>
          <w:iCs w:val="0"/>
          <w:u w:val="single"/>
        </w:rPr>
        <w:t>粗格栅→污水提升泵房→细格栅→旋流沉砂池→水解酸化池→改良型A</w:t>
      </w:r>
      <w:r>
        <w:rPr>
          <w:rFonts w:hint="eastAsia"/>
          <w:i w:val="0"/>
          <w:iCs w:val="0"/>
          <w:u w:val="single"/>
          <w:vertAlign w:val="superscript"/>
        </w:rPr>
        <w:t>2</w:t>
      </w:r>
      <w:r>
        <w:rPr>
          <w:rFonts w:hint="eastAsia"/>
          <w:i w:val="0"/>
          <w:iCs w:val="0"/>
          <w:u w:val="single"/>
        </w:rPr>
        <w:t>/O→二沉池→高效沉淀池→V型滤池</w:t>
      </w:r>
      <w:r>
        <w:rPr>
          <w:i w:val="0"/>
          <w:iCs w:val="0"/>
          <w:u w:val="single"/>
        </w:rPr>
        <w:t>，出水排放标准为《城镇污水处理厂污染物排放标准》（GB 18918-2002）中一级标准的A标准，出水达标后排入浑江；根据调查，</w:t>
      </w:r>
      <w:r>
        <w:rPr>
          <w:rFonts w:hint="eastAsia" w:ascii="宋体" w:hAnsi="宋体" w:cs="宋体"/>
          <w:i w:val="0"/>
          <w:iCs w:val="0"/>
          <w:kern w:val="0"/>
          <w:szCs w:val="21"/>
          <w:u w:val="single"/>
        </w:rPr>
        <w:t>长白山特色食药科技产业园</w:t>
      </w:r>
      <w:r>
        <w:rPr>
          <w:rFonts w:hint="eastAsia" w:hAnsi="宋体"/>
          <w:i w:val="0"/>
          <w:iCs w:val="0"/>
          <w:snapToGrid w:val="0"/>
          <w:u w:val="single"/>
        </w:rPr>
        <w:t>污水处理厂尚未投建成</w:t>
      </w:r>
      <w:r>
        <w:rPr>
          <w:i w:val="0"/>
          <w:iCs w:val="0"/>
          <w:u w:val="single"/>
        </w:rPr>
        <w:t>，</w:t>
      </w:r>
      <w:r>
        <w:rPr>
          <w:rFonts w:hint="eastAsia"/>
          <w:i w:val="0"/>
          <w:iCs w:val="0"/>
          <w:u w:val="single"/>
        </w:rPr>
        <w:t>预计2025年8月建成，2025年12月前投产，</w:t>
      </w:r>
      <w:r>
        <w:rPr>
          <w:rFonts w:hint="eastAsia"/>
          <w:i w:val="0"/>
          <w:iCs w:val="0"/>
          <w:u w:val="single"/>
          <w:lang w:eastAsia="zh-CN"/>
        </w:rPr>
        <w:t>本项目建设周期为两年，预计建成投入生产时间</w:t>
      </w:r>
      <w:r>
        <w:rPr>
          <w:rFonts w:hint="eastAsia"/>
          <w:i w:val="0"/>
          <w:iCs w:val="0"/>
          <w:u w:val="single"/>
          <w:lang w:val="en-US" w:eastAsia="zh-CN"/>
        </w:rPr>
        <w:t>为2026年11月，依托可行，如本项目污水站处理后的废水</w:t>
      </w:r>
      <w:r>
        <w:rPr>
          <w:rFonts w:hint="default" w:ascii="宋体" w:hAnsi="宋体"/>
          <w:i w:val="0"/>
          <w:iCs w:val="0"/>
          <w:sz w:val="24"/>
          <w:szCs w:val="24"/>
          <w:u w:val="single"/>
        </w:rPr>
        <w:t>不能依托长白山特色食药科技产业园污水处理厂时</w:t>
      </w:r>
      <w:r>
        <w:rPr>
          <w:rFonts w:hint="eastAsia"/>
          <w:i w:val="0"/>
          <w:iCs w:val="0"/>
          <w:u w:val="single"/>
          <w:lang w:eastAsia="zh-CN"/>
        </w:rPr>
        <w:t>，本项目不可行，应重新进行环境影响评价。</w:t>
      </w:r>
    </w:p>
    <w:p>
      <w:pPr>
        <w:pStyle w:val="386"/>
        <w:spacing w:before="0" w:beforeLines="0" w:after="0" w:afterLines="0"/>
        <w:rPr>
          <w:i w:val="0"/>
          <w:iCs w:val="0"/>
        </w:rPr>
      </w:pPr>
      <w:r>
        <w:rPr>
          <w:i w:val="0"/>
          <w:iCs w:val="0"/>
        </w:rPr>
        <w:t>本项目排入</w:t>
      </w:r>
      <w:r>
        <w:rPr>
          <w:rFonts w:hint="eastAsia" w:ascii="宋体" w:hAnsi="宋体" w:cs="宋体"/>
          <w:i w:val="0"/>
          <w:iCs w:val="0"/>
          <w:kern w:val="0"/>
          <w:szCs w:val="21"/>
        </w:rPr>
        <w:t>长白山特色食药科技产业园</w:t>
      </w:r>
      <w:r>
        <w:rPr>
          <w:i w:val="0"/>
          <w:iCs w:val="0"/>
        </w:rPr>
        <w:t>污水处理厂废水量</w:t>
      </w:r>
      <w:r>
        <w:rPr>
          <w:rFonts w:hint="eastAsia"/>
          <w:i w:val="0"/>
          <w:iCs w:val="0"/>
          <w:lang w:val="en-US" w:eastAsia="zh-CN"/>
        </w:rPr>
        <w:t>109.44</w:t>
      </w:r>
      <w:r>
        <w:rPr>
          <w:i w:val="0"/>
          <w:iCs w:val="0"/>
        </w:rPr>
        <w:t>m</w:t>
      </w:r>
      <w:r>
        <w:rPr>
          <w:i w:val="0"/>
          <w:iCs w:val="0"/>
          <w:vertAlign w:val="superscript"/>
        </w:rPr>
        <w:t>3</w:t>
      </w:r>
      <w:r>
        <w:rPr>
          <w:i w:val="0"/>
          <w:iCs w:val="0"/>
        </w:rPr>
        <w:t>/d，占污水处理厂处理</w:t>
      </w:r>
      <w:r>
        <w:rPr>
          <w:rFonts w:hint="eastAsia"/>
          <w:i w:val="0"/>
          <w:iCs w:val="0"/>
        </w:rPr>
        <w:t>能力</w:t>
      </w:r>
      <w:r>
        <w:rPr>
          <w:i w:val="0"/>
          <w:iCs w:val="0"/>
        </w:rPr>
        <w:t>的</w:t>
      </w:r>
      <w:r>
        <w:rPr>
          <w:rFonts w:hint="eastAsia"/>
          <w:i w:val="0"/>
          <w:iCs w:val="0"/>
        </w:rPr>
        <w:t>0.02</w:t>
      </w:r>
      <w:r>
        <w:rPr>
          <w:i w:val="0"/>
          <w:iCs w:val="0"/>
        </w:rPr>
        <w:t>%，出水水质满足</w:t>
      </w:r>
      <w:r>
        <w:rPr>
          <w:rFonts w:hint="eastAsia" w:ascii="宋体" w:hAnsi="宋体" w:cs="宋体"/>
          <w:i w:val="0"/>
          <w:iCs w:val="0"/>
          <w:kern w:val="0"/>
          <w:szCs w:val="21"/>
        </w:rPr>
        <w:t>长白山特色食药科技产业园</w:t>
      </w:r>
      <w:r>
        <w:rPr>
          <w:bCs/>
          <w:i w:val="0"/>
          <w:iCs w:val="0"/>
        </w:rPr>
        <w:t>污水处理厂进水标准</w:t>
      </w:r>
      <w:r>
        <w:rPr>
          <w:i w:val="0"/>
          <w:iCs w:val="0"/>
        </w:rPr>
        <w:t>，</w:t>
      </w:r>
      <w:r>
        <w:rPr>
          <w:i w:val="0"/>
          <w:iCs w:val="0"/>
          <w:kern w:val="0"/>
        </w:rPr>
        <w:t>污水量在污水处理厂处理能力负荷范围内，对受纳水体浑江影响较小</w:t>
      </w:r>
      <w:r>
        <w:rPr>
          <w:i w:val="0"/>
          <w:iCs w:val="0"/>
          <w:lang w:val="zh-CN"/>
        </w:rPr>
        <w:t>。</w:t>
      </w:r>
    </w:p>
    <w:bookmarkEnd w:id="171"/>
    <w:p>
      <w:pPr>
        <w:spacing w:line="360" w:lineRule="auto"/>
        <w:ind w:firstLine="480" w:firstLineChars="200"/>
        <w:rPr>
          <w:i w:val="0"/>
          <w:iCs w:val="0"/>
        </w:rPr>
      </w:pPr>
      <w:r>
        <w:rPr>
          <w:rFonts w:hint="eastAsia"/>
          <w:i w:val="0"/>
          <w:iCs w:val="0"/>
        </w:rPr>
        <w:t>5</w:t>
      </w:r>
      <w:r>
        <w:rPr>
          <w:i w:val="0"/>
          <w:iCs w:val="0"/>
        </w:rPr>
        <w:t>.2.2地下水环境影响评价</w:t>
      </w:r>
    </w:p>
    <w:p>
      <w:pPr>
        <w:spacing w:line="360" w:lineRule="auto"/>
        <w:ind w:firstLine="480" w:firstLineChars="200"/>
        <w:rPr>
          <w:i w:val="0"/>
          <w:iCs w:val="0"/>
        </w:rPr>
      </w:pPr>
      <w:r>
        <w:rPr>
          <w:rFonts w:hint="eastAsia"/>
          <w:i w:val="0"/>
          <w:iCs w:val="0"/>
        </w:rPr>
        <w:t>5.2.2.1</w:t>
      </w:r>
      <w:r>
        <w:rPr>
          <w:i w:val="0"/>
          <w:iCs w:val="0"/>
        </w:rPr>
        <w:t>水文地质概况</w:t>
      </w:r>
    </w:p>
    <w:p>
      <w:pPr>
        <w:pStyle w:val="386"/>
        <w:spacing w:before="0" w:beforeLines="0" w:after="0" w:afterLines="0"/>
        <w:rPr>
          <w:i w:val="0"/>
          <w:iCs w:val="0"/>
        </w:rPr>
      </w:pPr>
      <w:r>
        <w:rPr>
          <w:i w:val="0"/>
          <w:iCs w:val="0"/>
        </w:rPr>
        <w:t>（1）</w:t>
      </w:r>
      <w:r>
        <w:rPr>
          <w:rFonts w:hint="eastAsia"/>
          <w:i w:val="0"/>
          <w:iCs w:val="0"/>
        </w:rPr>
        <w:t>区域</w:t>
      </w:r>
      <w:r>
        <w:rPr>
          <w:i w:val="0"/>
          <w:iCs w:val="0"/>
        </w:rPr>
        <w:t>水文情况</w:t>
      </w:r>
    </w:p>
    <w:p>
      <w:pPr>
        <w:pStyle w:val="386"/>
        <w:spacing w:before="0" w:beforeLines="0" w:after="0" w:afterLines="0"/>
        <w:rPr>
          <w:i w:val="0"/>
          <w:iCs w:val="0"/>
        </w:rPr>
      </w:pPr>
      <w:r>
        <w:rPr>
          <w:rFonts w:hint="eastAsia"/>
          <w:i w:val="0"/>
          <w:iCs w:val="0"/>
        </w:rPr>
        <w:t>区域</w:t>
      </w:r>
      <w:r>
        <w:rPr>
          <w:i w:val="0"/>
          <w:iCs w:val="0"/>
        </w:rPr>
        <w:t>所处位置地下水资源十分丰富，埋深不足10m，地下水埋藏较浅，所在地属于地下水充水段，并补给地表水。</w:t>
      </w:r>
    </w:p>
    <w:p>
      <w:pPr>
        <w:pStyle w:val="386"/>
        <w:spacing w:before="0" w:beforeLines="0" w:after="0" w:afterLines="0"/>
        <w:rPr>
          <w:i w:val="0"/>
          <w:iCs w:val="0"/>
        </w:rPr>
      </w:pPr>
      <w:r>
        <w:rPr>
          <w:i w:val="0"/>
          <w:iCs w:val="0"/>
        </w:rPr>
        <w:t>（2）</w:t>
      </w:r>
      <w:r>
        <w:rPr>
          <w:rFonts w:hint="eastAsia"/>
          <w:i w:val="0"/>
          <w:iCs w:val="0"/>
        </w:rPr>
        <w:t>区域</w:t>
      </w:r>
      <w:r>
        <w:rPr>
          <w:i w:val="0"/>
          <w:iCs w:val="0"/>
        </w:rPr>
        <w:t>地层岩性</w:t>
      </w:r>
    </w:p>
    <w:p>
      <w:pPr>
        <w:pStyle w:val="386"/>
        <w:spacing w:before="0" w:beforeLines="0" w:after="0" w:afterLines="0"/>
        <w:rPr>
          <w:i w:val="0"/>
          <w:iCs w:val="0"/>
        </w:rPr>
      </w:pPr>
      <w:r>
        <w:rPr>
          <w:rFonts w:hint="eastAsia"/>
          <w:i w:val="0"/>
          <w:iCs w:val="0"/>
        </w:rPr>
        <w:t>区域</w:t>
      </w:r>
      <w:r>
        <w:rPr>
          <w:i w:val="0"/>
          <w:iCs w:val="0"/>
        </w:rPr>
        <w:t>地层属于辽东分区，浑江小区，区内地层发育齐全，有太古界、元古界、古生界、中生界、新生界共划分为55个单元，基底为前震旦系、鞍山群、老岭群。</w:t>
      </w:r>
    </w:p>
    <w:p>
      <w:pPr>
        <w:pStyle w:val="386"/>
        <w:spacing w:before="0" w:beforeLines="0" w:after="0" w:afterLines="0"/>
        <w:ind w:firstLine="0" w:firstLineChars="0"/>
        <w:rPr>
          <w:i w:val="0"/>
          <w:iCs w:val="0"/>
        </w:rPr>
      </w:pPr>
      <w:r>
        <w:rPr>
          <w:i w:val="0"/>
          <w:iCs w:val="0"/>
        </w:rPr>
        <w:t>震旦系、寒武系、奥陶系、石炭系、二叠系具有东北区一般特征，中生界发育侏罗系、白垩系组成的含煤陆盆建造，与东北其它各盆地沉积建造、生物组合基本相似，主要底层岩性为第四系全新统冲洪积（Q4a1+p1）砂、卵石层，下伏基岩为白垩系下统（K1）砾岩；侏罗系上统（J3）砾岩。</w:t>
      </w:r>
    </w:p>
    <w:p>
      <w:pPr>
        <w:pStyle w:val="386"/>
        <w:spacing w:before="0" w:beforeLines="0" w:after="0" w:afterLines="0"/>
        <w:rPr>
          <w:i w:val="0"/>
          <w:iCs w:val="0"/>
        </w:rPr>
      </w:pPr>
      <w:r>
        <w:rPr>
          <w:i w:val="0"/>
          <w:iCs w:val="0"/>
        </w:rPr>
        <w:t>（3）</w:t>
      </w:r>
      <w:r>
        <w:rPr>
          <w:rFonts w:hint="eastAsia"/>
          <w:i w:val="0"/>
          <w:iCs w:val="0"/>
        </w:rPr>
        <w:t>区域</w:t>
      </w:r>
      <w:r>
        <w:rPr>
          <w:i w:val="0"/>
          <w:iCs w:val="0"/>
        </w:rPr>
        <w:t>地质构造</w:t>
      </w:r>
    </w:p>
    <w:p>
      <w:pPr>
        <w:pStyle w:val="386"/>
        <w:spacing w:before="0" w:beforeLines="0" w:after="0" w:afterLines="0"/>
        <w:rPr>
          <w:i w:val="0"/>
          <w:iCs w:val="0"/>
        </w:rPr>
      </w:pPr>
      <w:r>
        <w:rPr>
          <w:i w:val="0"/>
          <w:iCs w:val="0"/>
        </w:rPr>
        <w:t>该区构造位于阴山——天山向构造带东延部分的北缘与新华夏系第二巨型隆起带长白——狼林山脉的交汇部分，由于长期的、复杂的、多次的构造运动的影响和改造，使所见的构造形迹十分复杂，测区大致东西向构造、北东向构造，新华夏系构造。</w:t>
      </w:r>
    </w:p>
    <w:p>
      <w:pPr>
        <w:pStyle w:val="386"/>
        <w:spacing w:before="0" w:beforeLines="0" w:after="0" w:afterLines="0"/>
        <w:rPr>
          <w:i w:val="0"/>
          <w:iCs w:val="0"/>
        </w:rPr>
      </w:pPr>
      <w:r>
        <w:rPr>
          <w:i w:val="0"/>
          <w:iCs w:val="0"/>
        </w:rPr>
        <w:t>上述各构造系之间相互影响，彼此制约迁就、干扰、改造、破坏，但是它们各有系统，各有归宿，虽复杂而不紊乱，构成了测区内的基本构造轮廓。</w:t>
      </w:r>
    </w:p>
    <w:p>
      <w:pPr>
        <w:spacing w:line="360" w:lineRule="auto"/>
        <w:ind w:firstLine="480" w:firstLineChars="200"/>
        <w:rPr>
          <w:i w:val="0"/>
          <w:iCs w:val="0"/>
        </w:rPr>
      </w:pPr>
      <w:r>
        <w:rPr>
          <w:i w:val="0"/>
          <w:iCs w:val="0"/>
        </w:rPr>
        <w:t>5.2.2.2地下水环境影响预测与分析</w:t>
      </w:r>
    </w:p>
    <w:p>
      <w:pPr>
        <w:pStyle w:val="386"/>
        <w:spacing w:before="0" w:beforeLines="0" w:after="0" w:afterLines="0"/>
        <w:rPr>
          <w:i w:val="0"/>
          <w:iCs w:val="0"/>
        </w:rPr>
      </w:pPr>
      <w:r>
        <w:rPr>
          <w:i w:val="0"/>
          <w:iCs w:val="0"/>
        </w:rPr>
        <w:t>一、正常工况</w:t>
      </w:r>
    </w:p>
    <w:p>
      <w:pPr>
        <w:pStyle w:val="386"/>
        <w:spacing w:before="0" w:beforeLines="0" w:after="0" w:afterLines="0"/>
        <w:rPr>
          <w:i w:val="0"/>
          <w:iCs w:val="0"/>
        </w:rPr>
      </w:pPr>
      <w:r>
        <w:rPr>
          <w:i w:val="0"/>
          <w:iCs w:val="0"/>
        </w:rPr>
        <w:t>正常工况下，各生产环节按照设计参数运行，地下水可能的污染来源为各管线、事故应急池等跑冒滴漏。在该工况下企业会采取严格的防渗层、防溢流、防泄漏、防腐蚀等措施，一般情况下污水不会渗漏和进入地下水，对地下水不会造成污染。以上分析表明，企业在正常运行工况下，对地下水影响较小。</w:t>
      </w:r>
    </w:p>
    <w:p>
      <w:pPr>
        <w:pStyle w:val="386"/>
        <w:spacing w:before="0" w:beforeLines="0" w:after="0" w:afterLines="0"/>
        <w:rPr>
          <w:i w:val="0"/>
          <w:iCs w:val="0"/>
        </w:rPr>
      </w:pPr>
      <w:r>
        <w:rPr>
          <w:i w:val="0"/>
          <w:iCs w:val="0"/>
        </w:rPr>
        <w:t>二、非正常工况</w:t>
      </w:r>
    </w:p>
    <w:p>
      <w:pPr>
        <w:pStyle w:val="386"/>
        <w:spacing w:before="0" w:beforeLines="0" w:after="0" w:afterLines="0"/>
        <w:rPr>
          <w:rFonts w:hint="default"/>
          <w:i w:val="0"/>
          <w:iCs w:val="0"/>
        </w:rPr>
      </w:pPr>
      <w:r>
        <w:rPr>
          <w:rFonts w:hint="default"/>
          <w:i w:val="0"/>
          <w:iCs w:val="0"/>
        </w:rPr>
        <w:t>非正常状况是指建设项目的工艺设备或地下水环境保护措施因系统老化、腐蚀等原因不能正常运行或保护效果达不到设计要求时的运行状况，防渗层功能降低，污染物进入含水层中，由于逐渐积累，从而污染潜水含水层的情况。这种渗漏往往不容易发现。</w:t>
      </w:r>
    </w:p>
    <w:p>
      <w:pPr>
        <w:pStyle w:val="386"/>
        <w:spacing w:before="0" w:beforeLines="0" w:after="0" w:afterLines="0"/>
        <w:rPr>
          <w:rFonts w:hint="eastAsia" w:eastAsia="宋体"/>
          <w:i w:val="0"/>
          <w:iCs w:val="0"/>
          <w:lang w:eastAsia="zh-CN"/>
        </w:rPr>
      </w:pPr>
      <w:r>
        <w:rPr>
          <w:rFonts w:hint="eastAsia"/>
          <w:i w:val="0"/>
          <w:iCs w:val="0"/>
          <w:lang w:eastAsia="zh-CN"/>
        </w:rPr>
        <w:t>（</w:t>
      </w:r>
      <w:r>
        <w:rPr>
          <w:rFonts w:hint="eastAsia"/>
          <w:i w:val="0"/>
          <w:iCs w:val="0"/>
          <w:lang w:val="en-US" w:eastAsia="zh-CN"/>
        </w:rPr>
        <w:t>1</w:t>
      </w:r>
      <w:r>
        <w:rPr>
          <w:rFonts w:hint="eastAsia"/>
          <w:i w:val="0"/>
          <w:iCs w:val="0"/>
          <w:lang w:eastAsia="zh-CN"/>
        </w:rPr>
        <w:t>）</w:t>
      </w:r>
      <w:r>
        <w:rPr>
          <w:rFonts w:hint="default" w:ascii="Times New Roman" w:hAnsi="Times New Roman" w:cs="Times New Roman"/>
          <w:i w:val="0"/>
          <w:iCs w:val="0"/>
          <w:color w:val="auto"/>
          <w:sz w:val="24"/>
        </w:rPr>
        <w:t>污染因子</w:t>
      </w:r>
    </w:p>
    <w:p>
      <w:pPr>
        <w:spacing w:line="360" w:lineRule="auto"/>
        <w:ind w:firstLine="480" w:firstLineChars="200"/>
        <w:rPr>
          <w:rFonts w:hint="default" w:ascii="Times New Roman" w:hAnsi="Times New Roman" w:cs="Times New Roman"/>
          <w:i w:val="0"/>
          <w:iCs w:val="0"/>
          <w:color w:val="auto"/>
          <w:sz w:val="24"/>
        </w:rPr>
      </w:pPr>
      <w:r>
        <w:rPr>
          <w:rFonts w:hint="default" w:ascii="Times New Roman" w:hAnsi="Times New Roman" w:cs="Times New Roman"/>
          <w:i w:val="0"/>
          <w:iCs w:val="0"/>
          <w:color w:val="auto"/>
          <w:sz w:val="24"/>
        </w:rPr>
        <w:t>本次预测选取项目排放污染物及预测初始浓度见表5</w:t>
      </w:r>
      <w:r>
        <w:rPr>
          <w:rFonts w:hint="eastAsia" w:cs="Times New Roman"/>
          <w:i w:val="0"/>
          <w:iCs w:val="0"/>
          <w:color w:val="auto"/>
          <w:sz w:val="24"/>
          <w:lang w:val="en-US" w:eastAsia="zh-CN"/>
        </w:rPr>
        <w:t>-5</w:t>
      </w:r>
      <w:r>
        <w:rPr>
          <w:rFonts w:hint="default" w:ascii="Times New Roman" w:hAnsi="Times New Roman" w:cs="Times New Roman"/>
          <w:i w:val="0"/>
          <w:iCs w:val="0"/>
          <w:color w:val="auto"/>
          <w:sz w:val="24"/>
        </w:rPr>
        <w:t>。</w:t>
      </w:r>
    </w:p>
    <w:p>
      <w:pPr>
        <w:adjustRightInd w:val="0"/>
        <w:snapToGrid w:val="0"/>
        <w:ind w:left="420" w:hanging="420"/>
        <w:jc w:val="center"/>
        <w:rPr>
          <w:rFonts w:hint="default"/>
          <w:b/>
          <w:i w:val="0"/>
          <w:iCs w:val="0"/>
          <w:u w:val="single"/>
        </w:rPr>
      </w:pPr>
      <w:r>
        <w:rPr>
          <w:rFonts w:hint="default"/>
          <w:b/>
          <w:i w:val="0"/>
          <w:iCs w:val="0"/>
          <w:u w:val="single"/>
        </w:rPr>
        <w:t>表</w:t>
      </w:r>
      <w:r>
        <w:rPr>
          <w:rFonts w:hint="eastAsia"/>
          <w:b/>
          <w:i w:val="0"/>
          <w:iCs w:val="0"/>
          <w:u w:val="single"/>
          <w:lang w:val="en-US" w:eastAsia="zh-CN"/>
        </w:rPr>
        <w:t>5-5</w:t>
      </w:r>
      <w:r>
        <w:rPr>
          <w:rFonts w:hint="default"/>
          <w:b/>
          <w:i w:val="0"/>
          <w:iCs w:val="0"/>
          <w:u w:val="single"/>
        </w:rPr>
        <w:t xml:space="preserve"> 各污染物预测初始浓度汇总表</w:t>
      </w:r>
    </w:p>
    <w:tbl>
      <w:tblPr>
        <w:tblStyle w:val="58"/>
        <w:tblW w:w="4996" w:type="pct"/>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01"/>
        <w:gridCol w:w="3085"/>
        <w:gridCol w:w="1202"/>
        <w:gridCol w:w="2337"/>
        <w:gridCol w:w="1856"/>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32" w:type="pct"/>
            <w:tcBorders>
              <w:tl2br w:val="nil"/>
              <w:tr2bl w:val="nil"/>
            </w:tcBorders>
          </w:tcPr>
          <w:p>
            <w:pPr>
              <w:pStyle w:val="390"/>
              <w:rPr>
                <w:rFonts w:hint="default" w:ascii="Times New Roman" w:hAnsi="Times New Roman" w:eastAsia="宋体" w:cs="Times New Roman"/>
                <w:i w:val="0"/>
                <w:iCs w:val="0"/>
                <w:color w:val="000000"/>
                <w:u w:val="single"/>
              </w:rPr>
            </w:pPr>
            <w:r>
              <w:rPr>
                <w:rFonts w:hint="default" w:ascii="Times New Roman" w:hAnsi="Times New Roman" w:eastAsia="宋体" w:cs="Times New Roman"/>
                <w:i w:val="0"/>
                <w:iCs w:val="0"/>
                <w:color w:val="000000"/>
                <w:u w:val="single"/>
              </w:rPr>
              <w:t>序号</w:t>
            </w:r>
          </w:p>
        </w:tc>
        <w:tc>
          <w:tcPr>
            <w:tcW w:w="1661" w:type="pct"/>
            <w:tcBorders>
              <w:tl2br w:val="nil"/>
              <w:tr2bl w:val="nil"/>
            </w:tcBorders>
          </w:tcPr>
          <w:p>
            <w:pPr>
              <w:pStyle w:val="390"/>
              <w:rPr>
                <w:rFonts w:hint="default" w:ascii="Times New Roman" w:hAnsi="Times New Roman" w:eastAsia="宋体" w:cs="Times New Roman"/>
                <w:i w:val="0"/>
                <w:iCs w:val="0"/>
                <w:color w:val="000000"/>
                <w:u w:val="single"/>
              </w:rPr>
            </w:pPr>
            <w:r>
              <w:rPr>
                <w:rFonts w:hint="default" w:ascii="Times New Roman" w:hAnsi="Times New Roman" w:eastAsia="宋体" w:cs="Times New Roman"/>
                <w:i w:val="0"/>
                <w:iCs w:val="0"/>
                <w:color w:val="000000"/>
                <w:u w:val="single"/>
              </w:rPr>
              <w:t>典型污染源</w:t>
            </w:r>
          </w:p>
        </w:tc>
        <w:tc>
          <w:tcPr>
            <w:tcW w:w="647" w:type="pct"/>
            <w:tcBorders>
              <w:tl2br w:val="nil"/>
              <w:tr2bl w:val="nil"/>
            </w:tcBorders>
          </w:tcPr>
          <w:p>
            <w:pPr>
              <w:pStyle w:val="390"/>
              <w:rPr>
                <w:rFonts w:hint="default" w:ascii="Times New Roman" w:hAnsi="Times New Roman" w:eastAsia="宋体" w:cs="Times New Roman"/>
                <w:i w:val="0"/>
                <w:iCs w:val="0"/>
                <w:color w:val="000000"/>
                <w:u w:val="single"/>
              </w:rPr>
            </w:pPr>
            <w:r>
              <w:rPr>
                <w:rFonts w:hint="default" w:ascii="Times New Roman" w:hAnsi="Times New Roman" w:eastAsia="宋体" w:cs="Times New Roman"/>
                <w:i w:val="0"/>
                <w:iCs w:val="0"/>
                <w:color w:val="000000"/>
                <w:u w:val="single"/>
              </w:rPr>
              <w:t>污染物</w:t>
            </w:r>
          </w:p>
        </w:tc>
        <w:tc>
          <w:tcPr>
            <w:tcW w:w="1258" w:type="pct"/>
            <w:tcBorders>
              <w:tl2br w:val="nil"/>
              <w:tr2bl w:val="nil"/>
            </w:tcBorders>
          </w:tcPr>
          <w:p>
            <w:pPr>
              <w:pStyle w:val="390"/>
              <w:rPr>
                <w:rFonts w:hint="default" w:ascii="Times New Roman" w:hAnsi="Times New Roman" w:eastAsia="宋体" w:cs="Times New Roman"/>
                <w:i w:val="0"/>
                <w:iCs w:val="0"/>
                <w:color w:val="000000"/>
                <w:u w:val="single"/>
              </w:rPr>
            </w:pPr>
            <w:r>
              <w:rPr>
                <w:rFonts w:hint="default" w:ascii="Times New Roman" w:hAnsi="Times New Roman" w:eastAsia="宋体" w:cs="Times New Roman"/>
                <w:i w:val="0"/>
                <w:iCs w:val="0"/>
                <w:color w:val="000000"/>
                <w:u w:val="single"/>
              </w:rPr>
              <w:t>预测初始浓度mg/L</w:t>
            </w:r>
          </w:p>
        </w:tc>
        <w:tc>
          <w:tcPr>
            <w:tcW w:w="999" w:type="pct"/>
            <w:tcBorders>
              <w:tl2br w:val="nil"/>
              <w:tr2bl w:val="nil"/>
            </w:tcBorders>
          </w:tcPr>
          <w:p>
            <w:pPr>
              <w:pStyle w:val="390"/>
              <w:rPr>
                <w:rFonts w:hint="default" w:ascii="Times New Roman" w:hAnsi="Times New Roman" w:eastAsia="宋体" w:cs="Times New Roman"/>
                <w:i w:val="0"/>
                <w:iCs w:val="0"/>
                <w:color w:val="000000"/>
                <w:u w:val="single"/>
              </w:rPr>
            </w:pPr>
            <w:r>
              <w:rPr>
                <w:rFonts w:hint="default" w:ascii="Times New Roman" w:hAnsi="Times New Roman" w:eastAsia="宋体" w:cs="Times New Roman"/>
                <w:i w:val="0"/>
                <w:iCs w:val="0"/>
                <w:color w:val="000000"/>
                <w:u w:val="single"/>
              </w:rPr>
              <w:t>标准限值mg/L</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2" w:type="pct"/>
            <w:tcBorders>
              <w:tl2br w:val="nil"/>
              <w:tr2bl w:val="nil"/>
            </w:tcBorders>
          </w:tcPr>
          <w:p>
            <w:pPr>
              <w:pStyle w:val="390"/>
              <w:rPr>
                <w:rFonts w:hint="default" w:ascii="Times New Roman" w:hAnsi="Times New Roman" w:eastAsia="宋体" w:cs="Times New Roman"/>
                <w:i w:val="0"/>
                <w:iCs w:val="0"/>
                <w:color w:val="000000"/>
                <w:u w:val="single"/>
              </w:rPr>
            </w:pPr>
            <w:r>
              <w:rPr>
                <w:rFonts w:hint="default" w:ascii="Times New Roman" w:hAnsi="Times New Roman" w:eastAsia="宋体" w:cs="Times New Roman"/>
                <w:i w:val="0"/>
                <w:iCs w:val="0"/>
                <w:color w:val="000000"/>
                <w:u w:val="single"/>
              </w:rPr>
              <w:t>1</w:t>
            </w:r>
          </w:p>
        </w:tc>
        <w:tc>
          <w:tcPr>
            <w:tcW w:w="1661" w:type="pct"/>
            <w:tcBorders>
              <w:tl2br w:val="nil"/>
              <w:tr2bl w:val="nil"/>
            </w:tcBorders>
          </w:tcPr>
          <w:p>
            <w:pPr>
              <w:pStyle w:val="390"/>
              <w:rPr>
                <w:rFonts w:hint="eastAsia" w:ascii="Times New Roman" w:hAnsi="Times New Roman" w:eastAsia="宋体" w:cs="Times New Roman"/>
                <w:i w:val="0"/>
                <w:iCs w:val="0"/>
                <w:color w:val="000000"/>
                <w:u w:val="single"/>
                <w:lang w:eastAsia="zh-CN"/>
              </w:rPr>
            </w:pPr>
            <w:r>
              <w:rPr>
                <w:rFonts w:hint="eastAsia" w:ascii="Times New Roman" w:hAnsi="Times New Roman" w:eastAsia="宋体" w:cs="Times New Roman"/>
                <w:i w:val="0"/>
                <w:iCs w:val="0"/>
                <w:color w:val="000000"/>
                <w:u w:val="single"/>
                <w:lang w:eastAsia="zh-CN"/>
              </w:rPr>
              <w:t>污水处理站</w:t>
            </w:r>
          </w:p>
        </w:tc>
        <w:tc>
          <w:tcPr>
            <w:tcW w:w="647" w:type="pct"/>
            <w:tcBorders>
              <w:tl2br w:val="nil"/>
              <w:tr2bl w:val="nil"/>
            </w:tcBorders>
          </w:tcPr>
          <w:p>
            <w:pPr>
              <w:pStyle w:val="390"/>
              <w:rPr>
                <w:rFonts w:hint="default" w:ascii="Times New Roman" w:hAnsi="Times New Roman" w:eastAsia="宋体" w:cs="Times New Roman"/>
                <w:i w:val="0"/>
                <w:iCs w:val="0"/>
                <w:color w:val="000000"/>
                <w:u w:val="single"/>
              </w:rPr>
            </w:pPr>
            <w:r>
              <w:rPr>
                <w:rFonts w:hint="default" w:ascii="Times New Roman" w:hAnsi="Times New Roman" w:eastAsia="宋体" w:cs="Times New Roman"/>
                <w:i w:val="0"/>
                <w:iCs w:val="0"/>
                <w:color w:val="000000"/>
                <w:u w:val="single"/>
              </w:rPr>
              <w:t>COD</w:t>
            </w:r>
            <w:r>
              <w:rPr>
                <w:rFonts w:hint="default" w:ascii="Times New Roman" w:hAnsi="Times New Roman" w:eastAsia="宋体" w:cs="Times New Roman"/>
                <w:i w:val="0"/>
                <w:iCs w:val="0"/>
                <w:color w:val="000000"/>
                <w:u w:val="single"/>
                <w:vertAlign w:val="subscript"/>
              </w:rPr>
              <w:t>Mn</w:t>
            </w:r>
          </w:p>
        </w:tc>
        <w:tc>
          <w:tcPr>
            <w:tcW w:w="1258" w:type="pct"/>
            <w:tcBorders>
              <w:tl2br w:val="nil"/>
              <w:tr2bl w:val="nil"/>
            </w:tcBorders>
          </w:tcPr>
          <w:p>
            <w:pPr>
              <w:pStyle w:val="390"/>
              <w:rPr>
                <w:rFonts w:hint="default" w:ascii="Times New Roman" w:hAnsi="Times New Roman" w:eastAsia="宋体" w:cs="Times New Roman"/>
                <w:i w:val="0"/>
                <w:iCs w:val="0"/>
                <w:color w:val="000000"/>
                <w:u w:val="single"/>
                <w:lang w:val="en-US" w:eastAsia="zh-CN"/>
              </w:rPr>
            </w:pPr>
            <w:r>
              <w:rPr>
                <w:rFonts w:hint="eastAsia" w:ascii="Times New Roman" w:hAnsi="Times New Roman" w:eastAsia="宋体" w:cs="Times New Roman"/>
                <w:i w:val="0"/>
                <w:iCs w:val="0"/>
                <w:color w:val="000000"/>
                <w:u w:val="single"/>
                <w:lang w:val="en-US" w:eastAsia="zh-CN"/>
              </w:rPr>
              <w:t>16140</w:t>
            </w:r>
          </w:p>
        </w:tc>
        <w:tc>
          <w:tcPr>
            <w:tcW w:w="999" w:type="pct"/>
            <w:tcBorders>
              <w:tl2br w:val="nil"/>
              <w:tr2bl w:val="nil"/>
            </w:tcBorders>
          </w:tcPr>
          <w:p>
            <w:pPr>
              <w:pStyle w:val="390"/>
              <w:rPr>
                <w:rFonts w:hint="default" w:ascii="Times New Roman" w:hAnsi="Times New Roman" w:eastAsia="宋体" w:cs="Times New Roman"/>
                <w:i w:val="0"/>
                <w:iCs w:val="0"/>
                <w:color w:val="000000"/>
                <w:u w:val="single"/>
              </w:rPr>
            </w:pPr>
            <w:r>
              <w:rPr>
                <w:rFonts w:hint="default" w:ascii="Times New Roman" w:hAnsi="Times New Roman" w:eastAsia="宋体" w:cs="Times New Roman"/>
                <w:i w:val="0"/>
                <w:iCs w:val="0"/>
                <w:color w:val="000000"/>
                <w:u w:val="single"/>
              </w:rPr>
              <w:t>3</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2" w:type="pct"/>
            <w:tcBorders>
              <w:tl2br w:val="nil"/>
              <w:tr2bl w:val="nil"/>
            </w:tcBorders>
          </w:tcPr>
          <w:p>
            <w:pPr>
              <w:pStyle w:val="390"/>
              <w:rPr>
                <w:rFonts w:hint="default" w:ascii="Times New Roman" w:hAnsi="Times New Roman" w:eastAsia="宋体" w:cs="Times New Roman"/>
                <w:i w:val="0"/>
                <w:iCs w:val="0"/>
                <w:color w:val="000000"/>
                <w:u w:val="single"/>
              </w:rPr>
            </w:pPr>
            <w:r>
              <w:rPr>
                <w:rFonts w:hint="default" w:ascii="Times New Roman" w:hAnsi="Times New Roman" w:eastAsia="宋体" w:cs="Times New Roman"/>
                <w:i w:val="0"/>
                <w:iCs w:val="0"/>
                <w:color w:val="000000"/>
                <w:u w:val="single"/>
              </w:rPr>
              <w:t>2</w:t>
            </w:r>
          </w:p>
        </w:tc>
        <w:tc>
          <w:tcPr>
            <w:tcW w:w="1661" w:type="pct"/>
            <w:tcBorders>
              <w:tl2br w:val="nil"/>
              <w:tr2bl w:val="nil"/>
            </w:tcBorders>
          </w:tcPr>
          <w:p>
            <w:pPr>
              <w:pStyle w:val="390"/>
              <w:rPr>
                <w:rFonts w:hint="eastAsia" w:ascii="Times New Roman" w:hAnsi="Times New Roman" w:eastAsia="宋体" w:cs="Times New Roman"/>
                <w:i w:val="0"/>
                <w:iCs w:val="0"/>
                <w:color w:val="000000"/>
                <w:u w:val="single"/>
                <w:lang w:eastAsia="zh-CN"/>
              </w:rPr>
            </w:pPr>
            <w:r>
              <w:rPr>
                <w:rFonts w:hint="eastAsia" w:ascii="Times New Roman" w:hAnsi="Times New Roman" w:eastAsia="宋体" w:cs="Times New Roman"/>
                <w:i w:val="0"/>
                <w:iCs w:val="0"/>
                <w:color w:val="000000"/>
                <w:u w:val="single"/>
                <w:lang w:eastAsia="zh-CN"/>
              </w:rPr>
              <w:t>氨水罐</w:t>
            </w:r>
          </w:p>
        </w:tc>
        <w:tc>
          <w:tcPr>
            <w:tcW w:w="647" w:type="pct"/>
            <w:tcBorders>
              <w:tl2br w:val="nil"/>
              <w:tr2bl w:val="nil"/>
            </w:tcBorders>
          </w:tcPr>
          <w:p>
            <w:pPr>
              <w:pStyle w:val="390"/>
              <w:rPr>
                <w:rFonts w:hint="default" w:ascii="Times New Roman" w:hAnsi="Times New Roman" w:eastAsia="宋体" w:cs="Times New Roman"/>
                <w:i w:val="0"/>
                <w:iCs w:val="0"/>
                <w:color w:val="000000"/>
                <w:u w:val="single"/>
              </w:rPr>
            </w:pPr>
            <w:r>
              <w:rPr>
                <w:rFonts w:hint="default" w:ascii="Times New Roman" w:hAnsi="Times New Roman" w:eastAsia="宋体" w:cs="Times New Roman"/>
                <w:i w:val="0"/>
                <w:iCs w:val="0"/>
                <w:color w:val="000000"/>
                <w:u w:val="single"/>
              </w:rPr>
              <w:t>COD</w:t>
            </w:r>
            <w:r>
              <w:rPr>
                <w:rFonts w:hint="default" w:ascii="Times New Roman" w:hAnsi="Times New Roman" w:eastAsia="宋体" w:cs="Times New Roman"/>
                <w:i w:val="0"/>
                <w:iCs w:val="0"/>
                <w:color w:val="000000"/>
                <w:u w:val="single"/>
                <w:vertAlign w:val="subscript"/>
              </w:rPr>
              <w:t>Mn</w:t>
            </w:r>
          </w:p>
        </w:tc>
        <w:tc>
          <w:tcPr>
            <w:tcW w:w="1258" w:type="pct"/>
            <w:tcBorders>
              <w:tl2br w:val="nil"/>
              <w:tr2bl w:val="nil"/>
            </w:tcBorders>
          </w:tcPr>
          <w:p>
            <w:pPr>
              <w:pStyle w:val="390"/>
              <w:rPr>
                <w:rFonts w:hint="default" w:ascii="Times New Roman" w:hAnsi="Times New Roman" w:eastAsia="宋体" w:cs="Times New Roman"/>
                <w:i w:val="0"/>
                <w:iCs w:val="0"/>
                <w:color w:val="000000"/>
                <w:u w:val="single"/>
                <w:lang w:val="en-US" w:eastAsia="zh-CN"/>
              </w:rPr>
            </w:pPr>
            <w:r>
              <w:rPr>
                <w:rFonts w:hint="eastAsia" w:ascii="Times New Roman" w:hAnsi="Times New Roman" w:eastAsia="宋体" w:cs="Times New Roman"/>
                <w:i w:val="0"/>
                <w:iCs w:val="0"/>
                <w:color w:val="000000"/>
                <w:u w:val="single"/>
                <w:lang w:val="en-US" w:eastAsia="zh-CN"/>
              </w:rPr>
              <w:t>5000</w:t>
            </w:r>
          </w:p>
        </w:tc>
        <w:tc>
          <w:tcPr>
            <w:tcW w:w="999" w:type="pct"/>
            <w:tcBorders>
              <w:tl2br w:val="nil"/>
              <w:tr2bl w:val="nil"/>
            </w:tcBorders>
          </w:tcPr>
          <w:p>
            <w:pPr>
              <w:pStyle w:val="390"/>
              <w:rPr>
                <w:rFonts w:hint="default" w:ascii="Times New Roman" w:hAnsi="Times New Roman" w:eastAsia="宋体" w:cs="Times New Roman"/>
                <w:i w:val="0"/>
                <w:iCs w:val="0"/>
                <w:color w:val="000000"/>
                <w:u w:val="single"/>
              </w:rPr>
            </w:pPr>
            <w:r>
              <w:rPr>
                <w:rFonts w:hint="default" w:ascii="Times New Roman" w:hAnsi="Times New Roman" w:eastAsia="宋体" w:cs="Times New Roman"/>
                <w:i w:val="0"/>
                <w:iCs w:val="0"/>
                <w:color w:val="000000"/>
                <w:u w:val="single"/>
              </w:rPr>
              <w:t>3</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32" w:type="pct"/>
            <w:tcBorders>
              <w:tl2br w:val="nil"/>
              <w:tr2bl w:val="nil"/>
            </w:tcBorders>
          </w:tcPr>
          <w:p>
            <w:pPr>
              <w:pStyle w:val="390"/>
              <w:rPr>
                <w:rFonts w:hint="default" w:ascii="Times New Roman" w:hAnsi="Times New Roman" w:eastAsia="宋体" w:cs="Times New Roman"/>
                <w:i w:val="0"/>
                <w:iCs w:val="0"/>
                <w:color w:val="000000"/>
                <w:u w:val="single"/>
              </w:rPr>
            </w:pPr>
            <w:r>
              <w:rPr>
                <w:rFonts w:hint="default" w:ascii="Times New Roman" w:hAnsi="Times New Roman" w:eastAsia="宋体" w:cs="Times New Roman"/>
                <w:i w:val="0"/>
                <w:iCs w:val="0"/>
                <w:color w:val="000000"/>
                <w:u w:val="single"/>
              </w:rPr>
              <w:t>3</w:t>
            </w:r>
          </w:p>
        </w:tc>
        <w:tc>
          <w:tcPr>
            <w:tcW w:w="1661" w:type="pct"/>
            <w:tcBorders>
              <w:tl2br w:val="nil"/>
              <w:tr2bl w:val="nil"/>
            </w:tcBorders>
          </w:tcPr>
          <w:p>
            <w:pPr>
              <w:pStyle w:val="390"/>
              <w:rPr>
                <w:rFonts w:hint="eastAsia" w:ascii="Times New Roman" w:hAnsi="Times New Roman" w:eastAsia="宋体" w:cs="Times New Roman"/>
                <w:i w:val="0"/>
                <w:iCs w:val="0"/>
                <w:color w:val="000000"/>
                <w:u w:val="single"/>
                <w:lang w:eastAsia="zh-CN"/>
              </w:rPr>
            </w:pPr>
            <w:r>
              <w:rPr>
                <w:rFonts w:hint="eastAsia" w:ascii="Times New Roman" w:hAnsi="Times New Roman" w:eastAsia="宋体" w:cs="Times New Roman"/>
                <w:i w:val="0"/>
                <w:iCs w:val="0"/>
                <w:color w:val="000000"/>
                <w:u w:val="single"/>
                <w:lang w:eastAsia="zh-CN"/>
              </w:rPr>
              <w:t>发酵罐</w:t>
            </w:r>
          </w:p>
        </w:tc>
        <w:tc>
          <w:tcPr>
            <w:tcW w:w="647" w:type="pct"/>
            <w:tcBorders>
              <w:tl2br w:val="nil"/>
              <w:tr2bl w:val="nil"/>
            </w:tcBorders>
          </w:tcPr>
          <w:p>
            <w:pPr>
              <w:pStyle w:val="390"/>
              <w:rPr>
                <w:rFonts w:hint="default" w:ascii="Times New Roman" w:hAnsi="Times New Roman" w:eastAsia="宋体" w:cs="Times New Roman"/>
                <w:i w:val="0"/>
                <w:iCs w:val="0"/>
                <w:color w:val="000000"/>
                <w:u w:val="single"/>
              </w:rPr>
            </w:pPr>
            <w:r>
              <w:rPr>
                <w:rFonts w:hint="default" w:ascii="Times New Roman" w:hAnsi="Times New Roman" w:eastAsia="宋体" w:cs="Times New Roman"/>
                <w:i w:val="0"/>
                <w:iCs w:val="0"/>
                <w:color w:val="000000"/>
                <w:u w:val="single"/>
              </w:rPr>
              <w:t>COD</w:t>
            </w:r>
            <w:r>
              <w:rPr>
                <w:rFonts w:hint="default" w:ascii="Times New Roman" w:hAnsi="Times New Roman" w:eastAsia="宋体" w:cs="Times New Roman"/>
                <w:i w:val="0"/>
                <w:iCs w:val="0"/>
                <w:color w:val="000000"/>
                <w:u w:val="single"/>
                <w:vertAlign w:val="subscript"/>
              </w:rPr>
              <w:t>Mn</w:t>
            </w:r>
          </w:p>
        </w:tc>
        <w:tc>
          <w:tcPr>
            <w:tcW w:w="1258" w:type="pct"/>
            <w:tcBorders>
              <w:tl2br w:val="nil"/>
              <w:tr2bl w:val="nil"/>
            </w:tcBorders>
          </w:tcPr>
          <w:p>
            <w:pPr>
              <w:pStyle w:val="390"/>
              <w:rPr>
                <w:rFonts w:hint="default" w:ascii="Times New Roman" w:hAnsi="Times New Roman" w:eastAsia="宋体" w:cs="Times New Roman"/>
                <w:i w:val="0"/>
                <w:iCs w:val="0"/>
                <w:color w:val="000000"/>
                <w:u w:val="single"/>
                <w:lang w:val="en-US" w:eastAsia="zh-CN"/>
              </w:rPr>
            </w:pPr>
            <w:r>
              <w:rPr>
                <w:rFonts w:hint="eastAsia" w:ascii="Times New Roman" w:hAnsi="Times New Roman" w:eastAsia="宋体" w:cs="Times New Roman"/>
                <w:i w:val="0"/>
                <w:iCs w:val="0"/>
                <w:color w:val="000000"/>
                <w:u w:val="single"/>
                <w:lang w:val="en-US" w:eastAsia="zh-CN"/>
              </w:rPr>
              <w:t>16140</w:t>
            </w:r>
          </w:p>
        </w:tc>
        <w:tc>
          <w:tcPr>
            <w:tcW w:w="999" w:type="pct"/>
            <w:tcBorders>
              <w:tl2br w:val="nil"/>
              <w:tr2bl w:val="nil"/>
            </w:tcBorders>
          </w:tcPr>
          <w:p>
            <w:pPr>
              <w:pStyle w:val="390"/>
              <w:rPr>
                <w:rFonts w:hint="default" w:ascii="Times New Roman" w:hAnsi="Times New Roman" w:eastAsia="宋体" w:cs="Times New Roman"/>
                <w:i w:val="0"/>
                <w:iCs w:val="0"/>
                <w:color w:val="000000"/>
                <w:u w:val="single"/>
              </w:rPr>
            </w:pPr>
            <w:r>
              <w:rPr>
                <w:rFonts w:hint="default" w:ascii="Times New Roman" w:hAnsi="Times New Roman" w:eastAsia="宋体" w:cs="Times New Roman"/>
                <w:i w:val="0"/>
                <w:iCs w:val="0"/>
                <w:color w:val="000000"/>
                <w:u w:val="single"/>
              </w:rPr>
              <w:t>3</w:t>
            </w:r>
          </w:p>
        </w:tc>
      </w:tr>
    </w:tbl>
    <w:p>
      <w:pPr>
        <w:pStyle w:val="386"/>
        <w:spacing w:before="0" w:beforeLines="0" w:after="0" w:afterLines="0"/>
        <w:rPr>
          <w:i w:val="0"/>
          <w:iCs w:val="0"/>
        </w:rPr>
      </w:pPr>
      <w:r>
        <w:rPr>
          <w:i w:val="0"/>
          <w:iCs w:val="0"/>
        </w:rPr>
        <w:t>（</w:t>
      </w:r>
      <w:r>
        <w:rPr>
          <w:rFonts w:hint="eastAsia"/>
          <w:i w:val="0"/>
          <w:iCs w:val="0"/>
          <w:lang w:val="en-US" w:eastAsia="zh-CN"/>
        </w:rPr>
        <w:t>2</w:t>
      </w:r>
      <w:r>
        <w:rPr>
          <w:i w:val="0"/>
          <w:iCs w:val="0"/>
        </w:rPr>
        <w:t>）预测模式</w:t>
      </w:r>
    </w:p>
    <w:p>
      <w:pPr>
        <w:pStyle w:val="386"/>
        <w:spacing w:before="0" w:beforeLines="0" w:after="0" w:afterLines="0"/>
        <w:rPr>
          <w:i w:val="0"/>
          <w:iCs w:val="0"/>
        </w:rPr>
      </w:pPr>
      <w:r>
        <w:rPr>
          <w:i w:val="0"/>
          <w:iCs w:val="0"/>
        </w:rPr>
        <w:t>根据《环境影响评价技术导则 地下水环境》（HJ610-2016）中地下水溶质运移解析法一维稳定流动一维水动力弥散模型进行预测。</w:t>
      </w:r>
    </w:p>
    <w:p>
      <w:pPr>
        <w:spacing w:line="360" w:lineRule="auto"/>
        <w:jc w:val="center"/>
        <w:rPr>
          <w:i w:val="0"/>
          <w:iCs w:val="0"/>
        </w:rPr>
      </w:pPr>
      <w:r>
        <w:rPr>
          <w:i w:val="0"/>
          <w:iCs w:val="0"/>
        </w:rPr>
        <w:drawing>
          <wp:inline distT="0" distB="0" distL="114300" distR="114300">
            <wp:extent cx="2523490" cy="504825"/>
            <wp:effectExtent l="0" t="0" r="10160" b="8890"/>
            <wp:docPr id="19" name="图片 20" descr="wps3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descr="wps3DE"/>
                    <pic:cNvPicPr>
                      <a:picLocks noChangeAspect="1"/>
                    </pic:cNvPicPr>
                  </pic:nvPicPr>
                  <pic:blipFill>
                    <a:blip r:embed="rId38"/>
                    <a:stretch>
                      <a:fillRect/>
                    </a:stretch>
                  </pic:blipFill>
                  <pic:spPr>
                    <a:xfrm>
                      <a:off x="0" y="0"/>
                      <a:ext cx="2523490" cy="504825"/>
                    </a:xfrm>
                    <a:prstGeom prst="rect">
                      <a:avLst/>
                    </a:prstGeom>
                    <a:noFill/>
                    <a:ln>
                      <a:noFill/>
                    </a:ln>
                  </pic:spPr>
                </pic:pic>
              </a:graphicData>
            </a:graphic>
          </wp:inline>
        </w:drawing>
      </w:r>
    </w:p>
    <w:p>
      <w:pPr>
        <w:pStyle w:val="386"/>
        <w:spacing w:before="0" w:beforeLines="0" w:after="0" w:afterLines="0"/>
        <w:rPr>
          <w:i w:val="0"/>
          <w:iCs w:val="0"/>
        </w:rPr>
      </w:pPr>
      <w:r>
        <w:rPr>
          <w:i w:val="0"/>
          <w:iCs w:val="0"/>
        </w:rPr>
        <w:t>式中：x——距注入点的距离，m；</w:t>
      </w:r>
    </w:p>
    <w:p>
      <w:pPr>
        <w:pStyle w:val="386"/>
        <w:spacing w:before="0" w:beforeLines="0" w:after="0" w:afterLines="0"/>
        <w:ind w:firstLine="1200" w:firstLineChars="500"/>
        <w:rPr>
          <w:i w:val="0"/>
          <w:iCs w:val="0"/>
        </w:rPr>
      </w:pPr>
      <w:r>
        <w:rPr>
          <w:i w:val="0"/>
          <w:iCs w:val="0"/>
        </w:rPr>
        <w:t>t——时间，d；</w:t>
      </w:r>
    </w:p>
    <w:p>
      <w:pPr>
        <w:pStyle w:val="386"/>
        <w:spacing w:before="0" w:beforeLines="0" w:after="0" w:afterLines="0"/>
        <w:ind w:firstLine="1200" w:firstLineChars="500"/>
        <w:rPr>
          <w:i w:val="0"/>
          <w:iCs w:val="0"/>
        </w:rPr>
      </w:pPr>
      <w:r>
        <w:rPr>
          <w:i w:val="0"/>
          <w:iCs w:val="0"/>
        </w:rPr>
        <w:t>C——t时刻点x处的示踪剂浓度，mg/L；</w:t>
      </w:r>
    </w:p>
    <w:p>
      <w:pPr>
        <w:pStyle w:val="386"/>
        <w:spacing w:before="0" w:beforeLines="0" w:after="0" w:afterLines="0"/>
        <w:ind w:firstLine="1200" w:firstLineChars="500"/>
        <w:rPr>
          <w:i w:val="0"/>
          <w:iCs w:val="0"/>
        </w:rPr>
      </w:pPr>
      <w:r>
        <w:rPr>
          <w:i w:val="0"/>
          <w:iCs w:val="0"/>
        </w:rPr>
        <w:t>C0——注入的示踪剂浓度，mg/L；</w:t>
      </w:r>
    </w:p>
    <w:p>
      <w:pPr>
        <w:pStyle w:val="386"/>
        <w:spacing w:before="0" w:beforeLines="0" w:after="0" w:afterLines="0"/>
        <w:ind w:firstLine="1200" w:firstLineChars="500"/>
        <w:rPr>
          <w:i w:val="0"/>
          <w:iCs w:val="0"/>
        </w:rPr>
      </w:pPr>
      <w:r>
        <w:rPr>
          <w:i w:val="0"/>
          <w:iCs w:val="0"/>
        </w:rPr>
        <w:t>u——水流速度，m/d；</w:t>
      </w:r>
    </w:p>
    <w:p>
      <w:pPr>
        <w:pStyle w:val="386"/>
        <w:spacing w:before="0" w:beforeLines="0" w:after="0" w:afterLines="0"/>
        <w:ind w:firstLine="1200" w:firstLineChars="500"/>
        <w:rPr>
          <w:i w:val="0"/>
          <w:iCs w:val="0"/>
        </w:rPr>
      </w:pPr>
      <w:r>
        <w:rPr>
          <w:i w:val="0"/>
          <w:iCs w:val="0"/>
        </w:rPr>
        <w:t>DL——纵向弥散系数，m</w:t>
      </w:r>
      <w:r>
        <w:rPr>
          <w:i w:val="0"/>
          <w:iCs w:val="0"/>
          <w:vertAlign w:val="superscript"/>
        </w:rPr>
        <w:t>2</w:t>
      </w:r>
      <w:r>
        <w:rPr>
          <w:i w:val="0"/>
          <w:iCs w:val="0"/>
        </w:rPr>
        <w:t>/d；</w:t>
      </w:r>
    </w:p>
    <w:p>
      <w:pPr>
        <w:pStyle w:val="386"/>
        <w:spacing w:before="0" w:beforeLines="0" w:after="0" w:afterLines="0"/>
        <w:ind w:firstLine="1200" w:firstLineChars="500"/>
        <w:rPr>
          <w:i w:val="0"/>
          <w:iCs w:val="0"/>
        </w:rPr>
      </w:pPr>
      <w:r>
        <w:rPr>
          <w:i w:val="0"/>
          <w:iCs w:val="0"/>
        </w:rPr>
        <w:t>erfc（）——余误差函数（查《水文地质手册》获得）。</w:t>
      </w:r>
    </w:p>
    <w:p>
      <w:pPr>
        <w:pStyle w:val="386"/>
        <w:spacing w:before="0" w:beforeLines="0" w:after="0" w:afterLines="0"/>
        <w:rPr>
          <w:i w:val="0"/>
          <w:iCs w:val="0"/>
        </w:rPr>
      </w:pPr>
      <w:r>
        <w:rPr>
          <w:i w:val="0"/>
          <w:iCs w:val="0"/>
        </w:rPr>
        <w:t>（2）计算参数</w:t>
      </w:r>
    </w:p>
    <w:p>
      <w:pPr>
        <w:pStyle w:val="386"/>
        <w:spacing w:before="0" w:beforeLines="0" w:after="0" w:afterLines="0"/>
        <w:rPr>
          <w:i w:val="0"/>
          <w:iCs w:val="0"/>
        </w:rPr>
      </w:pPr>
      <w:r>
        <w:rPr>
          <w:rFonts w:hint="eastAsia"/>
          <w:i w:val="0"/>
          <w:iCs w:val="0"/>
        </w:rPr>
        <w:t>厂区</w:t>
      </w:r>
      <w:r>
        <w:rPr>
          <w:i w:val="0"/>
          <w:iCs w:val="0"/>
        </w:rPr>
        <w:t>所在区域水文地质参数参照《</w:t>
      </w:r>
      <w:r>
        <w:rPr>
          <w:rFonts w:hint="eastAsia"/>
          <w:i w:val="0"/>
          <w:iCs w:val="0"/>
        </w:rPr>
        <w:t>吉林江源经济开发区</w:t>
      </w:r>
      <w:r>
        <w:rPr>
          <w:i w:val="0"/>
          <w:iCs w:val="0"/>
        </w:rPr>
        <w:t>（2020-203</w:t>
      </w:r>
      <w:r>
        <w:rPr>
          <w:rFonts w:hint="eastAsia"/>
          <w:i w:val="0"/>
          <w:iCs w:val="0"/>
        </w:rPr>
        <w:t>5</w:t>
      </w:r>
      <w:r>
        <w:rPr>
          <w:i w:val="0"/>
          <w:iCs w:val="0"/>
        </w:rPr>
        <w:t xml:space="preserve"> 年）境影响报告书》中数据，见下表。</w:t>
      </w:r>
    </w:p>
    <w:p>
      <w:pPr>
        <w:adjustRightInd w:val="0"/>
        <w:snapToGrid w:val="0"/>
        <w:ind w:left="420" w:hanging="420"/>
        <w:jc w:val="center"/>
        <w:rPr>
          <w:b/>
          <w:i w:val="0"/>
          <w:iCs w:val="0"/>
        </w:rPr>
      </w:pPr>
      <w:r>
        <w:rPr>
          <w:b/>
          <w:i w:val="0"/>
          <w:iCs w:val="0"/>
        </w:rPr>
        <w:t>表5</w:t>
      </w:r>
      <w:r>
        <w:rPr>
          <w:rFonts w:hint="eastAsia"/>
          <w:b/>
          <w:i w:val="0"/>
          <w:iCs w:val="0"/>
        </w:rPr>
        <w:t>-</w:t>
      </w:r>
      <w:r>
        <w:rPr>
          <w:rFonts w:hint="eastAsia"/>
          <w:b/>
          <w:i w:val="0"/>
          <w:iCs w:val="0"/>
          <w:lang w:val="en-US" w:eastAsia="zh-CN"/>
        </w:rPr>
        <w:t>6</w:t>
      </w:r>
      <w:r>
        <w:rPr>
          <w:b/>
          <w:i w:val="0"/>
          <w:iCs w:val="0"/>
        </w:rPr>
        <w:t xml:space="preserve">  地下水计算参数一览表</w:t>
      </w:r>
    </w:p>
    <w:tbl>
      <w:tblPr>
        <w:tblStyle w:val="5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3570"/>
        <w:gridCol w:w="30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8" w:type="pct"/>
            <w:noWrap w:val="0"/>
            <w:vAlign w:val="top"/>
          </w:tcPr>
          <w:p>
            <w:pPr>
              <w:pStyle w:val="390"/>
              <w:rPr>
                <w:i w:val="0"/>
                <w:iCs w:val="0"/>
                <w:color w:val="000000"/>
              </w:rPr>
            </w:pPr>
            <w:r>
              <w:rPr>
                <w:i w:val="0"/>
                <w:iCs w:val="0"/>
                <w:color w:val="000000"/>
              </w:rPr>
              <w:t>参数地下水类型</w:t>
            </w:r>
          </w:p>
        </w:tc>
        <w:tc>
          <w:tcPr>
            <w:tcW w:w="1922" w:type="pct"/>
            <w:noWrap w:val="0"/>
            <w:vAlign w:val="top"/>
          </w:tcPr>
          <w:p>
            <w:pPr>
              <w:pStyle w:val="390"/>
              <w:rPr>
                <w:i w:val="0"/>
                <w:iCs w:val="0"/>
                <w:color w:val="000000"/>
              </w:rPr>
            </w:pPr>
            <w:r>
              <w:rPr>
                <w:i w:val="0"/>
                <w:iCs w:val="0"/>
                <w:color w:val="000000"/>
              </w:rPr>
              <w:t>实际渗流速度（m/d）</w:t>
            </w:r>
          </w:p>
        </w:tc>
        <w:tc>
          <w:tcPr>
            <w:tcW w:w="1620" w:type="pct"/>
            <w:noWrap w:val="0"/>
            <w:vAlign w:val="top"/>
          </w:tcPr>
          <w:p>
            <w:pPr>
              <w:pStyle w:val="390"/>
              <w:rPr>
                <w:i w:val="0"/>
                <w:iCs w:val="0"/>
                <w:color w:val="000000"/>
              </w:rPr>
            </w:pPr>
            <w:r>
              <w:rPr>
                <w:i w:val="0"/>
                <w:iCs w:val="0"/>
                <w:color w:val="000000"/>
              </w:rPr>
              <w:t>弥散系数（m</w:t>
            </w:r>
            <w:r>
              <w:rPr>
                <w:i w:val="0"/>
                <w:iCs w:val="0"/>
                <w:color w:val="000000"/>
                <w:vertAlign w:val="superscript"/>
              </w:rPr>
              <w:t>2</w:t>
            </w:r>
            <w:r>
              <w:rPr>
                <w:i w:val="0"/>
                <w:iCs w:val="0"/>
                <w:color w:val="000000"/>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58" w:type="pct"/>
            <w:noWrap w:val="0"/>
            <w:vAlign w:val="top"/>
          </w:tcPr>
          <w:p>
            <w:pPr>
              <w:pStyle w:val="390"/>
              <w:rPr>
                <w:i w:val="0"/>
                <w:iCs w:val="0"/>
                <w:color w:val="000000"/>
              </w:rPr>
            </w:pPr>
            <w:r>
              <w:rPr>
                <w:i w:val="0"/>
                <w:iCs w:val="0"/>
                <w:color w:val="000000"/>
              </w:rPr>
              <w:t>孔隙水（潜水）</w:t>
            </w:r>
          </w:p>
        </w:tc>
        <w:tc>
          <w:tcPr>
            <w:tcW w:w="1922" w:type="pct"/>
            <w:noWrap w:val="0"/>
            <w:vAlign w:val="top"/>
          </w:tcPr>
          <w:p>
            <w:pPr>
              <w:pStyle w:val="390"/>
              <w:rPr>
                <w:i w:val="0"/>
                <w:iCs w:val="0"/>
                <w:color w:val="000000"/>
              </w:rPr>
            </w:pPr>
            <w:r>
              <w:rPr>
                <w:i w:val="0"/>
                <w:iCs w:val="0"/>
                <w:color w:val="000000"/>
              </w:rPr>
              <w:t>0.667</w:t>
            </w:r>
          </w:p>
        </w:tc>
        <w:tc>
          <w:tcPr>
            <w:tcW w:w="1620" w:type="pct"/>
            <w:noWrap w:val="0"/>
            <w:vAlign w:val="top"/>
          </w:tcPr>
          <w:p>
            <w:pPr>
              <w:pStyle w:val="390"/>
              <w:rPr>
                <w:i w:val="0"/>
                <w:iCs w:val="0"/>
                <w:color w:val="000000"/>
              </w:rPr>
            </w:pPr>
            <w:r>
              <w:rPr>
                <w:rFonts w:hint="eastAsia"/>
                <w:i w:val="0"/>
                <w:iCs w:val="0"/>
                <w:color w:val="000000"/>
              </w:rPr>
              <w:t>0.48</w:t>
            </w:r>
          </w:p>
        </w:tc>
      </w:tr>
    </w:tbl>
    <w:p>
      <w:pPr>
        <w:pStyle w:val="386"/>
        <w:spacing w:before="0" w:beforeLines="0" w:after="0" w:afterLines="0"/>
        <w:rPr>
          <w:i w:val="0"/>
          <w:iCs w:val="0"/>
        </w:rPr>
      </w:pPr>
      <w:r>
        <w:rPr>
          <w:i w:val="0"/>
          <w:iCs w:val="0"/>
        </w:rPr>
        <w:t>（3）预测时段</w:t>
      </w:r>
    </w:p>
    <w:p>
      <w:pPr>
        <w:pStyle w:val="386"/>
        <w:spacing w:before="0" w:beforeLines="0" w:after="0" w:afterLines="0"/>
        <w:rPr>
          <w:i w:val="0"/>
          <w:iCs w:val="0"/>
        </w:rPr>
      </w:pPr>
      <w:r>
        <w:rPr>
          <w:i w:val="0"/>
          <w:iCs w:val="0"/>
        </w:rPr>
        <w:t>预测时段选取可能产生地下水污染的时段，对污染可能发生后的10年间的地下水污染羽的扩散范围进行预测，其中包括污染发生后的100d、1000d及10a，其它每隔1a选取一个节点。</w:t>
      </w:r>
    </w:p>
    <w:p>
      <w:pPr>
        <w:pStyle w:val="386"/>
        <w:spacing w:before="0" w:beforeLines="0" w:after="0" w:afterLines="0"/>
        <w:rPr>
          <w:i w:val="0"/>
          <w:iCs w:val="0"/>
        </w:rPr>
      </w:pPr>
      <w:r>
        <w:rPr>
          <w:i w:val="0"/>
          <w:iCs w:val="0"/>
        </w:rPr>
        <w:t>（4）预测源强</w:t>
      </w:r>
    </w:p>
    <w:p>
      <w:pPr>
        <w:pStyle w:val="386"/>
        <w:spacing w:before="0" w:beforeLines="0" w:after="0" w:afterLines="0"/>
        <w:rPr>
          <w:i w:val="0"/>
          <w:iCs w:val="0"/>
        </w:rPr>
      </w:pPr>
      <w:r>
        <w:rPr>
          <w:i w:val="0"/>
          <w:iCs w:val="0"/>
        </w:rPr>
        <w:t>本次预测按最不利情况考虑，选取最大污染物浓度为源强，见表</w:t>
      </w:r>
      <w:r>
        <w:rPr>
          <w:rFonts w:hint="eastAsia"/>
          <w:i w:val="0"/>
          <w:iCs w:val="0"/>
        </w:rPr>
        <w:t>5-</w:t>
      </w:r>
      <w:r>
        <w:rPr>
          <w:rFonts w:hint="eastAsia"/>
          <w:i w:val="0"/>
          <w:iCs w:val="0"/>
          <w:lang w:val="en-US" w:eastAsia="zh-CN"/>
        </w:rPr>
        <w:t>7</w:t>
      </w:r>
      <w:r>
        <w:rPr>
          <w:i w:val="0"/>
          <w:iCs w:val="0"/>
        </w:rPr>
        <w:t>。</w:t>
      </w:r>
    </w:p>
    <w:p>
      <w:pPr>
        <w:adjustRightInd w:val="0"/>
        <w:snapToGrid w:val="0"/>
        <w:ind w:left="420" w:hanging="420"/>
        <w:jc w:val="center"/>
        <w:rPr>
          <w:b/>
          <w:i w:val="0"/>
          <w:iCs w:val="0"/>
        </w:rPr>
      </w:pPr>
      <w:r>
        <w:rPr>
          <w:b/>
          <w:i w:val="0"/>
          <w:iCs w:val="0"/>
        </w:rPr>
        <w:t>表</w:t>
      </w:r>
      <w:r>
        <w:rPr>
          <w:rFonts w:hint="eastAsia"/>
          <w:b/>
          <w:i w:val="0"/>
          <w:iCs w:val="0"/>
        </w:rPr>
        <w:t>5-</w:t>
      </w:r>
      <w:r>
        <w:rPr>
          <w:rFonts w:hint="eastAsia"/>
          <w:b/>
          <w:i w:val="0"/>
          <w:iCs w:val="0"/>
          <w:lang w:val="en-US" w:eastAsia="zh-CN"/>
        </w:rPr>
        <w:t>7</w:t>
      </w:r>
      <w:r>
        <w:rPr>
          <w:b/>
          <w:i w:val="0"/>
          <w:iCs w:val="0"/>
        </w:rPr>
        <w:t xml:space="preserve">   各污染物预测初始浓度汇总表</w:t>
      </w:r>
    </w:p>
    <w:tbl>
      <w:tblPr>
        <w:tblStyle w:val="58"/>
        <w:tblW w:w="5000" w:type="pct"/>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440"/>
        <w:gridCol w:w="3349"/>
        <w:gridCol w:w="4499"/>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75" w:type="pct"/>
            <w:noWrap w:val="0"/>
            <w:vAlign w:val="top"/>
          </w:tcPr>
          <w:p>
            <w:pPr>
              <w:pStyle w:val="390"/>
              <w:rPr>
                <w:i w:val="0"/>
                <w:iCs w:val="0"/>
                <w:color w:val="000000"/>
              </w:rPr>
            </w:pPr>
            <w:r>
              <w:rPr>
                <w:i w:val="0"/>
                <w:iCs w:val="0"/>
                <w:color w:val="000000"/>
              </w:rPr>
              <w:t>序号</w:t>
            </w:r>
          </w:p>
        </w:tc>
        <w:tc>
          <w:tcPr>
            <w:tcW w:w="1802" w:type="pct"/>
            <w:noWrap w:val="0"/>
            <w:vAlign w:val="top"/>
          </w:tcPr>
          <w:p>
            <w:pPr>
              <w:pStyle w:val="390"/>
              <w:rPr>
                <w:i w:val="0"/>
                <w:iCs w:val="0"/>
                <w:color w:val="000000"/>
              </w:rPr>
            </w:pPr>
            <w:r>
              <w:rPr>
                <w:i w:val="0"/>
                <w:iCs w:val="0"/>
                <w:color w:val="000000"/>
              </w:rPr>
              <w:t>污染物</w:t>
            </w:r>
          </w:p>
        </w:tc>
        <w:tc>
          <w:tcPr>
            <w:tcW w:w="2421" w:type="pct"/>
            <w:noWrap w:val="0"/>
            <w:vAlign w:val="top"/>
          </w:tcPr>
          <w:p>
            <w:pPr>
              <w:pStyle w:val="390"/>
              <w:rPr>
                <w:i w:val="0"/>
                <w:iCs w:val="0"/>
                <w:color w:val="000000"/>
              </w:rPr>
            </w:pPr>
            <w:r>
              <w:rPr>
                <w:i w:val="0"/>
                <w:iCs w:val="0"/>
                <w:color w:val="000000"/>
              </w:rPr>
              <w:t>预测初始浓度mg/L</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75" w:type="pct"/>
            <w:noWrap w:val="0"/>
            <w:vAlign w:val="top"/>
          </w:tcPr>
          <w:p>
            <w:pPr>
              <w:pStyle w:val="390"/>
              <w:rPr>
                <w:i w:val="0"/>
                <w:iCs w:val="0"/>
                <w:color w:val="000000"/>
              </w:rPr>
            </w:pPr>
            <w:r>
              <w:rPr>
                <w:i w:val="0"/>
                <w:iCs w:val="0"/>
                <w:color w:val="000000"/>
              </w:rPr>
              <w:t>1</w:t>
            </w:r>
          </w:p>
        </w:tc>
        <w:tc>
          <w:tcPr>
            <w:tcW w:w="1802" w:type="pct"/>
            <w:noWrap w:val="0"/>
            <w:vAlign w:val="top"/>
          </w:tcPr>
          <w:p>
            <w:pPr>
              <w:pStyle w:val="390"/>
              <w:rPr>
                <w:i w:val="0"/>
                <w:iCs w:val="0"/>
                <w:color w:val="000000"/>
              </w:rPr>
            </w:pPr>
            <w:r>
              <w:rPr>
                <w:i w:val="0"/>
                <w:iCs w:val="0"/>
                <w:color w:val="000000"/>
              </w:rPr>
              <w:t>耗氧量（COD</w:t>
            </w:r>
            <w:r>
              <w:rPr>
                <w:i w:val="0"/>
                <w:iCs w:val="0"/>
                <w:color w:val="000000"/>
                <w:vertAlign w:val="subscript"/>
              </w:rPr>
              <w:t>Mn</w:t>
            </w:r>
            <w:r>
              <w:rPr>
                <w:i w:val="0"/>
                <w:iCs w:val="0"/>
                <w:color w:val="000000"/>
              </w:rPr>
              <w:t>）</w:t>
            </w:r>
          </w:p>
        </w:tc>
        <w:tc>
          <w:tcPr>
            <w:tcW w:w="2421" w:type="pct"/>
            <w:noWrap w:val="0"/>
            <w:vAlign w:val="top"/>
          </w:tcPr>
          <w:p>
            <w:pPr>
              <w:pStyle w:val="390"/>
              <w:rPr>
                <w:rFonts w:hint="default" w:eastAsia="宋体"/>
                <w:i w:val="0"/>
                <w:iCs w:val="0"/>
                <w:color w:val="000000"/>
                <w:lang w:val="en-US" w:eastAsia="zh-CN"/>
              </w:rPr>
            </w:pPr>
            <w:r>
              <w:rPr>
                <w:rFonts w:hint="eastAsia"/>
                <w:i w:val="0"/>
                <w:iCs w:val="0"/>
                <w:color w:val="000000"/>
                <w:lang w:val="en-US" w:eastAsia="zh-CN"/>
              </w:rPr>
              <w:t>16140</w:t>
            </w:r>
          </w:p>
        </w:tc>
      </w:tr>
    </w:tbl>
    <w:p>
      <w:pPr>
        <w:pStyle w:val="386"/>
        <w:spacing w:before="0" w:beforeLines="0" w:after="0" w:afterLines="0"/>
        <w:rPr>
          <w:i w:val="0"/>
          <w:iCs w:val="0"/>
        </w:rPr>
      </w:pPr>
      <w:r>
        <w:rPr>
          <w:i w:val="0"/>
          <w:iCs w:val="0"/>
        </w:rPr>
        <w:t>（5）计算结果</w:t>
      </w:r>
    </w:p>
    <w:p>
      <w:pPr>
        <w:pStyle w:val="386"/>
        <w:spacing w:before="0" w:beforeLines="0" w:after="0" w:afterLines="0"/>
        <w:rPr>
          <w:i w:val="0"/>
          <w:iCs w:val="0"/>
        </w:rPr>
      </w:pPr>
      <w:r>
        <w:rPr>
          <w:i w:val="0"/>
          <w:iCs w:val="0"/>
        </w:rPr>
        <w:t>分别对耗氧量污染物进行100d、1000d和10a的泄漏预测，耗氧量污染物的泄漏情况见下图。</w:t>
      </w:r>
    </w:p>
    <w:p>
      <w:pPr>
        <w:pStyle w:val="386"/>
        <w:spacing w:before="0" w:beforeLines="0" w:after="0" w:afterLines="0"/>
        <w:rPr>
          <w:i w:val="0"/>
          <w:iCs w:val="0"/>
        </w:rPr>
      </w:pPr>
      <w:r>
        <w:rPr>
          <w:i w:val="0"/>
          <w:iCs w:val="0"/>
        </w:rPr>
        <w:t>①预测时间为100d时</w:t>
      </w:r>
    </w:p>
    <w:p>
      <w:pPr>
        <w:pStyle w:val="386"/>
        <w:spacing w:before="0" w:beforeLines="0" w:after="0" w:afterLines="0"/>
        <w:rPr>
          <w:i w:val="0"/>
          <w:iCs w:val="0"/>
        </w:rPr>
      </w:pPr>
      <w:r>
        <w:rPr>
          <w:i w:val="0"/>
          <w:iCs w:val="0"/>
        </w:rPr>
        <w:t>设定预测时间为100d，不同距离浓度预测解析计算，预测结果见</w:t>
      </w:r>
      <w:r>
        <w:rPr>
          <w:rFonts w:hint="eastAsia"/>
          <w:i w:val="0"/>
          <w:iCs w:val="0"/>
          <w:lang w:val="en-US" w:eastAsia="zh-CN"/>
        </w:rPr>
        <w:t>图</w:t>
      </w:r>
      <w:r>
        <w:rPr>
          <w:i w:val="0"/>
          <w:iCs w:val="0"/>
        </w:rPr>
        <w:t>5</w:t>
      </w:r>
      <w:r>
        <w:rPr>
          <w:rFonts w:hint="eastAsia"/>
          <w:i w:val="0"/>
          <w:iCs w:val="0"/>
        </w:rPr>
        <w:t>-</w:t>
      </w:r>
      <w:r>
        <w:rPr>
          <w:rFonts w:hint="eastAsia"/>
          <w:i w:val="0"/>
          <w:iCs w:val="0"/>
          <w:lang w:val="en-US" w:eastAsia="zh-CN"/>
        </w:rPr>
        <w:t>1</w:t>
      </w:r>
      <w:r>
        <w:rPr>
          <w:i w:val="0"/>
          <w:iCs w:val="0"/>
        </w:rPr>
        <w:t>。</w:t>
      </w:r>
    </w:p>
    <w:p>
      <w:pPr>
        <w:adjustRightInd w:val="0"/>
        <w:snapToGrid w:val="0"/>
        <w:ind w:left="420" w:hanging="420"/>
        <w:jc w:val="center"/>
        <w:rPr>
          <w:i w:val="0"/>
          <w:iCs w:val="0"/>
        </w:rPr>
      </w:pPr>
      <w:r>
        <w:rPr>
          <w:i w:val="0"/>
          <w:iCs w:val="0"/>
        </w:rPr>
        <w:drawing>
          <wp:inline distT="0" distB="0" distL="114300" distR="114300">
            <wp:extent cx="5343525" cy="3162935"/>
            <wp:effectExtent l="0" t="0" r="9525" b="184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39"/>
                    <a:stretch>
                      <a:fillRect/>
                    </a:stretch>
                  </pic:blipFill>
                  <pic:spPr>
                    <a:xfrm>
                      <a:off x="0" y="0"/>
                      <a:ext cx="5343525" cy="3162935"/>
                    </a:xfrm>
                    <a:prstGeom prst="rect">
                      <a:avLst/>
                    </a:prstGeom>
                    <a:noFill/>
                    <a:ln>
                      <a:noFill/>
                    </a:ln>
                  </pic:spPr>
                </pic:pic>
              </a:graphicData>
            </a:graphic>
          </wp:inline>
        </w:drawing>
      </w:r>
    </w:p>
    <w:p>
      <w:pPr>
        <w:adjustRightInd w:val="0"/>
        <w:snapToGrid w:val="0"/>
        <w:ind w:left="420" w:hanging="420"/>
        <w:jc w:val="center"/>
        <w:rPr>
          <w:b/>
          <w:i w:val="0"/>
          <w:iCs w:val="0"/>
        </w:rPr>
      </w:pPr>
      <w:r>
        <w:rPr>
          <w:b/>
          <w:i w:val="0"/>
          <w:iCs w:val="0"/>
        </w:rPr>
        <w:t>表5</w:t>
      </w:r>
      <w:r>
        <w:rPr>
          <w:rFonts w:hint="eastAsia"/>
          <w:b/>
          <w:i w:val="0"/>
          <w:iCs w:val="0"/>
        </w:rPr>
        <w:t>-</w:t>
      </w:r>
      <w:r>
        <w:rPr>
          <w:rFonts w:hint="eastAsia"/>
          <w:b/>
          <w:i w:val="0"/>
          <w:iCs w:val="0"/>
          <w:lang w:val="en-US" w:eastAsia="zh-CN"/>
        </w:rPr>
        <w:t>1</w:t>
      </w:r>
      <w:r>
        <w:rPr>
          <w:b/>
          <w:i w:val="0"/>
          <w:iCs w:val="0"/>
        </w:rPr>
        <w:t xml:space="preserve">   固定时间100d不同距离浓度预测表</w:t>
      </w:r>
    </w:p>
    <w:p>
      <w:pPr>
        <w:pStyle w:val="386"/>
        <w:spacing w:before="0" w:beforeLines="0" w:after="0" w:afterLines="0"/>
        <w:rPr>
          <w:i w:val="0"/>
          <w:iCs w:val="0"/>
        </w:rPr>
      </w:pPr>
      <w:r>
        <w:rPr>
          <w:i w:val="0"/>
          <w:iCs w:val="0"/>
        </w:rPr>
        <w:t>②预测时间为1000d时</w:t>
      </w:r>
    </w:p>
    <w:p>
      <w:pPr>
        <w:pStyle w:val="386"/>
        <w:spacing w:before="0" w:beforeLines="0" w:after="0" w:afterLines="0"/>
        <w:rPr>
          <w:i w:val="0"/>
          <w:iCs w:val="0"/>
        </w:rPr>
      </w:pPr>
      <w:r>
        <w:rPr>
          <w:i w:val="0"/>
          <w:iCs w:val="0"/>
        </w:rPr>
        <w:t>设定预测时间为1000d，不同距离浓度预测解析计算，预测结果见表5</w:t>
      </w:r>
      <w:r>
        <w:rPr>
          <w:rFonts w:hint="eastAsia"/>
          <w:i w:val="0"/>
          <w:iCs w:val="0"/>
        </w:rPr>
        <w:t>-</w:t>
      </w:r>
      <w:r>
        <w:rPr>
          <w:rFonts w:hint="eastAsia"/>
          <w:i w:val="0"/>
          <w:iCs w:val="0"/>
          <w:lang w:val="en-US" w:eastAsia="zh-CN"/>
        </w:rPr>
        <w:t>2</w:t>
      </w:r>
      <w:r>
        <w:rPr>
          <w:i w:val="0"/>
          <w:iCs w:val="0"/>
        </w:rPr>
        <w:t>。</w:t>
      </w:r>
    </w:p>
    <w:p>
      <w:pPr>
        <w:pStyle w:val="388"/>
        <w:numPr>
          <w:ilvl w:val="4"/>
          <w:numId w:val="0"/>
        </w:numPr>
        <w:spacing w:before="0" w:beforeLines="0" w:line="360" w:lineRule="auto"/>
        <w:rPr>
          <w:i w:val="0"/>
          <w:iCs w:val="0"/>
        </w:rPr>
      </w:pPr>
      <w:r>
        <w:rPr>
          <w:i w:val="0"/>
          <w:iCs w:val="0"/>
        </w:rPr>
        <w:drawing>
          <wp:inline distT="0" distB="0" distL="114300" distR="114300">
            <wp:extent cx="5419725" cy="3267075"/>
            <wp:effectExtent l="0" t="0" r="9525" b="952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40"/>
                    <a:stretch>
                      <a:fillRect/>
                    </a:stretch>
                  </pic:blipFill>
                  <pic:spPr>
                    <a:xfrm>
                      <a:off x="0" y="0"/>
                      <a:ext cx="5419725" cy="3267075"/>
                    </a:xfrm>
                    <a:prstGeom prst="rect">
                      <a:avLst/>
                    </a:prstGeom>
                    <a:noFill/>
                    <a:ln>
                      <a:noFill/>
                    </a:ln>
                  </pic:spPr>
                </pic:pic>
              </a:graphicData>
            </a:graphic>
          </wp:inline>
        </w:drawing>
      </w:r>
    </w:p>
    <w:p>
      <w:pPr>
        <w:pStyle w:val="388"/>
        <w:numPr>
          <w:ilvl w:val="4"/>
          <w:numId w:val="0"/>
        </w:numPr>
        <w:spacing w:before="0" w:beforeLines="0" w:line="360" w:lineRule="auto"/>
        <w:rPr>
          <w:i w:val="0"/>
          <w:iCs w:val="0"/>
        </w:rPr>
      </w:pPr>
      <w:r>
        <w:rPr>
          <w:i w:val="0"/>
          <w:iCs w:val="0"/>
        </w:rPr>
        <w:t>表5</w:t>
      </w:r>
      <w:r>
        <w:rPr>
          <w:rFonts w:hint="eastAsia"/>
          <w:i w:val="0"/>
          <w:iCs w:val="0"/>
        </w:rPr>
        <w:t>-</w:t>
      </w:r>
      <w:r>
        <w:rPr>
          <w:rFonts w:hint="eastAsia"/>
          <w:i w:val="0"/>
          <w:iCs w:val="0"/>
          <w:lang w:val="en-US" w:eastAsia="zh-CN"/>
        </w:rPr>
        <w:t>2</w:t>
      </w:r>
      <w:r>
        <w:rPr>
          <w:i w:val="0"/>
          <w:iCs w:val="0"/>
        </w:rPr>
        <w:t xml:space="preserve"> 固定时间1000d不同距离浓度预测表</w:t>
      </w:r>
    </w:p>
    <w:p>
      <w:pPr>
        <w:pStyle w:val="386"/>
        <w:spacing w:before="0" w:beforeLines="0" w:after="0" w:afterLines="0"/>
        <w:rPr>
          <w:i w:val="0"/>
          <w:iCs w:val="0"/>
        </w:rPr>
      </w:pPr>
      <w:r>
        <w:rPr>
          <w:i w:val="0"/>
          <w:iCs w:val="0"/>
        </w:rPr>
        <w:t>③预测时间为10a时</w:t>
      </w:r>
    </w:p>
    <w:p>
      <w:pPr>
        <w:pStyle w:val="386"/>
        <w:spacing w:before="0" w:beforeLines="0" w:after="0" w:afterLines="0"/>
        <w:rPr>
          <w:i w:val="0"/>
          <w:iCs w:val="0"/>
        </w:rPr>
      </w:pPr>
      <w:r>
        <w:rPr>
          <w:i w:val="0"/>
          <w:iCs w:val="0"/>
        </w:rPr>
        <w:t>设定预测时间为10a，不同距离浓度预测解析计算，预测结果见表5</w:t>
      </w:r>
      <w:r>
        <w:rPr>
          <w:rFonts w:hint="eastAsia"/>
          <w:i w:val="0"/>
          <w:iCs w:val="0"/>
        </w:rPr>
        <w:t>-</w:t>
      </w:r>
      <w:r>
        <w:rPr>
          <w:rFonts w:hint="eastAsia"/>
          <w:i w:val="0"/>
          <w:iCs w:val="0"/>
          <w:lang w:val="en-US" w:eastAsia="zh-CN"/>
        </w:rPr>
        <w:t>3</w:t>
      </w:r>
      <w:r>
        <w:rPr>
          <w:i w:val="0"/>
          <w:iCs w:val="0"/>
        </w:rPr>
        <w:t>。</w:t>
      </w:r>
    </w:p>
    <w:p>
      <w:pPr>
        <w:pStyle w:val="388"/>
        <w:numPr>
          <w:ilvl w:val="4"/>
          <w:numId w:val="0"/>
        </w:numPr>
        <w:spacing w:before="0" w:beforeLines="0"/>
        <w:rPr>
          <w:i w:val="0"/>
          <w:iCs w:val="0"/>
        </w:rPr>
      </w:pPr>
    </w:p>
    <w:p>
      <w:pPr>
        <w:pStyle w:val="388"/>
        <w:numPr>
          <w:ilvl w:val="4"/>
          <w:numId w:val="0"/>
        </w:numPr>
        <w:spacing w:before="0" w:beforeLines="0"/>
        <w:rPr>
          <w:i w:val="0"/>
          <w:iCs w:val="0"/>
        </w:rPr>
      </w:pPr>
    </w:p>
    <w:p>
      <w:pPr>
        <w:pStyle w:val="388"/>
        <w:numPr>
          <w:ilvl w:val="4"/>
          <w:numId w:val="0"/>
        </w:numPr>
        <w:spacing w:before="0" w:beforeLines="0"/>
        <w:rPr>
          <w:i w:val="0"/>
          <w:iCs w:val="0"/>
        </w:rPr>
      </w:pPr>
    </w:p>
    <w:p>
      <w:pPr>
        <w:pStyle w:val="388"/>
        <w:numPr>
          <w:ilvl w:val="4"/>
          <w:numId w:val="0"/>
        </w:numPr>
        <w:spacing w:before="0" w:beforeLines="0"/>
        <w:rPr>
          <w:i w:val="0"/>
          <w:iCs w:val="0"/>
        </w:rPr>
      </w:pPr>
    </w:p>
    <w:p>
      <w:pPr>
        <w:pStyle w:val="388"/>
        <w:numPr>
          <w:ilvl w:val="4"/>
          <w:numId w:val="0"/>
        </w:numPr>
        <w:spacing w:before="0" w:beforeLines="0"/>
        <w:rPr>
          <w:i w:val="0"/>
          <w:iCs w:val="0"/>
        </w:rPr>
      </w:pPr>
    </w:p>
    <w:p>
      <w:pPr>
        <w:pStyle w:val="388"/>
        <w:numPr>
          <w:ilvl w:val="4"/>
          <w:numId w:val="0"/>
        </w:numPr>
        <w:spacing w:before="0" w:beforeLines="0"/>
        <w:rPr>
          <w:i w:val="0"/>
          <w:iCs w:val="0"/>
        </w:rPr>
      </w:pPr>
      <w:r>
        <w:rPr>
          <w:i w:val="0"/>
          <w:iCs w:val="0"/>
        </w:rPr>
        <w:drawing>
          <wp:inline distT="0" distB="0" distL="114300" distR="114300">
            <wp:extent cx="5381625" cy="3276600"/>
            <wp:effectExtent l="0" t="0" r="9525"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41"/>
                    <a:stretch>
                      <a:fillRect/>
                    </a:stretch>
                  </pic:blipFill>
                  <pic:spPr>
                    <a:xfrm>
                      <a:off x="0" y="0"/>
                      <a:ext cx="5381625" cy="3276600"/>
                    </a:xfrm>
                    <a:prstGeom prst="rect">
                      <a:avLst/>
                    </a:prstGeom>
                    <a:noFill/>
                    <a:ln>
                      <a:noFill/>
                    </a:ln>
                  </pic:spPr>
                </pic:pic>
              </a:graphicData>
            </a:graphic>
          </wp:inline>
        </w:drawing>
      </w:r>
    </w:p>
    <w:p>
      <w:pPr>
        <w:pStyle w:val="388"/>
        <w:numPr>
          <w:ilvl w:val="4"/>
          <w:numId w:val="0"/>
        </w:numPr>
        <w:spacing w:before="0" w:beforeLines="0"/>
        <w:rPr>
          <w:i w:val="0"/>
          <w:iCs w:val="0"/>
        </w:rPr>
      </w:pPr>
      <w:r>
        <w:rPr>
          <w:rFonts w:hint="eastAsia"/>
          <w:i w:val="0"/>
          <w:iCs w:val="0"/>
          <w:lang w:val="en-US" w:eastAsia="zh-CN"/>
        </w:rPr>
        <w:t>图</w:t>
      </w:r>
      <w:r>
        <w:rPr>
          <w:i w:val="0"/>
          <w:iCs w:val="0"/>
        </w:rPr>
        <w:t>5</w:t>
      </w:r>
      <w:r>
        <w:rPr>
          <w:rFonts w:hint="eastAsia"/>
          <w:i w:val="0"/>
          <w:iCs w:val="0"/>
        </w:rPr>
        <w:t>-</w:t>
      </w:r>
      <w:r>
        <w:rPr>
          <w:rFonts w:hint="eastAsia"/>
          <w:i w:val="0"/>
          <w:iCs w:val="0"/>
          <w:lang w:val="en-US" w:eastAsia="zh-CN"/>
        </w:rPr>
        <w:t>3</w:t>
      </w:r>
      <w:r>
        <w:rPr>
          <w:i w:val="0"/>
          <w:iCs w:val="0"/>
        </w:rPr>
        <w:t xml:space="preserve">  固定时间10a不同距离浓度预测表</w:t>
      </w:r>
    </w:p>
    <w:p>
      <w:pPr>
        <w:pStyle w:val="386"/>
        <w:spacing w:before="0" w:beforeLines="0" w:after="0" w:afterLines="0"/>
        <w:rPr>
          <w:rFonts w:ascii="Times New Roman" w:hAnsi="Times New Roman" w:eastAsia="宋体" w:cs="Times New Roman"/>
          <w:i w:val="0"/>
          <w:iCs w:val="0"/>
        </w:rPr>
      </w:pPr>
      <w:r>
        <w:rPr>
          <w:rFonts w:ascii="Times New Roman" w:hAnsi="Times New Roman" w:eastAsia="宋体" w:cs="Times New Roman"/>
          <w:i w:val="0"/>
          <w:iCs w:val="0"/>
        </w:rPr>
        <w:t>地下水预测结果表明，若发生风险事故，</w:t>
      </w:r>
      <w:r>
        <w:rPr>
          <w:rFonts w:hint="eastAsia" w:ascii="Times New Roman" w:hAnsi="Times New Roman" w:eastAsia="宋体" w:cs="Times New Roman"/>
          <w:i w:val="0"/>
          <w:iCs w:val="0"/>
        </w:rPr>
        <w:t>厂区</w:t>
      </w:r>
      <w:r>
        <w:rPr>
          <w:rFonts w:ascii="Times New Roman" w:hAnsi="Times New Roman" w:eastAsia="宋体" w:cs="Times New Roman"/>
          <w:i w:val="0"/>
          <w:iCs w:val="0"/>
        </w:rPr>
        <w:t>地下水中各污染物的浓度逐年</w:t>
      </w:r>
      <w:r>
        <w:rPr>
          <w:rFonts w:hint="eastAsia" w:ascii="Times New Roman" w:hAnsi="Times New Roman" w:eastAsia="宋体" w:cs="Times New Roman"/>
          <w:i w:val="0"/>
          <w:iCs w:val="0"/>
        </w:rPr>
        <w:t>下降</w:t>
      </w:r>
      <w:r>
        <w:rPr>
          <w:rFonts w:ascii="Times New Roman" w:hAnsi="Times New Roman" w:eastAsia="宋体" w:cs="Times New Roman"/>
          <w:i w:val="0"/>
          <w:iCs w:val="0"/>
        </w:rPr>
        <w:t>，污染羽逐步向外围扩散，当运行10年后，各污染物污染羽已扩散到下游约</w:t>
      </w:r>
      <w:r>
        <w:rPr>
          <w:rFonts w:hint="eastAsia" w:ascii="Times New Roman" w:hAnsi="Times New Roman" w:eastAsia="宋体" w:cs="Times New Roman"/>
          <w:i w:val="0"/>
          <w:iCs w:val="0"/>
          <w:lang w:val="en-US" w:eastAsia="zh-CN"/>
        </w:rPr>
        <w:t>2650</w:t>
      </w:r>
      <w:r>
        <w:rPr>
          <w:rFonts w:ascii="Times New Roman" w:hAnsi="Times New Roman" w:eastAsia="宋体" w:cs="Times New Roman"/>
          <w:i w:val="0"/>
          <w:iCs w:val="0"/>
        </w:rPr>
        <w:t>m处可以达标，同时地下水污染是一个漫长的过程，并且在污染过程中土壤会截留大部分，并且有部分会在土壤中降解、稀释，而最终进入到地下水含水层中的量较少。风险事故状况下，污染物质对地下水环境有一定影响，因此，应建立完善的废水处理系统</w:t>
      </w:r>
      <w:r>
        <w:rPr>
          <w:rFonts w:hint="eastAsia" w:ascii="Times New Roman" w:hAnsi="Times New Roman" w:eastAsia="宋体" w:cs="Times New Roman"/>
          <w:i w:val="0"/>
          <w:iCs w:val="0"/>
        </w:rPr>
        <w:t>，</w:t>
      </w:r>
      <w:r>
        <w:rPr>
          <w:rFonts w:ascii="Times New Roman" w:hAnsi="Times New Roman" w:eastAsia="宋体" w:cs="Times New Roman"/>
          <w:i w:val="0"/>
          <w:iCs w:val="0"/>
        </w:rPr>
        <w:t>对污水处理站构筑物、管线</w:t>
      </w:r>
      <w:r>
        <w:rPr>
          <w:rFonts w:hint="eastAsia" w:ascii="Times New Roman" w:hAnsi="Times New Roman" w:eastAsia="宋体" w:cs="Times New Roman"/>
          <w:i w:val="0"/>
          <w:iCs w:val="0"/>
          <w:lang w:eastAsia="zh-CN"/>
        </w:rPr>
        <w:t>、发酵罐、氨水罐</w:t>
      </w:r>
      <w:r>
        <w:rPr>
          <w:rFonts w:ascii="Times New Roman" w:hAnsi="Times New Roman" w:eastAsia="宋体" w:cs="Times New Roman"/>
          <w:i w:val="0"/>
          <w:iCs w:val="0"/>
        </w:rPr>
        <w:t>进行定期检漏，在日常运行过程中加强管理和监控，严防生产装置，生产物料相关的地上设备、管道泄漏事故或人为泄漏，一旦发现泄漏现象，及时采取应急措施，截断污染源，对防渗措施进行修复，能使此状况下对周边地下水环境的影响降至最小，对周边地下水环境的影响可接受。</w:t>
      </w:r>
    </w:p>
    <w:p>
      <w:pPr>
        <w:pStyle w:val="386"/>
        <w:spacing w:before="0" w:beforeLines="0" w:after="0" w:afterLines="0"/>
        <w:rPr>
          <w:rFonts w:ascii="Times New Roman" w:hAnsi="Times New Roman" w:eastAsia="宋体" w:cs="Times New Roman"/>
          <w:i w:val="0"/>
          <w:iCs w:val="0"/>
        </w:rPr>
      </w:pPr>
      <w:r>
        <w:rPr>
          <w:rFonts w:ascii="Times New Roman" w:hAnsi="Times New Roman" w:eastAsia="宋体" w:cs="Times New Roman"/>
          <w:i w:val="0"/>
          <w:iCs w:val="0"/>
        </w:rPr>
        <w:t>综上，企业建设和运行过程中，若对废水、固体废物等采取有效的处理措施，生产储存装置和管线采取有效的防渗措施，生产运行采取有效的管理和监控措施，可以最大程度的避免对地下水的影响。</w:t>
      </w:r>
    </w:p>
    <w:p>
      <w:pPr>
        <w:spacing w:line="360" w:lineRule="auto"/>
        <w:ind w:firstLine="480" w:firstLineChars="200"/>
        <w:rPr>
          <w:i w:val="0"/>
          <w:iCs w:val="0"/>
        </w:rPr>
      </w:pPr>
      <w:r>
        <w:rPr>
          <w:rFonts w:hint="eastAsia"/>
          <w:i w:val="0"/>
          <w:iCs w:val="0"/>
        </w:rPr>
        <w:t>5</w:t>
      </w:r>
      <w:r>
        <w:rPr>
          <w:i w:val="0"/>
          <w:iCs w:val="0"/>
        </w:rPr>
        <w:t>.2.3环境空气影响分析</w:t>
      </w:r>
    </w:p>
    <w:p>
      <w:pPr>
        <w:spacing w:line="360" w:lineRule="auto"/>
        <w:ind w:firstLine="480" w:firstLineChars="200"/>
        <w:rPr>
          <w:i w:val="0"/>
          <w:iCs w:val="0"/>
          <w:color w:val="000000"/>
        </w:rPr>
      </w:pPr>
      <w:r>
        <w:rPr>
          <w:i w:val="0"/>
          <w:iCs w:val="0"/>
          <w:color w:val="000000"/>
        </w:rPr>
        <w:t>1、废气影响预测与分析</w:t>
      </w:r>
    </w:p>
    <w:p>
      <w:pPr>
        <w:spacing w:line="360" w:lineRule="auto"/>
        <w:ind w:firstLine="480" w:firstLineChars="200"/>
        <w:rPr>
          <w:i w:val="0"/>
          <w:iCs w:val="0"/>
          <w:color w:val="000000"/>
        </w:rPr>
      </w:pPr>
      <w:r>
        <w:rPr>
          <w:i w:val="0"/>
          <w:iCs w:val="0"/>
          <w:color w:val="000000"/>
        </w:rPr>
        <w:t>（1）预测模式</w:t>
      </w:r>
    </w:p>
    <w:p>
      <w:pPr>
        <w:autoSpaceDE w:val="0"/>
        <w:autoSpaceDN w:val="0"/>
        <w:adjustRightInd w:val="0"/>
        <w:spacing w:line="360" w:lineRule="auto"/>
        <w:ind w:firstLine="480" w:firstLineChars="200"/>
        <w:jc w:val="left"/>
        <w:rPr>
          <w:i w:val="0"/>
          <w:iCs w:val="0"/>
          <w:color w:val="000000"/>
          <w:kern w:val="0"/>
        </w:rPr>
      </w:pPr>
      <w:r>
        <w:rPr>
          <w:i w:val="0"/>
          <w:iCs w:val="0"/>
          <w:color w:val="000000"/>
          <w:kern w:val="0"/>
        </w:rPr>
        <w:t>采用《环境影响评价技术导则 大气环境》（HJ2.2-2018）附录A推荐模型中的AERSCREEN模式进行计算。</w:t>
      </w:r>
    </w:p>
    <w:p>
      <w:pPr>
        <w:spacing w:line="360" w:lineRule="auto"/>
        <w:ind w:firstLine="480" w:firstLineChars="200"/>
        <w:rPr>
          <w:i w:val="0"/>
          <w:iCs w:val="0"/>
          <w:smallCaps/>
          <w:color w:val="000000"/>
        </w:rPr>
      </w:pPr>
      <w:r>
        <w:rPr>
          <w:i w:val="0"/>
          <w:iCs w:val="0"/>
          <w:color w:val="000000"/>
        </w:rPr>
        <w:t>（2）估算模型参数</w:t>
      </w:r>
    </w:p>
    <w:p>
      <w:pPr>
        <w:ind w:firstLine="482" w:firstLineChars="200"/>
        <w:jc w:val="center"/>
        <w:rPr>
          <w:b/>
          <w:i w:val="0"/>
          <w:iCs w:val="0"/>
          <w:color w:val="000000"/>
        </w:rPr>
      </w:pPr>
      <w:r>
        <w:rPr>
          <w:b/>
          <w:i w:val="0"/>
          <w:iCs w:val="0"/>
          <w:color w:val="000000"/>
        </w:rPr>
        <w:t>表</w:t>
      </w:r>
      <w:r>
        <w:rPr>
          <w:rFonts w:hint="eastAsia"/>
          <w:b/>
          <w:i w:val="0"/>
          <w:iCs w:val="0"/>
          <w:color w:val="000000"/>
        </w:rPr>
        <w:t>5-</w:t>
      </w:r>
      <w:r>
        <w:rPr>
          <w:rFonts w:hint="eastAsia"/>
          <w:b/>
          <w:i w:val="0"/>
          <w:iCs w:val="0"/>
          <w:color w:val="000000"/>
          <w:lang w:val="en-US" w:eastAsia="zh-CN"/>
        </w:rPr>
        <w:t>8</w:t>
      </w:r>
      <w:r>
        <w:rPr>
          <w:b/>
          <w:i w:val="0"/>
          <w:iCs w:val="0"/>
          <w:color w:val="000000"/>
        </w:rPr>
        <w:t xml:space="preserve"> 估算模型参数表</w:t>
      </w:r>
    </w:p>
    <w:tbl>
      <w:tblPr>
        <w:tblStyle w:val="5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65"/>
        <w:gridCol w:w="2877"/>
        <w:gridCol w:w="33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99" w:type="pct"/>
            <w:gridSpan w:val="2"/>
            <w:noWrap/>
            <w:vAlign w:val="center"/>
          </w:tcPr>
          <w:p>
            <w:pPr>
              <w:adjustRightInd w:val="0"/>
              <w:snapToGrid w:val="0"/>
              <w:jc w:val="center"/>
              <w:rPr>
                <w:i w:val="0"/>
                <w:iCs w:val="0"/>
                <w:color w:val="000000"/>
                <w:sz w:val="21"/>
                <w:szCs w:val="21"/>
              </w:rPr>
            </w:pPr>
            <w:r>
              <w:rPr>
                <w:i w:val="0"/>
                <w:iCs w:val="0"/>
                <w:color w:val="000000"/>
                <w:sz w:val="21"/>
                <w:szCs w:val="21"/>
              </w:rPr>
              <w:t>参数</w:t>
            </w:r>
          </w:p>
        </w:tc>
        <w:tc>
          <w:tcPr>
            <w:tcW w:w="1800" w:type="pct"/>
            <w:noWrap/>
            <w:vAlign w:val="center"/>
          </w:tcPr>
          <w:p>
            <w:pPr>
              <w:adjustRightInd w:val="0"/>
              <w:snapToGrid w:val="0"/>
              <w:jc w:val="center"/>
              <w:rPr>
                <w:i w:val="0"/>
                <w:iCs w:val="0"/>
                <w:color w:val="000000"/>
                <w:sz w:val="21"/>
                <w:szCs w:val="21"/>
              </w:rPr>
            </w:pPr>
            <w:r>
              <w:rPr>
                <w:i w:val="0"/>
                <w:iCs w:val="0"/>
                <w:color w:val="000000"/>
                <w:sz w:val="21"/>
                <w:szCs w:val="21"/>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0" w:type="pct"/>
            <w:vMerge w:val="restart"/>
            <w:noWrap/>
            <w:vAlign w:val="center"/>
          </w:tcPr>
          <w:p>
            <w:pPr>
              <w:adjustRightInd w:val="0"/>
              <w:snapToGrid w:val="0"/>
              <w:jc w:val="center"/>
              <w:rPr>
                <w:i w:val="0"/>
                <w:iCs w:val="0"/>
                <w:color w:val="000000"/>
                <w:sz w:val="21"/>
                <w:szCs w:val="21"/>
              </w:rPr>
            </w:pPr>
            <w:r>
              <w:rPr>
                <w:i w:val="0"/>
                <w:iCs w:val="0"/>
                <w:color w:val="000000"/>
                <w:sz w:val="21"/>
                <w:szCs w:val="21"/>
              </w:rPr>
              <w:t>城市农村/选项</w:t>
            </w:r>
          </w:p>
        </w:tc>
        <w:tc>
          <w:tcPr>
            <w:tcW w:w="1549" w:type="pct"/>
            <w:noWrap/>
            <w:vAlign w:val="center"/>
          </w:tcPr>
          <w:p>
            <w:pPr>
              <w:adjustRightInd w:val="0"/>
              <w:snapToGrid w:val="0"/>
              <w:jc w:val="center"/>
              <w:rPr>
                <w:i w:val="0"/>
                <w:iCs w:val="0"/>
                <w:color w:val="000000"/>
                <w:sz w:val="21"/>
                <w:szCs w:val="21"/>
              </w:rPr>
            </w:pPr>
            <w:r>
              <w:rPr>
                <w:i w:val="0"/>
                <w:iCs w:val="0"/>
                <w:color w:val="000000"/>
                <w:sz w:val="21"/>
                <w:szCs w:val="21"/>
              </w:rPr>
              <w:t>城市/农村</w:t>
            </w:r>
          </w:p>
        </w:tc>
        <w:tc>
          <w:tcPr>
            <w:tcW w:w="1800" w:type="pct"/>
            <w:noWrap/>
            <w:vAlign w:val="center"/>
          </w:tcPr>
          <w:p>
            <w:pPr>
              <w:adjustRightInd w:val="0"/>
              <w:snapToGrid w:val="0"/>
              <w:jc w:val="center"/>
              <w:rPr>
                <w:rFonts w:hint="eastAsia"/>
                <w:i w:val="0"/>
                <w:iCs w:val="0"/>
                <w:color w:val="000000"/>
                <w:sz w:val="21"/>
                <w:szCs w:val="21"/>
              </w:rPr>
            </w:pPr>
            <w:r>
              <w:rPr>
                <w:rFonts w:hint="eastAsia"/>
                <w:i w:val="0"/>
                <w:iCs w:val="0"/>
                <w:color w:val="000000"/>
                <w:sz w:val="21"/>
                <w:szCs w:val="21"/>
              </w:rPr>
              <w:t>城市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0" w:type="pct"/>
            <w:vMerge w:val="continue"/>
            <w:noWrap/>
            <w:vAlign w:val="center"/>
          </w:tcPr>
          <w:p>
            <w:pPr>
              <w:adjustRightInd w:val="0"/>
              <w:snapToGrid w:val="0"/>
              <w:jc w:val="center"/>
              <w:rPr>
                <w:i w:val="0"/>
                <w:iCs w:val="0"/>
                <w:color w:val="000000"/>
                <w:sz w:val="21"/>
                <w:szCs w:val="21"/>
              </w:rPr>
            </w:pPr>
          </w:p>
        </w:tc>
        <w:tc>
          <w:tcPr>
            <w:tcW w:w="1549" w:type="pct"/>
            <w:noWrap/>
            <w:vAlign w:val="center"/>
          </w:tcPr>
          <w:p>
            <w:pPr>
              <w:adjustRightInd w:val="0"/>
              <w:snapToGrid w:val="0"/>
              <w:jc w:val="center"/>
              <w:rPr>
                <w:i w:val="0"/>
                <w:iCs w:val="0"/>
                <w:color w:val="000000"/>
                <w:sz w:val="21"/>
                <w:szCs w:val="21"/>
              </w:rPr>
            </w:pPr>
            <w:r>
              <w:rPr>
                <w:i w:val="0"/>
                <w:iCs w:val="0"/>
                <w:color w:val="000000"/>
                <w:sz w:val="21"/>
                <w:szCs w:val="21"/>
              </w:rPr>
              <w:t>人口数(城市人口数)</w:t>
            </w:r>
          </w:p>
        </w:tc>
        <w:tc>
          <w:tcPr>
            <w:tcW w:w="1800" w:type="pct"/>
            <w:noWrap/>
            <w:vAlign w:val="center"/>
          </w:tcPr>
          <w:p>
            <w:pPr>
              <w:adjustRightInd w:val="0"/>
              <w:snapToGrid w:val="0"/>
              <w:jc w:val="center"/>
              <w:rPr>
                <w:i w:val="0"/>
                <w:iCs w:val="0"/>
                <w:color w:val="000000"/>
                <w:sz w:val="21"/>
                <w:szCs w:val="21"/>
              </w:rPr>
            </w:pPr>
            <w:r>
              <w:rPr>
                <w:rFonts w:hint="eastAsia"/>
                <w:i w:val="0"/>
                <w:iCs w:val="0"/>
                <w:color w:val="000000"/>
                <w:sz w:val="21"/>
                <w:szCs w:val="21"/>
              </w:rPr>
              <w:t>13万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99" w:type="pct"/>
            <w:gridSpan w:val="2"/>
            <w:noWrap/>
            <w:vAlign w:val="center"/>
          </w:tcPr>
          <w:p>
            <w:pPr>
              <w:adjustRightInd w:val="0"/>
              <w:snapToGrid w:val="0"/>
              <w:jc w:val="center"/>
              <w:rPr>
                <w:i w:val="0"/>
                <w:iCs w:val="0"/>
                <w:color w:val="000000"/>
                <w:sz w:val="21"/>
                <w:szCs w:val="21"/>
              </w:rPr>
            </w:pPr>
            <w:r>
              <w:rPr>
                <w:i w:val="0"/>
                <w:iCs w:val="0"/>
                <w:color w:val="000000"/>
                <w:sz w:val="21"/>
                <w:szCs w:val="21"/>
              </w:rPr>
              <w:t>最高环境温度</w:t>
            </w:r>
          </w:p>
        </w:tc>
        <w:tc>
          <w:tcPr>
            <w:tcW w:w="1800" w:type="pct"/>
            <w:noWrap/>
            <w:vAlign w:val="center"/>
          </w:tcPr>
          <w:p>
            <w:pPr>
              <w:adjustRightInd w:val="0"/>
              <w:snapToGrid w:val="0"/>
              <w:jc w:val="center"/>
              <w:rPr>
                <w:i w:val="0"/>
                <w:iCs w:val="0"/>
                <w:color w:val="000000"/>
                <w:sz w:val="21"/>
                <w:szCs w:val="21"/>
              </w:rPr>
            </w:pPr>
            <w:r>
              <w:rPr>
                <w:i w:val="0"/>
                <w:iCs w:val="0"/>
                <w:color w:val="000000"/>
                <w:sz w:val="21"/>
                <w:szCs w:val="21"/>
              </w:rPr>
              <w:t>308K</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99" w:type="pct"/>
            <w:gridSpan w:val="2"/>
            <w:noWrap/>
            <w:vAlign w:val="center"/>
          </w:tcPr>
          <w:p>
            <w:pPr>
              <w:adjustRightInd w:val="0"/>
              <w:snapToGrid w:val="0"/>
              <w:jc w:val="center"/>
              <w:rPr>
                <w:i w:val="0"/>
                <w:iCs w:val="0"/>
                <w:color w:val="000000"/>
                <w:sz w:val="21"/>
                <w:szCs w:val="21"/>
              </w:rPr>
            </w:pPr>
            <w:r>
              <w:rPr>
                <w:i w:val="0"/>
                <w:iCs w:val="0"/>
                <w:color w:val="000000"/>
                <w:sz w:val="21"/>
                <w:szCs w:val="21"/>
              </w:rPr>
              <w:t>最低环境温度</w:t>
            </w:r>
          </w:p>
        </w:tc>
        <w:tc>
          <w:tcPr>
            <w:tcW w:w="1800" w:type="pct"/>
            <w:noWrap/>
            <w:vAlign w:val="center"/>
          </w:tcPr>
          <w:p>
            <w:pPr>
              <w:adjustRightInd w:val="0"/>
              <w:snapToGrid w:val="0"/>
              <w:jc w:val="center"/>
              <w:rPr>
                <w:i w:val="0"/>
                <w:iCs w:val="0"/>
                <w:color w:val="000000"/>
                <w:sz w:val="21"/>
                <w:szCs w:val="21"/>
              </w:rPr>
            </w:pPr>
            <w:r>
              <w:rPr>
                <w:i w:val="0"/>
                <w:iCs w:val="0"/>
                <w:color w:val="000000"/>
                <w:sz w:val="21"/>
                <w:szCs w:val="21"/>
              </w:rPr>
              <w:t>243K</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99" w:type="pct"/>
            <w:gridSpan w:val="2"/>
            <w:noWrap/>
            <w:vAlign w:val="center"/>
          </w:tcPr>
          <w:p>
            <w:pPr>
              <w:adjustRightInd w:val="0"/>
              <w:snapToGrid w:val="0"/>
              <w:jc w:val="center"/>
              <w:rPr>
                <w:i w:val="0"/>
                <w:iCs w:val="0"/>
                <w:color w:val="000000"/>
                <w:sz w:val="21"/>
                <w:szCs w:val="21"/>
              </w:rPr>
            </w:pPr>
            <w:r>
              <w:rPr>
                <w:i w:val="0"/>
                <w:iCs w:val="0"/>
                <w:color w:val="000000"/>
                <w:sz w:val="21"/>
                <w:szCs w:val="21"/>
              </w:rPr>
              <w:t>区域湿度条件</w:t>
            </w:r>
          </w:p>
        </w:tc>
        <w:tc>
          <w:tcPr>
            <w:tcW w:w="1800" w:type="pct"/>
            <w:noWrap/>
            <w:vAlign w:val="center"/>
          </w:tcPr>
          <w:p>
            <w:pPr>
              <w:adjustRightInd w:val="0"/>
              <w:snapToGrid w:val="0"/>
              <w:jc w:val="center"/>
              <w:rPr>
                <w:i w:val="0"/>
                <w:iCs w:val="0"/>
                <w:color w:val="000000"/>
                <w:sz w:val="21"/>
                <w:szCs w:val="21"/>
              </w:rPr>
            </w:pPr>
            <w:r>
              <w:rPr>
                <w:i w:val="0"/>
                <w:iCs w:val="0"/>
                <w:color w:val="000000"/>
                <w:sz w:val="21"/>
                <w:szCs w:val="21"/>
              </w:rPr>
              <w:t>中等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0" w:type="pct"/>
            <w:vMerge w:val="restart"/>
            <w:noWrap/>
            <w:vAlign w:val="center"/>
          </w:tcPr>
          <w:p>
            <w:pPr>
              <w:adjustRightInd w:val="0"/>
              <w:snapToGrid w:val="0"/>
              <w:jc w:val="center"/>
              <w:rPr>
                <w:i w:val="0"/>
                <w:iCs w:val="0"/>
                <w:color w:val="000000"/>
                <w:sz w:val="21"/>
                <w:szCs w:val="21"/>
              </w:rPr>
            </w:pPr>
            <w:r>
              <w:rPr>
                <w:i w:val="0"/>
                <w:iCs w:val="0"/>
                <w:color w:val="000000"/>
                <w:sz w:val="21"/>
                <w:szCs w:val="21"/>
              </w:rPr>
              <w:t>是否考虑地形</w:t>
            </w:r>
          </w:p>
        </w:tc>
        <w:tc>
          <w:tcPr>
            <w:tcW w:w="1549" w:type="pct"/>
            <w:noWrap/>
            <w:vAlign w:val="center"/>
          </w:tcPr>
          <w:p>
            <w:pPr>
              <w:adjustRightInd w:val="0"/>
              <w:snapToGrid w:val="0"/>
              <w:jc w:val="center"/>
              <w:rPr>
                <w:i w:val="0"/>
                <w:iCs w:val="0"/>
                <w:color w:val="000000"/>
                <w:sz w:val="21"/>
                <w:szCs w:val="21"/>
              </w:rPr>
            </w:pPr>
            <w:r>
              <w:rPr>
                <w:i w:val="0"/>
                <w:iCs w:val="0"/>
                <w:color w:val="000000"/>
                <w:sz w:val="21"/>
                <w:szCs w:val="21"/>
              </w:rPr>
              <w:t>考虑地形</w:t>
            </w:r>
          </w:p>
        </w:tc>
        <w:tc>
          <w:tcPr>
            <w:tcW w:w="1800" w:type="pct"/>
            <w:noWrap/>
            <w:vAlign w:val="center"/>
          </w:tcPr>
          <w:p>
            <w:pPr>
              <w:adjustRightInd w:val="0"/>
              <w:snapToGrid w:val="0"/>
              <w:jc w:val="center"/>
              <w:rPr>
                <w:i w:val="0"/>
                <w:iCs w:val="0"/>
                <w:color w:val="000000"/>
                <w:sz w:val="21"/>
                <w:szCs w:val="21"/>
              </w:rPr>
            </w:pPr>
            <w:r>
              <w:rPr>
                <w:i w:val="0"/>
                <w:iCs w:val="0"/>
                <w:color w:val="000000"/>
                <w:sz w:val="21"/>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0" w:type="pct"/>
            <w:vMerge w:val="continue"/>
            <w:noWrap/>
            <w:vAlign w:val="center"/>
          </w:tcPr>
          <w:p>
            <w:pPr>
              <w:adjustRightInd w:val="0"/>
              <w:snapToGrid w:val="0"/>
              <w:jc w:val="center"/>
              <w:rPr>
                <w:i w:val="0"/>
                <w:iCs w:val="0"/>
                <w:color w:val="000000"/>
                <w:sz w:val="21"/>
                <w:szCs w:val="21"/>
              </w:rPr>
            </w:pPr>
          </w:p>
        </w:tc>
        <w:tc>
          <w:tcPr>
            <w:tcW w:w="1549" w:type="pct"/>
            <w:noWrap/>
            <w:vAlign w:val="center"/>
          </w:tcPr>
          <w:p>
            <w:pPr>
              <w:adjustRightInd w:val="0"/>
              <w:snapToGrid w:val="0"/>
              <w:jc w:val="center"/>
              <w:rPr>
                <w:i w:val="0"/>
                <w:iCs w:val="0"/>
                <w:color w:val="000000"/>
                <w:sz w:val="21"/>
                <w:szCs w:val="21"/>
              </w:rPr>
            </w:pPr>
            <w:r>
              <w:rPr>
                <w:i w:val="0"/>
                <w:iCs w:val="0"/>
                <w:color w:val="000000"/>
                <w:sz w:val="21"/>
                <w:szCs w:val="21"/>
              </w:rPr>
              <w:t>地形数据分辨率(m)</w:t>
            </w:r>
          </w:p>
        </w:tc>
        <w:tc>
          <w:tcPr>
            <w:tcW w:w="1800" w:type="pct"/>
            <w:noWrap/>
            <w:vAlign w:val="center"/>
          </w:tcPr>
          <w:p>
            <w:pPr>
              <w:adjustRightInd w:val="0"/>
              <w:snapToGrid w:val="0"/>
              <w:jc w:val="center"/>
              <w:rPr>
                <w:i w:val="0"/>
                <w:iCs w:val="0"/>
                <w:color w:val="000000"/>
                <w:sz w:val="21"/>
                <w:szCs w:val="21"/>
              </w:rPr>
            </w:pPr>
            <w:r>
              <w:rPr>
                <w:i w:val="0"/>
                <w:iCs w:val="0"/>
                <w:color w:val="000000"/>
                <w:sz w:val="21"/>
                <w:szCs w:val="21"/>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0" w:type="pct"/>
            <w:vMerge w:val="restart"/>
            <w:noWrap/>
            <w:vAlign w:val="center"/>
          </w:tcPr>
          <w:p>
            <w:pPr>
              <w:adjustRightInd w:val="0"/>
              <w:snapToGrid w:val="0"/>
              <w:jc w:val="center"/>
              <w:rPr>
                <w:i w:val="0"/>
                <w:iCs w:val="0"/>
                <w:color w:val="000000"/>
                <w:sz w:val="21"/>
                <w:szCs w:val="21"/>
              </w:rPr>
            </w:pPr>
            <w:r>
              <w:rPr>
                <w:i w:val="0"/>
                <w:iCs w:val="0"/>
                <w:color w:val="000000"/>
                <w:sz w:val="21"/>
                <w:szCs w:val="21"/>
              </w:rPr>
              <w:t>是否考虑海岸线熏烟</w:t>
            </w:r>
          </w:p>
        </w:tc>
        <w:tc>
          <w:tcPr>
            <w:tcW w:w="1549" w:type="pct"/>
            <w:noWrap/>
            <w:vAlign w:val="center"/>
          </w:tcPr>
          <w:p>
            <w:pPr>
              <w:adjustRightInd w:val="0"/>
              <w:snapToGrid w:val="0"/>
              <w:jc w:val="center"/>
              <w:rPr>
                <w:i w:val="0"/>
                <w:iCs w:val="0"/>
                <w:color w:val="000000"/>
                <w:sz w:val="21"/>
                <w:szCs w:val="21"/>
              </w:rPr>
            </w:pPr>
            <w:r>
              <w:rPr>
                <w:i w:val="0"/>
                <w:iCs w:val="0"/>
                <w:color w:val="000000"/>
                <w:sz w:val="21"/>
                <w:szCs w:val="21"/>
              </w:rPr>
              <w:t>考虑海岸线熏烟</w:t>
            </w:r>
          </w:p>
        </w:tc>
        <w:tc>
          <w:tcPr>
            <w:tcW w:w="1800" w:type="pct"/>
            <w:noWrap/>
            <w:vAlign w:val="center"/>
          </w:tcPr>
          <w:p>
            <w:pPr>
              <w:adjustRightInd w:val="0"/>
              <w:snapToGrid w:val="0"/>
              <w:jc w:val="center"/>
              <w:rPr>
                <w:i w:val="0"/>
                <w:iCs w:val="0"/>
                <w:color w:val="000000"/>
                <w:sz w:val="21"/>
                <w:szCs w:val="21"/>
              </w:rPr>
            </w:pPr>
            <w:r>
              <w:rPr>
                <w:i w:val="0"/>
                <w:iCs w:val="0"/>
                <w:color w:val="000000"/>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0" w:type="pct"/>
            <w:vMerge w:val="continue"/>
            <w:noWrap/>
            <w:vAlign w:val="center"/>
          </w:tcPr>
          <w:p>
            <w:pPr>
              <w:adjustRightInd w:val="0"/>
              <w:snapToGrid w:val="0"/>
              <w:jc w:val="center"/>
              <w:rPr>
                <w:i w:val="0"/>
                <w:iCs w:val="0"/>
                <w:color w:val="000000"/>
                <w:sz w:val="21"/>
                <w:szCs w:val="21"/>
              </w:rPr>
            </w:pPr>
          </w:p>
        </w:tc>
        <w:tc>
          <w:tcPr>
            <w:tcW w:w="1549" w:type="pct"/>
            <w:noWrap/>
            <w:vAlign w:val="center"/>
          </w:tcPr>
          <w:p>
            <w:pPr>
              <w:adjustRightInd w:val="0"/>
              <w:snapToGrid w:val="0"/>
              <w:jc w:val="center"/>
              <w:rPr>
                <w:i w:val="0"/>
                <w:iCs w:val="0"/>
                <w:color w:val="000000"/>
                <w:sz w:val="21"/>
                <w:szCs w:val="21"/>
              </w:rPr>
            </w:pPr>
            <w:r>
              <w:rPr>
                <w:i w:val="0"/>
                <w:iCs w:val="0"/>
                <w:color w:val="000000"/>
                <w:sz w:val="21"/>
                <w:szCs w:val="21"/>
              </w:rPr>
              <w:t>海岸线距离/m</w:t>
            </w:r>
          </w:p>
        </w:tc>
        <w:tc>
          <w:tcPr>
            <w:tcW w:w="1800" w:type="pct"/>
            <w:noWrap/>
            <w:vAlign w:val="center"/>
          </w:tcPr>
          <w:p>
            <w:pPr>
              <w:adjustRightInd w:val="0"/>
              <w:snapToGrid w:val="0"/>
              <w:jc w:val="center"/>
              <w:rPr>
                <w:i w:val="0"/>
                <w:iCs w:val="0"/>
                <w:color w:val="000000"/>
                <w:sz w:val="21"/>
                <w:szCs w:val="21"/>
              </w:rPr>
            </w:pPr>
            <w:r>
              <w:rPr>
                <w:i w:val="0"/>
                <w:iCs w:val="0"/>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0" w:type="pct"/>
            <w:vMerge w:val="continue"/>
            <w:noWrap/>
            <w:vAlign w:val="center"/>
          </w:tcPr>
          <w:p>
            <w:pPr>
              <w:adjustRightInd w:val="0"/>
              <w:snapToGrid w:val="0"/>
              <w:jc w:val="center"/>
              <w:rPr>
                <w:i w:val="0"/>
                <w:iCs w:val="0"/>
                <w:color w:val="000000"/>
                <w:sz w:val="21"/>
                <w:szCs w:val="21"/>
              </w:rPr>
            </w:pPr>
          </w:p>
        </w:tc>
        <w:tc>
          <w:tcPr>
            <w:tcW w:w="1549" w:type="pct"/>
            <w:noWrap/>
            <w:vAlign w:val="center"/>
          </w:tcPr>
          <w:p>
            <w:pPr>
              <w:adjustRightInd w:val="0"/>
              <w:snapToGrid w:val="0"/>
              <w:jc w:val="center"/>
              <w:rPr>
                <w:i w:val="0"/>
                <w:iCs w:val="0"/>
                <w:color w:val="000000"/>
                <w:sz w:val="21"/>
                <w:szCs w:val="21"/>
              </w:rPr>
            </w:pPr>
            <w:r>
              <w:rPr>
                <w:i w:val="0"/>
                <w:iCs w:val="0"/>
                <w:color w:val="000000"/>
                <w:sz w:val="21"/>
                <w:szCs w:val="21"/>
              </w:rPr>
              <w:t>海岸线方向/</w:t>
            </w:r>
            <w:r>
              <w:rPr>
                <w:i w:val="0"/>
                <w:iCs w:val="0"/>
                <w:color w:val="000000"/>
                <w:sz w:val="21"/>
                <w:szCs w:val="21"/>
                <w:vertAlign w:val="superscript"/>
              </w:rPr>
              <w:t>o</w:t>
            </w:r>
          </w:p>
        </w:tc>
        <w:tc>
          <w:tcPr>
            <w:tcW w:w="1800" w:type="pct"/>
            <w:noWrap/>
            <w:vAlign w:val="center"/>
          </w:tcPr>
          <w:p>
            <w:pPr>
              <w:adjustRightInd w:val="0"/>
              <w:snapToGrid w:val="0"/>
              <w:jc w:val="center"/>
              <w:rPr>
                <w:i w:val="0"/>
                <w:iCs w:val="0"/>
                <w:color w:val="000000"/>
                <w:sz w:val="21"/>
                <w:szCs w:val="21"/>
              </w:rPr>
            </w:pPr>
            <w:r>
              <w:rPr>
                <w:i w:val="0"/>
                <w:iCs w:val="0"/>
                <w:color w:val="000000"/>
                <w:sz w:val="21"/>
                <w:szCs w:val="21"/>
              </w:rPr>
              <w:t>/</w:t>
            </w:r>
          </w:p>
        </w:tc>
      </w:tr>
    </w:tbl>
    <w:p>
      <w:pPr>
        <w:pStyle w:val="386"/>
        <w:spacing w:before="0" w:beforeLines="0" w:after="0" w:afterLines="0"/>
        <w:ind w:firstLine="482"/>
        <w:rPr>
          <w:b/>
          <w:bCs/>
          <w:i w:val="0"/>
          <w:iCs w:val="0"/>
        </w:rPr>
      </w:pPr>
      <w:r>
        <w:rPr>
          <w:b/>
          <w:bCs/>
          <w:i w:val="0"/>
          <w:iCs w:val="0"/>
        </w:rPr>
        <w:t>预测模式</w:t>
      </w:r>
    </w:p>
    <w:p>
      <w:pPr>
        <w:pStyle w:val="386"/>
        <w:spacing w:before="0" w:beforeLines="0" w:after="0" w:afterLines="0"/>
        <w:rPr>
          <w:i w:val="0"/>
          <w:iCs w:val="0"/>
        </w:rPr>
      </w:pPr>
      <w:r>
        <w:rPr>
          <w:i w:val="0"/>
          <w:iCs w:val="0"/>
        </w:rPr>
        <w:t>根据项目情况及厂址地区环境状况，结合该地区污染气象特征，按《环境影响评价技术导则大气环境》（HJ2.2-2018）中要求，采用导则中推荐的AERSCREEN估算模式进行计算。</w:t>
      </w:r>
    </w:p>
    <w:p>
      <w:pPr>
        <w:pStyle w:val="386"/>
        <w:spacing w:before="0" w:beforeLines="0" w:after="0" w:afterLines="0"/>
        <w:ind w:firstLine="482"/>
        <w:rPr>
          <w:b/>
          <w:bCs/>
          <w:i w:val="0"/>
          <w:iCs w:val="0"/>
        </w:rPr>
      </w:pPr>
      <w:r>
        <w:rPr>
          <w:b/>
          <w:bCs/>
          <w:i w:val="0"/>
          <w:iCs w:val="0"/>
        </w:rPr>
        <w:t>预测源强</w:t>
      </w:r>
    </w:p>
    <w:p>
      <w:pPr>
        <w:pStyle w:val="386"/>
        <w:spacing w:before="0" w:beforeLines="0" w:after="0" w:afterLines="0"/>
        <w:rPr>
          <w:i w:val="0"/>
          <w:iCs w:val="0"/>
          <w:color w:val="000000"/>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32" w:charSpace="0"/>
        </w:sectPr>
      </w:pPr>
      <w:r>
        <w:rPr>
          <w:rFonts w:hint="eastAsia"/>
          <w:i w:val="0"/>
          <w:iCs w:val="0"/>
        </w:rPr>
        <w:t>运营期生产过程中产生的工艺废气</w:t>
      </w:r>
      <w:r>
        <w:rPr>
          <w:i w:val="0"/>
          <w:iCs w:val="0"/>
        </w:rPr>
        <w:t>污染物源强见表5-</w:t>
      </w:r>
      <w:r>
        <w:rPr>
          <w:rFonts w:hint="eastAsia"/>
          <w:i w:val="0"/>
          <w:iCs w:val="0"/>
          <w:lang w:val="en-US" w:eastAsia="zh-CN"/>
        </w:rPr>
        <w:t>9</w:t>
      </w:r>
      <w:r>
        <w:rPr>
          <w:rFonts w:hint="eastAsia"/>
          <w:i w:val="0"/>
          <w:iCs w:val="0"/>
        </w:rPr>
        <w:t>。</w:t>
      </w:r>
    </w:p>
    <w:p>
      <w:pPr>
        <w:ind w:firstLine="482" w:firstLineChars="200"/>
        <w:jc w:val="center"/>
        <w:rPr>
          <w:rFonts w:hint="eastAsia"/>
          <w:b/>
          <w:i w:val="0"/>
          <w:iCs w:val="0"/>
          <w:color w:val="000000"/>
        </w:rPr>
      </w:pPr>
      <w:r>
        <w:rPr>
          <w:rFonts w:hint="eastAsia"/>
          <w:b/>
          <w:i w:val="0"/>
          <w:iCs w:val="0"/>
          <w:color w:val="000000"/>
        </w:rPr>
        <w:t>表5-</w:t>
      </w:r>
      <w:r>
        <w:rPr>
          <w:rFonts w:hint="eastAsia"/>
          <w:b/>
          <w:i w:val="0"/>
          <w:iCs w:val="0"/>
          <w:color w:val="000000"/>
          <w:lang w:val="en-US" w:eastAsia="zh-CN"/>
        </w:rPr>
        <w:t>9</w:t>
      </w:r>
      <w:r>
        <w:rPr>
          <w:rFonts w:hint="eastAsia"/>
          <w:b/>
          <w:i w:val="0"/>
          <w:iCs w:val="0"/>
          <w:color w:val="000000"/>
        </w:rPr>
        <w:t xml:space="preserve">  主要废气污染源参数一览表（点源）</w:t>
      </w:r>
    </w:p>
    <w:tbl>
      <w:tblPr>
        <w:tblStyle w:val="58"/>
        <w:tblW w:w="4997"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28" w:type="dxa"/>
          <w:bottom w:w="0" w:type="dxa"/>
          <w:right w:w="28" w:type="dxa"/>
        </w:tblCellMar>
      </w:tblPr>
      <w:tblGrid>
        <w:gridCol w:w="1119"/>
        <w:gridCol w:w="1514"/>
        <w:gridCol w:w="1519"/>
        <w:gridCol w:w="959"/>
        <w:gridCol w:w="799"/>
        <w:gridCol w:w="808"/>
        <w:gridCol w:w="808"/>
        <w:gridCol w:w="998"/>
        <w:gridCol w:w="1162"/>
        <w:gridCol w:w="1006"/>
        <w:gridCol w:w="997"/>
        <w:gridCol w:w="1146"/>
        <w:gridCol w:w="117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jc w:val="center"/>
        </w:trPr>
        <w:tc>
          <w:tcPr>
            <w:tcW w:w="399" w:type="pct"/>
            <w:vMerge w:val="restart"/>
            <w:noWrap w:val="0"/>
            <w:vAlign w:val="center"/>
          </w:tcPr>
          <w:p>
            <w:pPr>
              <w:pStyle w:val="408"/>
              <w:adjustRightInd w:val="0"/>
              <w:snapToGrid w:val="0"/>
              <w:spacing w:line="240" w:lineRule="auto"/>
              <w:textAlignment w:val="baseline"/>
              <w:rPr>
                <w:bCs/>
                <w:i w:val="0"/>
                <w:iCs w:val="0"/>
                <w:color w:val="000000"/>
                <w:szCs w:val="21"/>
              </w:rPr>
            </w:pPr>
            <w:r>
              <w:rPr>
                <w:bCs/>
                <w:i w:val="0"/>
                <w:iCs w:val="0"/>
                <w:color w:val="000000"/>
                <w:szCs w:val="21"/>
              </w:rPr>
              <w:t>名称</w:t>
            </w:r>
          </w:p>
        </w:tc>
        <w:tc>
          <w:tcPr>
            <w:tcW w:w="1082" w:type="pct"/>
            <w:gridSpan w:val="2"/>
            <w:noWrap w:val="0"/>
            <w:vAlign w:val="center"/>
          </w:tcPr>
          <w:p>
            <w:pPr>
              <w:pStyle w:val="408"/>
              <w:adjustRightInd w:val="0"/>
              <w:snapToGrid w:val="0"/>
              <w:spacing w:line="240" w:lineRule="auto"/>
              <w:textAlignment w:val="baseline"/>
              <w:rPr>
                <w:bCs/>
                <w:i w:val="0"/>
                <w:iCs w:val="0"/>
                <w:color w:val="000000"/>
                <w:szCs w:val="21"/>
              </w:rPr>
            </w:pPr>
            <w:r>
              <w:rPr>
                <w:bCs/>
                <w:i w:val="0"/>
                <w:iCs w:val="0"/>
                <w:color w:val="000000"/>
                <w:szCs w:val="21"/>
              </w:rPr>
              <w:t>排气筒底部中心坐标(</w:t>
            </w:r>
            <w:r>
              <w:rPr>
                <w:bCs/>
                <w:i w:val="0"/>
                <w:iCs w:val="0"/>
                <w:color w:val="000000"/>
                <w:szCs w:val="21"/>
                <w:vertAlign w:val="superscript"/>
              </w:rPr>
              <w:t>o</w:t>
            </w:r>
            <w:r>
              <w:rPr>
                <w:bCs/>
                <w:i w:val="0"/>
                <w:iCs w:val="0"/>
                <w:color w:val="000000"/>
                <w:szCs w:val="21"/>
              </w:rPr>
              <w:t>)</w:t>
            </w:r>
          </w:p>
        </w:tc>
        <w:tc>
          <w:tcPr>
            <w:tcW w:w="342" w:type="pct"/>
            <w:vMerge w:val="restart"/>
            <w:noWrap w:val="0"/>
            <w:vAlign w:val="center"/>
          </w:tcPr>
          <w:p>
            <w:pPr>
              <w:pStyle w:val="408"/>
              <w:adjustRightInd w:val="0"/>
              <w:snapToGrid w:val="0"/>
              <w:spacing w:line="240" w:lineRule="auto"/>
              <w:textAlignment w:val="baseline"/>
              <w:rPr>
                <w:bCs/>
                <w:i w:val="0"/>
                <w:iCs w:val="0"/>
                <w:color w:val="000000"/>
                <w:szCs w:val="21"/>
              </w:rPr>
            </w:pPr>
            <w:r>
              <w:rPr>
                <w:bCs/>
                <w:i w:val="0"/>
                <w:iCs w:val="0"/>
                <w:color w:val="000000"/>
                <w:szCs w:val="21"/>
              </w:rPr>
              <w:t>排气筒底部海拔高度(m)</w:t>
            </w:r>
          </w:p>
        </w:tc>
        <w:tc>
          <w:tcPr>
            <w:tcW w:w="1992" w:type="pct"/>
            <w:gridSpan w:val="6"/>
            <w:noWrap w:val="0"/>
            <w:vAlign w:val="center"/>
          </w:tcPr>
          <w:p>
            <w:pPr>
              <w:pStyle w:val="408"/>
              <w:adjustRightInd w:val="0"/>
              <w:snapToGrid w:val="0"/>
              <w:spacing w:line="240" w:lineRule="auto"/>
              <w:textAlignment w:val="baseline"/>
              <w:rPr>
                <w:bCs/>
                <w:i w:val="0"/>
                <w:iCs w:val="0"/>
                <w:color w:val="000000"/>
                <w:szCs w:val="21"/>
              </w:rPr>
            </w:pPr>
            <w:r>
              <w:rPr>
                <w:bCs/>
                <w:i w:val="0"/>
                <w:iCs w:val="0"/>
                <w:color w:val="000000"/>
                <w:szCs w:val="21"/>
              </w:rPr>
              <w:t>排气筒参数</w:t>
            </w:r>
          </w:p>
        </w:tc>
        <w:tc>
          <w:tcPr>
            <w:tcW w:w="355" w:type="pct"/>
            <w:vMerge w:val="restart"/>
            <w:noWrap w:val="0"/>
            <w:vAlign w:val="center"/>
          </w:tcPr>
          <w:p>
            <w:pPr>
              <w:pStyle w:val="408"/>
              <w:adjustRightInd w:val="0"/>
              <w:snapToGrid w:val="0"/>
              <w:spacing w:line="240" w:lineRule="auto"/>
              <w:textAlignment w:val="baseline"/>
              <w:rPr>
                <w:bCs/>
                <w:i w:val="0"/>
                <w:iCs w:val="0"/>
                <w:color w:val="000000"/>
                <w:szCs w:val="21"/>
              </w:rPr>
            </w:pPr>
            <w:r>
              <w:rPr>
                <w:bCs/>
                <w:i w:val="0"/>
                <w:iCs w:val="0"/>
                <w:color w:val="000000"/>
                <w:szCs w:val="21"/>
              </w:rPr>
              <w:t>污染物</w:t>
            </w:r>
          </w:p>
        </w:tc>
        <w:tc>
          <w:tcPr>
            <w:tcW w:w="409" w:type="pct"/>
            <w:vMerge w:val="restart"/>
            <w:noWrap w:val="0"/>
            <w:vAlign w:val="center"/>
          </w:tcPr>
          <w:p>
            <w:pPr>
              <w:pStyle w:val="408"/>
              <w:adjustRightInd w:val="0"/>
              <w:snapToGrid w:val="0"/>
              <w:spacing w:line="240" w:lineRule="auto"/>
              <w:textAlignment w:val="baseline"/>
              <w:rPr>
                <w:bCs/>
                <w:i w:val="0"/>
                <w:iCs w:val="0"/>
                <w:color w:val="000000"/>
                <w:szCs w:val="21"/>
              </w:rPr>
            </w:pPr>
            <w:r>
              <w:rPr>
                <w:rFonts w:hint="eastAsia"/>
                <w:bCs/>
                <w:i w:val="0"/>
                <w:iCs w:val="0"/>
                <w:color w:val="000000"/>
                <w:szCs w:val="21"/>
              </w:rPr>
              <w:t>最大</w:t>
            </w:r>
            <w:r>
              <w:rPr>
                <w:bCs/>
                <w:i w:val="0"/>
                <w:iCs w:val="0"/>
                <w:color w:val="000000"/>
                <w:szCs w:val="21"/>
              </w:rPr>
              <w:t>排放速率(g/s)</w:t>
            </w:r>
          </w:p>
        </w:tc>
        <w:tc>
          <w:tcPr>
            <w:tcW w:w="418" w:type="pct"/>
            <w:vMerge w:val="restart"/>
            <w:noWrap w:val="0"/>
            <w:vAlign w:val="center"/>
          </w:tcPr>
          <w:p>
            <w:pPr>
              <w:pStyle w:val="408"/>
              <w:adjustRightInd w:val="0"/>
              <w:snapToGrid w:val="0"/>
              <w:spacing w:line="240" w:lineRule="auto"/>
              <w:textAlignment w:val="baseline"/>
              <w:rPr>
                <w:bCs/>
                <w:i w:val="0"/>
                <w:iCs w:val="0"/>
                <w:color w:val="000000"/>
                <w:szCs w:val="21"/>
              </w:rPr>
            </w:pPr>
            <w:r>
              <w:rPr>
                <w:rFonts w:hint="eastAsia"/>
                <w:bCs/>
                <w:i w:val="0"/>
                <w:iCs w:val="0"/>
                <w:color w:val="000000"/>
                <w:szCs w:val="21"/>
              </w:rPr>
              <w:t>排气筒编号</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62" w:hRule="atLeast"/>
          <w:jc w:val="center"/>
        </w:trPr>
        <w:tc>
          <w:tcPr>
            <w:tcW w:w="399" w:type="pct"/>
            <w:vMerge w:val="continue"/>
            <w:noWrap w:val="0"/>
            <w:vAlign w:val="center"/>
          </w:tcPr>
          <w:p>
            <w:pPr>
              <w:pStyle w:val="408"/>
              <w:adjustRightInd w:val="0"/>
              <w:snapToGrid w:val="0"/>
              <w:spacing w:line="240" w:lineRule="auto"/>
              <w:textAlignment w:val="baseline"/>
              <w:rPr>
                <w:bCs/>
                <w:i w:val="0"/>
                <w:iCs w:val="0"/>
                <w:color w:val="000000"/>
                <w:szCs w:val="21"/>
              </w:rPr>
            </w:pPr>
          </w:p>
        </w:tc>
        <w:tc>
          <w:tcPr>
            <w:tcW w:w="540" w:type="pct"/>
            <w:noWrap w:val="0"/>
            <w:vAlign w:val="center"/>
          </w:tcPr>
          <w:p>
            <w:pPr>
              <w:pStyle w:val="408"/>
              <w:adjustRightInd w:val="0"/>
              <w:snapToGrid w:val="0"/>
              <w:spacing w:line="240" w:lineRule="auto"/>
              <w:textAlignment w:val="baseline"/>
              <w:rPr>
                <w:bCs/>
                <w:i w:val="0"/>
                <w:iCs w:val="0"/>
                <w:color w:val="000000"/>
                <w:szCs w:val="21"/>
              </w:rPr>
            </w:pPr>
            <w:r>
              <w:rPr>
                <w:bCs/>
                <w:i w:val="0"/>
                <w:iCs w:val="0"/>
                <w:color w:val="000000"/>
                <w:szCs w:val="21"/>
              </w:rPr>
              <w:t>经度</w:t>
            </w:r>
          </w:p>
        </w:tc>
        <w:tc>
          <w:tcPr>
            <w:tcW w:w="542" w:type="pct"/>
            <w:noWrap w:val="0"/>
            <w:vAlign w:val="center"/>
          </w:tcPr>
          <w:p>
            <w:pPr>
              <w:pStyle w:val="408"/>
              <w:adjustRightInd w:val="0"/>
              <w:snapToGrid w:val="0"/>
              <w:spacing w:line="240" w:lineRule="auto"/>
              <w:textAlignment w:val="baseline"/>
              <w:rPr>
                <w:bCs/>
                <w:i w:val="0"/>
                <w:iCs w:val="0"/>
                <w:color w:val="000000"/>
                <w:szCs w:val="21"/>
              </w:rPr>
            </w:pPr>
            <w:r>
              <w:rPr>
                <w:bCs/>
                <w:i w:val="0"/>
                <w:iCs w:val="0"/>
                <w:color w:val="000000"/>
                <w:szCs w:val="21"/>
              </w:rPr>
              <w:t>纬度</w:t>
            </w:r>
          </w:p>
        </w:tc>
        <w:tc>
          <w:tcPr>
            <w:tcW w:w="342" w:type="pct"/>
            <w:vMerge w:val="continue"/>
            <w:noWrap w:val="0"/>
            <w:vAlign w:val="center"/>
          </w:tcPr>
          <w:p>
            <w:pPr>
              <w:pStyle w:val="408"/>
              <w:adjustRightInd w:val="0"/>
              <w:snapToGrid w:val="0"/>
              <w:spacing w:line="240" w:lineRule="auto"/>
              <w:textAlignment w:val="baseline"/>
              <w:rPr>
                <w:bCs/>
                <w:i w:val="0"/>
                <w:iCs w:val="0"/>
                <w:color w:val="000000"/>
                <w:szCs w:val="21"/>
              </w:rPr>
            </w:pPr>
          </w:p>
        </w:tc>
        <w:tc>
          <w:tcPr>
            <w:tcW w:w="285" w:type="pct"/>
            <w:noWrap w:val="0"/>
            <w:vAlign w:val="center"/>
          </w:tcPr>
          <w:p>
            <w:pPr>
              <w:pStyle w:val="408"/>
              <w:adjustRightInd w:val="0"/>
              <w:snapToGrid w:val="0"/>
              <w:spacing w:line="240" w:lineRule="auto"/>
              <w:textAlignment w:val="baseline"/>
              <w:rPr>
                <w:bCs/>
                <w:i w:val="0"/>
                <w:iCs w:val="0"/>
                <w:color w:val="000000"/>
                <w:szCs w:val="21"/>
              </w:rPr>
            </w:pPr>
            <w:r>
              <w:rPr>
                <w:bCs/>
                <w:i w:val="0"/>
                <w:iCs w:val="0"/>
                <w:color w:val="000000"/>
                <w:szCs w:val="21"/>
              </w:rPr>
              <w:t>高度</w:t>
            </w:r>
          </w:p>
          <w:p>
            <w:pPr>
              <w:pStyle w:val="408"/>
              <w:adjustRightInd w:val="0"/>
              <w:snapToGrid w:val="0"/>
              <w:spacing w:line="240" w:lineRule="auto"/>
              <w:textAlignment w:val="baseline"/>
              <w:rPr>
                <w:bCs/>
                <w:i w:val="0"/>
                <w:iCs w:val="0"/>
                <w:color w:val="000000"/>
                <w:szCs w:val="21"/>
              </w:rPr>
            </w:pPr>
            <w:r>
              <w:rPr>
                <w:bCs/>
                <w:i w:val="0"/>
                <w:iCs w:val="0"/>
                <w:color w:val="000000"/>
                <w:szCs w:val="21"/>
              </w:rPr>
              <w:t>(m)</w:t>
            </w:r>
          </w:p>
        </w:tc>
        <w:tc>
          <w:tcPr>
            <w:tcW w:w="288" w:type="pct"/>
            <w:noWrap w:val="0"/>
            <w:vAlign w:val="center"/>
          </w:tcPr>
          <w:p>
            <w:pPr>
              <w:pStyle w:val="408"/>
              <w:adjustRightInd w:val="0"/>
              <w:snapToGrid w:val="0"/>
              <w:spacing w:line="240" w:lineRule="auto"/>
              <w:textAlignment w:val="baseline"/>
              <w:rPr>
                <w:bCs/>
                <w:i w:val="0"/>
                <w:iCs w:val="0"/>
                <w:color w:val="000000"/>
                <w:szCs w:val="21"/>
              </w:rPr>
            </w:pPr>
            <w:r>
              <w:rPr>
                <w:bCs/>
                <w:i w:val="0"/>
                <w:iCs w:val="0"/>
                <w:color w:val="000000"/>
                <w:szCs w:val="21"/>
              </w:rPr>
              <w:t>内径</w:t>
            </w:r>
          </w:p>
          <w:p>
            <w:pPr>
              <w:pStyle w:val="408"/>
              <w:adjustRightInd w:val="0"/>
              <w:snapToGrid w:val="0"/>
              <w:spacing w:line="240" w:lineRule="auto"/>
              <w:textAlignment w:val="baseline"/>
              <w:rPr>
                <w:bCs/>
                <w:i w:val="0"/>
                <w:iCs w:val="0"/>
                <w:color w:val="000000"/>
                <w:szCs w:val="21"/>
              </w:rPr>
            </w:pPr>
            <w:r>
              <w:rPr>
                <w:bCs/>
                <w:i w:val="0"/>
                <w:iCs w:val="0"/>
                <w:color w:val="000000"/>
                <w:szCs w:val="21"/>
              </w:rPr>
              <w:t>(m)</w:t>
            </w:r>
          </w:p>
        </w:tc>
        <w:tc>
          <w:tcPr>
            <w:tcW w:w="288" w:type="pct"/>
            <w:noWrap w:val="0"/>
            <w:vAlign w:val="center"/>
          </w:tcPr>
          <w:p>
            <w:pPr>
              <w:pStyle w:val="408"/>
              <w:adjustRightInd w:val="0"/>
              <w:snapToGrid w:val="0"/>
              <w:spacing w:line="240" w:lineRule="auto"/>
              <w:textAlignment w:val="baseline"/>
              <w:rPr>
                <w:bCs/>
                <w:i w:val="0"/>
                <w:iCs w:val="0"/>
                <w:color w:val="000000"/>
                <w:szCs w:val="21"/>
              </w:rPr>
            </w:pPr>
            <w:r>
              <w:rPr>
                <w:bCs/>
                <w:i w:val="0"/>
                <w:iCs w:val="0"/>
                <w:color w:val="000000"/>
                <w:szCs w:val="21"/>
              </w:rPr>
              <w:t>温度</w:t>
            </w:r>
          </w:p>
          <w:p>
            <w:pPr>
              <w:pStyle w:val="408"/>
              <w:adjustRightInd w:val="0"/>
              <w:snapToGrid w:val="0"/>
              <w:spacing w:line="240" w:lineRule="auto"/>
              <w:textAlignment w:val="baseline"/>
              <w:rPr>
                <w:bCs/>
                <w:i w:val="0"/>
                <w:iCs w:val="0"/>
                <w:color w:val="000000"/>
                <w:szCs w:val="21"/>
              </w:rPr>
            </w:pPr>
            <w:r>
              <w:rPr>
                <w:bCs/>
                <w:i w:val="0"/>
                <w:iCs w:val="0"/>
                <w:color w:val="000000"/>
                <w:szCs w:val="21"/>
              </w:rPr>
              <w:t>(K)</w:t>
            </w:r>
          </w:p>
        </w:tc>
        <w:tc>
          <w:tcPr>
            <w:tcW w:w="356" w:type="pct"/>
            <w:noWrap w:val="0"/>
            <w:vAlign w:val="center"/>
          </w:tcPr>
          <w:p>
            <w:pPr>
              <w:pStyle w:val="408"/>
              <w:adjustRightInd w:val="0"/>
              <w:snapToGrid w:val="0"/>
              <w:spacing w:line="240" w:lineRule="auto"/>
              <w:textAlignment w:val="baseline"/>
              <w:rPr>
                <w:bCs/>
                <w:i w:val="0"/>
                <w:iCs w:val="0"/>
                <w:color w:val="000000"/>
                <w:szCs w:val="21"/>
              </w:rPr>
            </w:pPr>
            <w:r>
              <w:rPr>
                <w:rFonts w:hint="eastAsia" w:eastAsia="Calibri"/>
                <w:i w:val="0"/>
                <w:iCs w:val="0"/>
                <w:color w:val="000000"/>
                <w:szCs w:val="21"/>
              </w:rPr>
              <w:t>年排放小时数/h</w:t>
            </w:r>
          </w:p>
        </w:tc>
        <w:tc>
          <w:tcPr>
            <w:tcW w:w="414" w:type="pct"/>
            <w:noWrap w:val="0"/>
            <w:vAlign w:val="center"/>
          </w:tcPr>
          <w:p>
            <w:pPr>
              <w:pStyle w:val="408"/>
              <w:adjustRightInd w:val="0"/>
              <w:snapToGrid w:val="0"/>
              <w:spacing w:line="240" w:lineRule="auto"/>
              <w:textAlignment w:val="baseline"/>
              <w:rPr>
                <w:bCs/>
                <w:i w:val="0"/>
                <w:iCs w:val="0"/>
                <w:color w:val="000000"/>
                <w:szCs w:val="21"/>
              </w:rPr>
            </w:pPr>
            <w:r>
              <w:rPr>
                <w:bCs/>
                <w:i w:val="0"/>
                <w:iCs w:val="0"/>
                <w:color w:val="000000"/>
                <w:szCs w:val="21"/>
              </w:rPr>
              <w:t>流速</w:t>
            </w:r>
          </w:p>
          <w:p>
            <w:pPr>
              <w:pStyle w:val="408"/>
              <w:adjustRightInd w:val="0"/>
              <w:snapToGrid w:val="0"/>
              <w:spacing w:line="240" w:lineRule="auto"/>
              <w:textAlignment w:val="baseline"/>
              <w:rPr>
                <w:bCs/>
                <w:i w:val="0"/>
                <w:iCs w:val="0"/>
                <w:color w:val="000000"/>
                <w:szCs w:val="21"/>
              </w:rPr>
            </w:pPr>
            <w:r>
              <w:rPr>
                <w:bCs/>
                <w:i w:val="0"/>
                <w:iCs w:val="0"/>
                <w:color w:val="000000"/>
                <w:szCs w:val="21"/>
              </w:rPr>
              <w:t>(m/s)</w:t>
            </w:r>
          </w:p>
        </w:tc>
        <w:tc>
          <w:tcPr>
            <w:tcW w:w="359" w:type="pct"/>
            <w:noWrap w:val="0"/>
            <w:vAlign w:val="center"/>
          </w:tcPr>
          <w:p>
            <w:pPr>
              <w:pStyle w:val="408"/>
              <w:adjustRightInd w:val="0"/>
              <w:snapToGrid w:val="0"/>
              <w:spacing w:line="240" w:lineRule="auto"/>
              <w:textAlignment w:val="baseline"/>
              <w:rPr>
                <w:bCs/>
                <w:i w:val="0"/>
                <w:iCs w:val="0"/>
                <w:color w:val="000000"/>
                <w:szCs w:val="21"/>
              </w:rPr>
            </w:pPr>
            <w:r>
              <w:rPr>
                <w:rFonts w:hint="eastAsia"/>
                <w:bCs/>
                <w:i w:val="0"/>
                <w:iCs w:val="0"/>
                <w:color w:val="000000"/>
                <w:szCs w:val="21"/>
              </w:rPr>
              <w:t>风机风量（m</w:t>
            </w:r>
            <w:r>
              <w:rPr>
                <w:rFonts w:hint="eastAsia"/>
                <w:bCs/>
                <w:i w:val="0"/>
                <w:iCs w:val="0"/>
                <w:color w:val="000000"/>
                <w:szCs w:val="21"/>
                <w:vertAlign w:val="superscript"/>
              </w:rPr>
              <w:t>3</w:t>
            </w:r>
            <w:r>
              <w:rPr>
                <w:rFonts w:hint="eastAsia"/>
                <w:bCs/>
                <w:i w:val="0"/>
                <w:iCs w:val="0"/>
                <w:color w:val="000000"/>
                <w:szCs w:val="21"/>
              </w:rPr>
              <w:t>/h）</w:t>
            </w:r>
          </w:p>
        </w:tc>
        <w:tc>
          <w:tcPr>
            <w:tcW w:w="355" w:type="pct"/>
            <w:vMerge w:val="continue"/>
            <w:noWrap w:val="0"/>
            <w:vAlign w:val="center"/>
          </w:tcPr>
          <w:p>
            <w:pPr>
              <w:pStyle w:val="408"/>
              <w:adjustRightInd w:val="0"/>
              <w:snapToGrid w:val="0"/>
              <w:spacing w:line="240" w:lineRule="auto"/>
              <w:textAlignment w:val="baseline"/>
              <w:rPr>
                <w:bCs/>
                <w:i w:val="0"/>
                <w:iCs w:val="0"/>
                <w:color w:val="000000"/>
                <w:szCs w:val="21"/>
              </w:rPr>
            </w:pPr>
          </w:p>
        </w:tc>
        <w:tc>
          <w:tcPr>
            <w:tcW w:w="409" w:type="pct"/>
            <w:vMerge w:val="continue"/>
            <w:noWrap w:val="0"/>
            <w:vAlign w:val="center"/>
          </w:tcPr>
          <w:p>
            <w:pPr>
              <w:pStyle w:val="408"/>
              <w:adjustRightInd w:val="0"/>
              <w:snapToGrid w:val="0"/>
              <w:spacing w:line="240" w:lineRule="auto"/>
              <w:textAlignment w:val="baseline"/>
              <w:rPr>
                <w:bCs/>
                <w:i w:val="0"/>
                <w:iCs w:val="0"/>
                <w:color w:val="000000"/>
                <w:szCs w:val="21"/>
              </w:rPr>
            </w:pPr>
          </w:p>
        </w:tc>
        <w:tc>
          <w:tcPr>
            <w:tcW w:w="418" w:type="pct"/>
            <w:vMerge w:val="continue"/>
            <w:noWrap w:val="0"/>
            <w:vAlign w:val="center"/>
          </w:tcPr>
          <w:p>
            <w:pPr>
              <w:pStyle w:val="408"/>
              <w:adjustRightInd w:val="0"/>
              <w:snapToGrid w:val="0"/>
              <w:spacing w:line="240" w:lineRule="auto"/>
              <w:textAlignment w:val="baseline"/>
              <w:rPr>
                <w:bCs/>
                <w:i w:val="0"/>
                <w:iCs w:val="0"/>
                <w:color w:val="000000"/>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13" w:hRule="atLeast"/>
          <w:jc w:val="center"/>
        </w:trPr>
        <w:tc>
          <w:tcPr>
            <w:tcW w:w="399" w:type="pct"/>
            <w:vMerge w:val="restart"/>
            <w:noWrap w:val="0"/>
            <w:vAlign w:val="center"/>
          </w:tcPr>
          <w:p>
            <w:pPr>
              <w:pStyle w:val="37"/>
              <w:spacing w:line="240" w:lineRule="auto"/>
              <w:ind w:left="-72" w:leftChars="-30" w:right="-72" w:rightChars="-30" w:firstLine="0" w:firstLineChars="0"/>
              <w:jc w:val="center"/>
              <w:rPr>
                <w:rFonts w:hint="eastAsia"/>
                <w:i w:val="0"/>
                <w:iCs w:val="0"/>
                <w:color w:val="000000"/>
                <w:szCs w:val="21"/>
              </w:rPr>
            </w:pPr>
            <w:r>
              <w:rPr>
                <w:rFonts w:hint="eastAsia"/>
                <w:i w:val="0"/>
                <w:iCs w:val="0"/>
                <w:sz w:val="21"/>
                <w:szCs w:val="21"/>
              </w:rPr>
              <w:t>污水站</w:t>
            </w:r>
          </w:p>
        </w:tc>
        <w:tc>
          <w:tcPr>
            <w:tcW w:w="540" w:type="pct"/>
            <w:vMerge w:val="restar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126.587751</w:t>
            </w:r>
          </w:p>
        </w:tc>
        <w:tc>
          <w:tcPr>
            <w:tcW w:w="542" w:type="pct"/>
            <w:vMerge w:val="restar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42.079195</w:t>
            </w:r>
          </w:p>
        </w:tc>
        <w:tc>
          <w:tcPr>
            <w:tcW w:w="342" w:type="pct"/>
            <w:vMerge w:val="restar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589</w:t>
            </w:r>
          </w:p>
        </w:tc>
        <w:tc>
          <w:tcPr>
            <w:tcW w:w="285" w:type="pct"/>
            <w:vMerge w:val="restar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15</w:t>
            </w:r>
          </w:p>
        </w:tc>
        <w:tc>
          <w:tcPr>
            <w:tcW w:w="288" w:type="pct"/>
            <w:vMerge w:val="restar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0.3</w:t>
            </w:r>
          </w:p>
        </w:tc>
        <w:tc>
          <w:tcPr>
            <w:tcW w:w="288" w:type="pct"/>
            <w:vMerge w:val="restar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常温</w:t>
            </w:r>
          </w:p>
        </w:tc>
        <w:tc>
          <w:tcPr>
            <w:tcW w:w="356" w:type="pct"/>
            <w:vMerge w:val="restar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7200</w:t>
            </w:r>
          </w:p>
        </w:tc>
        <w:tc>
          <w:tcPr>
            <w:tcW w:w="414" w:type="pct"/>
            <w:vMerge w:val="restar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7.86</w:t>
            </w:r>
          </w:p>
        </w:tc>
        <w:tc>
          <w:tcPr>
            <w:tcW w:w="359" w:type="pct"/>
            <w:vMerge w:val="restar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2000</w:t>
            </w:r>
          </w:p>
        </w:tc>
        <w:tc>
          <w:tcPr>
            <w:tcW w:w="355" w:type="pc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氨</w:t>
            </w:r>
          </w:p>
        </w:tc>
        <w:tc>
          <w:tcPr>
            <w:tcW w:w="1146" w:type="dxa"/>
            <w:noWrap w:val="0"/>
            <w:vAlign w:val="center"/>
          </w:tcPr>
          <w:p>
            <w:pPr>
              <w:pStyle w:val="408"/>
              <w:adjustRightInd w:val="0"/>
              <w:snapToGrid w:val="0"/>
              <w:spacing w:line="240" w:lineRule="auto"/>
              <w:textAlignment w:val="baseline"/>
              <w:rPr>
                <w:rFonts w:hint="eastAsia" w:ascii="Times New Roman" w:hAnsi="Times New Roman" w:eastAsia="宋体" w:cs="Times New Roman"/>
                <w:i w:val="0"/>
                <w:iCs w:val="0"/>
                <w:color w:val="000000"/>
                <w:szCs w:val="21"/>
              </w:rPr>
            </w:pPr>
            <w:r>
              <w:rPr>
                <w:rFonts w:hint="eastAsia" w:ascii="Times New Roman" w:hAnsi="Times New Roman" w:eastAsia="宋体" w:cs="Times New Roman"/>
                <w:i w:val="0"/>
                <w:iCs w:val="0"/>
                <w:color w:val="000000"/>
                <w:szCs w:val="21"/>
                <w:lang w:val="en-US" w:eastAsia="zh-CN"/>
              </w:rPr>
              <w:t xml:space="preserve">0.0011 </w:t>
            </w:r>
          </w:p>
        </w:tc>
        <w:tc>
          <w:tcPr>
            <w:tcW w:w="418" w:type="pct"/>
            <w:vMerge w:val="restar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DA001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90" w:hRule="atLeast"/>
          <w:jc w:val="center"/>
        </w:trPr>
        <w:tc>
          <w:tcPr>
            <w:tcW w:w="399"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540"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542"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342"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285"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288"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288" w:type="pct"/>
            <w:vMerge w:val="continue"/>
            <w:noWrap w:val="0"/>
            <w:vAlign w:val="center"/>
          </w:tcPr>
          <w:p>
            <w:pPr>
              <w:pStyle w:val="408"/>
              <w:adjustRightInd w:val="0"/>
              <w:snapToGrid w:val="0"/>
              <w:spacing w:line="240" w:lineRule="auto"/>
              <w:textAlignment w:val="baseline"/>
              <w:rPr>
                <w:i w:val="0"/>
                <w:iCs w:val="0"/>
                <w:color w:val="000000"/>
                <w:szCs w:val="21"/>
              </w:rPr>
            </w:pPr>
          </w:p>
        </w:tc>
        <w:tc>
          <w:tcPr>
            <w:tcW w:w="356"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414"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359"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355" w:type="pc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硫化氢</w:t>
            </w:r>
          </w:p>
        </w:tc>
        <w:tc>
          <w:tcPr>
            <w:tcW w:w="1146" w:type="dxa"/>
            <w:noWrap w:val="0"/>
            <w:vAlign w:val="center"/>
          </w:tcPr>
          <w:p>
            <w:pPr>
              <w:pStyle w:val="408"/>
              <w:adjustRightInd w:val="0"/>
              <w:snapToGrid w:val="0"/>
              <w:spacing w:line="240" w:lineRule="auto"/>
              <w:textAlignment w:val="baseline"/>
              <w:rPr>
                <w:rFonts w:hint="eastAsia" w:ascii="Times New Roman" w:hAnsi="Times New Roman" w:eastAsia="宋体" w:cs="Times New Roman"/>
                <w:i w:val="0"/>
                <w:iCs w:val="0"/>
                <w:color w:val="000000"/>
                <w:szCs w:val="21"/>
              </w:rPr>
            </w:pPr>
            <w:r>
              <w:rPr>
                <w:rFonts w:hint="eastAsia" w:ascii="Times New Roman" w:hAnsi="Times New Roman" w:eastAsia="宋体" w:cs="Times New Roman"/>
                <w:i w:val="0"/>
                <w:iCs w:val="0"/>
                <w:color w:val="000000"/>
                <w:szCs w:val="21"/>
                <w:lang w:val="en-US" w:eastAsia="zh-CN"/>
              </w:rPr>
              <w:t xml:space="preserve">0.0001 </w:t>
            </w:r>
          </w:p>
        </w:tc>
        <w:tc>
          <w:tcPr>
            <w:tcW w:w="418"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154" w:hRule="atLeast"/>
          <w:jc w:val="center"/>
        </w:trPr>
        <w:tc>
          <w:tcPr>
            <w:tcW w:w="399" w:type="pct"/>
            <w:vMerge w:val="restart"/>
            <w:noWrap w:val="0"/>
            <w:vAlign w:val="center"/>
          </w:tcPr>
          <w:p>
            <w:pPr>
              <w:pStyle w:val="37"/>
              <w:spacing w:line="240" w:lineRule="auto"/>
              <w:ind w:left="-72" w:leftChars="-30" w:right="-72" w:rightChars="-30" w:firstLine="0" w:firstLineChars="0"/>
              <w:jc w:val="center"/>
              <w:rPr>
                <w:rFonts w:hint="eastAsia"/>
                <w:i w:val="0"/>
                <w:iCs w:val="0"/>
                <w:color w:val="000000"/>
                <w:szCs w:val="21"/>
              </w:rPr>
            </w:pPr>
            <w:r>
              <w:rPr>
                <w:rFonts w:hint="eastAsia"/>
                <w:i w:val="0"/>
                <w:iCs w:val="0"/>
                <w:sz w:val="21"/>
                <w:szCs w:val="21"/>
              </w:rPr>
              <w:t>发酵废气</w:t>
            </w:r>
          </w:p>
        </w:tc>
        <w:tc>
          <w:tcPr>
            <w:tcW w:w="540" w:type="pct"/>
            <w:vMerge w:val="restar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126.588266</w:t>
            </w:r>
          </w:p>
        </w:tc>
        <w:tc>
          <w:tcPr>
            <w:tcW w:w="542" w:type="pct"/>
            <w:vMerge w:val="restar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42.079688</w:t>
            </w:r>
          </w:p>
        </w:tc>
        <w:tc>
          <w:tcPr>
            <w:tcW w:w="342" w:type="pct"/>
            <w:vMerge w:val="restar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589</w:t>
            </w:r>
          </w:p>
          <w:p>
            <w:pPr>
              <w:pStyle w:val="408"/>
              <w:adjustRightInd w:val="0"/>
              <w:snapToGrid w:val="0"/>
              <w:spacing w:line="240" w:lineRule="auto"/>
              <w:textAlignment w:val="baseline"/>
              <w:rPr>
                <w:i w:val="0"/>
                <w:iCs w:val="0"/>
                <w:color w:val="000000"/>
                <w:szCs w:val="21"/>
              </w:rPr>
            </w:pPr>
          </w:p>
        </w:tc>
        <w:tc>
          <w:tcPr>
            <w:tcW w:w="285" w:type="pct"/>
            <w:vMerge w:val="restart"/>
            <w:noWrap w:val="0"/>
            <w:vAlign w:val="center"/>
          </w:tcPr>
          <w:p>
            <w:pPr>
              <w:pStyle w:val="408"/>
              <w:adjustRightInd w:val="0"/>
              <w:snapToGrid w:val="0"/>
              <w:spacing w:line="240" w:lineRule="auto"/>
              <w:textAlignment w:val="baseline"/>
              <w:rPr>
                <w:rFonts w:hint="eastAsia" w:eastAsia="宋体"/>
                <w:i w:val="0"/>
                <w:iCs w:val="0"/>
                <w:color w:val="000000"/>
                <w:szCs w:val="21"/>
                <w:lang w:eastAsia="zh-CN"/>
              </w:rPr>
            </w:pPr>
            <w:r>
              <w:rPr>
                <w:rFonts w:hint="eastAsia"/>
                <w:i w:val="0"/>
                <w:iCs w:val="0"/>
                <w:color w:val="000000"/>
                <w:szCs w:val="21"/>
                <w:lang w:eastAsia="zh-CN"/>
              </w:rPr>
              <w:t>24</w:t>
            </w:r>
          </w:p>
        </w:tc>
        <w:tc>
          <w:tcPr>
            <w:tcW w:w="288" w:type="pct"/>
            <w:vMerge w:val="restar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0.5</w:t>
            </w:r>
          </w:p>
        </w:tc>
        <w:tc>
          <w:tcPr>
            <w:tcW w:w="288" w:type="pct"/>
            <w:vMerge w:val="restar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常温</w:t>
            </w:r>
          </w:p>
        </w:tc>
        <w:tc>
          <w:tcPr>
            <w:tcW w:w="356" w:type="pct"/>
            <w:vMerge w:val="restar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7200</w:t>
            </w:r>
          </w:p>
        </w:tc>
        <w:tc>
          <w:tcPr>
            <w:tcW w:w="414" w:type="pct"/>
            <w:vMerge w:val="restar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8.49</w:t>
            </w:r>
          </w:p>
        </w:tc>
        <w:tc>
          <w:tcPr>
            <w:tcW w:w="359" w:type="pct"/>
            <w:vMerge w:val="restar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6000</w:t>
            </w:r>
          </w:p>
        </w:tc>
        <w:tc>
          <w:tcPr>
            <w:tcW w:w="355" w:type="pc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氨</w:t>
            </w:r>
          </w:p>
        </w:tc>
        <w:tc>
          <w:tcPr>
            <w:tcW w:w="1146" w:type="dxa"/>
            <w:noWrap w:val="0"/>
            <w:vAlign w:val="center"/>
          </w:tcPr>
          <w:p>
            <w:pPr>
              <w:pStyle w:val="408"/>
              <w:adjustRightInd w:val="0"/>
              <w:snapToGrid w:val="0"/>
              <w:spacing w:line="240" w:lineRule="auto"/>
              <w:textAlignment w:val="baseline"/>
              <w:rPr>
                <w:rFonts w:hint="default" w:ascii="Times New Roman" w:hAnsi="Times New Roman" w:eastAsia="宋体" w:cs="Times New Roman"/>
                <w:i w:val="0"/>
                <w:iCs w:val="0"/>
                <w:color w:val="000000"/>
                <w:szCs w:val="21"/>
                <w:lang w:val="en-US"/>
              </w:rPr>
            </w:pPr>
            <w:r>
              <w:rPr>
                <w:rFonts w:hint="eastAsia" w:ascii="Times New Roman" w:hAnsi="Times New Roman" w:eastAsia="宋体" w:cs="Times New Roman"/>
                <w:i w:val="0"/>
                <w:iCs w:val="0"/>
                <w:color w:val="000000"/>
                <w:szCs w:val="21"/>
                <w:lang w:val="en-US" w:eastAsia="zh-CN"/>
              </w:rPr>
              <w:t>0.0078</w:t>
            </w:r>
          </w:p>
        </w:tc>
        <w:tc>
          <w:tcPr>
            <w:tcW w:w="418" w:type="pct"/>
            <w:vMerge w:val="restar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DA002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133" w:hRule="atLeast"/>
          <w:jc w:val="center"/>
        </w:trPr>
        <w:tc>
          <w:tcPr>
            <w:tcW w:w="399" w:type="pct"/>
            <w:vMerge w:val="continue"/>
            <w:noWrap w:val="0"/>
            <w:vAlign w:val="center"/>
          </w:tcPr>
          <w:p>
            <w:pPr>
              <w:pStyle w:val="408"/>
              <w:adjustRightInd w:val="0"/>
              <w:snapToGrid w:val="0"/>
              <w:spacing w:line="240" w:lineRule="auto"/>
              <w:textAlignment w:val="baseline"/>
              <w:rPr>
                <w:i w:val="0"/>
                <w:iCs w:val="0"/>
                <w:color w:val="000000"/>
                <w:szCs w:val="21"/>
              </w:rPr>
            </w:pPr>
          </w:p>
        </w:tc>
        <w:tc>
          <w:tcPr>
            <w:tcW w:w="540"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542"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342" w:type="pct"/>
            <w:vMerge w:val="continue"/>
            <w:noWrap w:val="0"/>
            <w:vAlign w:val="center"/>
          </w:tcPr>
          <w:p>
            <w:pPr>
              <w:pStyle w:val="408"/>
              <w:adjustRightInd w:val="0"/>
              <w:snapToGrid w:val="0"/>
              <w:spacing w:line="240" w:lineRule="auto"/>
              <w:textAlignment w:val="baseline"/>
              <w:rPr>
                <w:i w:val="0"/>
                <w:iCs w:val="0"/>
                <w:color w:val="000000"/>
                <w:szCs w:val="21"/>
              </w:rPr>
            </w:pPr>
          </w:p>
        </w:tc>
        <w:tc>
          <w:tcPr>
            <w:tcW w:w="285" w:type="pct"/>
            <w:vMerge w:val="continue"/>
            <w:noWrap w:val="0"/>
            <w:vAlign w:val="center"/>
          </w:tcPr>
          <w:p>
            <w:pPr>
              <w:pStyle w:val="408"/>
              <w:adjustRightInd w:val="0"/>
              <w:snapToGrid w:val="0"/>
              <w:spacing w:line="240" w:lineRule="auto"/>
              <w:textAlignment w:val="baseline"/>
              <w:rPr>
                <w:i w:val="0"/>
                <w:iCs w:val="0"/>
                <w:color w:val="000000"/>
                <w:szCs w:val="21"/>
              </w:rPr>
            </w:pPr>
          </w:p>
        </w:tc>
        <w:tc>
          <w:tcPr>
            <w:tcW w:w="288" w:type="pct"/>
            <w:vMerge w:val="continue"/>
            <w:noWrap w:val="0"/>
            <w:vAlign w:val="center"/>
          </w:tcPr>
          <w:p>
            <w:pPr>
              <w:pStyle w:val="408"/>
              <w:adjustRightInd w:val="0"/>
              <w:snapToGrid w:val="0"/>
              <w:spacing w:line="240" w:lineRule="auto"/>
              <w:textAlignment w:val="baseline"/>
              <w:rPr>
                <w:i w:val="0"/>
                <w:iCs w:val="0"/>
                <w:color w:val="000000"/>
                <w:szCs w:val="21"/>
              </w:rPr>
            </w:pPr>
          </w:p>
        </w:tc>
        <w:tc>
          <w:tcPr>
            <w:tcW w:w="288" w:type="pct"/>
            <w:vMerge w:val="continue"/>
            <w:noWrap w:val="0"/>
            <w:vAlign w:val="center"/>
          </w:tcPr>
          <w:p>
            <w:pPr>
              <w:pStyle w:val="408"/>
              <w:adjustRightInd w:val="0"/>
              <w:snapToGrid w:val="0"/>
              <w:spacing w:line="240" w:lineRule="auto"/>
              <w:textAlignment w:val="baseline"/>
              <w:rPr>
                <w:i w:val="0"/>
                <w:iCs w:val="0"/>
                <w:color w:val="000000"/>
                <w:szCs w:val="21"/>
              </w:rPr>
            </w:pPr>
          </w:p>
        </w:tc>
        <w:tc>
          <w:tcPr>
            <w:tcW w:w="356"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414" w:type="pct"/>
            <w:vMerge w:val="continue"/>
            <w:noWrap w:val="0"/>
            <w:vAlign w:val="center"/>
          </w:tcPr>
          <w:p>
            <w:pPr>
              <w:pStyle w:val="408"/>
              <w:adjustRightInd w:val="0"/>
              <w:snapToGrid w:val="0"/>
              <w:spacing w:line="240" w:lineRule="auto"/>
              <w:textAlignment w:val="baseline"/>
              <w:rPr>
                <w:i w:val="0"/>
                <w:iCs w:val="0"/>
                <w:color w:val="000000"/>
                <w:szCs w:val="21"/>
              </w:rPr>
            </w:pPr>
          </w:p>
        </w:tc>
        <w:tc>
          <w:tcPr>
            <w:tcW w:w="359" w:type="pct"/>
            <w:vMerge w:val="continue"/>
            <w:noWrap w:val="0"/>
            <w:vAlign w:val="center"/>
          </w:tcPr>
          <w:p>
            <w:pPr>
              <w:pStyle w:val="408"/>
              <w:adjustRightInd w:val="0"/>
              <w:snapToGrid w:val="0"/>
              <w:spacing w:line="240" w:lineRule="auto"/>
              <w:textAlignment w:val="baseline"/>
              <w:rPr>
                <w:i w:val="0"/>
                <w:iCs w:val="0"/>
                <w:color w:val="000000"/>
                <w:szCs w:val="21"/>
              </w:rPr>
            </w:pPr>
          </w:p>
        </w:tc>
        <w:tc>
          <w:tcPr>
            <w:tcW w:w="355" w:type="pc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非甲烷总烃</w:t>
            </w:r>
          </w:p>
        </w:tc>
        <w:tc>
          <w:tcPr>
            <w:tcW w:w="1146" w:type="dxa"/>
            <w:noWrap w:val="0"/>
            <w:vAlign w:val="center"/>
          </w:tcPr>
          <w:p>
            <w:pPr>
              <w:pStyle w:val="408"/>
              <w:adjustRightInd w:val="0"/>
              <w:snapToGrid w:val="0"/>
              <w:spacing w:line="240" w:lineRule="auto"/>
              <w:textAlignment w:val="baseline"/>
              <w:rPr>
                <w:rFonts w:hint="default" w:ascii="Times New Roman" w:hAnsi="Times New Roman" w:eastAsia="宋体" w:cs="Times New Roman"/>
                <w:i w:val="0"/>
                <w:iCs w:val="0"/>
                <w:color w:val="000000"/>
                <w:szCs w:val="21"/>
                <w:lang w:val="en-US"/>
              </w:rPr>
            </w:pPr>
            <w:r>
              <w:rPr>
                <w:rFonts w:hint="eastAsia" w:ascii="Times New Roman" w:hAnsi="Times New Roman" w:eastAsia="宋体" w:cs="Times New Roman"/>
                <w:i w:val="0"/>
                <w:iCs w:val="0"/>
                <w:color w:val="000000"/>
                <w:szCs w:val="21"/>
                <w:lang w:val="en-US" w:eastAsia="zh-CN"/>
              </w:rPr>
              <w:t>0.01</w:t>
            </w:r>
          </w:p>
        </w:tc>
        <w:tc>
          <w:tcPr>
            <w:tcW w:w="418" w:type="pct"/>
            <w:vMerge w:val="continue"/>
            <w:noWrap w:val="0"/>
            <w:vAlign w:val="center"/>
          </w:tcPr>
          <w:p>
            <w:pPr>
              <w:pStyle w:val="408"/>
              <w:adjustRightInd w:val="0"/>
              <w:snapToGrid w:val="0"/>
              <w:spacing w:line="240" w:lineRule="auto"/>
              <w:textAlignment w:val="baseline"/>
              <w:rPr>
                <w:i w:val="0"/>
                <w:iCs w:val="0"/>
                <w:color w:val="000000"/>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87" w:hRule="atLeast"/>
          <w:jc w:val="center"/>
        </w:trPr>
        <w:tc>
          <w:tcPr>
            <w:tcW w:w="399" w:type="pct"/>
            <w:vMerge w:val="restart"/>
            <w:noWrap w:val="0"/>
            <w:vAlign w:val="center"/>
          </w:tcPr>
          <w:p>
            <w:pPr>
              <w:pStyle w:val="37"/>
              <w:spacing w:line="240" w:lineRule="auto"/>
              <w:ind w:left="-72" w:leftChars="-30" w:right="-72" w:rightChars="-30" w:firstLine="0" w:firstLineChars="0"/>
              <w:jc w:val="center"/>
              <w:rPr>
                <w:rFonts w:hint="eastAsia"/>
                <w:i w:val="0"/>
                <w:iCs w:val="0"/>
                <w:color w:val="000000"/>
                <w:szCs w:val="21"/>
              </w:rPr>
            </w:pPr>
            <w:r>
              <w:rPr>
                <w:rFonts w:hint="eastAsia"/>
                <w:i w:val="0"/>
                <w:iCs w:val="0"/>
                <w:sz w:val="21"/>
                <w:szCs w:val="21"/>
                <w:lang w:val="en-US" w:eastAsia="zh-CN"/>
              </w:rPr>
              <w:t>热风炉1烟气及</w:t>
            </w:r>
            <w:r>
              <w:rPr>
                <w:rFonts w:hint="eastAsia"/>
                <w:i w:val="0"/>
                <w:iCs w:val="0"/>
                <w:sz w:val="21"/>
                <w:szCs w:val="21"/>
              </w:rPr>
              <w:t>喷雾干燥塔</w:t>
            </w:r>
            <w:r>
              <w:rPr>
                <w:rFonts w:hint="eastAsia"/>
                <w:i w:val="0"/>
                <w:iCs w:val="0"/>
                <w:sz w:val="21"/>
                <w:szCs w:val="21"/>
                <w:lang w:val="en-US" w:eastAsia="zh-CN"/>
              </w:rPr>
              <w:t>1</w:t>
            </w:r>
            <w:r>
              <w:rPr>
                <w:rFonts w:hint="eastAsia"/>
                <w:i w:val="0"/>
                <w:iCs w:val="0"/>
                <w:sz w:val="21"/>
                <w:szCs w:val="21"/>
              </w:rPr>
              <w:t>喷雾干燥废气</w:t>
            </w:r>
          </w:p>
        </w:tc>
        <w:tc>
          <w:tcPr>
            <w:tcW w:w="540" w:type="pct"/>
            <w:vMerge w:val="restar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126.588610</w:t>
            </w:r>
          </w:p>
        </w:tc>
        <w:tc>
          <w:tcPr>
            <w:tcW w:w="542" w:type="pct"/>
            <w:vMerge w:val="restar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42.079301</w:t>
            </w:r>
          </w:p>
        </w:tc>
        <w:tc>
          <w:tcPr>
            <w:tcW w:w="342" w:type="pct"/>
            <w:vMerge w:val="restar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589</w:t>
            </w:r>
          </w:p>
          <w:p>
            <w:pPr>
              <w:pStyle w:val="408"/>
              <w:adjustRightInd w:val="0"/>
              <w:snapToGrid w:val="0"/>
              <w:spacing w:line="240" w:lineRule="auto"/>
              <w:textAlignment w:val="baseline"/>
              <w:rPr>
                <w:i w:val="0"/>
                <w:iCs w:val="0"/>
                <w:color w:val="000000"/>
                <w:szCs w:val="21"/>
              </w:rPr>
            </w:pPr>
          </w:p>
        </w:tc>
        <w:tc>
          <w:tcPr>
            <w:tcW w:w="285" w:type="pct"/>
            <w:vMerge w:val="restart"/>
            <w:noWrap w:val="0"/>
            <w:vAlign w:val="center"/>
          </w:tcPr>
          <w:p>
            <w:pPr>
              <w:pStyle w:val="408"/>
              <w:adjustRightInd w:val="0"/>
              <w:snapToGrid w:val="0"/>
              <w:spacing w:line="240" w:lineRule="auto"/>
              <w:textAlignment w:val="baseline"/>
              <w:rPr>
                <w:rFonts w:hint="eastAsia" w:eastAsia="宋体"/>
                <w:i w:val="0"/>
                <w:iCs w:val="0"/>
                <w:color w:val="000000"/>
                <w:szCs w:val="21"/>
                <w:lang w:eastAsia="zh-CN"/>
              </w:rPr>
            </w:pPr>
            <w:r>
              <w:rPr>
                <w:rFonts w:hint="eastAsia"/>
                <w:i w:val="0"/>
                <w:iCs w:val="0"/>
                <w:color w:val="000000"/>
                <w:szCs w:val="21"/>
                <w:lang w:eastAsia="zh-CN"/>
              </w:rPr>
              <w:t>24</w:t>
            </w:r>
          </w:p>
        </w:tc>
        <w:tc>
          <w:tcPr>
            <w:tcW w:w="288" w:type="pct"/>
            <w:vMerge w:val="restart"/>
            <w:noWrap w:val="0"/>
            <w:vAlign w:val="center"/>
          </w:tcPr>
          <w:p>
            <w:pPr>
              <w:pStyle w:val="408"/>
              <w:adjustRightInd w:val="0"/>
              <w:snapToGrid w:val="0"/>
              <w:spacing w:line="240" w:lineRule="auto"/>
              <w:textAlignment w:val="baseline"/>
              <w:rPr>
                <w:rFonts w:hint="eastAsia" w:eastAsia="宋体"/>
                <w:i w:val="0"/>
                <w:iCs w:val="0"/>
                <w:color w:val="000000"/>
                <w:szCs w:val="21"/>
                <w:lang w:eastAsia="zh-CN"/>
              </w:rPr>
            </w:pPr>
            <w:r>
              <w:rPr>
                <w:rFonts w:hint="eastAsia"/>
                <w:i w:val="0"/>
                <w:iCs w:val="0"/>
                <w:color w:val="000000"/>
                <w:szCs w:val="21"/>
              </w:rPr>
              <w:t>0.</w:t>
            </w:r>
            <w:r>
              <w:rPr>
                <w:rFonts w:hint="eastAsia"/>
                <w:i w:val="0"/>
                <w:iCs w:val="0"/>
                <w:color w:val="000000"/>
                <w:szCs w:val="21"/>
                <w:lang w:val="en-US" w:eastAsia="zh-CN"/>
              </w:rPr>
              <w:t>8</w:t>
            </w:r>
          </w:p>
        </w:tc>
        <w:tc>
          <w:tcPr>
            <w:tcW w:w="288" w:type="pct"/>
            <w:vMerge w:val="restar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45</w:t>
            </w:r>
          </w:p>
        </w:tc>
        <w:tc>
          <w:tcPr>
            <w:tcW w:w="356" w:type="pct"/>
            <w:vMerge w:val="restar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7200</w:t>
            </w:r>
          </w:p>
        </w:tc>
        <w:tc>
          <w:tcPr>
            <w:tcW w:w="414" w:type="pct"/>
            <w:vMerge w:val="restart"/>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lang w:val="en-US" w:eastAsia="zh-CN"/>
              </w:rPr>
              <w:t>11.06</w:t>
            </w:r>
          </w:p>
        </w:tc>
        <w:tc>
          <w:tcPr>
            <w:tcW w:w="359" w:type="pct"/>
            <w:vMerge w:val="restart"/>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lang w:val="en-US" w:eastAsia="zh-CN"/>
              </w:rPr>
              <w:t>20000</w:t>
            </w:r>
          </w:p>
        </w:tc>
        <w:tc>
          <w:tcPr>
            <w:tcW w:w="355" w:type="pc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颗粒物</w:t>
            </w:r>
          </w:p>
        </w:tc>
        <w:tc>
          <w:tcPr>
            <w:tcW w:w="1146" w:type="dxa"/>
            <w:noWrap w:val="0"/>
            <w:vAlign w:val="center"/>
          </w:tcPr>
          <w:p>
            <w:pPr>
              <w:pStyle w:val="408"/>
              <w:adjustRightInd w:val="0"/>
              <w:snapToGrid w:val="0"/>
              <w:spacing w:line="240" w:lineRule="auto"/>
              <w:textAlignment w:val="baseline"/>
              <w:rPr>
                <w:rFonts w:hint="eastAsia" w:ascii="Times New Roman" w:hAnsi="Times New Roman" w:eastAsia="宋体" w:cs="Times New Roman"/>
                <w:i w:val="0"/>
                <w:iCs w:val="0"/>
                <w:color w:val="000000"/>
                <w:szCs w:val="21"/>
              </w:rPr>
            </w:pPr>
            <w:r>
              <w:rPr>
                <w:rFonts w:hint="eastAsia" w:ascii="Times New Roman" w:hAnsi="Times New Roman" w:eastAsia="宋体" w:cs="Times New Roman"/>
                <w:i w:val="0"/>
                <w:iCs w:val="0"/>
                <w:color w:val="000000"/>
                <w:szCs w:val="21"/>
                <w:lang w:val="en-US" w:eastAsia="zh-CN"/>
              </w:rPr>
              <w:t xml:space="preserve">0.0617 </w:t>
            </w:r>
          </w:p>
        </w:tc>
        <w:tc>
          <w:tcPr>
            <w:tcW w:w="418" w:type="pct"/>
            <w:vMerge w:val="restar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DA003</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447" w:hRule="atLeast"/>
          <w:jc w:val="center"/>
        </w:trPr>
        <w:tc>
          <w:tcPr>
            <w:tcW w:w="399"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540"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542"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342" w:type="pct"/>
            <w:vMerge w:val="continue"/>
            <w:noWrap w:val="0"/>
            <w:vAlign w:val="center"/>
          </w:tcPr>
          <w:p>
            <w:pPr>
              <w:pStyle w:val="408"/>
              <w:adjustRightInd w:val="0"/>
              <w:snapToGrid w:val="0"/>
              <w:spacing w:line="240" w:lineRule="auto"/>
              <w:textAlignment w:val="baseline"/>
              <w:rPr>
                <w:i w:val="0"/>
                <w:iCs w:val="0"/>
                <w:color w:val="000000"/>
                <w:szCs w:val="21"/>
              </w:rPr>
            </w:pPr>
          </w:p>
        </w:tc>
        <w:tc>
          <w:tcPr>
            <w:tcW w:w="285" w:type="pct"/>
            <w:vMerge w:val="continue"/>
            <w:noWrap w:val="0"/>
            <w:vAlign w:val="center"/>
          </w:tcPr>
          <w:p>
            <w:pPr>
              <w:pStyle w:val="408"/>
              <w:adjustRightInd w:val="0"/>
              <w:snapToGrid w:val="0"/>
              <w:spacing w:line="240" w:lineRule="auto"/>
              <w:textAlignment w:val="baseline"/>
              <w:rPr>
                <w:rFonts w:hint="eastAsia"/>
                <w:i w:val="0"/>
                <w:iCs w:val="0"/>
                <w:color w:val="000000"/>
                <w:szCs w:val="21"/>
                <w:lang w:eastAsia="zh-CN"/>
              </w:rPr>
            </w:pPr>
          </w:p>
        </w:tc>
        <w:tc>
          <w:tcPr>
            <w:tcW w:w="288"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288"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356"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414"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359"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355" w:type="pct"/>
            <w:noWrap w:val="0"/>
            <w:vAlign w:val="center"/>
          </w:tcPr>
          <w:p>
            <w:pPr>
              <w:pStyle w:val="408"/>
              <w:adjustRightInd w:val="0"/>
              <w:snapToGrid w:val="0"/>
              <w:spacing w:line="240" w:lineRule="auto"/>
              <w:textAlignment w:val="baseline"/>
              <w:rPr>
                <w:rFonts w:hint="eastAsia" w:eastAsia="宋体"/>
                <w:i w:val="0"/>
                <w:iCs w:val="0"/>
                <w:color w:val="000000"/>
                <w:szCs w:val="21"/>
                <w:lang w:val="en-US" w:eastAsia="zh-CN"/>
              </w:rPr>
            </w:pPr>
            <w:r>
              <w:rPr>
                <w:rFonts w:hint="eastAsia"/>
                <w:i w:val="0"/>
                <w:iCs w:val="0"/>
                <w:color w:val="000000"/>
                <w:szCs w:val="21"/>
                <w:lang w:val="en-US" w:eastAsia="zh-CN"/>
              </w:rPr>
              <w:t>二氧化硫</w:t>
            </w:r>
          </w:p>
        </w:tc>
        <w:tc>
          <w:tcPr>
            <w:tcW w:w="1146" w:type="dxa"/>
            <w:noWrap w:val="0"/>
            <w:vAlign w:val="center"/>
          </w:tcPr>
          <w:p>
            <w:pPr>
              <w:pStyle w:val="408"/>
              <w:adjustRightInd w:val="0"/>
              <w:snapToGrid w:val="0"/>
              <w:spacing w:line="240" w:lineRule="auto"/>
              <w:textAlignment w:val="baseline"/>
              <w:rPr>
                <w:rFonts w:hint="eastAsia" w:ascii="Times New Roman" w:hAnsi="Times New Roman" w:eastAsia="宋体" w:cs="Times New Roman"/>
                <w:i w:val="0"/>
                <w:iCs w:val="0"/>
                <w:color w:val="000000"/>
                <w:szCs w:val="21"/>
              </w:rPr>
            </w:pPr>
            <w:r>
              <w:rPr>
                <w:rFonts w:hint="eastAsia" w:ascii="Times New Roman" w:hAnsi="Times New Roman" w:eastAsia="宋体" w:cs="Times New Roman"/>
                <w:i w:val="0"/>
                <w:iCs w:val="0"/>
                <w:color w:val="000000"/>
                <w:szCs w:val="21"/>
                <w:lang w:val="en-US" w:eastAsia="zh-CN"/>
              </w:rPr>
              <w:t xml:space="preserve">0.027 </w:t>
            </w:r>
          </w:p>
        </w:tc>
        <w:tc>
          <w:tcPr>
            <w:tcW w:w="418"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90" w:hRule="atLeast"/>
          <w:jc w:val="center"/>
        </w:trPr>
        <w:tc>
          <w:tcPr>
            <w:tcW w:w="399" w:type="pct"/>
            <w:vMerge w:val="continue"/>
            <w:noWrap w:val="0"/>
            <w:vAlign w:val="center"/>
          </w:tcPr>
          <w:p>
            <w:pPr>
              <w:pStyle w:val="408"/>
              <w:adjustRightInd w:val="0"/>
              <w:snapToGrid w:val="0"/>
              <w:spacing w:line="240" w:lineRule="auto"/>
              <w:textAlignment w:val="baseline"/>
              <w:rPr>
                <w:i w:val="0"/>
                <w:iCs w:val="0"/>
                <w:color w:val="000000"/>
                <w:szCs w:val="21"/>
              </w:rPr>
            </w:pPr>
          </w:p>
        </w:tc>
        <w:tc>
          <w:tcPr>
            <w:tcW w:w="540"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542"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342" w:type="pct"/>
            <w:vMerge w:val="continue"/>
            <w:noWrap w:val="0"/>
            <w:vAlign w:val="center"/>
          </w:tcPr>
          <w:p>
            <w:pPr>
              <w:pStyle w:val="408"/>
              <w:adjustRightInd w:val="0"/>
              <w:snapToGrid w:val="0"/>
              <w:spacing w:line="240" w:lineRule="auto"/>
              <w:textAlignment w:val="baseline"/>
              <w:rPr>
                <w:i w:val="0"/>
                <w:iCs w:val="0"/>
                <w:color w:val="000000"/>
                <w:szCs w:val="21"/>
              </w:rPr>
            </w:pPr>
          </w:p>
        </w:tc>
        <w:tc>
          <w:tcPr>
            <w:tcW w:w="285" w:type="pct"/>
            <w:vMerge w:val="continue"/>
            <w:noWrap w:val="0"/>
            <w:vAlign w:val="center"/>
          </w:tcPr>
          <w:p>
            <w:pPr>
              <w:pStyle w:val="408"/>
              <w:adjustRightInd w:val="0"/>
              <w:snapToGrid w:val="0"/>
              <w:spacing w:line="240" w:lineRule="auto"/>
              <w:textAlignment w:val="baseline"/>
              <w:rPr>
                <w:i w:val="0"/>
                <w:iCs w:val="0"/>
                <w:color w:val="000000"/>
                <w:szCs w:val="21"/>
              </w:rPr>
            </w:pPr>
          </w:p>
        </w:tc>
        <w:tc>
          <w:tcPr>
            <w:tcW w:w="288" w:type="pct"/>
            <w:vMerge w:val="continue"/>
            <w:noWrap w:val="0"/>
            <w:vAlign w:val="center"/>
          </w:tcPr>
          <w:p>
            <w:pPr>
              <w:pStyle w:val="408"/>
              <w:adjustRightInd w:val="0"/>
              <w:snapToGrid w:val="0"/>
              <w:spacing w:line="240" w:lineRule="auto"/>
              <w:textAlignment w:val="baseline"/>
              <w:rPr>
                <w:i w:val="0"/>
                <w:iCs w:val="0"/>
                <w:color w:val="000000"/>
                <w:szCs w:val="21"/>
              </w:rPr>
            </w:pPr>
          </w:p>
        </w:tc>
        <w:tc>
          <w:tcPr>
            <w:tcW w:w="288" w:type="pct"/>
            <w:vMerge w:val="continue"/>
            <w:noWrap w:val="0"/>
            <w:vAlign w:val="center"/>
          </w:tcPr>
          <w:p>
            <w:pPr>
              <w:pStyle w:val="408"/>
              <w:adjustRightInd w:val="0"/>
              <w:snapToGrid w:val="0"/>
              <w:spacing w:line="240" w:lineRule="auto"/>
              <w:textAlignment w:val="baseline"/>
              <w:rPr>
                <w:i w:val="0"/>
                <w:iCs w:val="0"/>
                <w:color w:val="000000"/>
                <w:szCs w:val="21"/>
              </w:rPr>
            </w:pPr>
          </w:p>
        </w:tc>
        <w:tc>
          <w:tcPr>
            <w:tcW w:w="356" w:type="pct"/>
            <w:vMerge w:val="continue"/>
            <w:noWrap w:val="0"/>
            <w:vAlign w:val="center"/>
          </w:tcPr>
          <w:p>
            <w:pPr>
              <w:pStyle w:val="408"/>
              <w:adjustRightInd w:val="0"/>
              <w:snapToGrid w:val="0"/>
              <w:spacing w:line="240" w:lineRule="auto"/>
              <w:textAlignment w:val="baseline"/>
              <w:rPr>
                <w:i w:val="0"/>
                <w:iCs w:val="0"/>
                <w:color w:val="000000"/>
                <w:szCs w:val="21"/>
              </w:rPr>
            </w:pPr>
          </w:p>
        </w:tc>
        <w:tc>
          <w:tcPr>
            <w:tcW w:w="414" w:type="pct"/>
            <w:vMerge w:val="continue"/>
            <w:noWrap w:val="0"/>
            <w:vAlign w:val="center"/>
          </w:tcPr>
          <w:p>
            <w:pPr>
              <w:pStyle w:val="408"/>
              <w:adjustRightInd w:val="0"/>
              <w:snapToGrid w:val="0"/>
              <w:spacing w:line="240" w:lineRule="auto"/>
              <w:textAlignment w:val="baseline"/>
              <w:rPr>
                <w:i w:val="0"/>
                <w:iCs w:val="0"/>
                <w:color w:val="000000"/>
                <w:szCs w:val="21"/>
              </w:rPr>
            </w:pPr>
          </w:p>
        </w:tc>
        <w:tc>
          <w:tcPr>
            <w:tcW w:w="359" w:type="pct"/>
            <w:vMerge w:val="continue"/>
            <w:noWrap w:val="0"/>
            <w:vAlign w:val="center"/>
          </w:tcPr>
          <w:p>
            <w:pPr>
              <w:pStyle w:val="408"/>
              <w:adjustRightInd w:val="0"/>
              <w:snapToGrid w:val="0"/>
              <w:spacing w:line="240" w:lineRule="auto"/>
              <w:textAlignment w:val="baseline"/>
              <w:rPr>
                <w:i w:val="0"/>
                <w:iCs w:val="0"/>
                <w:color w:val="000000"/>
                <w:szCs w:val="21"/>
              </w:rPr>
            </w:pPr>
          </w:p>
        </w:tc>
        <w:tc>
          <w:tcPr>
            <w:tcW w:w="355" w:type="pct"/>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lang w:val="en-US" w:eastAsia="zh-CN"/>
              </w:rPr>
              <w:t>氮氧化物</w:t>
            </w:r>
          </w:p>
        </w:tc>
        <w:tc>
          <w:tcPr>
            <w:tcW w:w="1146" w:type="dxa"/>
            <w:noWrap w:val="0"/>
            <w:vAlign w:val="center"/>
          </w:tcPr>
          <w:p>
            <w:pPr>
              <w:pStyle w:val="408"/>
              <w:adjustRightInd w:val="0"/>
              <w:snapToGrid w:val="0"/>
              <w:spacing w:line="240" w:lineRule="auto"/>
              <w:textAlignment w:val="baseline"/>
              <w:rPr>
                <w:rFonts w:hint="eastAsia" w:ascii="Times New Roman" w:hAnsi="Times New Roman" w:eastAsia="宋体" w:cs="Times New Roman"/>
                <w:i w:val="0"/>
                <w:iCs w:val="0"/>
                <w:color w:val="000000"/>
                <w:szCs w:val="21"/>
              </w:rPr>
            </w:pPr>
            <w:r>
              <w:rPr>
                <w:rFonts w:hint="eastAsia" w:ascii="Times New Roman" w:hAnsi="Times New Roman" w:eastAsia="宋体" w:cs="Times New Roman"/>
                <w:i w:val="0"/>
                <w:iCs w:val="0"/>
                <w:color w:val="000000"/>
                <w:szCs w:val="21"/>
                <w:lang w:val="en-US" w:eastAsia="zh-CN"/>
              </w:rPr>
              <w:t xml:space="preserve">0.125 </w:t>
            </w:r>
          </w:p>
        </w:tc>
        <w:tc>
          <w:tcPr>
            <w:tcW w:w="418" w:type="pct"/>
            <w:vMerge w:val="continue"/>
            <w:noWrap w:val="0"/>
            <w:vAlign w:val="center"/>
          </w:tcPr>
          <w:p>
            <w:pPr>
              <w:pStyle w:val="408"/>
              <w:adjustRightInd w:val="0"/>
              <w:snapToGrid w:val="0"/>
              <w:spacing w:line="240" w:lineRule="auto"/>
              <w:textAlignment w:val="baseline"/>
              <w:rPr>
                <w:i w:val="0"/>
                <w:iCs w:val="0"/>
                <w:color w:val="000000"/>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27" w:hRule="atLeast"/>
          <w:jc w:val="center"/>
        </w:trPr>
        <w:tc>
          <w:tcPr>
            <w:tcW w:w="399" w:type="pct"/>
            <w:vMerge w:val="restart"/>
            <w:noWrap w:val="0"/>
            <w:vAlign w:val="center"/>
          </w:tcPr>
          <w:p>
            <w:pPr>
              <w:pStyle w:val="37"/>
              <w:spacing w:line="240" w:lineRule="auto"/>
              <w:ind w:left="-72" w:leftChars="-30" w:right="-72" w:rightChars="-30" w:firstLine="0" w:firstLineChars="0"/>
              <w:jc w:val="center"/>
              <w:rPr>
                <w:i w:val="0"/>
                <w:iCs w:val="0"/>
                <w:color w:val="000000"/>
                <w:szCs w:val="21"/>
              </w:rPr>
            </w:pPr>
            <w:r>
              <w:rPr>
                <w:rFonts w:hint="eastAsia"/>
                <w:i w:val="0"/>
                <w:iCs w:val="0"/>
                <w:sz w:val="21"/>
                <w:szCs w:val="21"/>
                <w:lang w:val="en-US" w:eastAsia="zh-CN"/>
              </w:rPr>
              <w:t>热风炉2烟气及</w:t>
            </w:r>
            <w:r>
              <w:rPr>
                <w:rFonts w:hint="eastAsia"/>
                <w:i w:val="0"/>
                <w:iCs w:val="0"/>
                <w:sz w:val="21"/>
                <w:szCs w:val="21"/>
              </w:rPr>
              <w:t>喷雾干燥塔</w:t>
            </w:r>
            <w:r>
              <w:rPr>
                <w:rFonts w:hint="eastAsia"/>
                <w:i w:val="0"/>
                <w:iCs w:val="0"/>
                <w:sz w:val="21"/>
                <w:szCs w:val="21"/>
                <w:lang w:val="en-US" w:eastAsia="zh-CN"/>
              </w:rPr>
              <w:t>2</w:t>
            </w:r>
            <w:r>
              <w:rPr>
                <w:rFonts w:hint="eastAsia"/>
                <w:i w:val="0"/>
                <w:iCs w:val="0"/>
                <w:sz w:val="21"/>
                <w:szCs w:val="21"/>
              </w:rPr>
              <w:t>喷雾干燥废气</w:t>
            </w:r>
          </w:p>
        </w:tc>
        <w:tc>
          <w:tcPr>
            <w:tcW w:w="1514" w:type="dxa"/>
            <w:vMerge w:val="restar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126.5886</w:t>
            </w:r>
            <w:r>
              <w:rPr>
                <w:rFonts w:hint="eastAsia"/>
                <w:i w:val="0"/>
                <w:iCs w:val="0"/>
                <w:color w:val="000000"/>
                <w:szCs w:val="21"/>
                <w:lang w:val="en-US" w:eastAsia="zh-CN"/>
              </w:rPr>
              <w:t>2</w:t>
            </w:r>
            <w:r>
              <w:rPr>
                <w:rFonts w:hint="eastAsia"/>
                <w:i w:val="0"/>
                <w:iCs w:val="0"/>
                <w:color w:val="000000"/>
                <w:szCs w:val="21"/>
              </w:rPr>
              <w:t>0</w:t>
            </w:r>
          </w:p>
        </w:tc>
        <w:tc>
          <w:tcPr>
            <w:tcW w:w="1519" w:type="dxa"/>
            <w:vMerge w:val="restar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42.0793</w:t>
            </w:r>
            <w:r>
              <w:rPr>
                <w:rFonts w:hint="eastAsia"/>
                <w:i w:val="0"/>
                <w:iCs w:val="0"/>
                <w:color w:val="000000"/>
                <w:szCs w:val="21"/>
                <w:lang w:val="en-US" w:eastAsia="zh-CN"/>
              </w:rPr>
              <w:t>2</w:t>
            </w:r>
            <w:r>
              <w:rPr>
                <w:rFonts w:hint="eastAsia"/>
                <w:i w:val="0"/>
                <w:iCs w:val="0"/>
                <w:color w:val="000000"/>
                <w:szCs w:val="21"/>
              </w:rPr>
              <w:t>1</w:t>
            </w:r>
          </w:p>
        </w:tc>
        <w:tc>
          <w:tcPr>
            <w:tcW w:w="959" w:type="dxa"/>
            <w:vMerge w:val="restar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589</w:t>
            </w:r>
          </w:p>
          <w:p>
            <w:pPr>
              <w:pStyle w:val="408"/>
              <w:adjustRightInd w:val="0"/>
              <w:snapToGrid w:val="0"/>
              <w:spacing w:line="240" w:lineRule="auto"/>
              <w:textAlignment w:val="baseline"/>
              <w:rPr>
                <w:i w:val="0"/>
                <w:iCs w:val="0"/>
                <w:color w:val="000000"/>
                <w:szCs w:val="21"/>
              </w:rPr>
            </w:pPr>
          </w:p>
        </w:tc>
        <w:tc>
          <w:tcPr>
            <w:tcW w:w="799" w:type="dxa"/>
            <w:vMerge w:val="restar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lang w:eastAsia="zh-CN"/>
              </w:rPr>
              <w:t>24</w:t>
            </w:r>
          </w:p>
        </w:tc>
        <w:tc>
          <w:tcPr>
            <w:tcW w:w="808" w:type="dxa"/>
            <w:vMerge w:val="restart"/>
            <w:noWrap w:val="0"/>
            <w:vAlign w:val="center"/>
          </w:tcPr>
          <w:p>
            <w:pPr>
              <w:pStyle w:val="408"/>
              <w:adjustRightInd w:val="0"/>
              <w:snapToGrid w:val="0"/>
              <w:spacing w:line="240" w:lineRule="auto"/>
              <w:textAlignment w:val="baseline"/>
              <w:rPr>
                <w:rFonts w:hint="eastAsia" w:eastAsia="宋体"/>
                <w:i w:val="0"/>
                <w:iCs w:val="0"/>
                <w:color w:val="000000"/>
                <w:szCs w:val="21"/>
                <w:lang w:eastAsia="zh-CN"/>
              </w:rPr>
            </w:pPr>
            <w:r>
              <w:rPr>
                <w:rFonts w:hint="eastAsia"/>
                <w:i w:val="0"/>
                <w:iCs w:val="0"/>
                <w:color w:val="000000"/>
                <w:szCs w:val="21"/>
              </w:rPr>
              <w:t>0.</w:t>
            </w:r>
            <w:r>
              <w:rPr>
                <w:rFonts w:hint="eastAsia"/>
                <w:i w:val="0"/>
                <w:iCs w:val="0"/>
                <w:color w:val="000000"/>
                <w:szCs w:val="21"/>
                <w:lang w:val="en-US" w:eastAsia="zh-CN"/>
              </w:rPr>
              <w:t>8</w:t>
            </w:r>
          </w:p>
        </w:tc>
        <w:tc>
          <w:tcPr>
            <w:tcW w:w="808" w:type="dxa"/>
            <w:vMerge w:val="restar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45</w:t>
            </w:r>
          </w:p>
        </w:tc>
        <w:tc>
          <w:tcPr>
            <w:tcW w:w="998" w:type="dxa"/>
            <w:vMerge w:val="restar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7200</w:t>
            </w:r>
          </w:p>
        </w:tc>
        <w:tc>
          <w:tcPr>
            <w:tcW w:w="1162" w:type="dxa"/>
            <w:vMerge w:val="restart"/>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lang w:val="en-US" w:eastAsia="zh-CN"/>
              </w:rPr>
              <w:t>11.06</w:t>
            </w:r>
          </w:p>
        </w:tc>
        <w:tc>
          <w:tcPr>
            <w:tcW w:w="359" w:type="pct"/>
            <w:vMerge w:val="restar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lang w:val="en-US" w:eastAsia="zh-CN"/>
              </w:rPr>
              <w:t>20000</w:t>
            </w:r>
          </w:p>
        </w:tc>
        <w:tc>
          <w:tcPr>
            <w:tcW w:w="997" w:type="dxa"/>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颗粒物</w:t>
            </w:r>
          </w:p>
        </w:tc>
        <w:tc>
          <w:tcPr>
            <w:tcW w:w="1146" w:type="dxa"/>
            <w:noWrap w:val="0"/>
            <w:vAlign w:val="center"/>
          </w:tcPr>
          <w:p>
            <w:pPr>
              <w:pStyle w:val="408"/>
              <w:adjustRightInd w:val="0"/>
              <w:snapToGrid w:val="0"/>
              <w:spacing w:line="240" w:lineRule="auto"/>
              <w:textAlignment w:val="baseline"/>
              <w:rPr>
                <w:rFonts w:hint="eastAsia" w:ascii="Times New Roman" w:hAnsi="Times New Roman" w:eastAsia="宋体" w:cs="Times New Roman"/>
                <w:i w:val="0"/>
                <w:iCs w:val="0"/>
                <w:color w:val="000000"/>
                <w:szCs w:val="21"/>
              </w:rPr>
            </w:pPr>
            <w:r>
              <w:rPr>
                <w:rFonts w:hint="eastAsia" w:ascii="Times New Roman" w:hAnsi="Times New Roman" w:eastAsia="宋体" w:cs="Times New Roman"/>
                <w:i w:val="0"/>
                <w:iCs w:val="0"/>
                <w:color w:val="000000"/>
                <w:szCs w:val="21"/>
                <w:lang w:val="en-US" w:eastAsia="zh-CN"/>
              </w:rPr>
              <w:t xml:space="preserve">0.0617 </w:t>
            </w:r>
          </w:p>
        </w:tc>
        <w:tc>
          <w:tcPr>
            <w:tcW w:w="418" w:type="pct"/>
            <w:vMerge w:val="restar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sz w:val="21"/>
                <w:szCs w:val="21"/>
                <w:lang w:val="en-US" w:eastAsia="zh-CN"/>
              </w:rPr>
              <w:t>DA004</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477" w:hRule="atLeast"/>
          <w:jc w:val="center"/>
        </w:trPr>
        <w:tc>
          <w:tcPr>
            <w:tcW w:w="399" w:type="pct"/>
            <w:vMerge w:val="continue"/>
            <w:noWrap w:val="0"/>
            <w:vAlign w:val="center"/>
          </w:tcPr>
          <w:p>
            <w:pPr>
              <w:pStyle w:val="408"/>
              <w:adjustRightInd w:val="0"/>
              <w:snapToGrid w:val="0"/>
              <w:spacing w:line="240" w:lineRule="auto"/>
              <w:textAlignment w:val="baseline"/>
              <w:rPr>
                <w:i w:val="0"/>
                <w:iCs w:val="0"/>
              </w:rPr>
            </w:pPr>
          </w:p>
        </w:tc>
        <w:tc>
          <w:tcPr>
            <w:tcW w:w="540" w:type="pct"/>
            <w:vMerge w:val="continue"/>
            <w:noWrap w:val="0"/>
            <w:vAlign w:val="center"/>
          </w:tcPr>
          <w:p>
            <w:pPr>
              <w:pStyle w:val="408"/>
              <w:adjustRightInd w:val="0"/>
              <w:snapToGrid w:val="0"/>
              <w:spacing w:line="240" w:lineRule="auto"/>
              <w:textAlignment w:val="baseline"/>
              <w:rPr>
                <w:i w:val="0"/>
                <w:iCs w:val="0"/>
              </w:rPr>
            </w:pPr>
          </w:p>
        </w:tc>
        <w:tc>
          <w:tcPr>
            <w:tcW w:w="542" w:type="pct"/>
            <w:vMerge w:val="continue"/>
            <w:noWrap w:val="0"/>
            <w:vAlign w:val="center"/>
          </w:tcPr>
          <w:p>
            <w:pPr>
              <w:pStyle w:val="408"/>
              <w:adjustRightInd w:val="0"/>
              <w:snapToGrid w:val="0"/>
              <w:spacing w:line="240" w:lineRule="auto"/>
              <w:textAlignment w:val="baseline"/>
              <w:rPr>
                <w:i w:val="0"/>
                <w:iCs w:val="0"/>
              </w:rPr>
            </w:pPr>
          </w:p>
        </w:tc>
        <w:tc>
          <w:tcPr>
            <w:tcW w:w="342" w:type="pct"/>
            <w:vMerge w:val="continue"/>
            <w:noWrap w:val="0"/>
            <w:vAlign w:val="center"/>
          </w:tcPr>
          <w:p>
            <w:pPr>
              <w:pStyle w:val="408"/>
              <w:adjustRightInd w:val="0"/>
              <w:snapToGrid w:val="0"/>
              <w:spacing w:line="240" w:lineRule="auto"/>
              <w:textAlignment w:val="baseline"/>
              <w:rPr>
                <w:i w:val="0"/>
                <w:iCs w:val="0"/>
              </w:rPr>
            </w:pPr>
          </w:p>
        </w:tc>
        <w:tc>
          <w:tcPr>
            <w:tcW w:w="285" w:type="pct"/>
            <w:vMerge w:val="continue"/>
            <w:noWrap w:val="0"/>
            <w:vAlign w:val="center"/>
          </w:tcPr>
          <w:p>
            <w:pPr>
              <w:pStyle w:val="408"/>
              <w:adjustRightInd w:val="0"/>
              <w:snapToGrid w:val="0"/>
              <w:spacing w:line="240" w:lineRule="auto"/>
              <w:textAlignment w:val="baseline"/>
              <w:rPr>
                <w:i w:val="0"/>
                <w:iCs w:val="0"/>
              </w:rPr>
            </w:pPr>
          </w:p>
        </w:tc>
        <w:tc>
          <w:tcPr>
            <w:tcW w:w="288" w:type="pct"/>
            <w:vMerge w:val="continue"/>
            <w:noWrap w:val="0"/>
            <w:vAlign w:val="center"/>
          </w:tcPr>
          <w:p>
            <w:pPr>
              <w:pStyle w:val="408"/>
              <w:adjustRightInd w:val="0"/>
              <w:snapToGrid w:val="0"/>
              <w:spacing w:line="240" w:lineRule="auto"/>
              <w:textAlignment w:val="baseline"/>
              <w:rPr>
                <w:i w:val="0"/>
                <w:iCs w:val="0"/>
              </w:rPr>
            </w:pPr>
          </w:p>
        </w:tc>
        <w:tc>
          <w:tcPr>
            <w:tcW w:w="288" w:type="pct"/>
            <w:vMerge w:val="continue"/>
            <w:noWrap w:val="0"/>
            <w:vAlign w:val="center"/>
          </w:tcPr>
          <w:p>
            <w:pPr>
              <w:pStyle w:val="408"/>
              <w:adjustRightInd w:val="0"/>
              <w:snapToGrid w:val="0"/>
              <w:spacing w:line="240" w:lineRule="auto"/>
              <w:textAlignment w:val="baseline"/>
              <w:rPr>
                <w:i w:val="0"/>
                <w:iCs w:val="0"/>
              </w:rPr>
            </w:pPr>
          </w:p>
        </w:tc>
        <w:tc>
          <w:tcPr>
            <w:tcW w:w="356" w:type="pct"/>
            <w:vMerge w:val="continue"/>
            <w:noWrap w:val="0"/>
            <w:vAlign w:val="center"/>
          </w:tcPr>
          <w:p>
            <w:pPr>
              <w:pStyle w:val="408"/>
              <w:adjustRightInd w:val="0"/>
              <w:snapToGrid w:val="0"/>
              <w:spacing w:line="240" w:lineRule="auto"/>
              <w:textAlignment w:val="baseline"/>
              <w:rPr>
                <w:i w:val="0"/>
                <w:iCs w:val="0"/>
              </w:rPr>
            </w:pPr>
          </w:p>
        </w:tc>
        <w:tc>
          <w:tcPr>
            <w:tcW w:w="414" w:type="pct"/>
            <w:vMerge w:val="continue"/>
            <w:noWrap w:val="0"/>
            <w:vAlign w:val="center"/>
          </w:tcPr>
          <w:p>
            <w:pPr>
              <w:pStyle w:val="408"/>
              <w:adjustRightInd w:val="0"/>
              <w:snapToGrid w:val="0"/>
              <w:spacing w:line="240" w:lineRule="auto"/>
              <w:textAlignment w:val="baseline"/>
              <w:rPr>
                <w:i w:val="0"/>
                <w:iCs w:val="0"/>
              </w:rPr>
            </w:pPr>
          </w:p>
        </w:tc>
        <w:tc>
          <w:tcPr>
            <w:tcW w:w="359" w:type="pct"/>
            <w:vMerge w:val="continue"/>
            <w:noWrap w:val="0"/>
            <w:vAlign w:val="center"/>
          </w:tcPr>
          <w:p>
            <w:pPr>
              <w:pStyle w:val="408"/>
              <w:adjustRightInd w:val="0"/>
              <w:snapToGrid w:val="0"/>
              <w:spacing w:line="240" w:lineRule="auto"/>
              <w:textAlignment w:val="baseline"/>
              <w:rPr>
                <w:i w:val="0"/>
                <w:iCs w:val="0"/>
              </w:rPr>
            </w:pPr>
          </w:p>
        </w:tc>
        <w:tc>
          <w:tcPr>
            <w:tcW w:w="997" w:type="dxa"/>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lang w:val="en-US" w:eastAsia="zh-CN"/>
              </w:rPr>
              <w:t>二氧化硫</w:t>
            </w:r>
          </w:p>
        </w:tc>
        <w:tc>
          <w:tcPr>
            <w:tcW w:w="1146" w:type="dxa"/>
            <w:noWrap w:val="0"/>
            <w:vAlign w:val="center"/>
          </w:tcPr>
          <w:p>
            <w:pPr>
              <w:pStyle w:val="408"/>
              <w:adjustRightInd w:val="0"/>
              <w:snapToGrid w:val="0"/>
              <w:spacing w:line="240" w:lineRule="auto"/>
              <w:textAlignment w:val="baseline"/>
              <w:rPr>
                <w:rFonts w:hint="eastAsia" w:ascii="Times New Roman" w:hAnsi="Times New Roman" w:eastAsia="宋体" w:cs="Times New Roman"/>
                <w:i w:val="0"/>
                <w:iCs w:val="0"/>
                <w:color w:val="000000"/>
                <w:szCs w:val="21"/>
              </w:rPr>
            </w:pPr>
            <w:r>
              <w:rPr>
                <w:rFonts w:hint="eastAsia" w:ascii="Times New Roman" w:hAnsi="Times New Roman" w:eastAsia="宋体" w:cs="Times New Roman"/>
                <w:i w:val="0"/>
                <w:iCs w:val="0"/>
                <w:color w:val="000000"/>
                <w:szCs w:val="21"/>
                <w:lang w:val="en-US" w:eastAsia="zh-CN"/>
              </w:rPr>
              <w:t xml:space="preserve">0.027 </w:t>
            </w:r>
          </w:p>
        </w:tc>
        <w:tc>
          <w:tcPr>
            <w:tcW w:w="418"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87" w:hRule="atLeast"/>
          <w:jc w:val="center"/>
        </w:trPr>
        <w:tc>
          <w:tcPr>
            <w:tcW w:w="399"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540"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542"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342"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285"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288"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288"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356"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414"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359"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997" w:type="dxa"/>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lang w:val="en-US" w:eastAsia="zh-CN"/>
              </w:rPr>
              <w:t>氮氧化物</w:t>
            </w:r>
          </w:p>
        </w:tc>
        <w:tc>
          <w:tcPr>
            <w:tcW w:w="1146" w:type="dxa"/>
            <w:noWrap w:val="0"/>
            <w:vAlign w:val="center"/>
          </w:tcPr>
          <w:p>
            <w:pPr>
              <w:pStyle w:val="408"/>
              <w:adjustRightInd w:val="0"/>
              <w:snapToGrid w:val="0"/>
              <w:spacing w:line="240" w:lineRule="auto"/>
              <w:textAlignment w:val="baseline"/>
              <w:rPr>
                <w:rFonts w:hint="eastAsia" w:ascii="Times New Roman" w:hAnsi="Times New Roman" w:eastAsia="宋体" w:cs="Times New Roman"/>
                <w:i w:val="0"/>
                <w:iCs w:val="0"/>
                <w:color w:val="000000"/>
                <w:szCs w:val="21"/>
              </w:rPr>
            </w:pPr>
            <w:r>
              <w:rPr>
                <w:rFonts w:hint="eastAsia" w:ascii="Times New Roman" w:hAnsi="Times New Roman" w:eastAsia="宋体" w:cs="Times New Roman"/>
                <w:i w:val="0"/>
                <w:iCs w:val="0"/>
                <w:color w:val="000000"/>
                <w:szCs w:val="21"/>
                <w:lang w:val="en-US" w:eastAsia="zh-CN"/>
              </w:rPr>
              <w:t xml:space="preserve">0.125 </w:t>
            </w:r>
          </w:p>
        </w:tc>
        <w:tc>
          <w:tcPr>
            <w:tcW w:w="418"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r>
    </w:tbl>
    <w:p>
      <w:pPr>
        <w:adjustRightInd w:val="0"/>
        <w:snapToGrid w:val="0"/>
        <w:jc w:val="center"/>
        <w:rPr>
          <w:rFonts w:hint="eastAsia"/>
          <w:b/>
          <w:i w:val="0"/>
          <w:iCs w:val="0"/>
          <w:snapToGrid w:val="0"/>
          <w:color w:val="000000"/>
          <w:szCs w:val="21"/>
        </w:rPr>
      </w:pPr>
      <w:r>
        <w:rPr>
          <w:rFonts w:hint="eastAsia"/>
          <w:b/>
          <w:i w:val="0"/>
          <w:iCs w:val="0"/>
          <w:snapToGrid w:val="0"/>
          <w:color w:val="000000"/>
          <w:szCs w:val="21"/>
        </w:rPr>
        <w:t>表 5-1</w:t>
      </w:r>
      <w:r>
        <w:rPr>
          <w:rFonts w:hint="eastAsia"/>
          <w:b/>
          <w:i w:val="0"/>
          <w:iCs w:val="0"/>
          <w:snapToGrid w:val="0"/>
          <w:color w:val="000000"/>
          <w:szCs w:val="21"/>
          <w:lang w:val="en-US" w:eastAsia="zh-CN"/>
        </w:rPr>
        <w:t>0</w:t>
      </w:r>
      <w:r>
        <w:rPr>
          <w:rFonts w:hint="eastAsia"/>
          <w:b/>
          <w:i w:val="0"/>
          <w:iCs w:val="0"/>
          <w:snapToGrid w:val="0"/>
          <w:color w:val="000000"/>
          <w:szCs w:val="21"/>
        </w:rPr>
        <w:t>本项目无组织废气排放源排放参数（面源）</w:t>
      </w:r>
    </w:p>
    <w:tbl>
      <w:tblPr>
        <w:tblStyle w:val="58"/>
        <w:tblW w:w="4997"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65"/>
        <w:gridCol w:w="1293"/>
        <w:gridCol w:w="1164"/>
        <w:gridCol w:w="1067"/>
        <w:gridCol w:w="1142"/>
        <w:gridCol w:w="838"/>
        <w:gridCol w:w="690"/>
        <w:gridCol w:w="1357"/>
        <w:gridCol w:w="1248"/>
        <w:gridCol w:w="1100"/>
        <w:gridCol w:w="634"/>
        <w:gridCol w:w="698"/>
        <w:gridCol w:w="505"/>
        <w:gridCol w:w="912"/>
        <w:gridCol w:w="73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202" w:type="pct"/>
            <w:vMerge w:val="restart"/>
            <w:tcBorders>
              <w:left w:val="nil"/>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面源</w:t>
            </w:r>
          </w:p>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编号</w:t>
            </w:r>
          </w:p>
        </w:tc>
        <w:tc>
          <w:tcPr>
            <w:tcW w:w="463" w:type="pct"/>
            <w:vMerge w:val="restart"/>
            <w:tcBorders>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面源名称</w:t>
            </w:r>
          </w:p>
        </w:tc>
        <w:tc>
          <w:tcPr>
            <w:tcW w:w="799" w:type="pct"/>
            <w:gridSpan w:val="2"/>
            <w:tcBorders>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面源起点坐标/m</w:t>
            </w:r>
          </w:p>
        </w:tc>
        <w:tc>
          <w:tcPr>
            <w:tcW w:w="409" w:type="pct"/>
            <w:vMerge w:val="restart"/>
            <w:tcBorders>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面源海拔</w:t>
            </w:r>
          </w:p>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高度/m</w:t>
            </w:r>
          </w:p>
        </w:tc>
        <w:tc>
          <w:tcPr>
            <w:tcW w:w="300" w:type="pct"/>
            <w:vMerge w:val="restart"/>
            <w:tcBorders>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面源长度</w:t>
            </w:r>
          </w:p>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/m</w:t>
            </w:r>
          </w:p>
        </w:tc>
        <w:tc>
          <w:tcPr>
            <w:tcW w:w="247" w:type="pct"/>
            <w:vMerge w:val="restart"/>
            <w:tcBorders>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面源宽度</w:t>
            </w:r>
          </w:p>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m</w:t>
            </w:r>
          </w:p>
        </w:tc>
        <w:tc>
          <w:tcPr>
            <w:tcW w:w="486" w:type="pct"/>
            <w:vMerge w:val="restart"/>
            <w:tcBorders>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与正北向</w:t>
            </w:r>
          </w:p>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夹角/°</w:t>
            </w:r>
          </w:p>
        </w:tc>
        <w:tc>
          <w:tcPr>
            <w:tcW w:w="447" w:type="pct"/>
            <w:vMerge w:val="restart"/>
            <w:tcBorders>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面源有效排</w:t>
            </w:r>
          </w:p>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放高度/m</w:t>
            </w:r>
          </w:p>
        </w:tc>
        <w:tc>
          <w:tcPr>
            <w:tcW w:w="394" w:type="pct"/>
            <w:vMerge w:val="restart"/>
            <w:tcBorders>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年排放小</w:t>
            </w:r>
          </w:p>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时数/h</w:t>
            </w:r>
          </w:p>
        </w:tc>
        <w:tc>
          <w:tcPr>
            <w:tcW w:w="227" w:type="pct"/>
            <w:vMerge w:val="restart"/>
            <w:tcBorders>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排放工况</w:t>
            </w:r>
          </w:p>
        </w:tc>
        <w:tc>
          <w:tcPr>
            <w:tcW w:w="1022" w:type="pct"/>
            <w:gridSpan w:val="4"/>
            <w:tcBorders>
              <w:left w:val="single" w:color="000000" w:sz="4" w:space="0"/>
              <w:bottom w:val="single" w:color="000000" w:sz="4" w:space="0"/>
              <w:right w:val="nil"/>
            </w:tcBorders>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污染物排放速率/kg/h</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202" w:type="pct"/>
            <w:vMerge w:val="continue"/>
            <w:tcBorders>
              <w:top w:val="nil"/>
              <w:left w:val="nil"/>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eastAsia"/>
                <w:i w:val="0"/>
                <w:iCs w:val="0"/>
                <w:color w:val="000000"/>
                <w:szCs w:val="21"/>
              </w:rPr>
            </w:pPr>
          </w:p>
        </w:tc>
        <w:tc>
          <w:tcPr>
            <w:tcW w:w="463" w:type="pct"/>
            <w:vMerge w:val="continue"/>
            <w:tcBorders>
              <w:top w:val="nil"/>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eastAsia"/>
                <w:i w:val="0"/>
                <w:iCs w:val="0"/>
                <w:color w:val="000000"/>
                <w:szCs w:val="21"/>
              </w:rPr>
            </w:pPr>
          </w:p>
        </w:tc>
        <w:tc>
          <w:tcPr>
            <w:tcW w:w="417" w:type="pct"/>
            <w:tcBorders>
              <w:top w:val="single" w:color="000000" w:sz="4" w:space="0"/>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X</w:t>
            </w:r>
          </w:p>
        </w:tc>
        <w:tc>
          <w:tcPr>
            <w:tcW w:w="382" w:type="pct"/>
            <w:tcBorders>
              <w:top w:val="single" w:color="000000" w:sz="4" w:space="0"/>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Y</w:t>
            </w:r>
          </w:p>
        </w:tc>
        <w:tc>
          <w:tcPr>
            <w:tcW w:w="409" w:type="pct"/>
            <w:vMerge w:val="continue"/>
            <w:tcBorders>
              <w:top w:val="nil"/>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eastAsia"/>
                <w:i w:val="0"/>
                <w:iCs w:val="0"/>
                <w:color w:val="000000"/>
                <w:szCs w:val="21"/>
              </w:rPr>
            </w:pPr>
          </w:p>
        </w:tc>
        <w:tc>
          <w:tcPr>
            <w:tcW w:w="300" w:type="pct"/>
            <w:vMerge w:val="continue"/>
            <w:tcBorders>
              <w:top w:val="nil"/>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eastAsia"/>
                <w:i w:val="0"/>
                <w:iCs w:val="0"/>
                <w:color w:val="000000"/>
                <w:szCs w:val="21"/>
              </w:rPr>
            </w:pPr>
          </w:p>
        </w:tc>
        <w:tc>
          <w:tcPr>
            <w:tcW w:w="247" w:type="pct"/>
            <w:vMerge w:val="continue"/>
            <w:tcBorders>
              <w:top w:val="nil"/>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eastAsia"/>
                <w:i w:val="0"/>
                <w:iCs w:val="0"/>
                <w:color w:val="000000"/>
                <w:szCs w:val="21"/>
              </w:rPr>
            </w:pPr>
          </w:p>
        </w:tc>
        <w:tc>
          <w:tcPr>
            <w:tcW w:w="486" w:type="pct"/>
            <w:vMerge w:val="continue"/>
            <w:tcBorders>
              <w:top w:val="nil"/>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eastAsia"/>
                <w:i w:val="0"/>
                <w:iCs w:val="0"/>
                <w:color w:val="000000"/>
                <w:szCs w:val="21"/>
              </w:rPr>
            </w:pPr>
          </w:p>
        </w:tc>
        <w:tc>
          <w:tcPr>
            <w:tcW w:w="447" w:type="pct"/>
            <w:vMerge w:val="continue"/>
            <w:tcBorders>
              <w:top w:val="nil"/>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eastAsia"/>
                <w:i w:val="0"/>
                <w:iCs w:val="0"/>
                <w:color w:val="000000"/>
                <w:szCs w:val="21"/>
              </w:rPr>
            </w:pPr>
          </w:p>
        </w:tc>
        <w:tc>
          <w:tcPr>
            <w:tcW w:w="394" w:type="pct"/>
            <w:vMerge w:val="continue"/>
            <w:tcBorders>
              <w:top w:val="nil"/>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eastAsia"/>
                <w:i w:val="0"/>
                <w:iCs w:val="0"/>
                <w:color w:val="000000"/>
                <w:szCs w:val="21"/>
              </w:rPr>
            </w:pPr>
          </w:p>
        </w:tc>
        <w:tc>
          <w:tcPr>
            <w:tcW w:w="227" w:type="pct"/>
            <w:vMerge w:val="continue"/>
            <w:tcBorders>
              <w:top w:val="nil"/>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eastAsia"/>
                <w:i w:val="0"/>
                <w:iCs w:val="0"/>
                <w:color w:val="000000"/>
                <w:szCs w:val="21"/>
              </w:rPr>
            </w:pPr>
          </w:p>
        </w:tc>
        <w:tc>
          <w:tcPr>
            <w:tcW w:w="250" w:type="pct"/>
            <w:tcBorders>
              <w:top w:val="single" w:color="000000" w:sz="4" w:space="0"/>
              <w:left w:val="single" w:color="000000" w:sz="4" w:space="0"/>
              <w:bottom w:val="single" w:color="000000" w:sz="4" w:space="0"/>
              <w:right w:val="nil"/>
            </w:tcBorders>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颗粒物</w:t>
            </w:r>
          </w:p>
        </w:tc>
        <w:tc>
          <w:tcPr>
            <w:tcW w:w="181" w:type="pct"/>
            <w:tcBorders>
              <w:top w:val="single" w:color="000000" w:sz="4" w:space="0"/>
              <w:left w:val="single" w:color="000000" w:sz="4" w:space="0"/>
              <w:bottom w:val="single" w:color="000000" w:sz="4" w:space="0"/>
              <w:right w:val="nil"/>
            </w:tcBorders>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氨</w:t>
            </w:r>
          </w:p>
        </w:tc>
        <w:tc>
          <w:tcPr>
            <w:tcW w:w="326" w:type="pct"/>
            <w:tcBorders>
              <w:top w:val="single" w:color="000000" w:sz="4" w:space="0"/>
              <w:left w:val="single" w:color="000000" w:sz="4" w:space="0"/>
              <w:bottom w:val="single" w:color="000000" w:sz="4" w:space="0"/>
              <w:right w:val="nil"/>
            </w:tcBorders>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硫化氢</w:t>
            </w:r>
          </w:p>
        </w:tc>
        <w:tc>
          <w:tcPr>
            <w:tcW w:w="264" w:type="pct"/>
            <w:tcBorders>
              <w:top w:val="single" w:color="000000" w:sz="4" w:space="0"/>
              <w:left w:val="single" w:color="000000" w:sz="4" w:space="0"/>
              <w:bottom w:val="single" w:color="000000" w:sz="4" w:space="0"/>
              <w:right w:val="nil"/>
            </w:tcBorders>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非甲烷总烃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6" w:hRule="atLeast"/>
        </w:trPr>
        <w:tc>
          <w:tcPr>
            <w:tcW w:w="202" w:type="pct"/>
            <w:tcBorders>
              <w:top w:val="single" w:color="000000" w:sz="4" w:space="0"/>
              <w:left w:val="nil"/>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1</w:t>
            </w:r>
          </w:p>
        </w:tc>
        <w:tc>
          <w:tcPr>
            <w:tcW w:w="463" w:type="pct"/>
            <w:tcBorders>
              <w:top w:val="single" w:color="000000" w:sz="4" w:space="0"/>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污水站</w:t>
            </w:r>
          </w:p>
        </w:tc>
        <w:tc>
          <w:tcPr>
            <w:tcW w:w="417" w:type="pct"/>
            <w:tcBorders>
              <w:top w:val="single" w:color="000000" w:sz="4" w:space="0"/>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126.587751</w:t>
            </w:r>
          </w:p>
        </w:tc>
        <w:tc>
          <w:tcPr>
            <w:tcW w:w="382" w:type="pct"/>
            <w:tcBorders>
              <w:top w:val="single" w:color="000000" w:sz="4" w:space="0"/>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42.079195</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589</w:t>
            </w:r>
          </w:p>
        </w:tc>
        <w:tc>
          <w:tcPr>
            <w:tcW w:w="300" w:type="pct"/>
            <w:tcBorders>
              <w:top w:val="single" w:color="000000" w:sz="4" w:space="0"/>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40</w:t>
            </w:r>
          </w:p>
        </w:tc>
        <w:tc>
          <w:tcPr>
            <w:tcW w:w="247" w:type="pct"/>
            <w:tcBorders>
              <w:top w:val="single" w:color="000000" w:sz="4" w:space="0"/>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30</w:t>
            </w:r>
          </w:p>
        </w:tc>
        <w:tc>
          <w:tcPr>
            <w:tcW w:w="486" w:type="pct"/>
            <w:tcBorders>
              <w:top w:val="single" w:color="000000" w:sz="4" w:space="0"/>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0</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4</w:t>
            </w:r>
          </w:p>
        </w:tc>
        <w:tc>
          <w:tcPr>
            <w:tcW w:w="394" w:type="pct"/>
            <w:tcBorders>
              <w:top w:val="single" w:color="000000" w:sz="4" w:space="0"/>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lang w:val="en-US" w:eastAsia="zh-CN"/>
              </w:rPr>
              <w:t>7800</w:t>
            </w:r>
          </w:p>
        </w:tc>
        <w:tc>
          <w:tcPr>
            <w:tcW w:w="227" w:type="pct"/>
            <w:tcBorders>
              <w:top w:val="single" w:color="000000" w:sz="4" w:space="0"/>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正常</w:t>
            </w:r>
          </w:p>
        </w:tc>
        <w:tc>
          <w:tcPr>
            <w:tcW w:w="250" w:type="pct"/>
            <w:tcBorders>
              <w:top w:val="single" w:color="000000" w:sz="4" w:space="0"/>
              <w:left w:val="single" w:color="000000" w:sz="4" w:space="0"/>
              <w:bottom w:val="single" w:color="000000" w:sz="4" w:space="0"/>
              <w:right w:val="nil"/>
            </w:tcBorders>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w:t>
            </w:r>
          </w:p>
        </w:tc>
        <w:tc>
          <w:tcPr>
            <w:tcW w:w="181" w:type="pct"/>
            <w:tcBorders>
              <w:top w:val="single" w:color="000000" w:sz="4" w:space="0"/>
              <w:left w:val="single" w:color="000000" w:sz="4" w:space="0"/>
              <w:bottom w:val="single" w:color="000000" w:sz="4" w:space="0"/>
              <w:right w:val="nil"/>
            </w:tcBorders>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rPr>
              <w:t>0.0</w:t>
            </w:r>
            <w:r>
              <w:rPr>
                <w:rFonts w:hint="eastAsia"/>
                <w:i w:val="0"/>
                <w:iCs w:val="0"/>
                <w:color w:val="000000"/>
                <w:szCs w:val="21"/>
                <w:lang w:val="en-US" w:eastAsia="zh-CN"/>
              </w:rPr>
              <w:t>05</w:t>
            </w:r>
          </w:p>
        </w:tc>
        <w:tc>
          <w:tcPr>
            <w:tcW w:w="326" w:type="pct"/>
            <w:tcBorders>
              <w:top w:val="single" w:color="000000" w:sz="4" w:space="0"/>
              <w:left w:val="single" w:color="000000" w:sz="4" w:space="0"/>
              <w:bottom w:val="single" w:color="000000" w:sz="4" w:space="0"/>
              <w:right w:val="nil"/>
            </w:tcBorders>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rPr>
              <w:t>0.000</w:t>
            </w:r>
            <w:r>
              <w:rPr>
                <w:rFonts w:hint="eastAsia"/>
                <w:i w:val="0"/>
                <w:iCs w:val="0"/>
                <w:color w:val="000000"/>
                <w:szCs w:val="21"/>
                <w:lang w:val="en-US" w:eastAsia="zh-CN"/>
              </w:rPr>
              <w:t>19</w:t>
            </w:r>
          </w:p>
        </w:tc>
        <w:tc>
          <w:tcPr>
            <w:tcW w:w="264" w:type="pct"/>
            <w:tcBorders>
              <w:top w:val="single" w:color="000000" w:sz="4" w:space="0"/>
              <w:left w:val="single" w:color="000000" w:sz="4" w:space="0"/>
              <w:bottom w:val="single" w:color="000000" w:sz="4" w:space="0"/>
              <w:right w:val="nil"/>
            </w:tcBorders>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1" w:hRule="atLeast"/>
        </w:trPr>
        <w:tc>
          <w:tcPr>
            <w:tcW w:w="202" w:type="pct"/>
            <w:tcBorders>
              <w:top w:val="single" w:color="000000" w:sz="4" w:space="0"/>
              <w:left w:val="nil"/>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2</w:t>
            </w:r>
          </w:p>
        </w:tc>
        <w:tc>
          <w:tcPr>
            <w:tcW w:w="463" w:type="pct"/>
            <w:tcBorders>
              <w:top w:val="single" w:color="000000" w:sz="4" w:space="0"/>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发酵车间</w:t>
            </w:r>
          </w:p>
        </w:tc>
        <w:tc>
          <w:tcPr>
            <w:tcW w:w="417" w:type="pct"/>
            <w:tcBorders>
              <w:top w:val="single" w:color="000000" w:sz="4" w:space="0"/>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126.588266</w:t>
            </w:r>
          </w:p>
        </w:tc>
        <w:tc>
          <w:tcPr>
            <w:tcW w:w="382" w:type="pct"/>
            <w:tcBorders>
              <w:top w:val="single" w:color="000000" w:sz="4" w:space="0"/>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42.079688</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589</w:t>
            </w:r>
          </w:p>
        </w:tc>
        <w:tc>
          <w:tcPr>
            <w:tcW w:w="300" w:type="pct"/>
            <w:tcBorders>
              <w:top w:val="single" w:color="000000" w:sz="4" w:space="0"/>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68.45</w:t>
            </w:r>
          </w:p>
        </w:tc>
        <w:tc>
          <w:tcPr>
            <w:tcW w:w="247" w:type="pct"/>
            <w:tcBorders>
              <w:top w:val="single" w:color="000000" w:sz="4" w:space="0"/>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20.10</w:t>
            </w:r>
          </w:p>
        </w:tc>
        <w:tc>
          <w:tcPr>
            <w:tcW w:w="486" w:type="pct"/>
            <w:tcBorders>
              <w:top w:val="single" w:color="000000" w:sz="4" w:space="0"/>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20</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lang w:val="en-US" w:eastAsia="zh-CN"/>
              </w:rPr>
              <w:t>20</w:t>
            </w:r>
          </w:p>
        </w:tc>
        <w:tc>
          <w:tcPr>
            <w:tcW w:w="394" w:type="pct"/>
            <w:tcBorders>
              <w:top w:val="single" w:color="000000" w:sz="4" w:space="0"/>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lang w:val="en-US" w:eastAsia="zh-CN"/>
              </w:rPr>
              <w:t>7800</w:t>
            </w:r>
          </w:p>
        </w:tc>
        <w:tc>
          <w:tcPr>
            <w:tcW w:w="227" w:type="pct"/>
            <w:tcBorders>
              <w:top w:val="single" w:color="000000" w:sz="4" w:space="0"/>
              <w:left w:val="single" w:color="000000" w:sz="4" w:space="0"/>
              <w:bottom w:val="single" w:color="000000" w:sz="4" w:space="0"/>
              <w:right w:val="single" w:color="000000" w:sz="4" w:space="0"/>
            </w:tcBorders>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正常</w:t>
            </w:r>
          </w:p>
        </w:tc>
        <w:tc>
          <w:tcPr>
            <w:tcW w:w="250" w:type="pct"/>
            <w:tcBorders>
              <w:top w:val="single" w:color="000000" w:sz="4" w:space="0"/>
              <w:left w:val="single" w:color="000000" w:sz="4" w:space="0"/>
              <w:bottom w:val="single" w:color="000000" w:sz="4" w:space="0"/>
              <w:right w:val="nil"/>
            </w:tcBorders>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w:t>
            </w:r>
          </w:p>
        </w:tc>
        <w:tc>
          <w:tcPr>
            <w:tcW w:w="181" w:type="pct"/>
            <w:tcBorders>
              <w:top w:val="single" w:color="000000" w:sz="4" w:space="0"/>
              <w:left w:val="single" w:color="000000" w:sz="4" w:space="0"/>
              <w:bottom w:val="single" w:color="000000" w:sz="4" w:space="0"/>
              <w:right w:val="nil"/>
            </w:tcBorders>
            <w:noWrap w:val="0"/>
            <w:vAlign w:val="center"/>
          </w:tcPr>
          <w:p>
            <w:pPr>
              <w:pStyle w:val="408"/>
              <w:adjustRightInd w:val="0"/>
              <w:snapToGrid w:val="0"/>
              <w:spacing w:line="240" w:lineRule="auto"/>
              <w:textAlignment w:val="baseline"/>
              <w:rPr>
                <w:rFonts w:hint="eastAsia" w:eastAsia="宋体"/>
                <w:i w:val="0"/>
                <w:iCs w:val="0"/>
                <w:color w:val="000000"/>
                <w:szCs w:val="21"/>
                <w:lang w:eastAsia="zh-CN"/>
              </w:rPr>
            </w:pPr>
            <w:r>
              <w:rPr>
                <w:rFonts w:hint="eastAsia"/>
                <w:i w:val="0"/>
                <w:iCs w:val="0"/>
                <w:color w:val="000000"/>
                <w:szCs w:val="21"/>
              </w:rPr>
              <w:t>0.02</w:t>
            </w:r>
            <w:r>
              <w:rPr>
                <w:rFonts w:hint="eastAsia"/>
                <w:i w:val="0"/>
                <w:iCs w:val="0"/>
                <w:color w:val="000000"/>
                <w:szCs w:val="21"/>
                <w:lang w:val="en-US" w:eastAsia="zh-CN"/>
              </w:rPr>
              <w:t>5</w:t>
            </w:r>
          </w:p>
        </w:tc>
        <w:tc>
          <w:tcPr>
            <w:tcW w:w="326" w:type="pct"/>
            <w:tcBorders>
              <w:top w:val="single" w:color="000000" w:sz="4" w:space="0"/>
              <w:left w:val="single" w:color="000000" w:sz="4" w:space="0"/>
              <w:bottom w:val="single" w:color="000000" w:sz="4" w:space="0"/>
              <w:right w:val="nil"/>
            </w:tcBorders>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w:t>
            </w:r>
          </w:p>
        </w:tc>
        <w:tc>
          <w:tcPr>
            <w:tcW w:w="264" w:type="pct"/>
            <w:tcBorders>
              <w:top w:val="single" w:color="000000" w:sz="4" w:space="0"/>
              <w:left w:val="single" w:color="000000" w:sz="4" w:space="0"/>
              <w:bottom w:val="single" w:color="000000" w:sz="4" w:space="0"/>
              <w:right w:val="nil"/>
            </w:tcBorders>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rPr>
              <w:t>0.</w:t>
            </w:r>
            <w:r>
              <w:rPr>
                <w:rFonts w:hint="eastAsia"/>
                <w:i w:val="0"/>
                <w:iCs w:val="0"/>
                <w:color w:val="000000"/>
                <w:szCs w:val="21"/>
                <w:lang w:val="en-US" w:eastAsia="zh-CN"/>
              </w:rPr>
              <w:t>008</w:t>
            </w:r>
          </w:p>
        </w:tc>
      </w:tr>
    </w:tbl>
    <w:p>
      <w:pPr>
        <w:rPr>
          <w:i w:val="0"/>
          <w:iCs w:val="0"/>
          <w:color w:val="000000"/>
        </w:rPr>
        <w:sectPr>
          <w:headerReference r:id="rId14" w:type="default"/>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720" w:num="1"/>
          <w:docGrid w:type="lines" w:linePitch="332" w:charSpace="0"/>
        </w:sectPr>
      </w:pPr>
    </w:p>
    <w:p>
      <w:pPr>
        <w:spacing w:line="360" w:lineRule="auto"/>
        <w:ind w:firstLine="480" w:firstLineChars="200"/>
        <w:rPr>
          <w:i w:val="0"/>
          <w:iCs w:val="0"/>
          <w:color w:val="000000"/>
        </w:rPr>
      </w:pPr>
    </w:p>
    <w:p>
      <w:pPr>
        <w:spacing w:line="360" w:lineRule="auto"/>
        <w:ind w:firstLine="480" w:firstLineChars="200"/>
        <w:rPr>
          <w:i w:val="0"/>
          <w:iCs w:val="0"/>
          <w:color w:val="000000"/>
        </w:rPr>
      </w:pPr>
      <w:r>
        <w:rPr>
          <w:rFonts w:hint="eastAsia"/>
          <w:i w:val="0"/>
          <w:iCs w:val="0"/>
          <w:color w:val="000000"/>
        </w:rPr>
        <w:t>（3）</w:t>
      </w:r>
      <w:r>
        <w:rPr>
          <w:i w:val="0"/>
          <w:iCs w:val="0"/>
          <w:color w:val="000000"/>
        </w:rPr>
        <w:t>估算模型计算结果</w:t>
      </w:r>
    </w:p>
    <w:p>
      <w:pPr>
        <w:spacing w:line="360" w:lineRule="auto"/>
        <w:ind w:firstLine="480" w:firstLineChars="200"/>
        <w:jc w:val="left"/>
        <w:rPr>
          <w:i w:val="0"/>
          <w:iCs w:val="0"/>
          <w:color w:val="000000"/>
        </w:rPr>
      </w:pPr>
      <w:r>
        <w:rPr>
          <w:i w:val="0"/>
          <w:iCs w:val="0"/>
          <w:color w:val="000000"/>
        </w:rPr>
        <w:t>根据HJ2.2-2018《环境影响评价技术导则（大气环境）》要求，本项目估算模型采用导则中推荐的AERCREEN模型进行估算。AERSCREEN为美国环保署（U.S.EPA，下同）开发的基于AERMOD估算模式的单源估算模型，可计算污染源包括点源、带盖点源、水平点源、矩形面源、圆形面源、体源和火炬源，能够考虑地形、熏烟和建筑物下洗的影响，可以输出1小时、8小时、24小时平均、及年均地面浓度最大值，评价评价源对周边空气环境的影响程度和范围。</w:t>
      </w:r>
    </w:p>
    <w:p>
      <w:pPr>
        <w:spacing w:line="360" w:lineRule="auto"/>
        <w:jc w:val="left"/>
        <w:rPr>
          <w:i w:val="0"/>
          <w:iCs w:val="0"/>
          <w:color w:val="000000"/>
        </w:rPr>
      </w:pPr>
      <w:r>
        <w:rPr>
          <w:rFonts w:hint="eastAsia"/>
          <w:i w:val="0"/>
          <w:iCs w:val="0"/>
          <w:color w:val="000000"/>
        </w:rPr>
        <w:t>（4）</w:t>
      </w:r>
      <w:r>
        <w:rPr>
          <w:i w:val="0"/>
          <w:iCs w:val="0"/>
          <w:color w:val="000000"/>
        </w:rPr>
        <w:t>预测结果</w:t>
      </w:r>
    </w:p>
    <w:p>
      <w:pPr>
        <w:pStyle w:val="76"/>
        <w:spacing w:line="360" w:lineRule="auto"/>
        <w:ind w:firstLine="480"/>
        <w:rPr>
          <w:rFonts w:ascii="Times New Roman" w:hAnsi="Times New Roman"/>
          <w:i w:val="0"/>
          <w:iCs w:val="0"/>
          <w:color w:val="000000"/>
          <w:sz w:val="24"/>
        </w:rPr>
      </w:pPr>
      <w:r>
        <w:rPr>
          <w:rFonts w:ascii="Times New Roman" w:hAnsi="Times New Roman"/>
          <w:i w:val="0"/>
          <w:iCs w:val="0"/>
          <w:color w:val="000000"/>
          <w:sz w:val="24"/>
        </w:rPr>
        <w:t>各类污染物估算模式预测结果。</w:t>
      </w:r>
    </w:p>
    <w:p>
      <w:pPr>
        <w:adjustRightInd w:val="0"/>
        <w:snapToGrid w:val="0"/>
        <w:jc w:val="center"/>
        <w:rPr>
          <w:rFonts w:hint="eastAsia"/>
          <w:b/>
          <w:i w:val="0"/>
          <w:iCs w:val="0"/>
          <w:snapToGrid w:val="0"/>
          <w:color w:val="000000"/>
          <w:szCs w:val="21"/>
        </w:rPr>
      </w:pPr>
      <w:r>
        <w:rPr>
          <w:rFonts w:hint="eastAsia"/>
          <w:b/>
          <w:i w:val="0"/>
          <w:iCs w:val="0"/>
          <w:snapToGrid w:val="0"/>
          <w:color w:val="000000"/>
          <w:szCs w:val="21"/>
        </w:rPr>
        <w:t>表5-1</w:t>
      </w:r>
      <w:r>
        <w:rPr>
          <w:rFonts w:hint="eastAsia"/>
          <w:b/>
          <w:i w:val="0"/>
          <w:iCs w:val="0"/>
          <w:snapToGrid w:val="0"/>
          <w:color w:val="000000"/>
          <w:szCs w:val="21"/>
          <w:lang w:val="en-US" w:eastAsia="zh-CN"/>
        </w:rPr>
        <w:t>1</w:t>
      </w:r>
      <w:r>
        <w:rPr>
          <w:rFonts w:hint="eastAsia"/>
          <w:b/>
          <w:i w:val="0"/>
          <w:iCs w:val="0"/>
          <w:snapToGrid w:val="0"/>
          <w:color w:val="000000"/>
          <w:szCs w:val="21"/>
        </w:rPr>
        <w:t>DA001废气估算结果一览表</w:t>
      </w:r>
    </w:p>
    <w:p>
      <w:pPr>
        <w:jc w:val="center"/>
        <w:rPr>
          <w:rFonts w:hint="eastAsia"/>
          <w:i w:val="0"/>
          <w:iCs w:val="0"/>
          <w:color w:val="000000"/>
        </w:rPr>
      </w:pPr>
      <w:r>
        <w:rPr>
          <w:i w:val="0"/>
          <w:iCs w:val="0"/>
        </w:rPr>
        <w:drawing>
          <wp:inline distT="0" distB="0" distL="114300" distR="114300">
            <wp:extent cx="3762375" cy="4686300"/>
            <wp:effectExtent l="0" t="0" r="9525" b="0"/>
            <wp:docPr id="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pic:cNvPicPr>
                      <a:picLocks noChangeAspect="1"/>
                    </pic:cNvPicPr>
                  </pic:nvPicPr>
                  <pic:blipFill>
                    <a:blip r:embed="rId42"/>
                    <a:stretch>
                      <a:fillRect/>
                    </a:stretch>
                  </pic:blipFill>
                  <pic:spPr>
                    <a:xfrm>
                      <a:off x="0" y="0"/>
                      <a:ext cx="3762375" cy="4686300"/>
                    </a:xfrm>
                    <a:prstGeom prst="rect">
                      <a:avLst/>
                    </a:prstGeom>
                    <a:noFill/>
                    <a:ln>
                      <a:noFill/>
                    </a:ln>
                  </pic:spPr>
                </pic:pic>
              </a:graphicData>
            </a:graphic>
          </wp:inline>
        </w:drawing>
      </w:r>
    </w:p>
    <w:p>
      <w:pPr>
        <w:adjustRightInd w:val="0"/>
        <w:snapToGrid w:val="0"/>
        <w:jc w:val="center"/>
        <w:rPr>
          <w:rFonts w:hint="eastAsia"/>
          <w:b/>
          <w:i w:val="0"/>
          <w:iCs w:val="0"/>
          <w:snapToGrid w:val="0"/>
          <w:color w:val="000000"/>
          <w:szCs w:val="21"/>
        </w:rPr>
      </w:pPr>
    </w:p>
    <w:p>
      <w:pPr>
        <w:adjustRightInd w:val="0"/>
        <w:snapToGrid w:val="0"/>
        <w:jc w:val="center"/>
        <w:rPr>
          <w:rFonts w:hint="eastAsia"/>
          <w:b/>
          <w:i w:val="0"/>
          <w:iCs w:val="0"/>
          <w:snapToGrid w:val="0"/>
          <w:color w:val="000000"/>
          <w:szCs w:val="21"/>
        </w:rPr>
      </w:pPr>
    </w:p>
    <w:p>
      <w:pPr>
        <w:adjustRightInd w:val="0"/>
        <w:snapToGrid w:val="0"/>
        <w:jc w:val="center"/>
        <w:rPr>
          <w:rFonts w:hint="eastAsia"/>
          <w:b/>
          <w:i w:val="0"/>
          <w:iCs w:val="0"/>
          <w:snapToGrid w:val="0"/>
          <w:color w:val="000000"/>
          <w:szCs w:val="21"/>
        </w:rPr>
      </w:pPr>
    </w:p>
    <w:p>
      <w:pPr>
        <w:adjustRightInd w:val="0"/>
        <w:snapToGrid w:val="0"/>
        <w:jc w:val="center"/>
        <w:rPr>
          <w:rFonts w:hint="eastAsia"/>
          <w:b/>
          <w:i w:val="0"/>
          <w:iCs w:val="0"/>
          <w:snapToGrid w:val="0"/>
          <w:color w:val="000000"/>
          <w:szCs w:val="21"/>
        </w:rPr>
      </w:pPr>
    </w:p>
    <w:p>
      <w:pPr>
        <w:adjustRightInd w:val="0"/>
        <w:snapToGrid w:val="0"/>
        <w:jc w:val="center"/>
        <w:rPr>
          <w:rFonts w:hint="eastAsia"/>
          <w:b/>
          <w:i w:val="0"/>
          <w:iCs w:val="0"/>
          <w:snapToGrid w:val="0"/>
          <w:color w:val="000000"/>
          <w:szCs w:val="21"/>
        </w:rPr>
      </w:pPr>
    </w:p>
    <w:p>
      <w:pPr>
        <w:adjustRightInd w:val="0"/>
        <w:snapToGrid w:val="0"/>
        <w:jc w:val="center"/>
        <w:rPr>
          <w:rFonts w:hint="eastAsia"/>
          <w:b/>
          <w:i w:val="0"/>
          <w:iCs w:val="0"/>
          <w:snapToGrid w:val="0"/>
          <w:color w:val="000000"/>
          <w:szCs w:val="21"/>
        </w:rPr>
      </w:pPr>
    </w:p>
    <w:p>
      <w:pPr>
        <w:adjustRightInd w:val="0"/>
        <w:snapToGrid w:val="0"/>
        <w:jc w:val="center"/>
        <w:rPr>
          <w:rFonts w:hint="eastAsia"/>
          <w:b/>
          <w:i w:val="0"/>
          <w:iCs w:val="0"/>
          <w:snapToGrid w:val="0"/>
          <w:color w:val="000000"/>
          <w:szCs w:val="21"/>
        </w:rPr>
      </w:pPr>
      <w:r>
        <w:rPr>
          <w:rFonts w:hint="eastAsia"/>
          <w:b/>
          <w:i w:val="0"/>
          <w:iCs w:val="0"/>
          <w:snapToGrid w:val="0"/>
          <w:color w:val="000000"/>
          <w:szCs w:val="21"/>
        </w:rPr>
        <w:t>表5-1</w:t>
      </w:r>
      <w:r>
        <w:rPr>
          <w:rFonts w:hint="eastAsia"/>
          <w:b/>
          <w:i w:val="0"/>
          <w:iCs w:val="0"/>
          <w:snapToGrid w:val="0"/>
          <w:color w:val="000000"/>
          <w:szCs w:val="21"/>
          <w:lang w:val="en-US" w:eastAsia="zh-CN"/>
        </w:rPr>
        <w:t>2</w:t>
      </w:r>
      <w:r>
        <w:rPr>
          <w:rFonts w:hint="eastAsia"/>
          <w:b/>
          <w:i w:val="0"/>
          <w:iCs w:val="0"/>
          <w:snapToGrid w:val="0"/>
          <w:color w:val="000000"/>
          <w:szCs w:val="21"/>
        </w:rPr>
        <w:t xml:space="preserve"> DA002废气估算结果一览表</w:t>
      </w:r>
    </w:p>
    <w:p>
      <w:pPr>
        <w:spacing w:line="360" w:lineRule="auto"/>
        <w:ind w:firstLine="480" w:firstLineChars="200"/>
        <w:jc w:val="center"/>
        <w:rPr>
          <w:rFonts w:hint="eastAsia"/>
          <w:i w:val="0"/>
          <w:iCs w:val="0"/>
          <w:color w:val="000000"/>
          <w:szCs w:val="32"/>
        </w:rPr>
      </w:pPr>
      <w:r>
        <w:rPr>
          <w:i w:val="0"/>
          <w:iCs w:val="0"/>
        </w:rPr>
        <w:drawing>
          <wp:inline distT="0" distB="0" distL="114300" distR="114300">
            <wp:extent cx="3448050" cy="3410585"/>
            <wp:effectExtent l="0" t="0" r="0" b="18415"/>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pic:cNvPicPr>
                      <a:picLocks noChangeAspect="1"/>
                    </pic:cNvPicPr>
                  </pic:nvPicPr>
                  <pic:blipFill>
                    <a:blip r:embed="rId43"/>
                    <a:stretch>
                      <a:fillRect/>
                    </a:stretch>
                  </pic:blipFill>
                  <pic:spPr>
                    <a:xfrm>
                      <a:off x="0" y="0"/>
                      <a:ext cx="3448050" cy="3410585"/>
                    </a:xfrm>
                    <a:prstGeom prst="rect">
                      <a:avLst/>
                    </a:prstGeom>
                    <a:noFill/>
                    <a:ln>
                      <a:noFill/>
                    </a:ln>
                  </pic:spPr>
                </pic:pic>
              </a:graphicData>
            </a:graphic>
          </wp:inline>
        </w:drawing>
      </w:r>
    </w:p>
    <w:p>
      <w:pPr>
        <w:adjustRightInd w:val="0"/>
        <w:snapToGrid w:val="0"/>
        <w:jc w:val="center"/>
        <w:rPr>
          <w:rFonts w:hint="eastAsia"/>
          <w:b/>
          <w:i w:val="0"/>
          <w:iCs w:val="0"/>
          <w:snapToGrid w:val="0"/>
          <w:color w:val="000000"/>
          <w:szCs w:val="21"/>
        </w:rPr>
      </w:pPr>
      <w:r>
        <w:rPr>
          <w:rFonts w:hint="eastAsia"/>
          <w:b/>
          <w:i w:val="0"/>
          <w:iCs w:val="0"/>
          <w:snapToGrid w:val="0"/>
          <w:color w:val="000000"/>
          <w:szCs w:val="21"/>
        </w:rPr>
        <w:t>表5-1</w:t>
      </w:r>
      <w:r>
        <w:rPr>
          <w:rFonts w:hint="eastAsia"/>
          <w:b/>
          <w:i w:val="0"/>
          <w:iCs w:val="0"/>
          <w:snapToGrid w:val="0"/>
          <w:color w:val="000000"/>
          <w:szCs w:val="21"/>
          <w:lang w:val="en-US" w:eastAsia="zh-CN"/>
        </w:rPr>
        <w:t>3</w:t>
      </w:r>
      <w:r>
        <w:rPr>
          <w:rFonts w:hint="eastAsia"/>
          <w:b/>
          <w:i w:val="0"/>
          <w:iCs w:val="0"/>
          <w:snapToGrid w:val="0"/>
          <w:color w:val="000000"/>
          <w:szCs w:val="21"/>
        </w:rPr>
        <w:t xml:space="preserve">  DA003废气估算结果一览表</w:t>
      </w:r>
    </w:p>
    <w:p>
      <w:pPr>
        <w:pStyle w:val="37"/>
        <w:jc w:val="center"/>
        <w:rPr>
          <w:rFonts w:hint="eastAsia"/>
          <w:b/>
          <w:bCs/>
          <w:i w:val="0"/>
          <w:iCs w:val="0"/>
          <w:color w:val="000000"/>
        </w:rPr>
      </w:pPr>
      <w:r>
        <w:rPr>
          <w:i w:val="0"/>
          <w:iCs w:val="0"/>
        </w:rPr>
        <w:drawing>
          <wp:inline distT="0" distB="0" distL="114300" distR="114300">
            <wp:extent cx="3706495" cy="3992245"/>
            <wp:effectExtent l="0" t="0" r="8255" b="8255"/>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44"/>
                    <a:stretch>
                      <a:fillRect/>
                    </a:stretch>
                  </pic:blipFill>
                  <pic:spPr>
                    <a:xfrm>
                      <a:off x="0" y="0"/>
                      <a:ext cx="3706495" cy="3992245"/>
                    </a:xfrm>
                    <a:prstGeom prst="rect">
                      <a:avLst/>
                    </a:prstGeom>
                    <a:noFill/>
                    <a:ln>
                      <a:noFill/>
                    </a:ln>
                  </pic:spPr>
                </pic:pic>
              </a:graphicData>
            </a:graphic>
          </wp:inline>
        </w:drawing>
      </w:r>
    </w:p>
    <w:p>
      <w:pPr>
        <w:pStyle w:val="37"/>
        <w:spacing w:line="360" w:lineRule="auto"/>
        <w:ind w:firstLine="3132" w:firstLineChars="1300"/>
        <w:rPr>
          <w:rFonts w:hint="eastAsia"/>
          <w:b/>
          <w:bCs/>
          <w:i w:val="0"/>
          <w:iCs w:val="0"/>
          <w:color w:val="000000"/>
        </w:rPr>
      </w:pPr>
    </w:p>
    <w:p>
      <w:pPr>
        <w:rPr>
          <w:rFonts w:hint="eastAsia"/>
          <w:b/>
          <w:bCs/>
          <w:i w:val="0"/>
          <w:iCs w:val="0"/>
          <w:color w:val="000000"/>
        </w:rPr>
      </w:pPr>
    </w:p>
    <w:p>
      <w:pPr>
        <w:pStyle w:val="57"/>
        <w:rPr>
          <w:rFonts w:hint="eastAsia"/>
          <w:b/>
          <w:bCs/>
          <w:i w:val="0"/>
          <w:iCs w:val="0"/>
          <w:color w:val="000000"/>
        </w:rPr>
      </w:pPr>
    </w:p>
    <w:p>
      <w:pPr>
        <w:rPr>
          <w:rFonts w:hint="eastAsia"/>
          <w:b/>
          <w:bCs/>
          <w:i w:val="0"/>
          <w:iCs w:val="0"/>
          <w:color w:val="000000"/>
        </w:rPr>
      </w:pPr>
    </w:p>
    <w:p>
      <w:pPr>
        <w:pStyle w:val="57"/>
        <w:rPr>
          <w:rFonts w:hint="eastAsia"/>
          <w:i w:val="0"/>
          <w:iCs w:val="0"/>
        </w:rPr>
      </w:pPr>
    </w:p>
    <w:p>
      <w:pPr>
        <w:adjustRightInd w:val="0"/>
        <w:snapToGrid w:val="0"/>
        <w:jc w:val="center"/>
        <w:rPr>
          <w:rFonts w:hint="eastAsia"/>
          <w:b/>
          <w:i w:val="0"/>
          <w:iCs w:val="0"/>
          <w:snapToGrid w:val="0"/>
          <w:color w:val="000000"/>
          <w:szCs w:val="21"/>
        </w:rPr>
      </w:pPr>
      <w:r>
        <w:rPr>
          <w:rFonts w:hint="eastAsia"/>
          <w:b/>
          <w:i w:val="0"/>
          <w:iCs w:val="0"/>
          <w:snapToGrid w:val="0"/>
          <w:color w:val="000000"/>
          <w:szCs w:val="21"/>
        </w:rPr>
        <w:t>表5-1</w:t>
      </w:r>
      <w:r>
        <w:rPr>
          <w:rFonts w:hint="eastAsia"/>
          <w:b/>
          <w:i w:val="0"/>
          <w:iCs w:val="0"/>
          <w:snapToGrid w:val="0"/>
          <w:color w:val="000000"/>
          <w:szCs w:val="21"/>
          <w:lang w:val="en-US" w:eastAsia="zh-CN"/>
        </w:rPr>
        <w:t>4</w:t>
      </w:r>
      <w:r>
        <w:rPr>
          <w:rFonts w:hint="eastAsia"/>
          <w:b/>
          <w:i w:val="0"/>
          <w:iCs w:val="0"/>
          <w:snapToGrid w:val="0"/>
          <w:color w:val="000000"/>
          <w:szCs w:val="21"/>
        </w:rPr>
        <w:t xml:space="preserve">  DA00</w:t>
      </w:r>
      <w:r>
        <w:rPr>
          <w:rFonts w:hint="eastAsia"/>
          <w:b/>
          <w:i w:val="0"/>
          <w:iCs w:val="0"/>
          <w:snapToGrid w:val="0"/>
          <w:color w:val="000000"/>
          <w:szCs w:val="21"/>
          <w:lang w:val="en-US" w:eastAsia="zh-CN"/>
        </w:rPr>
        <w:t>4</w:t>
      </w:r>
      <w:r>
        <w:rPr>
          <w:rFonts w:hint="eastAsia"/>
          <w:b/>
          <w:i w:val="0"/>
          <w:iCs w:val="0"/>
          <w:snapToGrid w:val="0"/>
          <w:color w:val="000000"/>
          <w:szCs w:val="21"/>
        </w:rPr>
        <w:t>废气估算结果一览表</w:t>
      </w:r>
    </w:p>
    <w:p>
      <w:pPr>
        <w:pStyle w:val="37"/>
        <w:jc w:val="center"/>
        <w:rPr>
          <w:rFonts w:hint="eastAsia"/>
          <w:b/>
          <w:bCs/>
          <w:i w:val="0"/>
          <w:iCs w:val="0"/>
          <w:color w:val="000000"/>
        </w:rPr>
      </w:pPr>
      <w:r>
        <w:rPr>
          <w:i w:val="0"/>
          <w:iCs w:val="0"/>
        </w:rPr>
        <w:drawing>
          <wp:inline distT="0" distB="0" distL="114300" distR="114300">
            <wp:extent cx="3706495" cy="3992245"/>
            <wp:effectExtent l="0" t="0" r="8255" b="8255"/>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pic:cNvPicPr>
                      <a:picLocks noChangeAspect="1"/>
                    </pic:cNvPicPr>
                  </pic:nvPicPr>
                  <pic:blipFill>
                    <a:blip r:embed="rId44"/>
                    <a:stretch>
                      <a:fillRect/>
                    </a:stretch>
                  </pic:blipFill>
                  <pic:spPr>
                    <a:xfrm>
                      <a:off x="0" y="0"/>
                      <a:ext cx="3706495" cy="3992245"/>
                    </a:xfrm>
                    <a:prstGeom prst="rect">
                      <a:avLst/>
                    </a:prstGeom>
                    <a:noFill/>
                    <a:ln>
                      <a:noFill/>
                    </a:ln>
                  </pic:spPr>
                </pic:pic>
              </a:graphicData>
            </a:graphic>
          </wp:inline>
        </w:drawing>
      </w:r>
    </w:p>
    <w:p>
      <w:pPr>
        <w:rPr>
          <w:rFonts w:hint="eastAsia"/>
          <w:b/>
          <w:bCs/>
          <w:i w:val="0"/>
          <w:iCs w:val="0"/>
          <w:color w:val="000000"/>
        </w:rPr>
      </w:pPr>
    </w:p>
    <w:p>
      <w:pPr>
        <w:adjustRightInd w:val="0"/>
        <w:snapToGrid w:val="0"/>
        <w:jc w:val="center"/>
        <w:rPr>
          <w:rFonts w:hint="eastAsia"/>
          <w:b/>
          <w:i w:val="0"/>
          <w:iCs w:val="0"/>
          <w:snapToGrid w:val="0"/>
          <w:color w:val="000000"/>
          <w:szCs w:val="21"/>
        </w:rPr>
      </w:pPr>
      <w:r>
        <w:rPr>
          <w:rFonts w:hint="eastAsia"/>
          <w:b/>
          <w:i w:val="0"/>
          <w:iCs w:val="0"/>
          <w:snapToGrid w:val="0"/>
          <w:color w:val="000000"/>
          <w:szCs w:val="21"/>
        </w:rPr>
        <w:t>表5-1</w:t>
      </w:r>
      <w:r>
        <w:rPr>
          <w:rFonts w:hint="eastAsia"/>
          <w:b/>
          <w:i w:val="0"/>
          <w:iCs w:val="0"/>
          <w:snapToGrid w:val="0"/>
          <w:color w:val="000000"/>
          <w:szCs w:val="21"/>
          <w:lang w:val="en-US" w:eastAsia="zh-CN"/>
        </w:rPr>
        <w:t>5</w:t>
      </w:r>
      <w:r>
        <w:rPr>
          <w:rFonts w:hint="eastAsia"/>
          <w:b/>
          <w:i w:val="0"/>
          <w:iCs w:val="0"/>
          <w:snapToGrid w:val="0"/>
          <w:color w:val="000000"/>
          <w:szCs w:val="21"/>
        </w:rPr>
        <w:t xml:space="preserve"> 污水站无组织废气估算结果一览表</w:t>
      </w:r>
    </w:p>
    <w:p>
      <w:pPr>
        <w:adjustRightInd w:val="0"/>
        <w:snapToGrid w:val="0"/>
        <w:jc w:val="center"/>
        <w:rPr>
          <w:rFonts w:hint="eastAsia"/>
          <w:b/>
          <w:i w:val="0"/>
          <w:iCs w:val="0"/>
          <w:snapToGrid w:val="0"/>
          <w:color w:val="000000"/>
          <w:szCs w:val="21"/>
        </w:rPr>
      </w:pPr>
    </w:p>
    <w:p>
      <w:pPr>
        <w:tabs>
          <w:tab w:val="left" w:pos="1955"/>
          <w:tab w:val="center" w:pos="4594"/>
        </w:tabs>
        <w:adjustRightInd w:val="0"/>
        <w:snapToGrid w:val="0"/>
        <w:jc w:val="left"/>
        <w:rPr>
          <w:rFonts w:hint="eastAsia"/>
          <w:b/>
          <w:i w:val="0"/>
          <w:iCs w:val="0"/>
          <w:snapToGrid w:val="0"/>
          <w:color w:val="000000"/>
          <w:szCs w:val="21"/>
          <w:lang w:eastAsia="zh-CN"/>
        </w:rPr>
      </w:pPr>
      <w:r>
        <w:rPr>
          <w:rFonts w:hint="eastAsia"/>
          <w:b/>
          <w:bCs/>
          <w:i w:val="0"/>
          <w:iCs w:val="0"/>
          <w:color w:val="000000"/>
        </w:rPr>
        <w:drawing>
          <wp:anchor distT="0" distB="0" distL="114300" distR="114300" simplePos="0" relativeHeight="251666432" behindDoc="0" locked="0" layoutInCell="1" allowOverlap="1">
            <wp:simplePos x="0" y="0"/>
            <wp:positionH relativeFrom="column">
              <wp:posOffset>1230630</wp:posOffset>
            </wp:positionH>
            <wp:positionV relativeFrom="paragraph">
              <wp:posOffset>20955</wp:posOffset>
            </wp:positionV>
            <wp:extent cx="3366135" cy="3568700"/>
            <wp:effectExtent l="0" t="0" r="5715" b="12700"/>
            <wp:wrapTopAndBottom/>
            <wp:docPr id="5" name="图片 1062" descr="73b35c7a8b86c14d1bfa366c7d86b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62" descr="73b35c7a8b86c14d1bfa366c7d86b19"/>
                    <pic:cNvPicPr>
                      <a:picLocks noChangeAspect="1"/>
                    </pic:cNvPicPr>
                  </pic:nvPicPr>
                  <pic:blipFill>
                    <a:blip r:embed="rId45"/>
                    <a:stretch>
                      <a:fillRect/>
                    </a:stretch>
                  </pic:blipFill>
                  <pic:spPr>
                    <a:xfrm>
                      <a:off x="0" y="0"/>
                      <a:ext cx="3366135" cy="3568700"/>
                    </a:xfrm>
                    <a:prstGeom prst="rect">
                      <a:avLst/>
                    </a:prstGeom>
                    <a:noFill/>
                    <a:ln>
                      <a:noFill/>
                    </a:ln>
                  </pic:spPr>
                </pic:pic>
              </a:graphicData>
            </a:graphic>
          </wp:anchor>
        </w:drawing>
      </w:r>
      <w:r>
        <w:rPr>
          <w:rFonts w:hint="eastAsia"/>
          <w:b/>
          <w:i w:val="0"/>
          <w:iCs w:val="0"/>
          <w:snapToGrid w:val="0"/>
          <w:color w:val="000000"/>
          <w:szCs w:val="21"/>
          <w:lang w:eastAsia="zh-CN"/>
        </w:rPr>
        <w:tab/>
      </w:r>
    </w:p>
    <w:p>
      <w:pPr>
        <w:tabs>
          <w:tab w:val="left" w:pos="1955"/>
          <w:tab w:val="center" w:pos="4594"/>
        </w:tabs>
        <w:adjustRightInd w:val="0"/>
        <w:snapToGrid w:val="0"/>
        <w:jc w:val="left"/>
        <w:rPr>
          <w:rFonts w:hint="eastAsia"/>
          <w:b/>
          <w:i w:val="0"/>
          <w:iCs w:val="0"/>
          <w:snapToGrid w:val="0"/>
          <w:color w:val="000000"/>
          <w:szCs w:val="21"/>
          <w:lang w:eastAsia="zh-CN"/>
        </w:rPr>
      </w:pPr>
    </w:p>
    <w:p>
      <w:pPr>
        <w:tabs>
          <w:tab w:val="left" w:pos="1955"/>
          <w:tab w:val="center" w:pos="4594"/>
        </w:tabs>
        <w:adjustRightInd w:val="0"/>
        <w:snapToGrid w:val="0"/>
        <w:jc w:val="left"/>
        <w:rPr>
          <w:rFonts w:hint="eastAsia"/>
          <w:b/>
          <w:i w:val="0"/>
          <w:iCs w:val="0"/>
          <w:snapToGrid w:val="0"/>
          <w:color w:val="000000"/>
          <w:szCs w:val="21"/>
        </w:rPr>
      </w:pPr>
      <w:r>
        <w:rPr>
          <w:rFonts w:hint="eastAsia"/>
          <w:b/>
          <w:i w:val="0"/>
          <w:iCs w:val="0"/>
          <w:snapToGrid w:val="0"/>
          <w:color w:val="000000"/>
          <w:szCs w:val="21"/>
          <w:lang w:eastAsia="zh-CN"/>
        </w:rPr>
        <w:tab/>
      </w:r>
      <w:r>
        <w:rPr>
          <w:rFonts w:hint="eastAsia"/>
          <w:b/>
          <w:i w:val="0"/>
          <w:iCs w:val="0"/>
          <w:snapToGrid w:val="0"/>
          <w:color w:val="000000"/>
          <w:szCs w:val="21"/>
        </w:rPr>
        <w:t>表5-1</w:t>
      </w:r>
      <w:r>
        <w:rPr>
          <w:rFonts w:hint="eastAsia"/>
          <w:b/>
          <w:i w:val="0"/>
          <w:iCs w:val="0"/>
          <w:snapToGrid w:val="0"/>
          <w:color w:val="000000"/>
          <w:szCs w:val="21"/>
          <w:lang w:val="en-US" w:eastAsia="zh-CN"/>
        </w:rPr>
        <w:t>6</w:t>
      </w:r>
      <w:r>
        <w:rPr>
          <w:rFonts w:hint="eastAsia"/>
          <w:b/>
          <w:i w:val="0"/>
          <w:iCs w:val="0"/>
          <w:snapToGrid w:val="0"/>
          <w:color w:val="000000"/>
          <w:szCs w:val="21"/>
        </w:rPr>
        <w:t xml:space="preserve">  发酵车间无组织废气估算结果一览表</w:t>
      </w:r>
    </w:p>
    <w:p>
      <w:pPr>
        <w:pStyle w:val="77"/>
        <w:spacing w:before="48" w:after="48"/>
        <w:jc w:val="center"/>
        <w:rPr>
          <w:rFonts w:hint="eastAsia"/>
          <w:b/>
          <w:bCs/>
          <w:i w:val="0"/>
          <w:iCs w:val="0"/>
          <w:color w:val="000000"/>
        </w:rPr>
      </w:pPr>
      <w:r>
        <w:rPr>
          <w:i w:val="0"/>
          <w:iCs w:val="0"/>
        </w:rPr>
        <w:drawing>
          <wp:inline distT="0" distB="0" distL="114300" distR="114300">
            <wp:extent cx="3819525" cy="4657725"/>
            <wp:effectExtent l="0" t="0" r="9525" b="9525"/>
            <wp:docPr id="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pic:cNvPicPr>
                      <a:picLocks noChangeAspect="1"/>
                    </pic:cNvPicPr>
                  </pic:nvPicPr>
                  <pic:blipFill>
                    <a:blip r:embed="rId46"/>
                    <a:stretch>
                      <a:fillRect/>
                    </a:stretch>
                  </pic:blipFill>
                  <pic:spPr>
                    <a:xfrm>
                      <a:off x="0" y="0"/>
                      <a:ext cx="3819525" cy="4657725"/>
                    </a:xfrm>
                    <a:prstGeom prst="rect">
                      <a:avLst/>
                    </a:prstGeom>
                    <a:noFill/>
                    <a:ln>
                      <a:noFill/>
                    </a:ln>
                  </pic:spPr>
                </pic:pic>
              </a:graphicData>
            </a:graphic>
          </wp:inline>
        </w:drawing>
      </w:r>
    </w:p>
    <w:p>
      <w:pPr>
        <w:adjustRightInd w:val="0"/>
        <w:snapToGrid w:val="0"/>
        <w:jc w:val="center"/>
        <w:rPr>
          <w:b/>
          <w:i w:val="0"/>
          <w:iCs w:val="0"/>
          <w:snapToGrid w:val="0"/>
          <w:color w:val="000000"/>
          <w:szCs w:val="21"/>
        </w:rPr>
      </w:pPr>
      <w:r>
        <w:rPr>
          <w:b/>
          <w:i w:val="0"/>
          <w:iCs w:val="0"/>
          <w:snapToGrid w:val="0"/>
          <w:color w:val="000000"/>
          <w:szCs w:val="21"/>
        </w:rPr>
        <w:t>表5-</w:t>
      </w:r>
      <w:r>
        <w:rPr>
          <w:rFonts w:hint="eastAsia"/>
          <w:b/>
          <w:i w:val="0"/>
          <w:iCs w:val="0"/>
          <w:snapToGrid w:val="0"/>
          <w:color w:val="000000"/>
          <w:szCs w:val="21"/>
        </w:rPr>
        <w:t>1</w:t>
      </w:r>
      <w:r>
        <w:rPr>
          <w:rFonts w:hint="eastAsia"/>
          <w:b/>
          <w:i w:val="0"/>
          <w:iCs w:val="0"/>
          <w:snapToGrid w:val="0"/>
          <w:color w:val="000000"/>
          <w:szCs w:val="21"/>
          <w:lang w:val="en-US" w:eastAsia="zh-CN"/>
        </w:rPr>
        <w:t>7</w:t>
      </w:r>
      <w:r>
        <w:rPr>
          <w:b/>
          <w:i w:val="0"/>
          <w:iCs w:val="0"/>
          <w:snapToGrid w:val="0"/>
          <w:color w:val="000000"/>
          <w:szCs w:val="21"/>
        </w:rPr>
        <w:t xml:space="preserve">  </w:t>
      </w:r>
      <w:r>
        <w:rPr>
          <w:rFonts w:hint="eastAsia"/>
          <w:b/>
          <w:i w:val="0"/>
          <w:iCs w:val="0"/>
          <w:snapToGrid w:val="0"/>
          <w:color w:val="000000"/>
          <w:szCs w:val="21"/>
        </w:rPr>
        <w:t>占标率</w:t>
      </w:r>
      <w:r>
        <w:rPr>
          <w:b/>
          <w:i w:val="0"/>
          <w:iCs w:val="0"/>
          <w:snapToGrid w:val="0"/>
          <w:color w:val="000000"/>
          <w:szCs w:val="21"/>
        </w:rPr>
        <w:t>和</w:t>
      </w:r>
      <w:r>
        <w:rPr>
          <w:rFonts w:hint="eastAsia"/>
          <w:b/>
          <w:i w:val="0"/>
          <w:iCs w:val="0"/>
          <w:snapToGrid w:val="0"/>
          <w:color w:val="000000"/>
          <w:szCs w:val="21"/>
        </w:rPr>
        <w:t>离源距离</w:t>
      </w:r>
      <w:r>
        <w:rPr>
          <w:b/>
          <w:i w:val="0"/>
          <w:iCs w:val="0"/>
          <w:snapToGrid w:val="0"/>
          <w:color w:val="000000"/>
          <w:szCs w:val="21"/>
        </w:rPr>
        <w:t>和计算结果一览表</w:t>
      </w:r>
    </w:p>
    <w:tbl>
      <w:tblPr>
        <w:tblStyle w:val="58"/>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18"/>
        <w:gridCol w:w="1658"/>
        <w:gridCol w:w="2321"/>
        <w:gridCol w:w="2018"/>
        <w:gridCol w:w="15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925" w:type="pct"/>
            <w:noWrap w:val="0"/>
            <w:vAlign w:val="center"/>
          </w:tcPr>
          <w:p>
            <w:pPr>
              <w:pStyle w:val="408"/>
              <w:adjustRightInd w:val="0"/>
              <w:snapToGrid w:val="0"/>
              <w:spacing w:line="240" w:lineRule="auto"/>
              <w:textAlignment w:val="baseline"/>
              <w:rPr>
                <w:i w:val="0"/>
                <w:iCs w:val="0"/>
                <w:color w:val="000000"/>
                <w:szCs w:val="21"/>
              </w:rPr>
            </w:pPr>
            <w:r>
              <w:rPr>
                <w:i w:val="0"/>
                <w:iCs w:val="0"/>
                <w:color w:val="000000"/>
                <w:szCs w:val="21"/>
              </w:rPr>
              <w:t>污染源名称</w:t>
            </w:r>
          </w:p>
        </w:tc>
        <w:tc>
          <w:tcPr>
            <w:tcW w:w="893" w:type="pct"/>
            <w:noWrap w:val="0"/>
            <w:vAlign w:val="center"/>
          </w:tcPr>
          <w:p>
            <w:pPr>
              <w:pStyle w:val="408"/>
              <w:adjustRightInd w:val="0"/>
              <w:snapToGrid w:val="0"/>
              <w:spacing w:line="240" w:lineRule="auto"/>
              <w:textAlignment w:val="baseline"/>
              <w:rPr>
                <w:i w:val="0"/>
                <w:iCs w:val="0"/>
                <w:color w:val="000000"/>
                <w:szCs w:val="21"/>
              </w:rPr>
            </w:pPr>
            <w:r>
              <w:rPr>
                <w:i w:val="0"/>
                <w:iCs w:val="0"/>
                <w:color w:val="000000"/>
                <w:szCs w:val="21"/>
              </w:rPr>
              <w:t>评价因子</w:t>
            </w:r>
          </w:p>
        </w:tc>
        <w:tc>
          <w:tcPr>
            <w:tcW w:w="1250" w:type="pct"/>
            <w:noWrap w:val="0"/>
            <w:vAlign w:val="center"/>
          </w:tcPr>
          <w:p>
            <w:pPr>
              <w:pStyle w:val="408"/>
              <w:adjustRightInd w:val="0"/>
              <w:snapToGrid w:val="0"/>
              <w:spacing w:line="240" w:lineRule="auto"/>
              <w:textAlignment w:val="baseline"/>
              <w:rPr>
                <w:rFonts w:hint="eastAsia"/>
                <w:i w:val="0"/>
                <w:iCs w:val="0"/>
                <w:color w:val="000000"/>
                <w:szCs w:val="21"/>
              </w:rPr>
            </w:pPr>
            <w:r>
              <w:rPr>
                <w:i w:val="0"/>
                <w:iCs w:val="0"/>
                <w:color w:val="000000"/>
                <w:szCs w:val="21"/>
              </w:rPr>
              <w:t>占标率（%）</w:t>
            </w:r>
          </w:p>
        </w:tc>
        <w:tc>
          <w:tcPr>
            <w:tcW w:w="1087" w:type="pc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离源</w:t>
            </w:r>
            <w:r>
              <w:rPr>
                <w:i w:val="0"/>
                <w:iCs w:val="0"/>
                <w:color w:val="000000"/>
                <w:szCs w:val="21"/>
              </w:rPr>
              <w:t>距离（m）</w:t>
            </w:r>
          </w:p>
        </w:tc>
        <w:tc>
          <w:tcPr>
            <w:tcW w:w="843" w:type="pct"/>
            <w:noWrap w:val="0"/>
            <w:vAlign w:val="center"/>
          </w:tcPr>
          <w:p>
            <w:pPr>
              <w:pStyle w:val="408"/>
              <w:adjustRightInd w:val="0"/>
              <w:snapToGrid w:val="0"/>
              <w:spacing w:line="240" w:lineRule="auto"/>
              <w:textAlignment w:val="baseline"/>
              <w:rPr>
                <w:i w:val="0"/>
                <w:iCs w:val="0"/>
                <w:color w:val="000000"/>
                <w:szCs w:val="21"/>
              </w:rPr>
            </w:pPr>
            <w:r>
              <w:rPr>
                <w:i w:val="0"/>
                <w:iCs w:val="0"/>
                <w:color w:val="000000"/>
                <w:szCs w:val="21"/>
              </w:rPr>
              <w:t>大气评价等级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18" w:type="dxa"/>
            <w:vMerge w:val="restart"/>
            <w:noWrap w:val="0"/>
            <w:vAlign w:val="center"/>
          </w:tcPr>
          <w:p>
            <w:pPr>
              <w:pStyle w:val="37"/>
              <w:spacing w:line="240" w:lineRule="auto"/>
              <w:ind w:left="-72" w:leftChars="-30" w:right="-72" w:rightChars="-30" w:firstLine="0" w:firstLineChars="0"/>
              <w:jc w:val="center"/>
              <w:rPr>
                <w:rFonts w:hint="eastAsia"/>
                <w:i w:val="0"/>
                <w:iCs w:val="0"/>
                <w:color w:val="000000"/>
                <w:szCs w:val="21"/>
              </w:rPr>
            </w:pPr>
            <w:r>
              <w:rPr>
                <w:rFonts w:hint="eastAsia"/>
                <w:i w:val="0"/>
                <w:iCs w:val="0"/>
                <w:sz w:val="21"/>
                <w:szCs w:val="21"/>
              </w:rPr>
              <w:t>污水站</w:t>
            </w:r>
          </w:p>
        </w:tc>
        <w:tc>
          <w:tcPr>
            <w:tcW w:w="893" w:type="pc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氨</w:t>
            </w:r>
          </w:p>
        </w:tc>
        <w:tc>
          <w:tcPr>
            <w:tcW w:w="1250" w:type="pct"/>
            <w:noWrap w:val="0"/>
            <w:vAlign w:val="center"/>
          </w:tcPr>
          <w:p>
            <w:pPr>
              <w:pStyle w:val="408"/>
              <w:adjustRightInd w:val="0"/>
              <w:snapToGrid w:val="0"/>
              <w:spacing w:line="240" w:lineRule="auto"/>
              <w:textAlignment w:val="baseline"/>
              <w:rPr>
                <w:rFonts w:hint="eastAsia" w:eastAsia="宋体"/>
                <w:i w:val="0"/>
                <w:iCs w:val="0"/>
                <w:color w:val="000000"/>
                <w:szCs w:val="21"/>
                <w:lang w:eastAsia="zh-CN"/>
              </w:rPr>
            </w:pPr>
            <w:r>
              <w:rPr>
                <w:rFonts w:hint="eastAsia"/>
                <w:i w:val="0"/>
                <w:iCs w:val="0"/>
                <w:color w:val="000000"/>
                <w:szCs w:val="21"/>
              </w:rPr>
              <w:t>0.0</w:t>
            </w:r>
            <w:r>
              <w:rPr>
                <w:rFonts w:hint="eastAsia"/>
                <w:i w:val="0"/>
                <w:iCs w:val="0"/>
                <w:color w:val="000000"/>
                <w:szCs w:val="21"/>
                <w:lang w:val="en-US" w:eastAsia="zh-CN"/>
              </w:rPr>
              <w:t>8</w:t>
            </w:r>
          </w:p>
        </w:tc>
        <w:tc>
          <w:tcPr>
            <w:tcW w:w="1087" w:type="pct"/>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lang w:val="en-US" w:eastAsia="zh-CN"/>
              </w:rPr>
              <w:t>24</w:t>
            </w:r>
          </w:p>
        </w:tc>
        <w:tc>
          <w:tcPr>
            <w:tcW w:w="843" w:type="pc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925" w:type="pct"/>
            <w:vMerge w:val="continue"/>
            <w:noWrap w:val="0"/>
            <w:vAlign w:val="center"/>
          </w:tcPr>
          <w:p>
            <w:pPr>
              <w:pStyle w:val="408"/>
              <w:adjustRightInd w:val="0"/>
              <w:snapToGrid w:val="0"/>
              <w:spacing w:line="240" w:lineRule="auto"/>
              <w:textAlignment w:val="baseline"/>
              <w:rPr>
                <w:i w:val="0"/>
                <w:iCs w:val="0"/>
                <w:color w:val="000000"/>
                <w:szCs w:val="21"/>
              </w:rPr>
            </w:pPr>
          </w:p>
        </w:tc>
        <w:tc>
          <w:tcPr>
            <w:tcW w:w="893" w:type="pc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硫化氢</w:t>
            </w:r>
          </w:p>
        </w:tc>
        <w:tc>
          <w:tcPr>
            <w:tcW w:w="1250" w:type="pct"/>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lang w:val="en-US" w:eastAsia="zh-CN"/>
              </w:rPr>
              <w:t>0.15</w:t>
            </w:r>
          </w:p>
        </w:tc>
        <w:tc>
          <w:tcPr>
            <w:tcW w:w="1087" w:type="pct"/>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lang w:val="en-US" w:eastAsia="zh-CN"/>
              </w:rPr>
              <w:t>24</w:t>
            </w:r>
          </w:p>
        </w:tc>
        <w:tc>
          <w:tcPr>
            <w:tcW w:w="843" w:type="pc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1718" w:type="dxa"/>
            <w:vMerge w:val="restart"/>
            <w:noWrap w:val="0"/>
            <w:vAlign w:val="center"/>
          </w:tcPr>
          <w:p>
            <w:pPr>
              <w:pStyle w:val="37"/>
              <w:spacing w:line="240" w:lineRule="auto"/>
              <w:ind w:left="-72" w:leftChars="-30" w:right="-72" w:rightChars="-30" w:firstLine="0" w:firstLineChars="0"/>
              <w:jc w:val="center"/>
              <w:rPr>
                <w:i w:val="0"/>
                <w:iCs w:val="0"/>
                <w:color w:val="000000"/>
                <w:szCs w:val="21"/>
              </w:rPr>
            </w:pPr>
            <w:r>
              <w:rPr>
                <w:rFonts w:hint="eastAsia"/>
                <w:i w:val="0"/>
                <w:iCs w:val="0"/>
                <w:sz w:val="21"/>
                <w:szCs w:val="21"/>
              </w:rPr>
              <w:t>发酵废气</w:t>
            </w:r>
          </w:p>
        </w:tc>
        <w:tc>
          <w:tcPr>
            <w:tcW w:w="893" w:type="pc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氨</w:t>
            </w:r>
          </w:p>
        </w:tc>
        <w:tc>
          <w:tcPr>
            <w:tcW w:w="1250" w:type="pct"/>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lang w:val="en-US" w:eastAsia="zh-CN"/>
              </w:rPr>
              <w:t>0.35</w:t>
            </w:r>
          </w:p>
        </w:tc>
        <w:tc>
          <w:tcPr>
            <w:tcW w:w="1087" w:type="pct"/>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lang w:val="en-US" w:eastAsia="zh-CN"/>
              </w:rPr>
              <w:t>73</w:t>
            </w:r>
          </w:p>
        </w:tc>
        <w:tc>
          <w:tcPr>
            <w:tcW w:w="843" w:type="pct"/>
            <w:noWrap w:val="0"/>
            <w:vAlign w:val="center"/>
          </w:tcPr>
          <w:p>
            <w:pPr>
              <w:pStyle w:val="408"/>
              <w:adjustRightInd w:val="0"/>
              <w:snapToGrid w:val="0"/>
              <w:spacing w:line="240" w:lineRule="auto"/>
              <w:textAlignment w:val="baseline"/>
              <w:rPr>
                <w:rFonts w:hint="eastAsia" w:ascii="Times New Roman" w:hAnsi="Times New Roman" w:eastAsia="宋体" w:cs="Times New Roman"/>
                <w:i w:val="0"/>
                <w:iCs w:val="0"/>
                <w:color w:val="000000"/>
                <w:szCs w:val="21"/>
              </w:rPr>
            </w:pPr>
            <w:r>
              <w:rPr>
                <w:rFonts w:hint="eastAsia" w:ascii="Times New Roman" w:hAnsi="Times New Roman" w:eastAsia="宋体" w:cs="Times New Roman"/>
                <w:i w:val="0"/>
                <w:iCs w:val="0"/>
                <w:color w:val="000000"/>
                <w:szCs w:val="21"/>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pct"/>
            <w:vMerge w:val="continue"/>
            <w:noWrap w:val="0"/>
            <w:vAlign w:val="center"/>
          </w:tcPr>
          <w:p>
            <w:pPr>
              <w:pStyle w:val="408"/>
              <w:adjustRightInd w:val="0"/>
              <w:snapToGrid w:val="0"/>
              <w:spacing w:line="240" w:lineRule="auto"/>
              <w:textAlignment w:val="baseline"/>
              <w:rPr>
                <w:i w:val="0"/>
                <w:iCs w:val="0"/>
                <w:color w:val="000000"/>
                <w:szCs w:val="21"/>
              </w:rPr>
            </w:pPr>
          </w:p>
        </w:tc>
        <w:tc>
          <w:tcPr>
            <w:tcW w:w="893" w:type="pc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非甲烷总烃</w:t>
            </w:r>
          </w:p>
        </w:tc>
        <w:tc>
          <w:tcPr>
            <w:tcW w:w="1250" w:type="pct"/>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lang w:val="en-US" w:eastAsia="zh-CN"/>
              </w:rPr>
              <w:t>0.04</w:t>
            </w:r>
          </w:p>
        </w:tc>
        <w:tc>
          <w:tcPr>
            <w:tcW w:w="1087" w:type="pct"/>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lang w:val="en-US" w:eastAsia="zh-CN"/>
              </w:rPr>
              <w:t>73</w:t>
            </w:r>
          </w:p>
        </w:tc>
        <w:tc>
          <w:tcPr>
            <w:tcW w:w="843" w:type="pct"/>
            <w:noWrap w:val="0"/>
            <w:vAlign w:val="center"/>
          </w:tcPr>
          <w:p>
            <w:pPr>
              <w:pStyle w:val="408"/>
              <w:adjustRightInd w:val="0"/>
              <w:snapToGrid w:val="0"/>
              <w:spacing w:line="240" w:lineRule="auto"/>
              <w:textAlignment w:val="baseline"/>
              <w:rPr>
                <w:rFonts w:hint="eastAsia" w:ascii="Times New Roman" w:hAnsi="Times New Roman" w:eastAsia="宋体" w:cs="Times New Roman"/>
                <w:i w:val="0"/>
                <w:iCs w:val="0"/>
                <w:color w:val="000000"/>
                <w:szCs w:val="21"/>
              </w:rPr>
            </w:pPr>
            <w:r>
              <w:rPr>
                <w:rFonts w:hint="eastAsia" w:ascii="Times New Roman" w:hAnsi="Times New Roman" w:eastAsia="宋体" w:cs="Times New Roman"/>
                <w:i w:val="0"/>
                <w:iCs w:val="0"/>
                <w:color w:val="000000"/>
                <w:szCs w:val="21"/>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18" w:type="dxa"/>
            <w:vMerge w:val="restart"/>
            <w:noWrap w:val="0"/>
            <w:vAlign w:val="center"/>
          </w:tcPr>
          <w:p>
            <w:pPr>
              <w:pStyle w:val="37"/>
              <w:spacing w:line="240" w:lineRule="auto"/>
              <w:ind w:left="-72" w:leftChars="-30" w:right="-72" w:rightChars="-30" w:firstLine="0" w:firstLineChars="0"/>
              <w:jc w:val="center"/>
              <w:rPr>
                <w:rFonts w:hint="eastAsia"/>
                <w:i w:val="0"/>
                <w:iCs w:val="0"/>
                <w:color w:val="000000"/>
                <w:szCs w:val="21"/>
              </w:rPr>
            </w:pPr>
            <w:r>
              <w:rPr>
                <w:rFonts w:hint="eastAsia"/>
                <w:i w:val="0"/>
                <w:iCs w:val="0"/>
                <w:sz w:val="21"/>
                <w:szCs w:val="21"/>
                <w:lang w:val="en-US" w:eastAsia="zh-CN"/>
              </w:rPr>
              <w:t>热风炉1烟气及</w:t>
            </w:r>
            <w:r>
              <w:rPr>
                <w:rFonts w:hint="eastAsia"/>
                <w:i w:val="0"/>
                <w:iCs w:val="0"/>
                <w:sz w:val="21"/>
                <w:szCs w:val="21"/>
              </w:rPr>
              <w:t>喷雾干燥塔</w:t>
            </w:r>
            <w:r>
              <w:rPr>
                <w:rFonts w:hint="eastAsia"/>
                <w:i w:val="0"/>
                <w:iCs w:val="0"/>
                <w:sz w:val="21"/>
                <w:szCs w:val="21"/>
                <w:lang w:val="en-US" w:eastAsia="zh-CN"/>
              </w:rPr>
              <w:t>1</w:t>
            </w:r>
            <w:r>
              <w:rPr>
                <w:rFonts w:hint="eastAsia"/>
                <w:i w:val="0"/>
                <w:iCs w:val="0"/>
                <w:sz w:val="21"/>
                <w:szCs w:val="21"/>
              </w:rPr>
              <w:t>喷雾干燥废气</w:t>
            </w:r>
          </w:p>
        </w:tc>
        <w:tc>
          <w:tcPr>
            <w:tcW w:w="1658" w:type="dxa"/>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颗粒物</w:t>
            </w:r>
          </w:p>
        </w:tc>
        <w:tc>
          <w:tcPr>
            <w:tcW w:w="1250" w:type="pct"/>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lang w:val="en-US" w:eastAsia="zh-CN"/>
              </w:rPr>
              <w:t>0.22</w:t>
            </w:r>
          </w:p>
        </w:tc>
        <w:tc>
          <w:tcPr>
            <w:tcW w:w="1087" w:type="pct"/>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lang w:val="en-US" w:eastAsia="zh-CN"/>
              </w:rPr>
              <w:t>100</w:t>
            </w:r>
          </w:p>
        </w:tc>
        <w:tc>
          <w:tcPr>
            <w:tcW w:w="843" w:type="pct"/>
            <w:noWrap w:val="0"/>
            <w:vAlign w:val="center"/>
          </w:tcPr>
          <w:p>
            <w:pPr>
              <w:pStyle w:val="408"/>
              <w:adjustRightInd w:val="0"/>
              <w:snapToGrid w:val="0"/>
              <w:spacing w:line="240" w:lineRule="auto"/>
              <w:textAlignment w:val="baseline"/>
              <w:rPr>
                <w:rFonts w:hint="eastAsia" w:ascii="Times New Roman" w:hAnsi="Times New Roman" w:eastAsia="宋体" w:cs="Times New Roman"/>
                <w:i w:val="0"/>
                <w:iCs w:val="0"/>
                <w:color w:val="000000"/>
                <w:szCs w:val="21"/>
              </w:rPr>
            </w:pPr>
            <w:r>
              <w:rPr>
                <w:rFonts w:hint="eastAsia" w:ascii="Times New Roman" w:hAnsi="Times New Roman" w:eastAsia="宋体" w:cs="Times New Roman"/>
                <w:i w:val="0"/>
                <w:iCs w:val="0"/>
                <w:color w:val="000000"/>
                <w:szCs w:val="21"/>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1658" w:type="dxa"/>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lang w:val="en-US" w:eastAsia="zh-CN"/>
              </w:rPr>
              <w:t>二氧化硫</w:t>
            </w:r>
          </w:p>
        </w:tc>
        <w:tc>
          <w:tcPr>
            <w:tcW w:w="1250" w:type="pct"/>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lang w:val="en-US" w:eastAsia="zh-CN"/>
              </w:rPr>
              <w:t>0.17</w:t>
            </w:r>
          </w:p>
        </w:tc>
        <w:tc>
          <w:tcPr>
            <w:tcW w:w="1087" w:type="pct"/>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lang w:val="en-US" w:eastAsia="zh-CN"/>
              </w:rPr>
              <w:t>100</w:t>
            </w:r>
          </w:p>
        </w:tc>
        <w:tc>
          <w:tcPr>
            <w:tcW w:w="843" w:type="pct"/>
            <w:noWrap w:val="0"/>
            <w:vAlign w:val="center"/>
          </w:tcPr>
          <w:p>
            <w:pPr>
              <w:pStyle w:val="408"/>
              <w:adjustRightInd w:val="0"/>
              <w:snapToGrid w:val="0"/>
              <w:spacing w:line="240" w:lineRule="auto"/>
              <w:textAlignment w:val="baseline"/>
              <w:rPr>
                <w:rFonts w:hint="eastAsia" w:ascii="Times New Roman" w:hAnsi="Times New Roman" w:eastAsia="宋体" w:cs="Times New Roman"/>
                <w:i w:val="0"/>
                <w:iCs w:val="0"/>
                <w:color w:val="000000"/>
                <w:szCs w:val="21"/>
              </w:rPr>
            </w:pPr>
            <w:r>
              <w:rPr>
                <w:rFonts w:hint="eastAsia" w:ascii="Times New Roman" w:hAnsi="Times New Roman" w:eastAsia="宋体" w:cs="Times New Roman"/>
                <w:i w:val="0"/>
                <w:iCs w:val="0"/>
                <w:color w:val="000000"/>
                <w:szCs w:val="21"/>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pct"/>
            <w:vMerge w:val="continue"/>
            <w:noWrap w:val="0"/>
            <w:vAlign w:val="center"/>
          </w:tcPr>
          <w:p>
            <w:pPr>
              <w:pStyle w:val="408"/>
              <w:adjustRightInd w:val="0"/>
              <w:snapToGrid w:val="0"/>
              <w:spacing w:line="240" w:lineRule="auto"/>
              <w:textAlignment w:val="baseline"/>
              <w:rPr>
                <w:i w:val="0"/>
                <w:iCs w:val="0"/>
                <w:color w:val="000000"/>
                <w:szCs w:val="21"/>
              </w:rPr>
            </w:pPr>
          </w:p>
        </w:tc>
        <w:tc>
          <w:tcPr>
            <w:tcW w:w="1658" w:type="dxa"/>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lang w:val="en-US" w:eastAsia="zh-CN"/>
              </w:rPr>
              <w:t>氮氧化物</w:t>
            </w:r>
          </w:p>
        </w:tc>
        <w:tc>
          <w:tcPr>
            <w:tcW w:w="1250" w:type="pct"/>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lang w:val="en-US" w:eastAsia="zh-CN"/>
              </w:rPr>
              <w:t>1.98</w:t>
            </w:r>
          </w:p>
        </w:tc>
        <w:tc>
          <w:tcPr>
            <w:tcW w:w="1087" w:type="pct"/>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lang w:val="en-US" w:eastAsia="zh-CN"/>
              </w:rPr>
              <w:t>100</w:t>
            </w:r>
          </w:p>
        </w:tc>
        <w:tc>
          <w:tcPr>
            <w:tcW w:w="843" w:type="pct"/>
            <w:noWrap w:val="0"/>
            <w:vAlign w:val="center"/>
          </w:tcPr>
          <w:p>
            <w:pPr>
              <w:pStyle w:val="408"/>
              <w:adjustRightInd w:val="0"/>
              <w:snapToGrid w:val="0"/>
              <w:spacing w:line="240" w:lineRule="auto"/>
              <w:textAlignment w:val="baseline"/>
              <w:rPr>
                <w:rFonts w:hint="eastAsia" w:ascii="Times New Roman" w:hAnsi="Times New Roman" w:eastAsia="宋体" w:cs="Times New Roman"/>
                <w:i w:val="0"/>
                <w:iCs w:val="0"/>
                <w:color w:val="000000"/>
                <w:szCs w:val="21"/>
              </w:rPr>
            </w:pPr>
            <w:r>
              <w:rPr>
                <w:rFonts w:hint="eastAsia" w:ascii="Times New Roman" w:hAnsi="Times New Roman" w:eastAsia="宋体" w:cs="Times New Roman"/>
                <w:i w:val="0"/>
                <w:iCs w:val="0"/>
                <w:color w:val="000000"/>
                <w:szCs w:val="21"/>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18" w:type="dxa"/>
            <w:vMerge w:val="restart"/>
            <w:noWrap w:val="0"/>
            <w:vAlign w:val="center"/>
          </w:tcPr>
          <w:p>
            <w:pPr>
              <w:pStyle w:val="37"/>
              <w:spacing w:line="240" w:lineRule="auto"/>
              <w:ind w:left="-72" w:leftChars="-30" w:right="-72" w:rightChars="-30" w:firstLine="0" w:firstLineChars="0"/>
              <w:jc w:val="center"/>
              <w:rPr>
                <w:i w:val="0"/>
                <w:iCs w:val="0"/>
                <w:color w:val="000000"/>
                <w:szCs w:val="21"/>
              </w:rPr>
            </w:pPr>
            <w:r>
              <w:rPr>
                <w:rFonts w:hint="eastAsia"/>
                <w:i w:val="0"/>
                <w:iCs w:val="0"/>
                <w:sz w:val="21"/>
                <w:szCs w:val="21"/>
                <w:lang w:val="en-US" w:eastAsia="zh-CN"/>
              </w:rPr>
              <w:t>热风炉2烟气及</w:t>
            </w:r>
            <w:r>
              <w:rPr>
                <w:rFonts w:hint="eastAsia"/>
                <w:i w:val="0"/>
                <w:iCs w:val="0"/>
                <w:sz w:val="21"/>
                <w:szCs w:val="21"/>
              </w:rPr>
              <w:t>喷雾干燥塔</w:t>
            </w:r>
            <w:r>
              <w:rPr>
                <w:rFonts w:hint="eastAsia"/>
                <w:i w:val="0"/>
                <w:iCs w:val="0"/>
                <w:sz w:val="21"/>
                <w:szCs w:val="21"/>
                <w:lang w:val="en-US" w:eastAsia="zh-CN"/>
              </w:rPr>
              <w:t>2</w:t>
            </w:r>
            <w:r>
              <w:rPr>
                <w:rFonts w:hint="eastAsia"/>
                <w:i w:val="0"/>
                <w:iCs w:val="0"/>
                <w:sz w:val="21"/>
                <w:szCs w:val="21"/>
              </w:rPr>
              <w:t>喷雾干燥废气</w:t>
            </w:r>
          </w:p>
        </w:tc>
        <w:tc>
          <w:tcPr>
            <w:tcW w:w="1658" w:type="dxa"/>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颗粒物</w:t>
            </w:r>
          </w:p>
        </w:tc>
        <w:tc>
          <w:tcPr>
            <w:tcW w:w="2321" w:type="dxa"/>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lang w:val="en-US" w:eastAsia="zh-CN"/>
              </w:rPr>
              <w:t>0.22</w:t>
            </w:r>
          </w:p>
        </w:tc>
        <w:tc>
          <w:tcPr>
            <w:tcW w:w="2018" w:type="dxa"/>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lang w:val="en-US" w:eastAsia="zh-CN"/>
              </w:rPr>
              <w:t>100</w:t>
            </w:r>
          </w:p>
        </w:tc>
        <w:tc>
          <w:tcPr>
            <w:tcW w:w="843" w:type="pct"/>
            <w:noWrap w:val="0"/>
            <w:vAlign w:val="center"/>
          </w:tcPr>
          <w:p>
            <w:pPr>
              <w:pStyle w:val="408"/>
              <w:adjustRightInd w:val="0"/>
              <w:snapToGrid w:val="0"/>
              <w:spacing w:line="240" w:lineRule="auto"/>
              <w:textAlignment w:val="baseline"/>
              <w:rPr>
                <w:rFonts w:hint="eastAsia" w:ascii="Times New Roman" w:hAnsi="Times New Roman" w:eastAsia="宋体" w:cs="Times New Roman"/>
                <w:i w:val="0"/>
                <w:iCs w:val="0"/>
                <w:color w:val="000000"/>
                <w:szCs w:val="21"/>
              </w:rPr>
            </w:pPr>
            <w:r>
              <w:rPr>
                <w:rFonts w:hint="eastAsia" w:ascii="Times New Roman" w:hAnsi="Times New Roman" w:eastAsia="宋体" w:cs="Times New Roman"/>
                <w:i w:val="0"/>
                <w:iCs w:val="0"/>
                <w:color w:val="000000"/>
                <w:szCs w:val="21"/>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pct"/>
            <w:vMerge w:val="continue"/>
            <w:noWrap w:val="0"/>
            <w:vAlign w:val="center"/>
          </w:tcPr>
          <w:p>
            <w:pPr>
              <w:pStyle w:val="408"/>
              <w:adjustRightInd w:val="0"/>
              <w:snapToGrid w:val="0"/>
              <w:spacing w:line="240" w:lineRule="auto"/>
              <w:textAlignment w:val="baseline"/>
              <w:rPr>
                <w:i w:val="0"/>
                <w:iCs w:val="0"/>
                <w:color w:val="000000"/>
                <w:szCs w:val="21"/>
              </w:rPr>
            </w:pPr>
          </w:p>
        </w:tc>
        <w:tc>
          <w:tcPr>
            <w:tcW w:w="1658" w:type="dxa"/>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lang w:val="en-US" w:eastAsia="zh-CN"/>
              </w:rPr>
              <w:t>二氧化硫</w:t>
            </w:r>
          </w:p>
        </w:tc>
        <w:tc>
          <w:tcPr>
            <w:tcW w:w="2321" w:type="dxa"/>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lang w:val="en-US" w:eastAsia="zh-CN"/>
              </w:rPr>
              <w:t>0.17</w:t>
            </w:r>
          </w:p>
        </w:tc>
        <w:tc>
          <w:tcPr>
            <w:tcW w:w="2018" w:type="dxa"/>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lang w:val="en-US" w:eastAsia="zh-CN"/>
              </w:rPr>
              <w:t>100</w:t>
            </w:r>
          </w:p>
        </w:tc>
        <w:tc>
          <w:tcPr>
            <w:tcW w:w="843" w:type="pct"/>
            <w:noWrap w:val="0"/>
            <w:vAlign w:val="center"/>
          </w:tcPr>
          <w:p>
            <w:pPr>
              <w:pStyle w:val="408"/>
              <w:adjustRightInd w:val="0"/>
              <w:snapToGrid w:val="0"/>
              <w:spacing w:line="240" w:lineRule="auto"/>
              <w:textAlignment w:val="baseline"/>
              <w:rPr>
                <w:rFonts w:hint="eastAsia" w:ascii="Times New Roman" w:hAnsi="Times New Roman" w:eastAsia="宋体" w:cs="Times New Roman"/>
                <w:i w:val="0"/>
                <w:iCs w:val="0"/>
                <w:color w:val="000000"/>
                <w:szCs w:val="21"/>
              </w:rPr>
            </w:pPr>
            <w:r>
              <w:rPr>
                <w:rFonts w:hint="eastAsia" w:ascii="Times New Roman" w:hAnsi="Times New Roman" w:eastAsia="宋体" w:cs="Times New Roman"/>
                <w:i w:val="0"/>
                <w:iCs w:val="0"/>
                <w:color w:val="000000"/>
                <w:szCs w:val="21"/>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pct"/>
            <w:vMerge w:val="continue"/>
            <w:noWrap w:val="0"/>
            <w:vAlign w:val="center"/>
          </w:tcPr>
          <w:p>
            <w:pPr>
              <w:pStyle w:val="408"/>
              <w:adjustRightInd w:val="0"/>
              <w:snapToGrid w:val="0"/>
              <w:spacing w:line="240" w:lineRule="auto"/>
              <w:textAlignment w:val="baseline"/>
              <w:rPr>
                <w:i w:val="0"/>
                <w:iCs w:val="0"/>
                <w:color w:val="000000"/>
                <w:szCs w:val="21"/>
              </w:rPr>
            </w:pPr>
          </w:p>
        </w:tc>
        <w:tc>
          <w:tcPr>
            <w:tcW w:w="1658" w:type="dxa"/>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lang w:val="en-US" w:eastAsia="zh-CN"/>
              </w:rPr>
              <w:t>氮氧化物</w:t>
            </w:r>
          </w:p>
        </w:tc>
        <w:tc>
          <w:tcPr>
            <w:tcW w:w="2321" w:type="dxa"/>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lang w:val="en-US" w:eastAsia="zh-CN"/>
              </w:rPr>
              <w:t>1.98</w:t>
            </w:r>
          </w:p>
        </w:tc>
        <w:tc>
          <w:tcPr>
            <w:tcW w:w="2018" w:type="dxa"/>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lang w:val="en-US" w:eastAsia="zh-CN"/>
              </w:rPr>
              <w:t>100</w:t>
            </w:r>
          </w:p>
        </w:tc>
        <w:tc>
          <w:tcPr>
            <w:tcW w:w="843" w:type="pct"/>
            <w:noWrap w:val="0"/>
            <w:vAlign w:val="center"/>
          </w:tcPr>
          <w:p>
            <w:pPr>
              <w:pStyle w:val="408"/>
              <w:adjustRightInd w:val="0"/>
              <w:snapToGrid w:val="0"/>
              <w:spacing w:line="240" w:lineRule="auto"/>
              <w:textAlignment w:val="baseline"/>
              <w:rPr>
                <w:rFonts w:hint="eastAsia" w:ascii="Times New Roman" w:hAnsi="Times New Roman" w:eastAsia="宋体" w:cs="Times New Roman"/>
                <w:i w:val="0"/>
                <w:iCs w:val="0"/>
                <w:color w:val="000000"/>
                <w:szCs w:val="21"/>
              </w:rPr>
            </w:pPr>
            <w:r>
              <w:rPr>
                <w:rFonts w:hint="eastAsia" w:ascii="Times New Roman" w:hAnsi="Times New Roman" w:eastAsia="宋体" w:cs="Times New Roman"/>
                <w:i w:val="0"/>
                <w:iCs w:val="0"/>
                <w:color w:val="000000"/>
                <w:szCs w:val="21"/>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925" w:type="pct"/>
            <w:vMerge w:val="restar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污水站无组织废气</w:t>
            </w:r>
          </w:p>
        </w:tc>
        <w:tc>
          <w:tcPr>
            <w:tcW w:w="893" w:type="pc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氨</w:t>
            </w:r>
          </w:p>
        </w:tc>
        <w:tc>
          <w:tcPr>
            <w:tcW w:w="1250" w:type="pc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4.3</w:t>
            </w:r>
          </w:p>
        </w:tc>
        <w:tc>
          <w:tcPr>
            <w:tcW w:w="1087" w:type="pc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48</w:t>
            </w:r>
          </w:p>
        </w:tc>
        <w:tc>
          <w:tcPr>
            <w:tcW w:w="843" w:type="pct"/>
            <w:noWrap w:val="0"/>
            <w:vAlign w:val="center"/>
          </w:tcPr>
          <w:p>
            <w:pPr>
              <w:pStyle w:val="408"/>
              <w:adjustRightInd w:val="0"/>
              <w:snapToGrid w:val="0"/>
              <w:spacing w:line="240" w:lineRule="auto"/>
              <w:textAlignment w:val="baseline"/>
              <w:rPr>
                <w:rFonts w:hint="eastAsia" w:ascii="Times New Roman" w:hAnsi="Times New Roman" w:eastAsia="宋体" w:cs="Times New Roman"/>
                <w:i w:val="0"/>
                <w:iCs w:val="0"/>
                <w:color w:val="000000"/>
                <w:szCs w:val="21"/>
              </w:rPr>
            </w:pPr>
            <w:r>
              <w:rPr>
                <w:rFonts w:hint="eastAsia" w:ascii="Times New Roman" w:hAnsi="Times New Roman" w:eastAsia="宋体" w:cs="Times New Roman"/>
                <w:i w:val="0"/>
                <w:iCs w:val="0"/>
                <w:color w:val="000000"/>
                <w:szCs w:val="21"/>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925"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893" w:type="pc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硫化氢</w:t>
            </w:r>
          </w:p>
        </w:tc>
        <w:tc>
          <w:tcPr>
            <w:tcW w:w="1250" w:type="pc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0.</w:t>
            </w:r>
            <w:r>
              <w:rPr>
                <w:rFonts w:hint="eastAsia"/>
                <w:i w:val="0"/>
                <w:iCs w:val="0"/>
                <w:color w:val="000000"/>
                <w:szCs w:val="21"/>
                <w:lang w:val="en-US" w:eastAsia="zh-CN"/>
              </w:rPr>
              <w:t>3</w:t>
            </w:r>
            <w:r>
              <w:rPr>
                <w:rFonts w:hint="eastAsia"/>
                <w:i w:val="0"/>
                <w:iCs w:val="0"/>
                <w:color w:val="000000"/>
                <w:szCs w:val="21"/>
              </w:rPr>
              <w:t>4</w:t>
            </w:r>
          </w:p>
        </w:tc>
        <w:tc>
          <w:tcPr>
            <w:tcW w:w="1087" w:type="pct"/>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48</w:t>
            </w:r>
          </w:p>
        </w:tc>
        <w:tc>
          <w:tcPr>
            <w:tcW w:w="843" w:type="pct"/>
            <w:noWrap w:val="0"/>
            <w:vAlign w:val="center"/>
          </w:tcPr>
          <w:p>
            <w:pPr>
              <w:pStyle w:val="408"/>
              <w:adjustRightInd w:val="0"/>
              <w:snapToGrid w:val="0"/>
              <w:spacing w:line="240" w:lineRule="auto"/>
              <w:textAlignment w:val="baseline"/>
              <w:rPr>
                <w:rFonts w:hint="eastAsia" w:ascii="Times New Roman" w:hAnsi="Times New Roman" w:eastAsia="宋体" w:cs="Times New Roman"/>
                <w:i w:val="0"/>
                <w:iCs w:val="0"/>
                <w:color w:val="000000"/>
                <w:szCs w:val="21"/>
              </w:rPr>
            </w:pPr>
            <w:r>
              <w:rPr>
                <w:rFonts w:hint="eastAsia" w:ascii="Times New Roman" w:hAnsi="Times New Roman" w:eastAsia="宋体" w:cs="Times New Roman"/>
                <w:i w:val="0"/>
                <w:iCs w:val="0"/>
                <w:color w:val="000000"/>
                <w:szCs w:val="21"/>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925" w:type="pct"/>
            <w:vMerge w:val="restar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发酵车间无组织废气</w:t>
            </w:r>
          </w:p>
        </w:tc>
        <w:tc>
          <w:tcPr>
            <w:tcW w:w="893" w:type="pc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氨</w:t>
            </w:r>
          </w:p>
        </w:tc>
        <w:tc>
          <w:tcPr>
            <w:tcW w:w="1250" w:type="pct"/>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lang w:val="en-US" w:eastAsia="zh-CN"/>
              </w:rPr>
              <w:t>3.1</w:t>
            </w:r>
          </w:p>
        </w:tc>
        <w:tc>
          <w:tcPr>
            <w:tcW w:w="1087" w:type="pct"/>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lang w:val="en-US" w:eastAsia="zh-CN"/>
              </w:rPr>
              <w:t>35</w:t>
            </w:r>
          </w:p>
        </w:tc>
        <w:tc>
          <w:tcPr>
            <w:tcW w:w="843" w:type="pc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893" w:type="pc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非甲烷总烃</w:t>
            </w:r>
          </w:p>
        </w:tc>
        <w:tc>
          <w:tcPr>
            <w:tcW w:w="1250" w:type="pct"/>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lang w:val="en-US" w:eastAsia="zh-CN"/>
              </w:rPr>
              <w:t>0.1</w:t>
            </w:r>
          </w:p>
        </w:tc>
        <w:tc>
          <w:tcPr>
            <w:tcW w:w="1087" w:type="pct"/>
            <w:noWrap w:val="0"/>
            <w:vAlign w:val="center"/>
          </w:tcPr>
          <w:p>
            <w:pPr>
              <w:pStyle w:val="408"/>
              <w:adjustRightInd w:val="0"/>
              <w:snapToGrid w:val="0"/>
              <w:spacing w:line="240" w:lineRule="auto"/>
              <w:textAlignment w:val="baseline"/>
              <w:rPr>
                <w:rFonts w:hint="default" w:eastAsia="宋体"/>
                <w:i w:val="0"/>
                <w:iCs w:val="0"/>
                <w:color w:val="000000"/>
                <w:szCs w:val="21"/>
                <w:lang w:val="en-US" w:eastAsia="zh-CN"/>
              </w:rPr>
            </w:pPr>
            <w:r>
              <w:rPr>
                <w:rFonts w:hint="eastAsia"/>
                <w:i w:val="0"/>
                <w:iCs w:val="0"/>
                <w:color w:val="000000"/>
                <w:szCs w:val="21"/>
                <w:lang w:val="en-US" w:eastAsia="zh-CN"/>
              </w:rPr>
              <w:t>35</w:t>
            </w:r>
          </w:p>
        </w:tc>
        <w:tc>
          <w:tcPr>
            <w:tcW w:w="843" w:type="pct"/>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ascii="Times New Roman" w:hAnsi="Times New Roman" w:eastAsia="宋体" w:cs="Times New Roman"/>
                <w:i w:val="0"/>
                <w:iCs w:val="0"/>
                <w:color w:val="000000"/>
                <w:szCs w:val="21"/>
              </w:rPr>
              <w:t>三级</w:t>
            </w:r>
          </w:p>
        </w:tc>
      </w:tr>
    </w:tbl>
    <w:p>
      <w:pPr>
        <w:spacing w:line="360" w:lineRule="auto"/>
        <w:ind w:firstLine="480" w:firstLineChars="200"/>
        <w:rPr>
          <w:i w:val="0"/>
          <w:iCs w:val="0"/>
          <w:color w:val="000000"/>
        </w:rPr>
      </w:pPr>
      <w:r>
        <w:rPr>
          <w:i w:val="0"/>
          <w:iCs w:val="0"/>
          <w:color w:val="000000"/>
        </w:rPr>
        <w:t>根据导则规定，同一项目有多个污染源时（两个及以上），则按个污染源分别确定评价等级，并取评价等级最高者作为项目的评价等级。综上，本项目大气评价等级为</w:t>
      </w:r>
      <w:r>
        <w:rPr>
          <w:rFonts w:hint="eastAsia"/>
          <w:i w:val="0"/>
          <w:iCs w:val="0"/>
          <w:color w:val="000000"/>
        </w:rPr>
        <w:t>二</w:t>
      </w:r>
      <w:r>
        <w:rPr>
          <w:i w:val="0"/>
          <w:iCs w:val="0"/>
          <w:color w:val="000000"/>
        </w:rPr>
        <w:t>级。</w:t>
      </w:r>
    </w:p>
    <w:p>
      <w:pPr>
        <w:spacing w:line="360" w:lineRule="auto"/>
        <w:ind w:firstLine="480" w:firstLineChars="200"/>
        <w:rPr>
          <w:i w:val="0"/>
          <w:iCs w:val="0"/>
          <w:color w:val="000000"/>
        </w:rPr>
      </w:pPr>
      <w:r>
        <w:rPr>
          <w:rFonts w:hint="eastAsia"/>
          <w:i w:val="0"/>
          <w:iCs w:val="0"/>
          <w:color w:val="000000"/>
        </w:rPr>
        <w:t>2、</w:t>
      </w:r>
      <w:r>
        <w:rPr>
          <w:i w:val="0"/>
          <w:iCs w:val="0"/>
          <w:color w:val="000000"/>
        </w:rPr>
        <w:t>大气污染物源强核算</w:t>
      </w:r>
    </w:p>
    <w:p>
      <w:pPr>
        <w:spacing w:line="360" w:lineRule="auto"/>
        <w:ind w:firstLine="480" w:firstLineChars="200"/>
        <w:rPr>
          <w:i w:val="0"/>
          <w:iCs w:val="0"/>
          <w:color w:val="000000"/>
        </w:rPr>
      </w:pPr>
      <w:r>
        <w:rPr>
          <w:i w:val="0"/>
          <w:iCs w:val="0"/>
          <w:color w:val="000000"/>
        </w:rPr>
        <w:t>根据估算模型预测结果，本项目P</w:t>
      </w:r>
      <w:r>
        <w:rPr>
          <w:i w:val="0"/>
          <w:iCs w:val="0"/>
          <w:color w:val="000000"/>
          <w:vertAlign w:val="subscript"/>
        </w:rPr>
        <w:t>max</w:t>
      </w:r>
      <w:r>
        <w:rPr>
          <w:i w:val="0"/>
          <w:iCs w:val="0"/>
          <w:color w:val="000000"/>
        </w:rPr>
        <w:t>=P</w:t>
      </w:r>
      <w:r>
        <w:rPr>
          <w:rFonts w:hint="eastAsia"/>
          <w:i w:val="0"/>
          <w:iCs w:val="0"/>
          <w:color w:val="000000"/>
          <w:vertAlign w:val="subscript"/>
          <w:lang w:val="en-US" w:eastAsia="zh-CN"/>
        </w:rPr>
        <w:t>氨</w:t>
      </w:r>
      <w:r>
        <w:rPr>
          <w:i w:val="0"/>
          <w:iCs w:val="0"/>
          <w:color w:val="000000"/>
        </w:rPr>
        <w:t>（治污区面源）=</w:t>
      </w:r>
      <w:r>
        <w:rPr>
          <w:rFonts w:hint="eastAsia"/>
          <w:i w:val="0"/>
          <w:iCs w:val="0"/>
          <w:color w:val="000000"/>
          <w:lang w:val="en-US" w:eastAsia="zh-CN"/>
        </w:rPr>
        <w:t>4.3</w:t>
      </w:r>
      <w:r>
        <w:rPr>
          <w:i w:val="0"/>
          <w:iCs w:val="0"/>
          <w:color w:val="000000"/>
        </w:rPr>
        <w:t>%，所得结果1%≤Pmax&lt;10%，大气评价工作等级定为二级。根据导则要求，二级评价项目不进行进一步预测与评价，只对污染物排放量进行核算。项目大气污染物排放量核算结果详见下表。</w:t>
      </w:r>
    </w:p>
    <w:p>
      <w:pPr>
        <w:ind w:firstLine="482" w:firstLineChars="200"/>
        <w:jc w:val="center"/>
        <w:rPr>
          <w:b/>
          <w:bCs/>
          <w:i w:val="0"/>
          <w:iCs w:val="0"/>
          <w:color w:val="000000"/>
        </w:rPr>
      </w:pPr>
      <w:r>
        <w:rPr>
          <w:rFonts w:hint="eastAsia"/>
          <w:b/>
          <w:i w:val="0"/>
          <w:iCs w:val="0"/>
          <w:color w:val="000000"/>
        </w:rPr>
        <w:t>表5-</w:t>
      </w:r>
      <w:r>
        <w:rPr>
          <w:rFonts w:hint="eastAsia"/>
          <w:b/>
          <w:i w:val="0"/>
          <w:iCs w:val="0"/>
          <w:color w:val="000000"/>
          <w:lang w:val="en-US" w:eastAsia="zh-CN"/>
        </w:rPr>
        <w:t>18</w:t>
      </w:r>
      <w:r>
        <w:rPr>
          <w:rFonts w:hint="eastAsia"/>
          <w:b/>
          <w:i w:val="0"/>
          <w:iCs w:val="0"/>
          <w:color w:val="000000"/>
        </w:rPr>
        <w:t xml:space="preserve"> </w:t>
      </w:r>
      <w:r>
        <w:rPr>
          <w:rFonts w:hint="eastAsia"/>
          <w:b/>
          <w:bCs/>
          <w:i w:val="0"/>
          <w:iCs w:val="0"/>
          <w:color w:val="000000"/>
        </w:rPr>
        <w:t>本项目大气污染物有组织排放量核算表</w:t>
      </w:r>
    </w:p>
    <w:tbl>
      <w:tblPr>
        <w:tblStyle w:val="58"/>
        <w:tblW w:w="83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185"/>
        <w:gridCol w:w="1458"/>
        <w:gridCol w:w="1786"/>
        <w:gridCol w:w="1585"/>
        <w:gridCol w:w="15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0"/>
            <w:vAlign w:val="center"/>
          </w:tcPr>
          <w:p>
            <w:pPr>
              <w:snapToGrid w:val="0"/>
              <w:jc w:val="center"/>
              <w:rPr>
                <w:i w:val="0"/>
                <w:iCs w:val="0"/>
                <w:color w:val="000000"/>
                <w:sz w:val="21"/>
                <w:szCs w:val="21"/>
              </w:rPr>
            </w:pPr>
            <w:r>
              <w:rPr>
                <w:i w:val="0"/>
                <w:iCs w:val="0"/>
                <w:color w:val="000000"/>
                <w:sz w:val="21"/>
                <w:szCs w:val="21"/>
              </w:rPr>
              <w:t>序号</w:t>
            </w:r>
          </w:p>
        </w:tc>
        <w:tc>
          <w:tcPr>
            <w:tcW w:w="1185" w:type="dxa"/>
            <w:noWrap w:val="0"/>
            <w:vAlign w:val="center"/>
          </w:tcPr>
          <w:p>
            <w:pPr>
              <w:snapToGrid w:val="0"/>
              <w:jc w:val="center"/>
              <w:rPr>
                <w:i w:val="0"/>
                <w:iCs w:val="0"/>
                <w:color w:val="000000"/>
                <w:sz w:val="21"/>
                <w:szCs w:val="21"/>
              </w:rPr>
            </w:pPr>
            <w:r>
              <w:rPr>
                <w:i w:val="0"/>
                <w:iCs w:val="0"/>
                <w:color w:val="000000"/>
                <w:sz w:val="21"/>
                <w:szCs w:val="21"/>
              </w:rPr>
              <w:t>排放口编号</w:t>
            </w:r>
          </w:p>
        </w:tc>
        <w:tc>
          <w:tcPr>
            <w:tcW w:w="1458" w:type="dxa"/>
            <w:noWrap w:val="0"/>
            <w:vAlign w:val="center"/>
          </w:tcPr>
          <w:p>
            <w:pPr>
              <w:snapToGrid w:val="0"/>
              <w:jc w:val="center"/>
              <w:rPr>
                <w:i w:val="0"/>
                <w:iCs w:val="0"/>
                <w:color w:val="000000"/>
                <w:sz w:val="21"/>
                <w:szCs w:val="21"/>
              </w:rPr>
            </w:pPr>
            <w:r>
              <w:rPr>
                <w:i w:val="0"/>
                <w:iCs w:val="0"/>
                <w:color w:val="000000"/>
                <w:sz w:val="21"/>
                <w:szCs w:val="21"/>
              </w:rPr>
              <w:t>污染物</w:t>
            </w:r>
          </w:p>
        </w:tc>
        <w:tc>
          <w:tcPr>
            <w:tcW w:w="1786" w:type="dxa"/>
            <w:noWrap w:val="0"/>
            <w:vAlign w:val="center"/>
          </w:tcPr>
          <w:p>
            <w:pPr>
              <w:snapToGrid w:val="0"/>
              <w:jc w:val="center"/>
              <w:rPr>
                <w:i w:val="0"/>
                <w:iCs w:val="0"/>
                <w:color w:val="000000"/>
                <w:sz w:val="21"/>
                <w:szCs w:val="21"/>
              </w:rPr>
            </w:pPr>
            <w:r>
              <w:rPr>
                <w:i w:val="0"/>
                <w:iCs w:val="0"/>
                <w:color w:val="000000"/>
                <w:sz w:val="21"/>
                <w:szCs w:val="21"/>
              </w:rPr>
              <w:t>核算排放浓度（mg/m</w:t>
            </w:r>
            <w:r>
              <w:rPr>
                <w:i w:val="0"/>
                <w:iCs w:val="0"/>
                <w:color w:val="000000"/>
                <w:sz w:val="21"/>
                <w:szCs w:val="21"/>
                <w:vertAlign w:val="superscript"/>
              </w:rPr>
              <w:t>3</w:t>
            </w:r>
            <w:r>
              <w:rPr>
                <w:i w:val="0"/>
                <w:iCs w:val="0"/>
                <w:color w:val="000000"/>
                <w:sz w:val="21"/>
                <w:szCs w:val="21"/>
              </w:rPr>
              <w:t>）</w:t>
            </w:r>
          </w:p>
        </w:tc>
        <w:tc>
          <w:tcPr>
            <w:tcW w:w="1585" w:type="dxa"/>
            <w:noWrap w:val="0"/>
            <w:vAlign w:val="center"/>
          </w:tcPr>
          <w:p>
            <w:pPr>
              <w:snapToGrid w:val="0"/>
              <w:jc w:val="center"/>
              <w:rPr>
                <w:i w:val="0"/>
                <w:iCs w:val="0"/>
                <w:color w:val="000000"/>
                <w:sz w:val="21"/>
                <w:szCs w:val="21"/>
              </w:rPr>
            </w:pPr>
            <w:r>
              <w:rPr>
                <w:i w:val="0"/>
                <w:iCs w:val="0"/>
                <w:color w:val="000000"/>
                <w:sz w:val="21"/>
                <w:szCs w:val="21"/>
              </w:rPr>
              <w:t>核算排放速率（kg/h）</w:t>
            </w:r>
          </w:p>
        </w:tc>
        <w:tc>
          <w:tcPr>
            <w:tcW w:w="1564" w:type="dxa"/>
            <w:noWrap w:val="0"/>
            <w:vAlign w:val="center"/>
          </w:tcPr>
          <w:p>
            <w:pPr>
              <w:snapToGrid w:val="0"/>
              <w:jc w:val="center"/>
              <w:rPr>
                <w:i w:val="0"/>
                <w:iCs w:val="0"/>
                <w:color w:val="000000"/>
                <w:sz w:val="21"/>
                <w:szCs w:val="21"/>
              </w:rPr>
            </w:pPr>
            <w:r>
              <w:rPr>
                <w:i w:val="0"/>
                <w:iCs w:val="0"/>
                <w:color w:val="000000"/>
                <w:sz w:val="21"/>
                <w:szCs w:val="21"/>
              </w:rPr>
              <w:t>核算年排放量（</w:t>
            </w:r>
            <w:r>
              <w:rPr>
                <w:rFonts w:hint="eastAsia"/>
                <w:i w:val="0"/>
                <w:iCs w:val="0"/>
                <w:color w:val="000000"/>
                <w:sz w:val="21"/>
                <w:szCs w:val="21"/>
              </w:rPr>
              <w:t>t</w:t>
            </w:r>
            <w:r>
              <w:rPr>
                <w:i w:val="0"/>
                <w:iCs w:val="0"/>
                <w:color w:val="000000"/>
                <w:sz w:val="21"/>
                <w:szCs w:val="21"/>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28" w:type="dxa"/>
            <w:vMerge w:val="restart"/>
            <w:noWrap w:val="0"/>
            <w:vAlign w:val="center"/>
          </w:tcPr>
          <w:p>
            <w:pPr>
              <w:snapToGrid w:val="0"/>
              <w:jc w:val="center"/>
              <w:rPr>
                <w:i w:val="0"/>
                <w:iCs w:val="0"/>
                <w:color w:val="000000"/>
                <w:sz w:val="21"/>
                <w:szCs w:val="21"/>
              </w:rPr>
            </w:pPr>
            <w:r>
              <w:rPr>
                <w:i w:val="0"/>
                <w:iCs w:val="0"/>
                <w:color w:val="000000"/>
                <w:sz w:val="21"/>
                <w:szCs w:val="21"/>
              </w:rPr>
              <w:t>1</w:t>
            </w:r>
          </w:p>
        </w:tc>
        <w:tc>
          <w:tcPr>
            <w:tcW w:w="1185" w:type="dxa"/>
            <w:vMerge w:val="restart"/>
            <w:noWrap w:val="0"/>
            <w:vAlign w:val="center"/>
          </w:tcPr>
          <w:p>
            <w:pPr>
              <w:snapToGrid w:val="0"/>
              <w:jc w:val="center"/>
              <w:rPr>
                <w:i w:val="0"/>
                <w:iCs w:val="0"/>
                <w:color w:val="000000"/>
                <w:sz w:val="21"/>
                <w:szCs w:val="21"/>
              </w:rPr>
            </w:pPr>
            <w:r>
              <w:rPr>
                <w:i w:val="0"/>
                <w:iCs w:val="0"/>
                <w:color w:val="000000"/>
                <w:sz w:val="21"/>
                <w:szCs w:val="21"/>
              </w:rPr>
              <w:t>DA00</w:t>
            </w:r>
            <w:r>
              <w:rPr>
                <w:rFonts w:hint="eastAsia"/>
                <w:i w:val="0"/>
                <w:iCs w:val="0"/>
                <w:color w:val="000000"/>
                <w:sz w:val="21"/>
                <w:szCs w:val="21"/>
              </w:rPr>
              <w:t>1</w:t>
            </w:r>
          </w:p>
        </w:tc>
        <w:tc>
          <w:tcPr>
            <w:tcW w:w="1458" w:type="dxa"/>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氨</w:t>
            </w:r>
          </w:p>
        </w:tc>
        <w:tc>
          <w:tcPr>
            <w:tcW w:w="1786" w:type="dxa"/>
            <w:noWrap w:val="0"/>
            <w:vAlign w:val="center"/>
          </w:tcPr>
          <w:p>
            <w:pPr>
              <w:pStyle w:val="37"/>
              <w:spacing w:line="240" w:lineRule="auto"/>
              <w:ind w:left="-72" w:leftChars="-30" w:right="-72" w:rightChars="-30" w:firstLine="0"/>
              <w:jc w:val="center"/>
              <w:rPr>
                <w:rFonts w:hint="eastAsia" w:eastAsia="宋体"/>
                <w:i w:val="0"/>
                <w:iCs w:val="0"/>
                <w:color w:val="000000"/>
                <w:sz w:val="21"/>
                <w:szCs w:val="21"/>
                <w:lang w:val="en-US" w:eastAsia="zh-CN"/>
              </w:rPr>
            </w:pPr>
            <w:r>
              <w:rPr>
                <w:rFonts w:hint="eastAsia"/>
                <w:i w:val="0"/>
                <w:iCs w:val="0"/>
                <w:color w:val="000000"/>
                <w:sz w:val="21"/>
                <w:szCs w:val="21"/>
                <w:lang w:val="en-US" w:eastAsia="zh-CN"/>
              </w:rPr>
              <w:t>2</w:t>
            </w:r>
          </w:p>
        </w:tc>
        <w:tc>
          <w:tcPr>
            <w:tcW w:w="1585" w:type="dxa"/>
            <w:noWrap w:val="0"/>
            <w:vAlign w:val="center"/>
          </w:tcPr>
          <w:p>
            <w:pPr>
              <w:pStyle w:val="37"/>
              <w:spacing w:line="240" w:lineRule="auto"/>
              <w:ind w:left="-72" w:leftChars="-30" w:right="-72" w:rightChars="-30" w:firstLine="0"/>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0.004</w:t>
            </w:r>
          </w:p>
        </w:tc>
        <w:tc>
          <w:tcPr>
            <w:tcW w:w="1564" w:type="dxa"/>
            <w:noWrap w:val="0"/>
            <w:vAlign w:val="center"/>
          </w:tcPr>
          <w:p>
            <w:pPr>
              <w:pStyle w:val="37"/>
              <w:spacing w:line="240" w:lineRule="auto"/>
              <w:ind w:left="-72" w:leftChars="-30" w:right="-72" w:rightChars="-30" w:firstLine="0"/>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0.034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28" w:type="dxa"/>
            <w:vMerge w:val="continue"/>
            <w:noWrap w:val="0"/>
            <w:vAlign w:val="center"/>
          </w:tcPr>
          <w:p>
            <w:pPr>
              <w:snapToGrid w:val="0"/>
              <w:jc w:val="center"/>
              <w:rPr>
                <w:i w:val="0"/>
                <w:iCs w:val="0"/>
                <w:color w:val="000000"/>
                <w:sz w:val="21"/>
                <w:szCs w:val="21"/>
              </w:rPr>
            </w:pPr>
          </w:p>
        </w:tc>
        <w:tc>
          <w:tcPr>
            <w:tcW w:w="1185" w:type="dxa"/>
            <w:vMerge w:val="continue"/>
            <w:noWrap w:val="0"/>
            <w:vAlign w:val="center"/>
          </w:tcPr>
          <w:p>
            <w:pPr>
              <w:snapToGrid w:val="0"/>
              <w:jc w:val="center"/>
              <w:rPr>
                <w:i w:val="0"/>
                <w:iCs w:val="0"/>
                <w:color w:val="000000"/>
                <w:sz w:val="21"/>
                <w:szCs w:val="21"/>
              </w:rPr>
            </w:pPr>
          </w:p>
        </w:tc>
        <w:tc>
          <w:tcPr>
            <w:tcW w:w="1458" w:type="dxa"/>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硫化氢</w:t>
            </w:r>
          </w:p>
        </w:tc>
        <w:tc>
          <w:tcPr>
            <w:tcW w:w="1786" w:type="dxa"/>
            <w:noWrap w:val="0"/>
            <w:vAlign w:val="center"/>
          </w:tcPr>
          <w:p>
            <w:pPr>
              <w:pStyle w:val="37"/>
              <w:spacing w:line="240" w:lineRule="auto"/>
              <w:ind w:left="-72" w:leftChars="-30" w:right="-72" w:rightChars="-30" w:firstLine="0"/>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0.09</w:t>
            </w:r>
          </w:p>
        </w:tc>
        <w:tc>
          <w:tcPr>
            <w:tcW w:w="1585" w:type="dxa"/>
            <w:noWrap w:val="0"/>
            <w:vAlign w:val="center"/>
          </w:tcPr>
          <w:p>
            <w:pPr>
              <w:pStyle w:val="37"/>
              <w:spacing w:line="240" w:lineRule="auto"/>
              <w:ind w:left="-72" w:leftChars="-30" w:right="-72" w:rightChars="-30" w:firstLine="0"/>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0.00018</w:t>
            </w:r>
          </w:p>
        </w:tc>
        <w:tc>
          <w:tcPr>
            <w:tcW w:w="1564" w:type="dxa"/>
            <w:noWrap w:val="0"/>
            <w:vAlign w:val="center"/>
          </w:tcPr>
          <w:p>
            <w:pPr>
              <w:pStyle w:val="37"/>
              <w:spacing w:line="240" w:lineRule="auto"/>
              <w:ind w:left="-72" w:leftChars="-30" w:right="-72" w:rightChars="-30" w:firstLine="0"/>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0.0014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Merge w:val="restart"/>
            <w:noWrap w:val="0"/>
            <w:vAlign w:val="center"/>
          </w:tcPr>
          <w:p>
            <w:pPr>
              <w:snapToGrid w:val="0"/>
              <w:jc w:val="center"/>
              <w:rPr>
                <w:i w:val="0"/>
                <w:iCs w:val="0"/>
                <w:color w:val="000000"/>
                <w:sz w:val="21"/>
                <w:szCs w:val="21"/>
              </w:rPr>
            </w:pPr>
            <w:r>
              <w:rPr>
                <w:i w:val="0"/>
                <w:iCs w:val="0"/>
                <w:color w:val="000000"/>
                <w:sz w:val="21"/>
                <w:szCs w:val="21"/>
              </w:rPr>
              <w:t>2</w:t>
            </w:r>
          </w:p>
        </w:tc>
        <w:tc>
          <w:tcPr>
            <w:tcW w:w="1185" w:type="dxa"/>
            <w:vMerge w:val="restart"/>
            <w:noWrap w:val="0"/>
            <w:vAlign w:val="center"/>
          </w:tcPr>
          <w:p>
            <w:pPr>
              <w:widowControl/>
              <w:jc w:val="center"/>
              <w:rPr>
                <w:i w:val="0"/>
                <w:iCs w:val="0"/>
                <w:color w:val="000000"/>
                <w:sz w:val="21"/>
                <w:szCs w:val="21"/>
              </w:rPr>
            </w:pPr>
            <w:r>
              <w:rPr>
                <w:i w:val="0"/>
                <w:iCs w:val="0"/>
                <w:color w:val="000000"/>
                <w:sz w:val="21"/>
                <w:szCs w:val="21"/>
              </w:rPr>
              <w:t>DA00</w:t>
            </w:r>
            <w:r>
              <w:rPr>
                <w:rFonts w:hint="eastAsia"/>
                <w:i w:val="0"/>
                <w:iCs w:val="0"/>
                <w:color w:val="000000"/>
                <w:sz w:val="21"/>
                <w:szCs w:val="21"/>
              </w:rPr>
              <w:t>2</w:t>
            </w:r>
          </w:p>
        </w:tc>
        <w:tc>
          <w:tcPr>
            <w:tcW w:w="1458" w:type="dxa"/>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氨</w:t>
            </w:r>
          </w:p>
        </w:tc>
        <w:tc>
          <w:tcPr>
            <w:tcW w:w="1786" w:type="dxa"/>
            <w:noWrap w:val="0"/>
            <w:vAlign w:val="center"/>
          </w:tcPr>
          <w:p>
            <w:pPr>
              <w:pStyle w:val="37"/>
              <w:spacing w:line="240" w:lineRule="auto"/>
              <w:ind w:left="-72" w:leftChars="-30" w:right="-72" w:rightChars="-30" w:firstLine="0"/>
              <w:jc w:val="center"/>
              <w:rPr>
                <w:rFonts w:hint="default" w:eastAsia="黑体"/>
                <w:i w:val="0"/>
                <w:iCs w:val="0"/>
                <w:color w:val="000000"/>
                <w:sz w:val="21"/>
                <w:szCs w:val="21"/>
                <w:lang w:val="en-US" w:eastAsia="zh-CN"/>
              </w:rPr>
            </w:pPr>
            <w:r>
              <w:rPr>
                <w:rFonts w:hint="eastAsia" w:eastAsia="黑体"/>
                <w:i w:val="0"/>
                <w:iCs w:val="0"/>
                <w:color w:val="000000"/>
                <w:sz w:val="21"/>
                <w:szCs w:val="21"/>
                <w:lang w:val="en-US" w:eastAsia="zh-CN"/>
              </w:rPr>
              <w:t>3.67</w:t>
            </w:r>
          </w:p>
        </w:tc>
        <w:tc>
          <w:tcPr>
            <w:tcW w:w="1585" w:type="dxa"/>
            <w:noWrap w:val="0"/>
            <w:vAlign w:val="center"/>
          </w:tcPr>
          <w:p>
            <w:pPr>
              <w:pStyle w:val="37"/>
              <w:spacing w:line="240" w:lineRule="auto"/>
              <w:ind w:left="-72" w:leftChars="-30" w:right="-72" w:rightChars="-30" w:firstLine="0"/>
              <w:jc w:val="center"/>
              <w:rPr>
                <w:rFonts w:hint="default" w:eastAsia="黑体"/>
                <w:i w:val="0"/>
                <w:iCs w:val="0"/>
                <w:color w:val="000000"/>
                <w:sz w:val="21"/>
                <w:szCs w:val="21"/>
                <w:lang w:val="en-US" w:eastAsia="zh-CN"/>
              </w:rPr>
            </w:pPr>
            <w:r>
              <w:rPr>
                <w:rFonts w:hint="eastAsia" w:eastAsia="黑体"/>
                <w:i w:val="0"/>
                <w:iCs w:val="0"/>
                <w:color w:val="000000"/>
                <w:sz w:val="21"/>
                <w:szCs w:val="21"/>
                <w:lang w:val="en-US" w:eastAsia="zh-CN"/>
              </w:rPr>
              <w:t>0.022</w:t>
            </w:r>
          </w:p>
        </w:tc>
        <w:tc>
          <w:tcPr>
            <w:tcW w:w="1564" w:type="dxa"/>
            <w:noWrap w:val="0"/>
            <w:vAlign w:val="center"/>
          </w:tcPr>
          <w:p>
            <w:pPr>
              <w:pStyle w:val="37"/>
              <w:spacing w:line="240" w:lineRule="auto"/>
              <w:ind w:left="-72" w:leftChars="-30" w:right="-72" w:rightChars="-30" w:firstLine="0"/>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0.169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Merge w:val="continue"/>
            <w:noWrap w:val="0"/>
            <w:vAlign w:val="center"/>
          </w:tcPr>
          <w:p>
            <w:pPr>
              <w:snapToGrid w:val="0"/>
              <w:jc w:val="center"/>
              <w:rPr>
                <w:i w:val="0"/>
                <w:iCs w:val="0"/>
                <w:color w:val="000000"/>
                <w:sz w:val="21"/>
                <w:szCs w:val="21"/>
              </w:rPr>
            </w:pPr>
          </w:p>
        </w:tc>
        <w:tc>
          <w:tcPr>
            <w:tcW w:w="1185" w:type="dxa"/>
            <w:vMerge w:val="continue"/>
            <w:noWrap w:val="0"/>
            <w:vAlign w:val="center"/>
          </w:tcPr>
          <w:p>
            <w:pPr>
              <w:widowControl/>
              <w:jc w:val="center"/>
              <w:rPr>
                <w:i w:val="0"/>
                <w:iCs w:val="0"/>
                <w:color w:val="000000"/>
                <w:sz w:val="21"/>
                <w:szCs w:val="21"/>
              </w:rPr>
            </w:pPr>
          </w:p>
        </w:tc>
        <w:tc>
          <w:tcPr>
            <w:tcW w:w="1458" w:type="dxa"/>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非甲烷总烃</w:t>
            </w:r>
          </w:p>
        </w:tc>
        <w:tc>
          <w:tcPr>
            <w:tcW w:w="1786" w:type="dxa"/>
            <w:noWrap w:val="0"/>
            <w:vAlign w:val="center"/>
          </w:tcPr>
          <w:p>
            <w:pPr>
              <w:pStyle w:val="37"/>
              <w:spacing w:line="240" w:lineRule="auto"/>
              <w:ind w:left="-72" w:leftChars="-30" w:right="-72" w:rightChars="-30" w:firstLine="0"/>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4.67</w:t>
            </w:r>
          </w:p>
        </w:tc>
        <w:tc>
          <w:tcPr>
            <w:tcW w:w="1585" w:type="dxa"/>
            <w:noWrap w:val="0"/>
            <w:vAlign w:val="center"/>
          </w:tcPr>
          <w:p>
            <w:pPr>
              <w:pStyle w:val="37"/>
              <w:spacing w:line="240" w:lineRule="auto"/>
              <w:ind w:left="-72" w:leftChars="-30" w:right="-72" w:rightChars="-30" w:firstLine="0"/>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0.028</w:t>
            </w:r>
          </w:p>
        </w:tc>
        <w:tc>
          <w:tcPr>
            <w:tcW w:w="1564" w:type="dxa"/>
            <w:noWrap w:val="0"/>
            <w:vAlign w:val="center"/>
          </w:tcPr>
          <w:p>
            <w:pPr>
              <w:pStyle w:val="37"/>
              <w:spacing w:line="240" w:lineRule="auto"/>
              <w:ind w:left="-72" w:leftChars="-30" w:right="-72" w:rightChars="-30" w:firstLine="0"/>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0.21375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728" w:type="dxa"/>
            <w:vMerge w:val="restart"/>
            <w:noWrap w:val="0"/>
            <w:vAlign w:val="center"/>
          </w:tcPr>
          <w:p>
            <w:pPr>
              <w:tabs>
                <w:tab w:val="left" w:pos="462"/>
              </w:tabs>
              <w:snapToGrid w:val="0"/>
              <w:jc w:val="center"/>
              <w:rPr>
                <w:i w:val="0"/>
                <w:iCs w:val="0"/>
                <w:color w:val="000000"/>
                <w:sz w:val="21"/>
                <w:szCs w:val="21"/>
              </w:rPr>
            </w:pPr>
            <w:r>
              <w:rPr>
                <w:i w:val="0"/>
                <w:iCs w:val="0"/>
                <w:color w:val="000000"/>
                <w:sz w:val="21"/>
                <w:szCs w:val="21"/>
              </w:rPr>
              <w:t>3</w:t>
            </w:r>
          </w:p>
        </w:tc>
        <w:tc>
          <w:tcPr>
            <w:tcW w:w="1185" w:type="dxa"/>
            <w:vMerge w:val="restart"/>
            <w:noWrap w:val="0"/>
            <w:vAlign w:val="center"/>
          </w:tcPr>
          <w:p>
            <w:pPr>
              <w:widowControl/>
              <w:jc w:val="center"/>
              <w:rPr>
                <w:i w:val="0"/>
                <w:iCs w:val="0"/>
                <w:color w:val="000000"/>
                <w:sz w:val="21"/>
                <w:szCs w:val="21"/>
              </w:rPr>
            </w:pPr>
            <w:r>
              <w:rPr>
                <w:i w:val="0"/>
                <w:iCs w:val="0"/>
                <w:color w:val="000000"/>
                <w:sz w:val="21"/>
                <w:szCs w:val="21"/>
              </w:rPr>
              <w:t>DA00</w:t>
            </w:r>
            <w:r>
              <w:rPr>
                <w:rFonts w:hint="eastAsia"/>
                <w:i w:val="0"/>
                <w:iCs w:val="0"/>
                <w:color w:val="000000"/>
                <w:sz w:val="21"/>
                <w:szCs w:val="21"/>
              </w:rPr>
              <w:t>3</w:t>
            </w:r>
          </w:p>
        </w:tc>
        <w:tc>
          <w:tcPr>
            <w:tcW w:w="1458" w:type="dxa"/>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颗粒物</w:t>
            </w:r>
          </w:p>
        </w:tc>
        <w:tc>
          <w:tcPr>
            <w:tcW w:w="1786" w:type="dxa"/>
            <w:noWrap w:val="0"/>
            <w:vAlign w:val="center"/>
          </w:tcPr>
          <w:p>
            <w:pPr>
              <w:pStyle w:val="37"/>
              <w:spacing w:line="240" w:lineRule="auto"/>
              <w:ind w:left="-72" w:leftChars="-30" w:right="-72" w:rightChars="-30" w:firstLine="0"/>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11.1</w:t>
            </w:r>
          </w:p>
        </w:tc>
        <w:tc>
          <w:tcPr>
            <w:tcW w:w="1585" w:type="dxa"/>
            <w:noWrap w:val="0"/>
            <w:vAlign w:val="center"/>
          </w:tcPr>
          <w:p>
            <w:pPr>
              <w:pStyle w:val="37"/>
              <w:spacing w:line="240" w:lineRule="auto"/>
              <w:ind w:left="-72" w:leftChars="-30" w:right="-72" w:rightChars="-30" w:firstLine="0"/>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0.222</w:t>
            </w:r>
          </w:p>
        </w:tc>
        <w:tc>
          <w:tcPr>
            <w:tcW w:w="1564" w:type="dxa"/>
            <w:noWrap w:val="0"/>
            <w:vAlign w:val="center"/>
          </w:tcPr>
          <w:p>
            <w:pPr>
              <w:pStyle w:val="37"/>
              <w:spacing w:line="240" w:lineRule="auto"/>
              <w:ind w:left="-72" w:leftChars="-30" w:right="-72" w:rightChars="-30" w:firstLine="0"/>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1.11343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728" w:type="dxa"/>
            <w:vMerge w:val="continue"/>
            <w:noWrap w:val="0"/>
            <w:vAlign w:val="center"/>
          </w:tcPr>
          <w:p>
            <w:pPr>
              <w:tabs>
                <w:tab w:val="left" w:pos="462"/>
              </w:tabs>
              <w:snapToGrid w:val="0"/>
              <w:jc w:val="center"/>
              <w:rPr>
                <w:i w:val="0"/>
                <w:iCs w:val="0"/>
                <w:color w:val="000000"/>
                <w:sz w:val="21"/>
                <w:szCs w:val="21"/>
              </w:rPr>
            </w:pPr>
          </w:p>
        </w:tc>
        <w:tc>
          <w:tcPr>
            <w:tcW w:w="1185" w:type="dxa"/>
            <w:vMerge w:val="continue"/>
            <w:noWrap w:val="0"/>
            <w:vAlign w:val="center"/>
          </w:tcPr>
          <w:p>
            <w:pPr>
              <w:widowControl/>
              <w:jc w:val="center"/>
              <w:rPr>
                <w:i w:val="0"/>
                <w:iCs w:val="0"/>
                <w:color w:val="000000"/>
                <w:sz w:val="21"/>
                <w:szCs w:val="21"/>
              </w:rPr>
            </w:pPr>
          </w:p>
        </w:tc>
        <w:tc>
          <w:tcPr>
            <w:tcW w:w="1458" w:type="dxa"/>
            <w:noWrap w:val="0"/>
            <w:vAlign w:val="center"/>
          </w:tcPr>
          <w:p>
            <w:pPr>
              <w:pStyle w:val="408"/>
              <w:adjustRightInd w:val="0"/>
              <w:snapToGrid w:val="0"/>
              <w:spacing w:line="240" w:lineRule="auto"/>
              <w:textAlignment w:val="baseline"/>
              <w:rPr>
                <w:rFonts w:hint="eastAsia" w:eastAsia="宋体"/>
                <w:i w:val="0"/>
                <w:iCs w:val="0"/>
                <w:color w:val="000000"/>
                <w:szCs w:val="21"/>
                <w:lang w:val="en-US" w:eastAsia="zh-CN"/>
              </w:rPr>
            </w:pPr>
            <w:r>
              <w:rPr>
                <w:rFonts w:hint="eastAsia"/>
                <w:i w:val="0"/>
                <w:iCs w:val="0"/>
                <w:color w:val="000000"/>
                <w:szCs w:val="21"/>
                <w:lang w:val="en-US" w:eastAsia="zh-CN"/>
              </w:rPr>
              <w:t>二氧化硫</w:t>
            </w:r>
          </w:p>
        </w:tc>
        <w:tc>
          <w:tcPr>
            <w:tcW w:w="1786" w:type="dxa"/>
            <w:noWrap w:val="0"/>
            <w:vAlign w:val="center"/>
          </w:tcPr>
          <w:p>
            <w:pPr>
              <w:pStyle w:val="37"/>
              <w:spacing w:line="240" w:lineRule="auto"/>
              <w:ind w:left="-72" w:leftChars="-30" w:right="-72" w:rightChars="-30" w:firstLine="0"/>
              <w:jc w:val="center"/>
              <w:rPr>
                <w:rFonts w:hint="default" w:eastAsia="宋体"/>
                <w:i w:val="0"/>
                <w:iCs w:val="0"/>
                <w:sz w:val="21"/>
                <w:szCs w:val="21"/>
                <w:lang w:val="en-US" w:eastAsia="zh-CN"/>
              </w:rPr>
            </w:pPr>
            <w:r>
              <w:rPr>
                <w:rFonts w:hint="eastAsia"/>
                <w:i w:val="0"/>
                <w:iCs w:val="0"/>
                <w:sz w:val="21"/>
                <w:szCs w:val="21"/>
                <w:lang w:val="en-US" w:eastAsia="zh-CN"/>
              </w:rPr>
              <w:t>4.8</w:t>
            </w:r>
          </w:p>
        </w:tc>
        <w:tc>
          <w:tcPr>
            <w:tcW w:w="1585" w:type="dxa"/>
            <w:noWrap w:val="0"/>
            <w:vAlign w:val="center"/>
          </w:tcPr>
          <w:p>
            <w:pPr>
              <w:pStyle w:val="37"/>
              <w:spacing w:line="240" w:lineRule="auto"/>
              <w:ind w:left="-72" w:leftChars="-30" w:right="-72" w:rightChars="-30" w:firstLine="0"/>
              <w:jc w:val="center"/>
              <w:rPr>
                <w:rFonts w:hint="default" w:eastAsia="宋体"/>
                <w:i w:val="0"/>
                <w:iCs w:val="0"/>
                <w:sz w:val="21"/>
                <w:szCs w:val="21"/>
                <w:lang w:val="en-US" w:eastAsia="zh-CN"/>
              </w:rPr>
            </w:pPr>
            <w:r>
              <w:rPr>
                <w:rFonts w:hint="eastAsia"/>
                <w:i w:val="0"/>
                <w:iCs w:val="0"/>
                <w:sz w:val="21"/>
                <w:szCs w:val="21"/>
                <w:lang w:val="en-US" w:eastAsia="zh-CN"/>
              </w:rPr>
              <w:t>0.096</w:t>
            </w:r>
          </w:p>
        </w:tc>
        <w:tc>
          <w:tcPr>
            <w:tcW w:w="1564" w:type="dxa"/>
            <w:noWrap w:val="0"/>
            <w:vAlign w:val="center"/>
          </w:tcPr>
          <w:p>
            <w:pPr>
              <w:pStyle w:val="37"/>
              <w:spacing w:line="240" w:lineRule="auto"/>
              <w:ind w:left="-72" w:leftChars="-30" w:right="-72" w:rightChars="-30" w:firstLine="0"/>
              <w:jc w:val="center"/>
              <w:rPr>
                <w:rFonts w:hint="default" w:eastAsia="宋体"/>
                <w:i w:val="0"/>
                <w:iCs w:val="0"/>
                <w:sz w:val="21"/>
                <w:szCs w:val="21"/>
                <w:lang w:val="en-US" w:eastAsia="zh-CN"/>
              </w:rPr>
            </w:pPr>
            <w:r>
              <w:rPr>
                <w:rFonts w:hint="eastAsia"/>
                <w:i w:val="0"/>
                <w:iCs w:val="0"/>
                <w:sz w:val="21"/>
                <w:szCs w:val="21"/>
                <w:lang w:val="en-US" w:eastAsia="zh-CN"/>
              </w:rPr>
              <w:t>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728" w:type="dxa"/>
            <w:vMerge w:val="continue"/>
            <w:noWrap w:val="0"/>
            <w:vAlign w:val="center"/>
          </w:tcPr>
          <w:p>
            <w:pPr>
              <w:tabs>
                <w:tab w:val="left" w:pos="462"/>
              </w:tabs>
              <w:snapToGrid w:val="0"/>
              <w:jc w:val="center"/>
              <w:rPr>
                <w:i w:val="0"/>
                <w:iCs w:val="0"/>
                <w:color w:val="000000"/>
                <w:sz w:val="21"/>
                <w:szCs w:val="21"/>
              </w:rPr>
            </w:pPr>
          </w:p>
        </w:tc>
        <w:tc>
          <w:tcPr>
            <w:tcW w:w="1185" w:type="dxa"/>
            <w:vMerge w:val="continue"/>
            <w:noWrap w:val="0"/>
            <w:vAlign w:val="center"/>
          </w:tcPr>
          <w:p>
            <w:pPr>
              <w:widowControl/>
              <w:jc w:val="center"/>
              <w:rPr>
                <w:i w:val="0"/>
                <w:iCs w:val="0"/>
                <w:color w:val="000000"/>
                <w:sz w:val="21"/>
                <w:szCs w:val="21"/>
              </w:rPr>
            </w:pPr>
          </w:p>
        </w:tc>
        <w:tc>
          <w:tcPr>
            <w:tcW w:w="1458" w:type="dxa"/>
            <w:noWrap w:val="0"/>
            <w:vAlign w:val="center"/>
          </w:tcPr>
          <w:p>
            <w:pPr>
              <w:pStyle w:val="408"/>
              <w:adjustRightInd w:val="0"/>
              <w:snapToGrid w:val="0"/>
              <w:spacing w:line="240" w:lineRule="auto"/>
              <w:textAlignment w:val="baseline"/>
              <w:rPr>
                <w:rFonts w:hint="eastAsia" w:eastAsia="宋体"/>
                <w:i w:val="0"/>
                <w:iCs w:val="0"/>
                <w:color w:val="000000"/>
                <w:szCs w:val="21"/>
                <w:lang w:eastAsia="zh-CN"/>
              </w:rPr>
            </w:pPr>
            <w:r>
              <w:rPr>
                <w:rFonts w:hint="eastAsia"/>
                <w:i w:val="0"/>
                <w:iCs w:val="0"/>
                <w:color w:val="000000"/>
                <w:szCs w:val="21"/>
                <w:lang w:val="en-US" w:eastAsia="zh-CN"/>
              </w:rPr>
              <w:t>氮氧化物</w:t>
            </w:r>
          </w:p>
        </w:tc>
        <w:tc>
          <w:tcPr>
            <w:tcW w:w="1786" w:type="dxa"/>
            <w:noWrap w:val="0"/>
            <w:vAlign w:val="center"/>
          </w:tcPr>
          <w:p>
            <w:pPr>
              <w:pStyle w:val="37"/>
              <w:spacing w:line="240" w:lineRule="auto"/>
              <w:ind w:left="-72" w:leftChars="-30" w:right="-72" w:rightChars="-30" w:firstLine="0"/>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22.45</w:t>
            </w:r>
          </w:p>
        </w:tc>
        <w:tc>
          <w:tcPr>
            <w:tcW w:w="1585" w:type="dxa"/>
            <w:noWrap w:val="0"/>
            <w:vAlign w:val="center"/>
          </w:tcPr>
          <w:p>
            <w:pPr>
              <w:pStyle w:val="37"/>
              <w:spacing w:line="240" w:lineRule="auto"/>
              <w:ind w:left="-72" w:leftChars="-30" w:right="-72" w:rightChars="-30" w:firstLine="0"/>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0.449</w:t>
            </w:r>
          </w:p>
        </w:tc>
        <w:tc>
          <w:tcPr>
            <w:tcW w:w="1564" w:type="dxa"/>
            <w:noWrap w:val="0"/>
            <w:vAlign w:val="center"/>
          </w:tcPr>
          <w:p>
            <w:pPr>
              <w:pStyle w:val="37"/>
              <w:spacing w:line="240" w:lineRule="auto"/>
              <w:ind w:left="-72" w:leftChars="-30" w:right="-72" w:rightChars="-30" w:firstLine="0"/>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2.245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728" w:type="dxa"/>
            <w:vMerge w:val="restart"/>
            <w:noWrap w:val="0"/>
            <w:vAlign w:val="center"/>
          </w:tcPr>
          <w:p>
            <w:pPr>
              <w:tabs>
                <w:tab w:val="left" w:pos="462"/>
              </w:tabs>
              <w:snapToGrid w:val="0"/>
              <w:jc w:val="center"/>
              <w:rPr>
                <w:rFonts w:hint="eastAsia" w:eastAsia="宋体"/>
                <w:i w:val="0"/>
                <w:iCs w:val="0"/>
                <w:color w:val="000000"/>
                <w:sz w:val="21"/>
                <w:szCs w:val="21"/>
                <w:lang w:val="en-US" w:eastAsia="zh-CN"/>
              </w:rPr>
            </w:pPr>
            <w:r>
              <w:rPr>
                <w:rFonts w:hint="eastAsia"/>
                <w:i w:val="0"/>
                <w:iCs w:val="0"/>
                <w:color w:val="000000"/>
                <w:sz w:val="21"/>
                <w:szCs w:val="21"/>
                <w:lang w:val="en-US" w:eastAsia="zh-CN"/>
              </w:rPr>
              <w:t>4</w:t>
            </w:r>
          </w:p>
        </w:tc>
        <w:tc>
          <w:tcPr>
            <w:tcW w:w="1185" w:type="dxa"/>
            <w:vMerge w:val="restart"/>
            <w:noWrap w:val="0"/>
            <w:vAlign w:val="center"/>
          </w:tcPr>
          <w:p>
            <w:pPr>
              <w:widowControl/>
              <w:jc w:val="center"/>
              <w:rPr>
                <w:rFonts w:hint="eastAsia" w:eastAsia="宋体"/>
                <w:i w:val="0"/>
                <w:iCs w:val="0"/>
                <w:color w:val="000000"/>
                <w:sz w:val="21"/>
                <w:szCs w:val="21"/>
                <w:lang w:eastAsia="zh-CN"/>
              </w:rPr>
            </w:pPr>
            <w:r>
              <w:rPr>
                <w:i w:val="0"/>
                <w:iCs w:val="0"/>
                <w:color w:val="000000"/>
                <w:sz w:val="21"/>
                <w:szCs w:val="21"/>
              </w:rPr>
              <w:t>DA00</w:t>
            </w:r>
            <w:r>
              <w:rPr>
                <w:rFonts w:hint="eastAsia"/>
                <w:i w:val="0"/>
                <w:iCs w:val="0"/>
                <w:color w:val="000000"/>
                <w:sz w:val="21"/>
                <w:szCs w:val="21"/>
                <w:lang w:val="en-US" w:eastAsia="zh-CN"/>
              </w:rPr>
              <w:t>4</w:t>
            </w:r>
          </w:p>
        </w:tc>
        <w:tc>
          <w:tcPr>
            <w:tcW w:w="1458" w:type="dxa"/>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颗粒物</w:t>
            </w:r>
          </w:p>
        </w:tc>
        <w:tc>
          <w:tcPr>
            <w:tcW w:w="1786" w:type="dxa"/>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color w:val="000000"/>
                <w:sz w:val="21"/>
                <w:szCs w:val="21"/>
                <w:lang w:val="en-US" w:eastAsia="zh-CN"/>
              </w:rPr>
              <w:t>11.1</w:t>
            </w:r>
          </w:p>
        </w:tc>
        <w:tc>
          <w:tcPr>
            <w:tcW w:w="1585" w:type="dxa"/>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color w:val="000000"/>
                <w:sz w:val="21"/>
                <w:szCs w:val="21"/>
                <w:lang w:val="en-US" w:eastAsia="zh-CN"/>
              </w:rPr>
              <w:t>0.222</w:t>
            </w:r>
          </w:p>
        </w:tc>
        <w:tc>
          <w:tcPr>
            <w:tcW w:w="1564" w:type="dxa"/>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color w:val="000000"/>
                <w:sz w:val="21"/>
                <w:szCs w:val="21"/>
                <w:lang w:val="en-US" w:eastAsia="zh-CN"/>
              </w:rPr>
              <w:t>1.11343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728" w:type="dxa"/>
            <w:vMerge w:val="continue"/>
            <w:noWrap w:val="0"/>
            <w:vAlign w:val="center"/>
          </w:tcPr>
          <w:p>
            <w:pPr>
              <w:tabs>
                <w:tab w:val="left" w:pos="462"/>
              </w:tabs>
              <w:snapToGrid w:val="0"/>
              <w:jc w:val="center"/>
              <w:rPr>
                <w:i w:val="0"/>
                <w:iCs w:val="0"/>
                <w:color w:val="000000"/>
                <w:sz w:val="21"/>
                <w:szCs w:val="21"/>
              </w:rPr>
            </w:pPr>
          </w:p>
        </w:tc>
        <w:tc>
          <w:tcPr>
            <w:tcW w:w="1185" w:type="dxa"/>
            <w:vMerge w:val="continue"/>
            <w:noWrap w:val="0"/>
            <w:vAlign w:val="center"/>
          </w:tcPr>
          <w:p>
            <w:pPr>
              <w:widowControl/>
              <w:jc w:val="center"/>
              <w:rPr>
                <w:i w:val="0"/>
                <w:iCs w:val="0"/>
                <w:color w:val="000000"/>
                <w:sz w:val="21"/>
                <w:szCs w:val="21"/>
              </w:rPr>
            </w:pPr>
          </w:p>
        </w:tc>
        <w:tc>
          <w:tcPr>
            <w:tcW w:w="1458" w:type="dxa"/>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lang w:val="en-US" w:eastAsia="zh-CN"/>
              </w:rPr>
              <w:t>二氧化硫</w:t>
            </w:r>
          </w:p>
        </w:tc>
        <w:tc>
          <w:tcPr>
            <w:tcW w:w="1786" w:type="dxa"/>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sz w:val="21"/>
                <w:szCs w:val="21"/>
                <w:lang w:val="en-US" w:eastAsia="zh-CN"/>
              </w:rPr>
              <w:t>4.8</w:t>
            </w:r>
          </w:p>
        </w:tc>
        <w:tc>
          <w:tcPr>
            <w:tcW w:w="1585" w:type="dxa"/>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sz w:val="21"/>
                <w:szCs w:val="21"/>
                <w:lang w:val="en-US" w:eastAsia="zh-CN"/>
              </w:rPr>
              <w:t>0.096</w:t>
            </w:r>
          </w:p>
        </w:tc>
        <w:tc>
          <w:tcPr>
            <w:tcW w:w="1564" w:type="dxa"/>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sz w:val="21"/>
                <w:szCs w:val="21"/>
                <w:lang w:val="en-US" w:eastAsia="zh-CN"/>
              </w:rPr>
              <w:t>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728" w:type="dxa"/>
            <w:vMerge w:val="continue"/>
            <w:noWrap w:val="0"/>
            <w:vAlign w:val="center"/>
          </w:tcPr>
          <w:p>
            <w:pPr>
              <w:tabs>
                <w:tab w:val="left" w:pos="462"/>
              </w:tabs>
              <w:snapToGrid w:val="0"/>
              <w:jc w:val="center"/>
              <w:rPr>
                <w:i w:val="0"/>
                <w:iCs w:val="0"/>
                <w:color w:val="000000"/>
                <w:sz w:val="21"/>
                <w:szCs w:val="21"/>
              </w:rPr>
            </w:pPr>
          </w:p>
        </w:tc>
        <w:tc>
          <w:tcPr>
            <w:tcW w:w="1185" w:type="dxa"/>
            <w:vMerge w:val="continue"/>
            <w:noWrap w:val="0"/>
            <w:vAlign w:val="center"/>
          </w:tcPr>
          <w:p>
            <w:pPr>
              <w:widowControl/>
              <w:jc w:val="center"/>
              <w:rPr>
                <w:i w:val="0"/>
                <w:iCs w:val="0"/>
                <w:color w:val="000000"/>
                <w:sz w:val="21"/>
                <w:szCs w:val="21"/>
              </w:rPr>
            </w:pPr>
          </w:p>
        </w:tc>
        <w:tc>
          <w:tcPr>
            <w:tcW w:w="1458" w:type="dxa"/>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lang w:val="en-US" w:eastAsia="zh-CN"/>
              </w:rPr>
              <w:t>氮氧化物</w:t>
            </w:r>
          </w:p>
        </w:tc>
        <w:tc>
          <w:tcPr>
            <w:tcW w:w="1786" w:type="dxa"/>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color w:val="000000"/>
                <w:sz w:val="21"/>
                <w:szCs w:val="21"/>
                <w:lang w:val="en-US" w:eastAsia="zh-CN"/>
              </w:rPr>
              <w:t>22.45</w:t>
            </w:r>
          </w:p>
        </w:tc>
        <w:tc>
          <w:tcPr>
            <w:tcW w:w="1585" w:type="dxa"/>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color w:val="000000"/>
                <w:sz w:val="21"/>
                <w:szCs w:val="21"/>
                <w:lang w:val="en-US" w:eastAsia="zh-CN"/>
              </w:rPr>
              <w:t>0.449</w:t>
            </w:r>
          </w:p>
        </w:tc>
        <w:tc>
          <w:tcPr>
            <w:tcW w:w="1564" w:type="dxa"/>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color w:val="000000"/>
                <w:sz w:val="21"/>
                <w:szCs w:val="21"/>
                <w:lang w:val="en-US" w:eastAsia="zh-CN"/>
              </w:rPr>
              <w:t>2.245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13" w:type="dxa"/>
            <w:gridSpan w:val="2"/>
            <w:vMerge w:val="restart"/>
            <w:noWrap w:val="0"/>
            <w:vAlign w:val="center"/>
          </w:tcPr>
          <w:p>
            <w:pPr>
              <w:snapToGrid w:val="0"/>
              <w:jc w:val="center"/>
              <w:rPr>
                <w:i w:val="0"/>
                <w:iCs w:val="0"/>
                <w:color w:val="000000"/>
                <w:sz w:val="21"/>
                <w:szCs w:val="21"/>
              </w:rPr>
            </w:pPr>
            <w:r>
              <w:rPr>
                <w:i w:val="0"/>
                <w:iCs w:val="0"/>
                <w:color w:val="000000"/>
                <w:sz w:val="21"/>
                <w:szCs w:val="21"/>
              </w:rPr>
              <w:t>一般排放口合计</w:t>
            </w:r>
          </w:p>
        </w:tc>
        <w:tc>
          <w:tcPr>
            <w:tcW w:w="4829" w:type="dxa"/>
            <w:gridSpan w:val="3"/>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氨</w:t>
            </w:r>
          </w:p>
        </w:tc>
        <w:tc>
          <w:tcPr>
            <w:tcW w:w="1564" w:type="dxa"/>
            <w:noWrap w:val="0"/>
            <w:vAlign w:val="center"/>
          </w:tcPr>
          <w:p>
            <w:pPr>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0.203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13" w:type="dxa"/>
            <w:gridSpan w:val="2"/>
            <w:vMerge w:val="continue"/>
            <w:noWrap w:val="0"/>
            <w:vAlign w:val="center"/>
          </w:tcPr>
          <w:p>
            <w:pPr>
              <w:snapToGrid w:val="0"/>
              <w:jc w:val="center"/>
              <w:rPr>
                <w:i w:val="0"/>
                <w:iCs w:val="0"/>
                <w:color w:val="000000"/>
                <w:sz w:val="21"/>
                <w:szCs w:val="21"/>
              </w:rPr>
            </w:pPr>
          </w:p>
        </w:tc>
        <w:tc>
          <w:tcPr>
            <w:tcW w:w="4829" w:type="dxa"/>
            <w:gridSpan w:val="3"/>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硫化氢</w:t>
            </w:r>
          </w:p>
        </w:tc>
        <w:tc>
          <w:tcPr>
            <w:tcW w:w="1564" w:type="dxa"/>
            <w:noWrap w:val="0"/>
            <w:vAlign w:val="center"/>
          </w:tcPr>
          <w:p>
            <w:pPr>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0.0014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13" w:type="dxa"/>
            <w:gridSpan w:val="2"/>
            <w:vMerge w:val="continue"/>
            <w:noWrap w:val="0"/>
            <w:vAlign w:val="center"/>
          </w:tcPr>
          <w:p>
            <w:pPr>
              <w:snapToGrid w:val="0"/>
              <w:jc w:val="center"/>
              <w:rPr>
                <w:i w:val="0"/>
                <w:iCs w:val="0"/>
                <w:color w:val="000000"/>
                <w:sz w:val="21"/>
                <w:szCs w:val="21"/>
              </w:rPr>
            </w:pPr>
          </w:p>
        </w:tc>
        <w:tc>
          <w:tcPr>
            <w:tcW w:w="4829" w:type="dxa"/>
            <w:gridSpan w:val="3"/>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非甲烷总烃</w:t>
            </w:r>
          </w:p>
        </w:tc>
        <w:tc>
          <w:tcPr>
            <w:tcW w:w="1564" w:type="dxa"/>
            <w:noWrap w:val="0"/>
            <w:vAlign w:val="center"/>
          </w:tcPr>
          <w:p>
            <w:pPr>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0.21375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13" w:type="dxa"/>
            <w:gridSpan w:val="2"/>
            <w:vMerge w:val="continue"/>
            <w:noWrap w:val="0"/>
            <w:vAlign w:val="center"/>
          </w:tcPr>
          <w:p>
            <w:pPr>
              <w:snapToGrid w:val="0"/>
              <w:jc w:val="center"/>
              <w:rPr>
                <w:i w:val="0"/>
                <w:iCs w:val="0"/>
                <w:color w:val="000000"/>
                <w:sz w:val="21"/>
                <w:szCs w:val="21"/>
              </w:rPr>
            </w:pPr>
          </w:p>
        </w:tc>
        <w:tc>
          <w:tcPr>
            <w:tcW w:w="4829" w:type="dxa"/>
            <w:gridSpan w:val="3"/>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颗粒物</w:t>
            </w:r>
          </w:p>
        </w:tc>
        <w:tc>
          <w:tcPr>
            <w:tcW w:w="1564" w:type="dxa"/>
            <w:noWrap w:val="0"/>
            <w:vAlign w:val="center"/>
          </w:tcPr>
          <w:p>
            <w:pPr>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2.22686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13" w:type="dxa"/>
            <w:gridSpan w:val="2"/>
            <w:vMerge w:val="continue"/>
            <w:noWrap w:val="0"/>
            <w:vAlign w:val="center"/>
          </w:tcPr>
          <w:p>
            <w:pPr>
              <w:snapToGrid w:val="0"/>
              <w:jc w:val="center"/>
              <w:rPr>
                <w:i w:val="0"/>
                <w:iCs w:val="0"/>
                <w:color w:val="000000"/>
                <w:sz w:val="21"/>
                <w:szCs w:val="21"/>
              </w:rPr>
            </w:pPr>
          </w:p>
        </w:tc>
        <w:tc>
          <w:tcPr>
            <w:tcW w:w="4829" w:type="dxa"/>
            <w:gridSpan w:val="3"/>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lang w:val="en-US" w:eastAsia="zh-CN"/>
              </w:rPr>
              <w:t>二氧化硫</w:t>
            </w:r>
          </w:p>
        </w:tc>
        <w:tc>
          <w:tcPr>
            <w:tcW w:w="1564" w:type="dxa"/>
            <w:noWrap w:val="0"/>
            <w:vAlign w:val="center"/>
          </w:tcPr>
          <w:p>
            <w:pPr>
              <w:jc w:val="center"/>
              <w:rPr>
                <w:rFonts w:hint="default"/>
                <w:i w:val="0"/>
                <w:iCs w:val="0"/>
                <w:color w:val="000000"/>
                <w:sz w:val="21"/>
                <w:szCs w:val="21"/>
                <w:lang w:val="en-US" w:eastAsia="zh-CN"/>
              </w:rPr>
            </w:pPr>
            <w:r>
              <w:rPr>
                <w:rFonts w:hint="eastAsia"/>
                <w:i w:val="0"/>
                <w:iCs w:val="0"/>
                <w:color w:val="000000"/>
                <w:sz w:val="21"/>
                <w:szCs w:val="21"/>
                <w:lang w:val="en-US" w:eastAsia="zh-CN"/>
              </w:rPr>
              <w:t>0.96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13" w:type="dxa"/>
            <w:gridSpan w:val="2"/>
            <w:vMerge w:val="continue"/>
            <w:noWrap w:val="0"/>
            <w:vAlign w:val="center"/>
          </w:tcPr>
          <w:p>
            <w:pPr>
              <w:snapToGrid w:val="0"/>
              <w:jc w:val="center"/>
              <w:rPr>
                <w:i w:val="0"/>
                <w:iCs w:val="0"/>
                <w:color w:val="000000"/>
                <w:sz w:val="21"/>
                <w:szCs w:val="21"/>
              </w:rPr>
            </w:pPr>
          </w:p>
        </w:tc>
        <w:tc>
          <w:tcPr>
            <w:tcW w:w="4829" w:type="dxa"/>
            <w:gridSpan w:val="3"/>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lang w:val="en-US" w:eastAsia="zh-CN"/>
              </w:rPr>
              <w:t>氮氧化物</w:t>
            </w:r>
          </w:p>
        </w:tc>
        <w:tc>
          <w:tcPr>
            <w:tcW w:w="1564" w:type="dxa"/>
            <w:noWrap w:val="0"/>
            <w:vAlign w:val="center"/>
          </w:tcPr>
          <w:p>
            <w:pPr>
              <w:jc w:val="center"/>
              <w:rPr>
                <w:rFonts w:hint="default"/>
                <w:i w:val="0"/>
                <w:iCs w:val="0"/>
                <w:color w:val="000000"/>
                <w:sz w:val="21"/>
                <w:szCs w:val="21"/>
                <w:lang w:val="en-US" w:eastAsia="zh-CN"/>
              </w:rPr>
            </w:pPr>
            <w:r>
              <w:rPr>
                <w:rFonts w:hint="eastAsia"/>
                <w:i w:val="0"/>
                <w:iCs w:val="0"/>
                <w:color w:val="000000"/>
                <w:sz w:val="21"/>
                <w:szCs w:val="21"/>
                <w:lang w:val="en-US" w:eastAsia="zh-CN"/>
              </w:rPr>
              <w:t>4.49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13" w:type="dxa"/>
            <w:gridSpan w:val="2"/>
            <w:vMerge w:val="restart"/>
            <w:noWrap w:val="0"/>
            <w:vAlign w:val="center"/>
          </w:tcPr>
          <w:p>
            <w:pPr>
              <w:snapToGrid w:val="0"/>
              <w:jc w:val="center"/>
              <w:rPr>
                <w:rFonts w:hint="eastAsia"/>
                <w:i w:val="0"/>
                <w:iCs w:val="0"/>
                <w:color w:val="000000"/>
                <w:sz w:val="21"/>
                <w:szCs w:val="21"/>
              </w:rPr>
            </w:pPr>
            <w:r>
              <w:rPr>
                <w:rFonts w:hint="eastAsia"/>
                <w:i w:val="0"/>
                <w:iCs w:val="0"/>
                <w:color w:val="000000"/>
                <w:sz w:val="21"/>
                <w:szCs w:val="21"/>
              </w:rPr>
              <w:t>无组织废气合计</w:t>
            </w:r>
          </w:p>
        </w:tc>
        <w:tc>
          <w:tcPr>
            <w:tcW w:w="4829" w:type="dxa"/>
            <w:gridSpan w:val="3"/>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氨</w:t>
            </w:r>
          </w:p>
        </w:tc>
        <w:tc>
          <w:tcPr>
            <w:tcW w:w="1564" w:type="dxa"/>
            <w:noWrap w:val="0"/>
            <w:vAlign w:val="center"/>
          </w:tcPr>
          <w:p>
            <w:pPr>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0.226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13" w:type="dxa"/>
            <w:gridSpan w:val="2"/>
            <w:vMerge w:val="continue"/>
            <w:noWrap w:val="0"/>
            <w:vAlign w:val="center"/>
          </w:tcPr>
          <w:p>
            <w:pPr>
              <w:snapToGrid w:val="0"/>
              <w:jc w:val="center"/>
              <w:rPr>
                <w:rFonts w:hint="eastAsia"/>
                <w:i w:val="0"/>
                <w:iCs w:val="0"/>
                <w:color w:val="000000"/>
                <w:sz w:val="21"/>
                <w:szCs w:val="21"/>
              </w:rPr>
            </w:pPr>
          </w:p>
        </w:tc>
        <w:tc>
          <w:tcPr>
            <w:tcW w:w="4829" w:type="dxa"/>
            <w:gridSpan w:val="3"/>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硫化氢</w:t>
            </w:r>
          </w:p>
        </w:tc>
        <w:tc>
          <w:tcPr>
            <w:tcW w:w="1564" w:type="dxa"/>
            <w:noWrap w:val="0"/>
            <w:vAlign w:val="center"/>
          </w:tcPr>
          <w:p>
            <w:pPr>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13" w:type="dxa"/>
            <w:gridSpan w:val="2"/>
            <w:vMerge w:val="continue"/>
            <w:noWrap w:val="0"/>
            <w:vAlign w:val="center"/>
          </w:tcPr>
          <w:p>
            <w:pPr>
              <w:snapToGrid w:val="0"/>
              <w:jc w:val="center"/>
              <w:rPr>
                <w:i w:val="0"/>
                <w:iCs w:val="0"/>
                <w:color w:val="000000"/>
                <w:sz w:val="21"/>
                <w:szCs w:val="21"/>
              </w:rPr>
            </w:pPr>
          </w:p>
        </w:tc>
        <w:tc>
          <w:tcPr>
            <w:tcW w:w="4829" w:type="dxa"/>
            <w:gridSpan w:val="3"/>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非甲烷总烃</w:t>
            </w:r>
          </w:p>
        </w:tc>
        <w:tc>
          <w:tcPr>
            <w:tcW w:w="1564" w:type="dxa"/>
            <w:noWrap w:val="0"/>
            <w:vAlign w:val="center"/>
          </w:tcPr>
          <w:p>
            <w:pPr>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0.059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913" w:type="dxa"/>
            <w:gridSpan w:val="2"/>
            <w:vMerge w:val="restart"/>
            <w:noWrap w:val="0"/>
            <w:vAlign w:val="center"/>
          </w:tcPr>
          <w:p>
            <w:pPr>
              <w:snapToGrid w:val="0"/>
              <w:jc w:val="center"/>
              <w:rPr>
                <w:i w:val="0"/>
                <w:iCs w:val="0"/>
                <w:color w:val="000000"/>
                <w:sz w:val="21"/>
                <w:szCs w:val="21"/>
              </w:rPr>
            </w:pPr>
            <w:r>
              <w:rPr>
                <w:i w:val="0"/>
                <w:iCs w:val="0"/>
                <w:color w:val="000000"/>
                <w:sz w:val="21"/>
                <w:szCs w:val="21"/>
              </w:rPr>
              <w:t>排放总计</w:t>
            </w:r>
          </w:p>
        </w:tc>
        <w:tc>
          <w:tcPr>
            <w:tcW w:w="4829" w:type="dxa"/>
            <w:gridSpan w:val="3"/>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rPr>
              <w:t>氨</w:t>
            </w:r>
          </w:p>
        </w:tc>
        <w:tc>
          <w:tcPr>
            <w:tcW w:w="1564" w:type="dxa"/>
            <w:noWrap w:val="0"/>
            <w:vAlign w:val="center"/>
          </w:tcPr>
          <w:p>
            <w:pPr>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0.429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13" w:type="dxa"/>
            <w:gridSpan w:val="2"/>
            <w:vMerge w:val="continue"/>
            <w:noWrap w:val="0"/>
            <w:vAlign w:val="center"/>
          </w:tcPr>
          <w:p>
            <w:pPr>
              <w:snapToGrid w:val="0"/>
              <w:jc w:val="center"/>
              <w:rPr>
                <w:i w:val="0"/>
                <w:iCs w:val="0"/>
                <w:color w:val="000000"/>
                <w:sz w:val="21"/>
                <w:szCs w:val="21"/>
              </w:rPr>
            </w:pPr>
          </w:p>
        </w:tc>
        <w:tc>
          <w:tcPr>
            <w:tcW w:w="4829" w:type="dxa"/>
            <w:gridSpan w:val="3"/>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硫化氢</w:t>
            </w:r>
          </w:p>
        </w:tc>
        <w:tc>
          <w:tcPr>
            <w:tcW w:w="1564" w:type="dxa"/>
            <w:noWrap w:val="0"/>
            <w:vAlign w:val="center"/>
          </w:tcPr>
          <w:p>
            <w:pPr>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0.0029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13" w:type="dxa"/>
            <w:gridSpan w:val="2"/>
            <w:vMerge w:val="continue"/>
            <w:noWrap w:val="0"/>
            <w:vAlign w:val="center"/>
          </w:tcPr>
          <w:p>
            <w:pPr>
              <w:snapToGrid w:val="0"/>
              <w:jc w:val="center"/>
              <w:rPr>
                <w:i w:val="0"/>
                <w:iCs w:val="0"/>
                <w:color w:val="000000"/>
                <w:sz w:val="21"/>
                <w:szCs w:val="21"/>
              </w:rPr>
            </w:pPr>
          </w:p>
        </w:tc>
        <w:tc>
          <w:tcPr>
            <w:tcW w:w="4829" w:type="dxa"/>
            <w:gridSpan w:val="3"/>
            <w:noWrap w:val="0"/>
            <w:vAlign w:val="center"/>
          </w:tcPr>
          <w:p>
            <w:pPr>
              <w:pStyle w:val="408"/>
              <w:adjustRightInd w:val="0"/>
              <w:snapToGrid w:val="0"/>
              <w:spacing w:line="240" w:lineRule="auto"/>
              <w:textAlignment w:val="baseline"/>
              <w:rPr>
                <w:i w:val="0"/>
                <w:iCs w:val="0"/>
                <w:color w:val="000000"/>
                <w:szCs w:val="21"/>
              </w:rPr>
            </w:pPr>
            <w:r>
              <w:rPr>
                <w:rFonts w:hint="eastAsia"/>
                <w:i w:val="0"/>
                <w:iCs w:val="0"/>
                <w:color w:val="000000"/>
                <w:szCs w:val="21"/>
              </w:rPr>
              <w:t>非甲烷总烃</w:t>
            </w:r>
          </w:p>
        </w:tc>
        <w:tc>
          <w:tcPr>
            <w:tcW w:w="1564" w:type="dxa"/>
            <w:noWrap w:val="0"/>
            <w:vAlign w:val="center"/>
          </w:tcPr>
          <w:p>
            <w:pPr>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0.27275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13" w:type="dxa"/>
            <w:gridSpan w:val="2"/>
            <w:vMerge w:val="continue"/>
            <w:noWrap w:val="0"/>
            <w:vAlign w:val="center"/>
          </w:tcPr>
          <w:p>
            <w:pPr>
              <w:snapToGrid w:val="0"/>
              <w:jc w:val="center"/>
              <w:rPr>
                <w:i w:val="0"/>
                <w:iCs w:val="0"/>
                <w:color w:val="000000"/>
                <w:sz w:val="21"/>
                <w:szCs w:val="21"/>
              </w:rPr>
            </w:pPr>
          </w:p>
        </w:tc>
        <w:tc>
          <w:tcPr>
            <w:tcW w:w="4829" w:type="dxa"/>
            <w:gridSpan w:val="3"/>
            <w:noWrap w:val="0"/>
            <w:vAlign w:val="center"/>
          </w:tcPr>
          <w:p>
            <w:pPr>
              <w:pStyle w:val="408"/>
              <w:adjustRightInd w:val="0"/>
              <w:snapToGrid w:val="0"/>
              <w:spacing w:line="240" w:lineRule="auto"/>
              <w:textAlignment w:val="baseline"/>
              <w:rPr>
                <w:bCs/>
                <w:i w:val="0"/>
                <w:iCs w:val="0"/>
                <w:color w:val="000000"/>
                <w:szCs w:val="21"/>
              </w:rPr>
            </w:pPr>
            <w:r>
              <w:rPr>
                <w:rFonts w:hint="eastAsia"/>
                <w:i w:val="0"/>
                <w:iCs w:val="0"/>
                <w:color w:val="000000"/>
                <w:szCs w:val="21"/>
              </w:rPr>
              <w:t>颗粒物</w:t>
            </w:r>
          </w:p>
        </w:tc>
        <w:tc>
          <w:tcPr>
            <w:tcW w:w="1564" w:type="dxa"/>
            <w:noWrap w:val="0"/>
            <w:vAlign w:val="center"/>
          </w:tcPr>
          <w:p>
            <w:pPr>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2.22686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13" w:type="dxa"/>
            <w:gridSpan w:val="2"/>
            <w:vMerge w:val="continue"/>
            <w:noWrap w:val="0"/>
            <w:vAlign w:val="center"/>
          </w:tcPr>
          <w:p>
            <w:pPr>
              <w:snapToGrid w:val="0"/>
              <w:jc w:val="center"/>
              <w:rPr>
                <w:i w:val="0"/>
                <w:iCs w:val="0"/>
                <w:color w:val="000000"/>
                <w:sz w:val="21"/>
                <w:szCs w:val="21"/>
              </w:rPr>
            </w:pPr>
          </w:p>
        </w:tc>
        <w:tc>
          <w:tcPr>
            <w:tcW w:w="4829" w:type="dxa"/>
            <w:gridSpan w:val="3"/>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lang w:val="en-US" w:eastAsia="zh-CN"/>
              </w:rPr>
              <w:t>二氧化硫</w:t>
            </w:r>
          </w:p>
        </w:tc>
        <w:tc>
          <w:tcPr>
            <w:tcW w:w="1564" w:type="dxa"/>
            <w:noWrap w:val="0"/>
            <w:vAlign w:val="center"/>
          </w:tcPr>
          <w:p>
            <w:pPr>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0.96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13" w:type="dxa"/>
            <w:gridSpan w:val="2"/>
            <w:vMerge w:val="continue"/>
            <w:noWrap w:val="0"/>
            <w:vAlign w:val="center"/>
          </w:tcPr>
          <w:p>
            <w:pPr>
              <w:snapToGrid w:val="0"/>
              <w:jc w:val="center"/>
              <w:rPr>
                <w:i w:val="0"/>
                <w:iCs w:val="0"/>
                <w:color w:val="000000"/>
                <w:sz w:val="21"/>
                <w:szCs w:val="21"/>
              </w:rPr>
            </w:pPr>
          </w:p>
        </w:tc>
        <w:tc>
          <w:tcPr>
            <w:tcW w:w="4829" w:type="dxa"/>
            <w:gridSpan w:val="3"/>
            <w:noWrap w:val="0"/>
            <w:vAlign w:val="center"/>
          </w:tcPr>
          <w:p>
            <w:pPr>
              <w:pStyle w:val="408"/>
              <w:adjustRightInd w:val="0"/>
              <w:snapToGrid w:val="0"/>
              <w:spacing w:line="240" w:lineRule="auto"/>
              <w:textAlignment w:val="baseline"/>
              <w:rPr>
                <w:rFonts w:hint="eastAsia"/>
                <w:i w:val="0"/>
                <w:iCs w:val="0"/>
                <w:color w:val="000000"/>
                <w:szCs w:val="21"/>
              </w:rPr>
            </w:pPr>
            <w:r>
              <w:rPr>
                <w:rFonts w:hint="eastAsia"/>
                <w:i w:val="0"/>
                <w:iCs w:val="0"/>
                <w:color w:val="000000"/>
                <w:szCs w:val="21"/>
                <w:lang w:val="en-US" w:eastAsia="zh-CN"/>
              </w:rPr>
              <w:t>氮氧化物</w:t>
            </w:r>
          </w:p>
        </w:tc>
        <w:tc>
          <w:tcPr>
            <w:tcW w:w="1564" w:type="dxa"/>
            <w:noWrap w:val="0"/>
            <w:vAlign w:val="center"/>
          </w:tcPr>
          <w:p>
            <w:pPr>
              <w:jc w:val="center"/>
              <w:rPr>
                <w:rFonts w:hint="default" w:eastAsia="宋体"/>
                <w:i w:val="0"/>
                <w:iCs w:val="0"/>
                <w:color w:val="000000"/>
                <w:sz w:val="21"/>
                <w:szCs w:val="21"/>
                <w:lang w:val="en-US" w:eastAsia="zh-CN"/>
              </w:rPr>
            </w:pPr>
            <w:r>
              <w:rPr>
                <w:rFonts w:hint="eastAsia"/>
                <w:i w:val="0"/>
                <w:iCs w:val="0"/>
                <w:color w:val="000000"/>
                <w:sz w:val="21"/>
                <w:szCs w:val="21"/>
                <w:lang w:val="en-US" w:eastAsia="zh-CN"/>
              </w:rPr>
              <w:t>4.49</w:t>
            </w:r>
          </w:p>
        </w:tc>
      </w:tr>
    </w:tbl>
    <w:p>
      <w:pPr>
        <w:ind w:firstLine="482" w:firstLineChars="200"/>
        <w:jc w:val="center"/>
        <w:rPr>
          <w:rFonts w:hint="eastAsia"/>
          <w:b/>
          <w:i w:val="0"/>
          <w:iCs w:val="0"/>
          <w:color w:val="000000"/>
        </w:rPr>
      </w:pPr>
      <w:r>
        <w:rPr>
          <w:rFonts w:hint="eastAsia"/>
          <w:b/>
          <w:i w:val="0"/>
          <w:iCs w:val="0"/>
          <w:color w:val="000000"/>
        </w:rPr>
        <w:t>表5-</w:t>
      </w:r>
      <w:r>
        <w:rPr>
          <w:rFonts w:hint="eastAsia"/>
          <w:b/>
          <w:i w:val="0"/>
          <w:iCs w:val="0"/>
          <w:color w:val="000000"/>
          <w:lang w:val="en-US" w:eastAsia="zh-CN"/>
        </w:rPr>
        <w:t>19</w:t>
      </w:r>
      <w:r>
        <w:rPr>
          <w:rFonts w:hint="eastAsia"/>
          <w:b/>
          <w:i w:val="0"/>
          <w:iCs w:val="0"/>
          <w:color w:val="000000"/>
        </w:rPr>
        <w:t xml:space="preserve">  大气污染物年排放量核算表</w:t>
      </w:r>
    </w:p>
    <w:tbl>
      <w:tblPr>
        <w:tblStyle w:val="58"/>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10"/>
        <w:gridCol w:w="4179"/>
        <w:gridCol w:w="30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2" w:type="pct"/>
            <w:noWrap w:val="0"/>
            <w:vAlign w:val="top"/>
          </w:tcPr>
          <w:p>
            <w:pPr>
              <w:jc w:val="center"/>
              <w:rPr>
                <w:rFonts w:hint="eastAsia"/>
                <w:i w:val="0"/>
                <w:iCs w:val="0"/>
                <w:color w:val="000000"/>
                <w:sz w:val="21"/>
                <w:szCs w:val="21"/>
              </w:rPr>
            </w:pPr>
            <w:r>
              <w:rPr>
                <w:rFonts w:hint="eastAsia"/>
                <w:i w:val="0"/>
                <w:iCs w:val="0"/>
                <w:color w:val="000000"/>
                <w:sz w:val="21"/>
                <w:szCs w:val="21"/>
              </w:rPr>
              <w:t>序号</w:t>
            </w:r>
          </w:p>
        </w:tc>
        <w:tc>
          <w:tcPr>
            <w:tcW w:w="2250" w:type="pct"/>
            <w:noWrap w:val="0"/>
            <w:vAlign w:val="top"/>
          </w:tcPr>
          <w:p>
            <w:pPr>
              <w:jc w:val="center"/>
              <w:rPr>
                <w:rFonts w:hint="eastAsia"/>
                <w:i w:val="0"/>
                <w:iCs w:val="0"/>
                <w:color w:val="000000"/>
                <w:sz w:val="21"/>
                <w:szCs w:val="21"/>
              </w:rPr>
            </w:pPr>
            <w:r>
              <w:rPr>
                <w:rFonts w:hint="eastAsia"/>
                <w:i w:val="0"/>
                <w:iCs w:val="0"/>
                <w:color w:val="000000"/>
                <w:sz w:val="21"/>
                <w:szCs w:val="21"/>
              </w:rPr>
              <w:t>污染物</w:t>
            </w:r>
          </w:p>
        </w:tc>
        <w:tc>
          <w:tcPr>
            <w:tcW w:w="1667" w:type="pct"/>
            <w:noWrap w:val="0"/>
            <w:vAlign w:val="top"/>
          </w:tcPr>
          <w:p>
            <w:pPr>
              <w:jc w:val="center"/>
              <w:rPr>
                <w:rFonts w:hint="eastAsia"/>
                <w:i w:val="0"/>
                <w:iCs w:val="0"/>
                <w:color w:val="000000"/>
                <w:sz w:val="21"/>
                <w:szCs w:val="21"/>
              </w:rPr>
            </w:pPr>
            <w:r>
              <w:rPr>
                <w:rFonts w:hint="eastAsia"/>
                <w:i w:val="0"/>
                <w:iCs w:val="0"/>
                <w:color w:val="000000"/>
                <w:sz w:val="21"/>
                <w:szCs w:val="21"/>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2" w:type="pct"/>
            <w:noWrap w:val="0"/>
            <w:vAlign w:val="top"/>
          </w:tcPr>
          <w:p>
            <w:pPr>
              <w:jc w:val="center"/>
              <w:rPr>
                <w:rFonts w:hint="eastAsia"/>
                <w:i w:val="0"/>
                <w:iCs w:val="0"/>
                <w:color w:val="000000"/>
                <w:sz w:val="21"/>
                <w:szCs w:val="21"/>
              </w:rPr>
            </w:pPr>
            <w:r>
              <w:rPr>
                <w:rFonts w:hint="eastAsia"/>
                <w:i w:val="0"/>
                <w:iCs w:val="0"/>
                <w:color w:val="000000"/>
                <w:sz w:val="21"/>
                <w:szCs w:val="21"/>
              </w:rPr>
              <w:t>1</w:t>
            </w:r>
          </w:p>
        </w:tc>
        <w:tc>
          <w:tcPr>
            <w:tcW w:w="2250" w:type="pct"/>
            <w:noWrap w:val="0"/>
            <w:vAlign w:val="center"/>
          </w:tcPr>
          <w:p>
            <w:pPr>
              <w:jc w:val="center"/>
              <w:rPr>
                <w:rFonts w:hint="eastAsia"/>
                <w:i w:val="0"/>
                <w:iCs w:val="0"/>
                <w:color w:val="000000"/>
                <w:sz w:val="21"/>
                <w:szCs w:val="21"/>
              </w:rPr>
            </w:pPr>
            <w:r>
              <w:rPr>
                <w:rFonts w:hint="eastAsia"/>
                <w:i w:val="0"/>
                <w:iCs w:val="0"/>
                <w:color w:val="000000"/>
                <w:sz w:val="21"/>
                <w:szCs w:val="21"/>
              </w:rPr>
              <w:t>氨</w:t>
            </w:r>
          </w:p>
        </w:tc>
        <w:tc>
          <w:tcPr>
            <w:tcW w:w="3096" w:type="dxa"/>
            <w:noWrap w:val="0"/>
            <w:vAlign w:val="center"/>
          </w:tcPr>
          <w:p>
            <w:pPr>
              <w:jc w:val="center"/>
              <w:rPr>
                <w:rFonts w:hint="eastAsia"/>
                <w:i w:val="0"/>
                <w:iCs w:val="0"/>
                <w:color w:val="000000"/>
                <w:sz w:val="21"/>
                <w:szCs w:val="21"/>
              </w:rPr>
            </w:pPr>
            <w:r>
              <w:rPr>
                <w:rFonts w:hint="eastAsia"/>
                <w:i w:val="0"/>
                <w:iCs w:val="0"/>
                <w:color w:val="000000"/>
                <w:sz w:val="21"/>
                <w:szCs w:val="21"/>
                <w:lang w:val="en-US" w:eastAsia="zh-CN"/>
              </w:rPr>
              <w:t>0.429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2" w:type="pct"/>
            <w:noWrap w:val="0"/>
            <w:vAlign w:val="top"/>
          </w:tcPr>
          <w:p>
            <w:pPr>
              <w:jc w:val="center"/>
              <w:rPr>
                <w:rFonts w:hint="eastAsia"/>
                <w:i w:val="0"/>
                <w:iCs w:val="0"/>
                <w:color w:val="000000"/>
                <w:sz w:val="21"/>
                <w:szCs w:val="21"/>
              </w:rPr>
            </w:pPr>
            <w:r>
              <w:rPr>
                <w:rFonts w:hint="eastAsia"/>
                <w:i w:val="0"/>
                <w:iCs w:val="0"/>
                <w:color w:val="000000"/>
                <w:sz w:val="21"/>
                <w:szCs w:val="21"/>
              </w:rPr>
              <w:t>2</w:t>
            </w:r>
          </w:p>
        </w:tc>
        <w:tc>
          <w:tcPr>
            <w:tcW w:w="2250" w:type="pct"/>
            <w:noWrap w:val="0"/>
            <w:vAlign w:val="center"/>
          </w:tcPr>
          <w:p>
            <w:pPr>
              <w:jc w:val="center"/>
              <w:rPr>
                <w:rFonts w:hint="eastAsia"/>
                <w:i w:val="0"/>
                <w:iCs w:val="0"/>
                <w:color w:val="000000"/>
                <w:sz w:val="21"/>
                <w:szCs w:val="21"/>
              </w:rPr>
            </w:pPr>
            <w:r>
              <w:rPr>
                <w:rFonts w:hint="eastAsia"/>
                <w:i w:val="0"/>
                <w:iCs w:val="0"/>
                <w:color w:val="000000"/>
                <w:sz w:val="21"/>
                <w:szCs w:val="21"/>
              </w:rPr>
              <w:t>硫化氢</w:t>
            </w:r>
          </w:p>
        </w:tc>
        <w:tc>
          <w:tcPr>
            <w:tcW w:w="3096" w:type="dxa"/>
            <w:noWrap w:val="0"/>
            <w:vAlign w:val="center"/>
          </w:tcPr>
          <w:p>
            <w:pPr>
              <w:jc w:val="center"/>
              <w:rPr>
                <w:rFonts w:hint="eastAsia"/>
                <w:i w:val="0"/>
                <w:iCs w:val="0"/>
                <w:color w:val="000000"/>
                <w:sz w:val="21"/>
                <w:szCs w:val="21"/>
              </w:rPr>
            </w:pPr>
            <w:r>
              <w:rPr>
                <w:rFonts w:hint="eastAsia"/>
                <w:i w:val="0"/>
                <w:iCs w:val="0"/>
                <w:color w:val="000000"/>
                <w:sz w:val="21"/>
                <w:szCs w:val="21"/>
                <w:lang w:val="en-US" w:eastAsia="zh-CN"/>
              </w:rPr>
              <w:t>0.0029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2" w:type="pct"/>
            <w:noWrap w:val="0"/>
            <w:vAlign w:val="top"/>
          </w:tcPr>
          <w:p>
            <w:pPr>
              <w:jc w:val="center"/>
              <w:rPr>
                <w:rFonts w:hint="eastAsia"/>
                <w:i w:val="0"/>
                <w:iCs w:val="0"/>
                <w:color w:val="000000"/>
                <w:sz w:val="21"/>
                <w:szCs w:val="21"/>
              </w:rPr>
            </w:pPr>
            <w:r>
              <w:rPr>
                <w:rFonts w:hint="eastAsia"/>
                <w:i w:val="0"/>
                <w:iCs w:val="0"/>
                <w:color w:val="000000"/>
                <w:sz w:val="21"/>
                <w:szCs w:val="21"/>
              </w:rPr>
              <w:t>3</w:t>
            </w:r>
          </w:p>
        </w:tc>
        <w:tc>
          <w:tcPr>
            <w:tcW w:w="2250" w:type="pct"/>
            <w:noWrap w:val="0"/>
            <w:vAlign w:val="center"/>
          </w:tcPr>
          <w:p>
            <w:pPr>
              <w:jc w:val="center"/>
              <w:rPr>
                <w:rFonts w:hint="eastAsia"/>
                <w:i w:val="0"/>
                <w:iCs w:val="0"/>
                <w:color w:val="000000"/>
                <w:sz w:val="21"/>
                <w:szCs w:val="21"/>
              </w:rPr>
            </w:pPr>
            <w:r>
              <w:rPr>
                <w:rFonts w:hint="eastAsia"/>
                <w:i w:val="0"/>
                <w:iCs w:val="0"/>
                <w:color w:val="000000"/>
                <w:sz w:val="21"/>
                <w:szCs w:val="21"/>
              </w:rPr>
              <w:t>非甲烷总烃</w:t>
            </w:r>
          </w:p>
        </w:tc>
        <w:tc>
          <w:tcPr>
            <w:tcW w:w="3096" w:type="dxa"/>
            <w:noWrap w:val="0"/>
            <w:vAlign w:val="center"/>
          </w:tcPr>
          <w:p>
            <w:pPr>
              <w:jc w:val="center"/>
              <w:rPr>
                <w:rFonts w:hint="eastAsia"/>
                <w:i w:val="0"/>
                <w:iCs w:val="0"/>
                <w:color w:val="000000"/>
                <w:sz w:val="21"/>
                <w:szCs w:val="21"/>
              </w:rPr>
            </w:pPr>
            <w:r>
              <w:rPr>
                <w:rFonts w:hint="eastAsia"/>
                <w:i w:val="0"/>
                <w:iCs w:val="0"/>
                <w:color w:val="000000"/>
                <w:sz w:val="21"/>
                <w:szCs w:val="21"/>
                <w:lang w:val="en-US" w:eastAsia="zh-CN"/>
              </w:rPr>
              <w:t>0.27275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2" w:type="pct"/>
            <w:noWrap w:val="0"/>
            <w:vAlign w:val="top"/>
          </w:tcPr>
          <w:p>
            <w:pPr>
              <w:jc w:val="center"/>
              <w:rPr>
                <w:rFonts w:hint="eastAsia"/>
                <w:i w:val="0"/>
                <w:iCs w:val="0"/>
                <w:color w:val="000000"/>
                <w:sz w:val="21"/>
                <w:szCs w:val="21"/>
              </w:rPr>
            </w:pPr>
            <w:r>
              <w:rPr>
                <w:rFonts w:hint="eastAsia"/>
                <w:i w:val="0"/>
                <w:iCs w:val="0"/>
                <w:color w:val="000000"/>
                <w:sz w:val="21"/>
                <w:szCs w:val="21"/>
              </w:rPr>
              <w:t>4</w:t>
            </w:r>
          </w:p>
        </w:tc>
        <w:tc>
          <w:tcPr>
            <w:tcW w:w="2250" w:type="pct"/>
            <w:noWrap w:val="0"/>
            <w:vAlign w:val="center"/>
          </w:tcPr>
          <w:p>
            <w:pPr>
              <w:jc w:val="center"/>
              <w:rPr>
                <w:rFonts w:hint="eastAsia"/>
                <w:i w:val="0"/>
                <w:iCs w:val="0"/>
                <w:color w:val="000000"/>
                <w:sz w:val="21"/>
                <w:szCs w:val="21"/>
              </w:rPr>
            </w:pPr>
            <w:r>
              <w:rPr>
                <w:rFonts w:hint="eastAsia"/>
                <w:i w:val="0"/>
                <w:iCs w:val="0"/>
                <w:color w:val="000000"/>
                <w:sz w:val="21"/>
                <w:szCs w:val="21"/>
              </w:rPr>
              <w:t>颗粒物</w:t>
            </w:r>
          </w:p>
        </w:tc>
        <w:tc>
          <w:tcPr>
            <w:tcW w:w="3096" w:type="dxa"/>
            <w:noWrap w:val="0"/>
            <w:vAlign w:val="center"/>
          </w:tcPr>
          <w:p>
            <w:pPr>
              <w:jc w:val="center"/>
              <w:rPr>
                <w:i w:val="0"/>
                <w:iCs w:val="0"/>
                <w:color w:val="000000"/>
                <w:sz w:val="21"/>
                <w:szCs w:val="21"/>
              </w:rPr>
            </w:pPr>
            <w:r>
              <w:rPr>
                <w:rFonts w:hint="eastAsia"/>
                <w:i w:val="0"/>
                <w:iCs w:val="0"/>
                <w:color w:val="000000"/>
                <w:sz w:val="21"/>
                <w:szCs w:val="21"/>
                <w:lang w:val="en-US" w:eastAsia="zh-CN"/>
              </w:rPr>
              <w:t>2.22686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2" w:type="pct"/>
            <w:noWrap w:val="0"/>
            <w:vAlign w:val="top"/>
          </w:tcPr>
          <w:p>
            <w:pPr>
              <w:jc w:val="center"/>
              <w:rPr>
                <w:rFonts w:hint="eastAsia" w:eastAsia="宋体"/>
                <w:i w:val="0"/>
                <w:iCs w:val="0"/>
                <w:color w:val="000000"/>
                <w:sz w:val="21"/>
                <w:szCs w:val="21"/>
                <w:lang w:val="en-US" w:eastAsia="zh-CN"/>
              </w:rPr>
            </w:pPr>
            <w:r>
              <w:rPr>
                <w:rFonts w:hint="eastAsia"/>
                <w:i w:val="0"/>
                <w:iCs w:val="0"/>
                <w:color w:val="000000"/>
                <w:sz w:val="21"/>
                <w:szCs w:val="21"/>
                <w:lang w:val="en-US" w:eastAsia="zh-CN"/>
              </w:rPr>
              <w:t>5</w:t>
            </w:r>
          </w:p>
        </w:tc>
        <w:tc>
          <w:tcPr>
            <w:tcW w:w="4179" w:type="dxa"/>
            <w:noWrap w:val="0"/>
            <w:vAlign w:val="center"/>
          </w:tcPr>
          <w:p>
            <w:pPr>
              <w:pStyle w:val="408"/>
              <w:adjustRightInd w:val="0"/>
              <w:snapToGrid w:val="0"/>
              <w:spacing w:line="240" w:lineRule="auto"/>
              <w:textAlignment w:val="baseline"/>
              <w:rPr>
                <w:rFonts w:hint="eastAsia"/>
                <w:i w:val="0"/>
                <w:iCs w:val="0"/>
                <w:color w:val="000000"/>
                <w:sz w:val="21"/>
                <w:szCs w:val="21"/>
              </w:rPr>
            </w:pPr>
            <w:r>
              <w:rPr>
                <w:rFonts w:hint="eastAsia"/>
                <w:i w:val="0"/>
                <w:iCs w:val="0"/>
                <w:color w:val="000000"/>
                <w:szCs w:val="21"/>
                <w:lang w:val="en-US" w:eastAsia="zh-CN"/>
              </w:rPr>
              <w:t>二氧化硫</w:t>
            </w:r>
          </w:p>
        </w:tc>
        <w:tc>
          <w:tcPr>
            <w:tcW w:w="3096" w:type="dxa"/>
            <w:noWrap w:val="0"/>
            <w:vAlign w:val="center"/>
          </w:tcPr>
          <w:p>
            <w:pPr>
              <w:jc w:val="center"/>
              <w:rPr>
                <w:rFonts w:hint="eastAsia"/>
                <w:i w:val="0"/>
                <w:iCs w:val="0"/>
                <w:color w:val="000000"/>
                <w:sz w:val="21"/>
                <w:szCs w:val="21"/>
              </w:rPr>
            </w:pPr>
            <w:r>
              <w:rPr>
                <w:rFonts w:hint="eastAsia"/>
                <w:i w:val="0"/>
                <w:iCs w:val="0"/>
                <w:color w:val="000000"/>
                <w:sz w:val="21"/>
                <w:szCs w:val="21"/>
                <w:lang w:val="en-US" w:eastAsia="zh-CN"/>
              </w:rPr>
              <w:t>0.96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2" w:type="pct"/>
            <w:noWrap w:val="0"/>
            <w:vAlign w:val="top"/>
          </w:tcPr>
          <w:p>
            <w:pPr>
              <w:jc w:val="center"/>
              <w:rPr>
                <w:rFonts w:hint="eastAsia" w:eastAsia="宋体"/>
                <w:i w:val="0"/>
                <w:iCs w:val="0"/>
                <w:color w:val="000000"/>
                <w:sz w:val="21"/>
                <w:szCs w:val="21"/>
                <w:lang w:val="en-US" w:eastAsia="zh-CN"/>
              </w:rPr>
            </w:pPr>
            <w:r>
              <w:rPr>
                <w:rFonts w:hint="eastAsia"/>
                <w:i w:val="0"/>
                <w:iCs w:val="0"/>
                <w:color w:val="000000"/>
                <w:sz w:val="21"/>
                <w:szCs w:val="21"/>
                <w:lang w:val="en-US" w:eastAsia="zh-CN"/>
              </w:rPr>
              <w:t>6</w:t>
            </w:r>
          </w:p>
        </w:tc>
        <w:tc>
          <w:tcPr>
            <w:tcW w:w="4179" w:type="dxa"/>
            <w:noWrap w:val="0"/>
            <w:vAlign w:val="center"/>
          </w:tcPr>
          <w:p>
            <w:pPr>
              <w:pStyle w:val="408"/>
              <w:adjustRightInd w:val="0"/>
              <w:snapToGrid w:val="0"/>
              <w:spacing w:line="240" w:lineRule="auto"/>
              <w:textAlignment w:val="baseline"/>
              <w:rPr>
                <w:rFonts w:hint="eastAsia"/>
                <w:i w:val="0"/>
                <w:iCs w:val="0"/>
                <w:color w:val="000000"/>
                <w:sz w:val="21"/>
                <w:szCs w:val="21"/>
              </w:rPr>
            </w:pPr>
            <w:r>
              <w:rPr>
                <w:rFonts w:hint="eastAsia"/>
                <w:i w:val="0"/>
                <w:iCs w:val="0"/>
                <w:color w:val="000000"/>
                <w:szCs w:val="21"/>
                <w:lang w:val="en-US" w:eastAsia="zh-CN"/>
              </w:rPr>
              <w:t>氮氧化物</w:t>
            </w:r>
          </w:p>
        </w:tc>
        <w:tc>
          <w:tcPr>
            <w:tcW w:w="3096" w:type="dxa"/>
            <w:noWrap w:val="0"/>
            <w:vAlign w:val="center"/>
          </w:tcPr>
          <w:p>
            <w:pPr>
              <w:jc w:val="center"/>
              <w:rPr>
                <w:rFonts w:hint="eastAsia"/>
                <w:i w:val="0"/>
                <w:iCs w:val="0"/>
                <w:color w:val="000000"/>
                <w:sz w:val="21"/>
                <w:szCs w:val="21"/>
              </w:rPr>
            </w:pPr>
            <w:r>
              <w:rPr>
                <w:rFonts w:hint="eastAsia"/>
                <w:i w:val="0"/>
                <w:iCs w:val="0"/>
                <w:color w:val="000000"/>
                <w:sz w:val="21"/>
                <w:szCs w:val="21"/>
                <w:lang w:val="en-US" w:eastAsia="zh-CN"/>
              </w:rPr>
              <w:t>4.49</w:t>
            </w:r>
          </w:p>
        </w:tc>
      </w:tr>
    </w:tbl>
    <w:p>
      <w:pPr>
        <w:spacing w:line="360" w:lineRule="auto"/>
        <w:ind w:firstLine="480" w:firstLineChars="200"/>
        <w:rPr>
          <w:i w:val="0"/>
          <w:iCs w:val="0"/>
          <w:color w:val="000000"/>
        </w:rPr>
      </w:pPr>
      <w:r>
        <w:rPr>
          <w:rFonts w:hint="eastAsia"/>
          <w:i w:val="0"/>
          <w:iCs w:val="0"/>
          <w:color w:val="000000"/>
        </w:rPr>
        <w:t>3</w:t>
      </w:r>
      <w:r>
        <w:rPr>
          <w:i w:val="0"/>
          <w:iCs w:val="0"/>
          <w:color w:val="000000"/>
        </w:rPr>
        <w:t>、大气环境防护距离</w:t>
      </w:r>
    </w:p>
    <w:p>
      <w:pPr>
        <w:spacing w:line="360" w:lineRule="auto"/>
        <w:ind w:firstLine="480" w:firstLineChars="200"/>
        <w:rPr>
          <w:i w:val="0"/>
          <w:iCs w:val="0"/>
          <w:color w:val="000000"/>
          <w:u w:val="single"/>
        </w:rPr>
      </w:pPr>
      <w:r>
        <w:rPr>
          <w:i w:val="0"/>
          <w:iCs w:val="0"/>
          <w:color w:val="000000"/>
          <w:u w:val="single"/>
        </w:rPr>
        <w:t>根据《环境影响评价技术导则 大气环境》（HJ2.2-2018），本项目各污染物厂界浓度满足大气污染物厂界浓度限值，厂界外各污染物的短期贡献浓度未出现超标情况</w:t>
      </w:r>
      <w:r>
        <w:rPr>
          <w:rFonts w:hint="eastAsia"/>
          <w:i w:val="0"/>
          <w:iCs w:val="0"/>
          <w:color w:val="000000"/>
          <w:u w:val="single"/>
          <w:lang w:eastAsia="zh-CN"/>
        </w:rPr>
        <w:t>，对</w:t>
      </w:r>
      <w:r>
        <w:rPr>
          <w:rFonts w:hint="eastAsia"/>
          <w:i w:val="0"/>
          <w:iCs w:val="0"/>
          <w:color w:val="000000"/>
          <w:u w:val="single"/>
          <w:lang w:val="en-US" w:eastAsia="zh-CN"/>
        </w:rPr>
        <w:t>周边</w:t>
      </w:r>
      <w:r>
        <w:rPr>
          <w:rFonts w:hint="eastAsia"/>
          <w:i w:val="0"/>
          <w:iCs w:val="0"/>
          <w:color w:val="000000"/>
          <w:u w:val="single"/>
          <w:lang w:eastAsia="zh-CN"/>
        </w:rPr>
        <w:t>居民区的异味影响</w:t>
      </w:r>
      <w:r>
        <w:rPr>
          <w:rFonts w:hint="eastAsia"/>
          <w:i w:val="0"/>
          <w:iCs w:val="0"/>
          <w:color w:val="000000"/>
          <w:u w:val="single"/>
          <w:lang w:val="en-US" w:eastAsia="zh-CN"/>
        </w:rPr>
        <w:t>小</w:t>
      </w:r>
      <w:r>
        <w:rPr>
          <w:i w:val="0"/>
          <w:iCs w:val="0"/>
          <w:color w:val="000000"/>
          <w:u w:val="single"/>
        </w:rPr>
        <w:t>，因此，本项目无需设置大气环境防护距离。</w:t>
      </w:r>
    </w:p>
    <w:p>
      <w:pPr>
        <w:spacing w:line="360" w:lineRule="auto"/>
        <w:ind w:firstLine="480" w:firstLineChars="200"/>
        <w:rPr>
          <w:i w:val="0"/>
          <w:iCs w:val="0"/>
          <w:color w:val="000000"/>
        </w:rPr>
      </w:pPr>
      <w:r>
        <w:rPr>
          <w:rFonts w:hint="eastAsia"/>
          <w:i w:val="0"/>
          <w:iCs w:val="0"/>
          <w:color w:val="000000"/>
        </w:rPr>
        <w:t>4</w:t>
      </w:r>
      <w:r>
        <w:rPr>
          <w:i w:val="0"/>
          <w:iCs w:val="0"/>
          <w:color w:val="000000"/>
        </w:rPr>
        <w:t>、</w:t>
      </w:r>
      <w:r>
        <w:rPr>
          <w:rFonts w:hint="eastAsia"/>
          <w:i w:val="0"/>
          <w:iCs w:val="0"/>
          <w:color w:val="000000"/>
        </w:rPr>
        <w:t>原料</w:t>
      </w:r>
      <w:r>
        <w:rPr>
          <w:i w:val="0"/>
          <w:iCs w:val="0"/>
          <w:color w:val="000000"/>
        </w:rPr>
        <w:t>运输过程中环境影响分析及污染防治措施</w:t>
      </w:r>
    </w:p>
    <w:p>
      <w:pPr>
        <w:adjustRightInd w:val="0"/>
        <w:snapToGrid w:val="0"/>
        <w:spacing w:line="360" w:lineRule="auto"/>
        <w:ind w:firstLine="480" w:firstLineChars="200"/>
        <w:rPr>
          <w:rFonts w:hint="eastAsia"/>
          <w:i w:val="0"/>
          <w:iCs w:val="0"/>
          <w:color w:val="000000"/>
        </w:rPr>
      </w:pPr>
      <w:r>
        <w:rPr>
          <w:rFonts w:hint="eastAsia"/>
          <w:i w:val="0"/>
          <w:iCs w:val="0"/>
          <w:color w:val="000000"/>
        </w:rPr>
        <w:t>本项目原料及产品主要以公路运输为主，原料及产品分别以桶装、袋装形式包装， 形态分为固、液态形式，在运输过程中正常情况下不会造成沿途流失和泄漏等事故排放，运输过程因物料挥发导致的对周围环境的影响较小。运输过程中存在的影响主要分为二方面：一方面为项目原辅材料中的化学品在运输过程中非正常情况下泄漏事故或交通事故风险，其对运输道路沿线的影响，另一方面为运输过程中产生的二次扬尘及噪声的影响。</w:t>
      </w:r>
    </w:p>
    <w:p>
      <w:pPr>
        <w:adjustRightInd w:val="0"/>
        <w:snapToGrid w:val="0"/>
        <w:spacing w:line="360" w:lineRule="auto"/>
        <w:ind w:firstLine="480" w:firstLineChars="200"/>
        <w:rPr>
          <w:rFonts w:hint="eastAsia"/>
          <w:i w:val="0"/>
          <w:iCs w:val="0"/>
          <w:color w:val="000000"/>
        </w:rPr>
      </w:pPr>
      <w:r>
        <w:rPr>
          <w:rFonts w:hint="eastAsia"/>
          <w:i w:val="0"/>
          <w:iCs w:val="0"/>
          <w:color w:val="000000"/>
        </w:rPr>
        <w:t>目前，本项目区域周围道路道况较好，通行车辆较少，因此利用该道路运输原辅材料基本不会对区域内交通运输带来压力，对周围交通运输影响较小。</w:t>
      </w:r>
    </w:p>
    <w:p>
      <w:pPr>
        <w:adjustRightInd w:val="0"/>
        <w:snapToGrid w:val="0"/>
        <w:spacing w:line="360" w:lineRule="auto"/>
        <w:ind w:firstLine="480" w:firstLineChars="200"/>
        <w:rPr>
          <w:rFonts w:hint="eastAsia"/>
          <w:i w:val="0"/>
          <w:iCs w:val="0"/>
          <w:color w:val="000000"/>
        </w:rPr>
      </w:pPr>
      <w:r>
        <w:rPr>
          <w:rFonts w:hint="eastAsia"/>
          <w:i w:val="0"/>
          <w:iCs w:val="0"/>
          <w:color w:val="000000"/>
        </w:rPr>
        <w:t>运输车辆在运输过程中可能会产生扬尘、车辆噪声等，以及运输车辆在运输过程中由于超速、超载运行发生交通事故时造成液态化学品泄漏对区域土壤及地下水等造成污染的环境风险，以及气态化学原料发生泄漏对区域环境空气和周围人群造成的的环境风险。为减少运输过程中对周围环境造成的环境影响，建议企业在运输过程中采取以下防治措施：</w:t>
      </w:r>
    </w:p>
    <w:p>
      <w:pPr>
        <w:adjustRightInd w:val="0"/>
        <w:snapToGrid w:val="0"/>
        <w:spacing w:line="360" w:lineRule="auto"/>
        <w:ind w:firstLine="480" w:firstLineChars="200"/>
        <w:rPr>
          <w:i w:val="0"/>
          <w:iCs w:val="0"/>
          <w:color w:val="000000"/>
        </w:rPr>
      </w:pPr>
      <w:r>
        <w:rPr>
          <w:rFonts w:hint="eastAsia"/>
          <w:i w:val="0"/>
          <w:iCs w:val="0"/>
          <w:color w:val="000000"/>
        </w:rPr>
        <w:t>（1）</w:t>
      </w:r>
      <w:r>
        <w:rPr>
          <w:i w:val="0"/>
          <w:iCs w:val="0"/>
          <w:color w:val="000000"/>
        </w:rPr>
        <w:t>合理规划、选择运输线路，尽量避免运输车辆途径村屯、学校、医院、过河大桥等线路；</w:t>
      </w:r>
    </w:p>
    <w:p>
      <w:pPr>
        <w:adjustRightInd w:val="0"/>
        <w:snapToGrid w:val="0"/>
        <w:spacing w:line="360" w:lineRule="auto"/>
        <w:ind w:firstLine="480" w:firstLineChars="200"/>
        <w:rPr>
          <w:i w:val="0"/>
          <w:iCs w:val="0"/>
          <w:color w:val="000000"/>
        </w:rPr>
      </w:pPr>
      <w:r>
        <w:rPr>
          <w:rFonts w:hint="eastAsia"/>
          <w:i w:val="0"/>
          <w:iCs w:val="0"/>
          <w:color w:val="000000"/>
        </w:rPr>
        <w:t>（2）</w:t>
      </w:r>
      <w:r>
        <w:rPr>
          <w:i w:val="0"/>
          <w:iCs w:val="0"/>
          <w:color w:val="000000"/>
        </w:rPr>
        <w:t>合理规划运输时间，尽量避免夜间运输，避免在交通高峰期进行运输；</w:t>
      </w:r>
    </w:p>
    <w:p>
      <w:pPr>
        <w:adjustRightInd w:val="0"/>
        <w:snapToGrid w:val="0"/>
        <w:spacing w:line="360" w:lineRule="auto"/>
        <w:ind w:firstLine="480" w:firstLineChars="200"/>
        <w:rPr>
          <w:i w:val="0"/>
          <w:iCs w:val="0"/>
          <w:color w:val="000000"/>
        </w:rPr>
      </w:pPr>
      <w:r>
        <w:rPr>
          <w:rFonts w:hint="eastAsia"/>
          <w:i w:val="0"/>
          <w:iCs w:val="0"/>
          <w:color w:val="000000"/>
        </w:rPr>
        <w:t>（3）</w:t>
      </w:r>
      <w:r>
        <w:rPr>
          <w:i w:val="0"/>
          <w:iCs w:val="0"/>
          <w:color w:val="000000"/>
        </w:rPr>
        <w:t>运输车辆应严格按照相关交通要求安全运输，严禁超速、超载、超高运输；</w:t>
      </w:r>
    </w:p>
    <w:p>
      <w:pPr>
        <w:adjustRightInd w:val="0"/>
        <w:snapToGrid w:val="0"/>
        <w:spacing w:line="360" w:lineRule="auto"/>
        <w:ind w:firstLine="480" w:firstLineChars="200"/>
        <w:rPr>
          <w:i w:val="0"/>
          <w:iCs w:val="0"/>
          <w:color w:val="000000"/>
        </w:rPr>
      </w:pPr>
      <w:r>
        <w:rPr>
          <w:rFonts w:hint="eastAsia"/>
          <w:i w:val="0"/>
          <w:iCs w:val="0"/>
          <w:color w:val="000000"/>
        </w:rPr>
        <w:t>（4）</w:t>
      </w:r>
      <w:r>
        <w:rPr>
          <w:i w:val="0"/>
          <w:iCs w:val="0"/>
          <w:color w:val="000000"/>
        </w:rPr>
        <w:t>运输道路采用不易起尘的板结路面，如水泥路或柏油路，防止运输过程中道路产生的扬尘污染；</w:t>
      </w:r>
    </w:p>
    <w:p>
      <w:pPr>
        <w:adjustRightInd w:val="0"/>
        <w:snapToGrid w:val="0"/>
        <w:spacing w:line="360" w:lineRule="auto"/>
        <w:ind w:firstLine="480" w:firstLineChars="200"/>
        <w:rPr>
          <w:rFonts w:hint="eastAsia"/>
          <w:i w:val="0"/>
          <w:iCs w:val="0"/>
          <w:color w:val="000000"/>
        </w:rPr>
      </w:pPr>
      <w:r>
        <w:rPr>
          <w:rFonts w:hint="eastAsia"/>
          <w:i w:val="0"/>
          <w:iCs w:val="0"/>
          <w:color w:val="000000"/>
        </w:rPr>
        <w:t>（5）</w:t>
      </w:r>
      <w:r>
        <w:rPr>
          <w:i w:val="0"/>
          <w:iCs w:val="0"/>
          <w:color w:val="000000"/>
        </w:rPr>
        <w:t>在运输过程中应用专用车辆进行运输，运输司机等工作人员均应经过专业培训合格后方可上岗，同时运输时途径村屯等环境敏感目标时应禁止鸣笛</w:t>
      </w:r>
      <w:r>
        <w:rPr>
          <w:rFonts w:hint="eastAsia"/>
          <w:i w:val="0"/>
          <w:iCs w:val="0"/>
          <w:color w:val="000000"/>
        </w:rPr>
        <w:t>。</w:t>
      </w:r>
    </w:p>
    <w:p>
      <w:pPr>
        <w:adjustRightInd w:val="0"/>
        <w:snapToGrid w:val="0"/>
        <w:spacing w:line="360" w:lineRule="auto"/>
        <w:ind w:firstLine="480" w:firstLineChars="200"/>
        <w:rPr>
          <w:rFonts w:hint="eastAsia"/>
          <w:i w:val="0"/>
          <w:iCs w:val="0"/>
          <w:color w:val="000000"/>
        </w:rPr>
      </w:pPr>
      <w:r>
        <w:rPr>
          <w:rFonts w:hint="eastAsia"/>
          <w:i w:val="0"/>
          <w:iCs w:val="0"/>
          <w:color w:val="000000"/>
        </w:rPr>
        <w:t>同时，由于本项目运输的物质中有液态危险化学品，其在运输途中存在意外交通事故或泄漏事故的风险。其产生风险事故的主要因素为：</w:t>
      </w:r>
    </w:p>
    <w:p>
      <w:pPr>
        <w:adjustRightInd w:val="0"/>
        <w:snapToGrid w:val="0"/>
        <w:spacing w:line="360" w:lineRule="auto"/>
        <w:ind w:firstLine="480" w:firstLineChars="200"/>
        <w:rPr>
          <w:rFonts w:hint="eastAsia"/>
          <w:i w:val="0"/>
          <w:iCs w:val="0"/>
          <w:color w:val="000000"/>
        </w:rPr>
      </w:pPr>
      <w:r>
        <w:rPr>
          <w:rFonts w:hint="eastAsia"/>
          <w:i w:val="0"/>
          <w:iCs w:val="0"/>
          <w:color w:val="000000"/>
        </w:rPr>
        <w:t>①运输人员对化学品相关的法律法规知识了解不足，违规违章运输；</w:t>
      </w:r>
    </w:p>
    <w:p>
      <w:pPr>
        <w:adjustRightInd w:val="0"/>
        <w:snapToGrid w:val="0"/>
        <w:spacing w:line="360" w:lineRule="auto"/>
        <w:ind w:firstLine="480" w:firstLineChars="200"/>
        <w:rPr>
          <w:rFonts w:hint="eastAsia"/>
          <w:i w:val="0"/>
          <w:iCs w:val="0"/>
          <w:color w:val="000000"/>
        </w:rPr>
      </w:pPr>
      <w:r>
        <w:rPr>
          <w:rFonts w:hint="eastAsia"/>
          <w:i w:val="0"/>
          <w:iCs w:val="0"/>
          <w:color w:val="000000"/>
        </w:rPr>
        <w:t>②装运危险废物的车辆的安全状况、车辆技术状况；</w:t>
      </w:r>
    </w:p>
    <w:p>
      <w:pPr>
        <w:adjustRightInd w:val="0"/>
        <w:snapToGrid w:val="0"/>
        <w:spacing w:line="360" w:lineRule="auto"/>
        <w:ind w:firstLine="480" w:firstLineChars="200"/>
        <w:rPr>
          <w:rFonts w:hint="eastAsia"/>
          <w:i w:val="0"/>
          <w:iCs w:val="0"/>
          <w:color w:val="000000"/>
        </w:rPr>
      </w:pPr>
      <w:r>
        <w:rPr>
          <w:rFonts w:hint="eastAsia"/>
          <w:i w:val="0"/>
          <w:iCs w:val="0"/>
          <w:color w:val="000000"/>
        </w:rPr>
        <w:t>③天气状况和道路状况；</w:t>
      </w:r>
    </w:p>
    <w:p>
      <w:pPr>
        <w:adjustRightInd w:val="0"/>
        <w:snapToGrid w:val="0"/>
        <w:spacing w:line="360" w:lineRule="auto"/>
        <w:ind w:firstLine="480" w:firstLineChars="200"/>
        <w:rPr>
          <w:rFonts w:hint="eastAsia"/>
          <w:i w:val="0"/>
          <w:iCs w:val="0"/>
          <w:color w:val="000000"/>
        </w:rPr>
      </w:pPr>
      <w:r>
        <w:rPr>
          <w:rFonts w:hint="eastAsia"/>
          <w:i w:val="0"/>
          <w:iCs w:val="0"/>
          <w:color w:val="000000"/>
        </w:rPr>
        <w:t>④运输危险废物的装运条件。</w:t>
      </w:r>
    </w:p>
    <w:p>
      <w:pPr>
        <w:adjustRightInd w:val="0"/>
        <w:snapToGrid w:val="0"/>
        <w:spacing w:line="360" w:lineRule="auto"/>
        <w:ind w:firstLine="480" w:firstLineChars="200"/>
        <w:rPr>
          <w:rFonts w:hint="eastAsia"/>
          <w:i w:val="0"/>
          <w:iCs w:val="0"/>
          <w:color w:val="000000"/>
        </w:rPr>
      </w:pPr>
      <w:r>
        <w:rPr>
          <w:rFonts w:hint="eastAsia"/>
          <w:i w:val="0"/>
          <w:iCs w:val="0"/>
          <w:color w:val="000000"/>
        </w:rPr>
        <w:t>因此，为避免运输过程中发生交通风险事故，首先，企业运输危险品应经资质认定， 进行危险废物运输需要具备必要的条件。国家对危险废物的运输实行资质认定制度，没有经过资质认定的单位不得运输危险废物。加强从业人员培训教育，提高法律意识和业务素质。企业应针对具体情况组织驾驶员、押运员等进行学习本项目涉及的危险废物的特性及发生事故后的处置方法。再次，要选择合格的包装容器，正确装运货物。用于危险危险废物运输工具的槽罐以及其他容器必须由专业主产企业定点生产，并经检测，检验合格的才能使用。装运货物时还要正确配装货物，不能混装混运，特别是性质相抵触的、灭火方法不一致的绝对不能同车运输。配装货物时，还应注意包装和衬垫材料，包装要牢固、紧密。最后，做好运输准备工作，安全驾驶。运输前要配置明显的符合标准的标志，要配戴防火罩、配备相应的灭火器材和防雨淋的器具。车辆的底板必须保持完好，周围的栏板要牢固。行车前要仔细检查车辆状况，特别要检查车辆的制动系统，还应检查连接固体设备和灯光标志。行驶过程中，司机要选择平坦的道路，控制车速、车距，遇有情况，要提前减速，避免紧急制动。要遵守交通规则。同时要注意天气状况， 恶劣的天气如雨、雪、雾天，大风沙天尽量避免出车。</w:t>
      </w:r>
    </w:p>
    <w:p>
      <w:pPr>
        <w:adjustRightInd w:val="0"/>
        <w:snapToGrid w:val="0"/>
        <w:spacing w:line="360" w:lineRule="auto"/>
        <w:ind w:firstLine="480" w:firstLineChars="200"/>
        <w:rPr>
          <w:rFonts w:hint="eastAsia"/>
          <w:i w:val="0"/>
          <w:iCs w:val="0"/>
          <w:color w:val="000000"/>
        </w:rPr>
      </w:pPr>
      <w:r>
        <w:rPr>
          <w:rFonts w:hint="eastAsia"/>
          <w:i w:val="0"/>
          <w:iCs w:val="0"/>
          <w:color w:val="000000"/>
        </w:rPr>
        <w:t>综上，本项目在采取上述相应污染防治措施和环境风险预防措施后，本项目在运输过程中对周围环境影响较小。</w:t>
      </w:r>
    </w:p>
    <w:p>
      <w:pPr>
        <w:adjustRightInd w:val="0"/>
        <w:snapToGrid w:val="0"/>
        <w:spacing w:line="360" w:lineRule="auto"/>
        <w:ind w:firstLine="480" w:firstLineChars="200"/>
        <w:rPr>
          <w:rFonts w:hint="eastAsia"/>
          <w:i w:val="0"/>
          <w:iCs w:val="0"/>
          <w:color w:val="000000"/>
        </w:rPr>
      </w:pPr>
      <w:r>
        <w:rPr>
          <w:rFonts w:hint="eastAsia"/>
          <w:i w:val="0"/>
          <w:iCs w:val="0"/>
          <w:color w:val="000000"/>
        </w:rPr>
        <w:t>本项目依照公司制定的相关运输防范措施后，运输过程中对环境造成的影响很小。本项目现厂区危险废物库房按照《危险废物贮存污染控制标准》要求采取防渗措施，不会污染地下水、土壤和地表水环境。</w:t>
      </w:r>
    </w:p>
    <w:p>
      <w:pPr>
        <w:spacing w:line="360" w:lineRule="auto"/>
        <w:ind w:firstLine="422" w:firstLineChars="176"/>
        <w:rPr>
          <w:i w:val="0"/>
          <w:iCs w:val="0"/>
        </w:rPr>
      </w:pPr>
      <w:r>
        <w:rPr>
          <w:rFonts w:hint="eastAsia"/>
          <w:i w:val="0"/>
          <w:iCs w:val="0"/>
        </w:rPr>
        <w:t>5</w:t>
      </w:r>
      <w:r>
        <w:rPr>
          <w:i w:val="0"/>
          <w:iCs w:val="0"/>
        </w:rPr>
        <w:t>.2.4声环境影响预测</w:t>
      </w:r>
    </w:p>
    <w:p>
      <w:pPr>
        <w:pStyle w:val="26"/>
        <w:spacing w:line="360" w:lineRule="auto"/>
        <w:rPr>
          <w:rFonts w:ascii="Times New Roman" w:hAnsi="Times New Roman"/>
          <w:i w:val="0"/>
          <w:iCs w:val="0"/>
        </w:rPr>
      </w:pPr>
      <w:r>
        <w:rPr>
          <w:rFonts w:hint="eastAsia" w:ascii="Times New Roman" w:hAnsi="Times New Roman"/>
          <w:i w:val="0"/>
          <w:iCs w:val="0"/>
        </w:rPr>
        <w:t>5</w:t>
      </w:r>
      <w:r>
        <w:rPr>
          <w:rFonts w:ascii="Times New Roman" w:hAnsi="Times New Roman"/>
          <w:i w:val="0"/>
          <w:iCs w:val="0"/>
        </w:rPr>
        <w:t>.2.4.1预测源强</w:t>
      </w:r>
    </w:p>
    <w:p>
      <w:pPr>
        <w:pStyle w:val="26"/>
        <w:spacing w:line="360" w:lineRule="auto"/>
        <w:rPr>
          <w:rFonts w:ascii="Times New Roman" w:hAnsi="Times New Roman"/>
          <w:i w:val="0"/>
          <w:iCs w:val="0"/>
        </w:rPr>
      </w:pPr>
      <w:r>
        <w:rPr>
          <w:rFonts w:ascii="Times New Roman" w:hAnsi="Times New Roman"/>
          <w:i w:val="0"/>
          <w:iCs w:val="0"/>
        </w:rPr>
        <w:t>根据项目平面布置及生产设备布置，</w:t>
      </w:r>
      <w:r>
        <w:rPr>
          <w:rFonts w:hint="eastAsia" w:ascii="Times New Roman" w:hAnsi="Times New Roman"/>
          <w:i w:val="0"/>
          <w:iCs w:val="0"/>
        </w:rPr>
        <w:t>本</w:t>
      </w:r>
      <w:r>
        <w:rPr>
          <w:rFonts w:ascii="Times New Roman" w:hAnsi="Times New Roman"/>
          <w:i w:val="0"/>
          <w:iCs w:val="0"/>
        </w:rPr>
        <w:t>项目噪声源主要分为</w:t>
      </w:r>
      <w:r>
        <w:rPr>
          <w:rFonts w:hint="eastAsia" w:ascii="Times New Roman" w:hAnsi="Times New Roman"/>
          <w:i w:val="0"/>
          <w:iCs w:val="0"/>
        </w:rPr>
        <w:t>发酵车间、提取车间、动力车间等</w:t>
      </w:r>
      <w:r>
        <w:rPr>
          <w:rFonts w:ascii="Times New Roman" w:hAnsi="Times New Roman"/>
          <w:i w:val="0"/>
          <w:iCs w:val="0"/>
        </w:rPr>
        <w:t>。</w:t>
      </w:r>
    </w:p>
    <w:p>
      <w:pPr>
        <w:pStyle w:val="26"/>
        <w:spacing w:line="360" w:lineRule="auto"/>
        <w:rPr>
          <w:rFonts w:ascii="Times New Roman" w:hAnsi="Times New Roman"/>
          <w:i w:val="0"/>
          <w:iCs w:val="0"/>
        </w:rPr>
      </w:pPr>
      <w:r>
        <w:rPr>
          <w:rFonts w:hint="eastAsia" w:ascii="Times New Roman" w:hAnsi="Times New Roman"/>
          <w:i w:val="0"/>
          <w:iCs w:val="0"/>
        </w:rPr>
        <w:t>5</w:t>
      </w:r>
      <w:r>
        <w:rPr>
          <w:rFonts w:ascii="Times New Roman" w:hAnsi="Times New Roman"/>
          <w:i w:val="0"/>
          <w:iCs w:val="0"/>
        </w:rPr>
        <w:t>.2.4.2预测点的布设</w:t>
      </w:r>
    </w:p>
    <w:p>
      <w:pPr>
        <w:pStyle w:val="26"/>
        <w:spacing w:line="360" w:lineRule="auto"/>
        <w:rPr>
          <w:rFonts w:ascii="Times New Roman" w:hAnsi="Times New Roman"/>
          <w:i w:val="0"/>
          <w:iCs w:val="0"/>
        </w:rPr>
      </w:pPr>
      <w:r>
        <w:rPr>
          <w:rFonts w:ascii="Times New Roman" w:hAnsi="Times New Roman"/>
          <w:i w:val="0"/>
          <w:iCs w:val="0"/>
        </w:rPr>
        <w:t>将所有的声环境现状监测点都作为建设项目投产后对环境影响的预测点，通过对预测点环境噪声的影响预测，就可知建设项目投产后，其噪声源对厂区及周围环境的影响范围和程度，所需计算公式见表</w:t>
      </w:r>
      <w:r>
        <w:rPr>
          <w:rFonts w:hint="eastAsia" w:ascii="Times New Roman" w:hAnsi="Times New Roman"/>
          <w:i w:val="0"/>
          <w:iCs w:val="0"/>
        </w:rPr>
        <w:t>5</w:t>
      </w:r>
      <w:r>
        <w:rPr>
          <w:rFonts w:ascii="Times New Roman" w:hAnsi="Times New Roman"/>
          <w:i w:val="0"/>
          <w:iCs w:val="0"/>
        </w:rPr>
        <w:t>-</w:t>
      </w:r>
      <w:r>
        <w:rPr>
          <w:rFonts w:hint="eastAsia" w:ascii="Times New Roman" w:hAnsi="Times New Roman"/>
          <w:i w:val="0"/>
          <w:iCs w:val="0"/>
        </w:rPr>
        <w:t>2</w:t>
      </w:r>
      <w:r>
        <w:rPr>
          <w:rFonts w:hint="eastAsia" w:ascii="Times New Roman" w:hAnsi="Times New Roman"/>
          <w:i w:val="0"/>
          <w:iCs w:val="0"/>
          <w:lang w:val="en-US" w:eastAsia="zh-CN"/>
        </w:rPr>
        <w:t>0</w:t>
      </w:r>
      <w:r>
        <w:rPr>
          <w:rFonts w:ascii="Times New Roman" w:hAnsi="Times New Roman"/>
          <w:i w:val="0"/>
          <w:iCs w:val="0"/>
        </w:rPr>
        <w:t>。</w:t>
      </w:r>
    </w:p>
    <w:p>
      <w:pPr>
        <w:ind w:firstLine="482" w:firstLineChars="200"/>
        <w:jc w:val="center"/>
        <w:rPr>
          <w:rFonts w:hint="eastAsia"/>
          <w:b/>
          <w:i w:val="0"/>
          <w:iCs w:val="0"/>
          <w:color w:val="000000"/>
        </w:rPr>
      </w:pPr>
      <w:r>
        <w:rPr>
          <w:rFonts w:hint="eastAsia"/>
          <w:b/>
          <w:i w:val="0"/>
          <w:iCs w:val="0"/>
          <w:color w:val="000000"/>
        </w:rPr>
        <w:t>表5-2</w:t>
      </w:r>
      <w:r>
        <w:rPr>
          <w:rFonts w:hint="eastAsia"/>
          <w:b/>
          <w:i w:val="0"/>
          <w:iCs w:val="0"/>
          <w:color w:val="000000"/>
          <w:lang w:val="en-US" w:eastAsia="zh-CN"/>
        </w:rPr>
        <w:t>0</w:t>
      </w:r>
      <w:r>
        <w:rPr>
          <w:rFonts w:hint="eastAsia"/>
          <w:b/>
          <w:i w:val="0"/>
          <w:iCs w:val="0"/>
          <w:color w:val="000000"/>
        </w:rPr>
        <w:t>预测公式一览表</w:t>
      </w:r>
    </w:p>
    <w:tbl>
      <w:tblPr>
        <w:tblStyle w:val="58"/>
        <w:tblW w:w="0" w:type="auto"/>
        <w:tblInd w:w="13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21"/>
        <w:gridCol w:w="2718"/>
        <w:gridCol w:w="399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2221" w:type="dxa"/>
            <w:tcBorders>
              <w:top w:val="single" w:color="auto" w:sz="12" w:space="0"/>
            </w:tcBorders>
            <w:noWrap w:val="0"/>
            <w:vAlign w:val="center"/>
          </w:tcPr>
          <w:p>
            <w:pPr>
              <w:jc w:val="center"/>
              <w:rPr>
                <w:i w:val="0"/>
                <w:iCs w:val="0"/>
                <w:sz w:val="18"/>
                <w:szCs w:val="18"/>
              </w:rPr>
            </w:pPr>
            <w:r>
              <w:rPr>
                <w:i w:val="0"/>
                <w:iCs w:val="0"/>
                <w:sz w:val="18"/>
                <w:szCs w:val="18"/>
              </w:rPr>
              <w:t>公式名称</w:t>
            </w:r>
          </w:p>
        </w:tc>
        <w:tc>
          <w:tcPr>
            <w:tcW w:w="2718" w:type="dxa"/>
            <w:tcBorders>
              <w:top w:val="single" w:color="auto" w:sz="12" w:space="0"/>
            </w:tcBorders>
            <w:noWrap w:val="0"/>
            <w:vAlign w:val="center"/>
          </w:tcPr>
          <w:p>
            <w:pPr>
              <w:jc w:val="center"/>
              <w:rPr>
                <w:i w:val="0"/>
                <w:iCs w:val="0"/>
                <w:sz w:val="18"/>
                <w:szCs w:val="18"/>
              </w:rPr>
            </w:pPr>
            <w:r>
              <w:rPr>
                <w:i w:val="0"/>
                <w:iCs w:val="0"/>
                <w:sz w:val="18"/>
                <w:szCs w:val="18"/>
              </w:rPr>
              <w:t>公　　式</w:t>
            </w:r>
          </w:p>
        </w:tc>
        <w:tc>
          <w:tcPr>
            <w:tcW w:w="3995" w:type="dxa"/>
            <w:tcBorders>
              <w:top w:val="single" w:color="auto" w:sz="12" w:space="0"/>
            </w:tcBorders>
            <w:noWrap w:val="0"/>
            <w:vAlign w:val="center"/>
          </w:tcPr>
          <w:p>
            <w:pPr>
              <w:jc w:val="center"/>
              <w:rPr>
                <w:i w:val="0"/>
                <w:iCs w:val="0"/>
                <w:sz w:val="18"/>
                <w:szCs w:val="18"/>
              </w:rPr>
            </w:pPr>
            <w:r>
              <w:rPr>
                <w:i w:val="0"/>
                <w:iCs w:val="0"/>
                <w:sz w:val="18"/>
                <w:szCs w:val="18"/>
              </w:rPr>
              <w:t>符号意义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221" w:type="dxa"/>
            <w:noWrap w:val="0"/>
            <w:vAlign w:val="center"/>
          </w:tcPr>
          <w:p>
            <w:pPr>
              <w:jc w:val="center"/>
              <w:rPr>
                <w:i w:val="0"/>
                <w:iCs w:val="0"/>
                <w:sz w:val="18"/>
                <w:szCs w:val="18"/>
              </w:rPr>
            </w:pPr>
            <w:r>
              <w:rPr>
                <w:i w:val="0"/>
                <w:iCs w:val="0"/>
                <w:sz w:val="18"/>
                <w:szCs w:val="18"/>
              </w:rPr>
              <w:t>噪声户外传播</w:t>
            </w:r>
          </w:p>
          <w:p>
            <w:pPr>
              <w:jc w:val="center"/>
              <w:rPr>
                <w:i w:val="0"/>
                <w:iCs w:val="0"/>
                <w:sz w:val="18"/>
                <w:szCs w:val="18"/>
              </w:rPr>
            </w:pPr>
            <w:r>
              <w:rPr>
                <w:i w:val="0"/>
                <w:iCs w:val="0"/>
                <w:sz w:val="18"/>
                <w:szCs w:val="18"/>
              </w:rPr>
              <w:t>衰减公式</w:t>
            </w:r>
          </w:p>
        </w:tc>
        <w:tc>
          <w:tcPr>
            <w:tcW w:w="2718" w:type="dxa"/>
            <w:noWrap w:val="0"/>
            <w:vAlign w:val="center"/>
          </w:tcPr>
          <w:p>
            <w:pPr>
              <w:jc w:val="center"/>
              <w:rPr>
                <w:i w:val="0"/>
                <w:iCs w:val="0"/>
                <w:sz w:val="18"/>
                <w:szCs w:val="18"/>
              </w:rPr>
            </w:pPr>
            <w:r>
              <w:rPr>
                <w:i w:val="0"/>
                <w:iCs w:val="0"/>
                <w:sz w:val="18"/>
                <w:szCs w:val="18"/>
              </w:rPr>
              <w:pict>
                <v:shape id="对象 9054" o:spid="_x0000_s2222" o:spt="75" type="#_x0000_t75" style="position:absolute;left:0pt;margin-left:5.1pt;margin-top:16.1pt;height:38pt;width:111.25pt;z-index:251659264;mso-width-relative:page;mso-height-relative:page;" o:ole="t" filled="f" stroked="f" coordsize="21600,21600">
                  <v:path/>
                  <v:fill on="f" focussize="0,0"/>
                  <v:stroke on="f"/>
                  <v:imagedata r:id="rId48" o:title=""/>
                  <o:lock v:ext="edit" grouping="f" rotation="f" text="f" aspectratio="t"/>
                </v:shape>
                <o:OLEObject Type="Embed" ProgID="" ShapeID="对象 9054" DrawAspect="Content" ObjectID="_1468075728" r:id="rId47">
                  <o:LockedField>false</o:LockedField>
                </o:OLEObject>
              </w:pict>
            </w:r>
          </w:p>
        </w:tc>
        <w:tc>
          <w:tcPr>
            <w:tcW w:w="3995" w:type="dxa"/>
            <w:noWrap w:val="0"/>
            <w:vAlign w:val="center"/>
          </w:tcPr>
          <w:p>
            <w:pPr>
              <w:rPr>
                <w:i w:val="0"/>
                <w:iCs w:val="0"/>
                <w:sz w:val="18"/>
                <w:szCs w:val="18"/>
              </w:rPr>
            </w:pPr>
            <w:r>
              <w:rPr>
                <w:i w:val="0"/>
                <w:iCs w:val="0"/>
                <w:sz w:val="18"/>
                <w:szCs w:val="18"/>
              </w:rPr>
              <w:t>L</w:t>
            </w:r>
            <w:r>
              <w:rPr>
                <w:i w:val="0"/>
                <w:iCs w:val="0"/>
                <w:sz w:val="18"/>
                <w:szCs w:val="18"/>
                <w:vertAlign w:val="subscript"/>
              </w:rPr>
              <w:t>p</w:t>
            </w:r>
            <w:r>
              <w:rPr>
                <w:i w:val="0"/>
                <w:iCs w:val="0"/>
                <w:sz w:val="18"/>
                <w:szCs w:val="18"/>
              </w:rPr>
              <w:t>－距声源r米处的声压级，dB(A)</w:t>
            </w:r>
          </w:p>
          <w:p>
            <w:pPr>
              <w:rPr>
                <w:i w:val="0"/>
                <w:iCs w:val="0"/>
                <w:sz w:val="18"/>
                <w:szCs w:val="18"/>
              </w:rPr>
            </w:pPr>
            <w:r>
              <w:rPr>
                <w:i w:val="0"/>
                <w:iCs w:val="0"/>
                <w:sz w:val="18"/>
                <w:szCs w:val="18"/>
              </w:rPr>
              <w:t>L</w:t>
            </w:r>
            <w:r>
              <w:rPr>
                <w:i w:val="0"/>
                <w:iCs w:val="0"/>
                <w:sz w:val="18"/>
                <w:szCs w:val="18"/>
                <w:vertAlign w:val="subscript"/>
              </w:rPr>
              <w:t>PO</w:t>
            </w:r>
            <w:r>
              <w:rPr>
                <w:i w:val="0"/>
                <w:iCs w:val="0"/>
                <w:sz w:val="18"/>
                <w:szCs w:val="18"/>
              </w:rPr>
              <w:t>－参考位置r</w:t>
            </w:r>
            <w:r>
              <w:rPr>
                <w:i w:val="0"/>
                <w:iCs w:val="0"/>
                <w:sz w:val="18"/>
                <w:szCs w:val="18"/>
                <w:vertAlign w:val="subscript"/>
              </w:rPr>
              <w:t>0</w:t>
            </w:r>
            <w:r>
              <w:rPr>
                <w:i w:val="0"/>
                <w:iCs w:val="0"/>
                <w:sz w:val="18"/>
                <w:szCs w:val="18"/>
              </w:rPr>
              <w:t>的声压级，dB(A)</w:t>
            </w:r>
          </w:p>
          <w:p>
            <w:pPr>
              <w:rPr>
                <w:i w:val="0"/>
                <w:iCs w:val="0"/>
                <w:sz w:val="18"/>
                <w:szCs w:val="18"/>
              </w:rPr>
            </w:pPr>
            <w:r>
              <w:rPr>
                <w:i w:val="0"/>
                <w:iCs w:val="0"/>
                <w:sz w:val="18"/>
                <w:szCs w:val="18"/>
              </w:rPr>
              <w:t>r</w:t>
            </w:r>
            <w:r>
              <w:rPr>
                <w:i w:val="0"/>
                <w:iCs w:val="0"/>
                <w:sz w:val="18"/>
                <w:szCs w:val="18"/>
                <w:vertAlign w:val="subscript"/>
              </w:rPr>
              <w:t>0</w:t>
            </w:r>
            <w:r>
              <w:rPr>
                <w:i w:val="0"/>
                <w:iCs w:val="0"/>
                <w:sz w:val="18"/>
                <w:szCs w:val="18"/>
              </w:rPr>
              <w:t>－参考位置距声源的距离，m</w:t>
            </w:r>
          </w:p>
          <w:p>
            <w:pPr>
              <w:rPr>
                <w:i w:val="0"/>
                <w:iCs w:val="0"/>
                <w:sz w:val="18"/>
                <w:szCs w:val="18"/>
              </w:rPr>
            </w:pPr>
            <w:r>
              <w:rPr>
                <w:i w:val="0"/>
                <w:iCs w:val="0"/>
                <w:sz w:val="18"/>
                <w:szCs w:val="18"/>
              </w:rPr>
              <w:t>r－预测点距声源的距离</w:t>
            </w:r>
          </w:p>
          <w:p>
            <w:pPr>
              <w:rPr>
                <w:i w:val="0"/>
                <w:iCs w:val="0"/>
                <w:sz w:val="18"/>
                <w:szCs w:val="18"/>
              </w:rPr>
            </w:pPr>
            <w:r>
              <w:rPr>
                <w:i w:val="0"/>
                <w:iCs w:val="0"/>
                <w:sz w:val="18"/>
                <w:szCs w:val="18"/>
              </w:rPr>
              <w:t>A－各种因素起的衰减量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221" w:type="dxa"/>
            <w:noWrap w:val="0"/>
            <w:vAlign w:val="center"/>
          </w:tcPr>
          <w:p>
            <w:pPr>
              <w:jc w:val="center"/>
              <w:rPr>
                <w:i w:val="0"/>
                <w:iCs w:val="0"/>
                <w:sz w:val="18"/>
                <w:szCs w:val="18"/>
              </w:rPr>
            </w:pPr>
            <w:r>
              <w:rPr>
                <w:i w:val="0"/>
                <w:iCs w:val="0"/>
                <w:sz w:val="18"/>
                <w:szCs w:val="18"/>
              </w:rPr>
              <w:t>多声源在某点声压级的叠加公式</w:t>
            </w:r>
          </w:p>
        </w:tc>
        <w:tc>
          <w:tcPr>
            <w:tcW w:w="2718" w:type="dxa"/>
            <w:noWrap w:val="0"/>
            <w:vAlign w:val="center"/>
          </w:tcPr>
          <w:p>
            <w:pPr>
              <w:jc w:val="center"/>
              <w:rPr>
                <w:i w:val="0"/>
                <w:iCs w:val="0"/>
                <w:sz w:val="18"/>
                <w:szCs w:val="18"/>
              </w:rPr>
            </w:pPr>
            <w:r>
              <w:rPr>
                <w:i w:val="0"/>
                <w:iCs w:val="0"/>
                <w:sz w:val="18"/>
                <w:szCs w:val="18"/>
              </w:rPr>
              <w:pict>
                <v:shape id="对象 9055" o:spid="_x0000_s2223" o:spt="75" type="#_x0000_t75" style="position:absolute;left:0pt;margin-left:2.9pt;margin-top:10.05pt;height:38pt;width:121.85pt;z-index:251660288;mso-width-relative:page;mso-height-relative:page;" o:ole="t" filled="f" stroked="f" coordsize="21600,21600">
                  <v:path/>
                  <v:fill on="f" focussize="0,0"/>
                  <v:stroke on="f"/>
                  <v:imagedata r:id="rId50" o:title=""/>
                  <o:lock v:ext="edit" grouping="f" rotation="f" text="f" aspectratio="t"/>
                </v:shape>
                <o:OLEObject Type="Embed" ProgID="" ShapeID="对象 9055" DrawAspect="Content" ObjectID="_1468075729" r:id="rId49">
                  <o:LockedField>false</o:LockedField>
                </o:OLEObject>
              </w:pict>
            </w:r>
          </w:p>
        </w:tc>
        <w:tc>
          <w:tcPr>
            <w:tcW w:w="3995" w:type="dxa"/>
            <w:noWrap w:val="0"/>
            <w:vAlign w:val="center"/>
          </w:tcPr>
          <w:p>
            <w:pPr>
              <w:rPr>
                <w:i w:val="0"/>
                <w:iCs w:val="0"/>
                <w:sz w:val="18"/>
                <w:szCs w:val="18"/>
              </w:rPr>
            </w:pPr>
            <w:r>
              <w:rPr>
                <w:i w:val="0"/>
                <w:iCs w:val="0"/>
                <w:sz w:val="18"/>
                <w:szCs w:val="18"/>
              </w:rPr>
              <w:t>L</w:t>
            </w:r>
            <w:r>
              <w:rPr>
                <w:i w:val="0"/>
                <w:iCs w:val="0"/>
                <w:sz w:val="18"/>
                <w:szCs w:val="18"/>
                <w:vertAlign w:val="subscript"/>
              </w:rPr>
              <w:t>P</w:t>
            </w:r>
            <w:r>
              <w:rPr>
                <w:i w:val="0"/>
                <w:iCs w:val="0"/>
                <w:sz w:val="18"/>
                <w:szCs w:val="18"/>
              </w:rPr>
              <w:t>－多个声源在某点的声压级叠加后的总声压级，dB(A)</w:t>
            </w:r>
          </w:p>
          <w:p>
            <w:pPr>
              <w:rPr>
                <w:i w:val="0"/>
                <w:iCs w:val="0"/>
                <w:sz w:val="18"/>
                <w:szCs w:val="18"/>
              </w:rPr>
            </w:pPr>
            <w:r>
              <w:rPr>
                <w:i w:val="0"/>
                <w:iCs w:val="0"/>
                <w:sz w:val="18"/>
                <w:szCs w:val="18"/>
              </w:rPr>
              <w:t>L</w:t>
            </w:r>
            <w:r>
              <w:rPr>
                <w:i w:val="0"/>
                <w:iCs w:val="0"/>
                <w:sz w:val="18"/>
                <w:szCs w:val="18"/>
                <w:vertAlign w:val="subscript"/>
              </w:rPr>
              <w:t>Pi</w:t>
            </w:r>
            <w:r>
              <w:rPr>
                <w:i w:val="0"/>
                <w:iCs w:val="0"/>
                <w:sz w:val="18"/>
                <w:szCs w:val="18"/>
              </w:rPr>
              <w:t>－第I个声源在某点的声压级，dB(A)</w:t>
            </w:r>
          </w:p>
          <w:p>
            <w:pPr>
              <w:rPr>
                <w:i w:val="0"/>
                <w:iCs w:val="0"/>
                <w:sz w:val="18"/>
                <w:szCs w:val="18"/>
              </w:rPr>
            </w:pPr>
            <w:r>
              <w:rPr>
                <w:i w:val="0"/>
                <w:iCs w:val="0"/>
                <w:sz w:val="18"/>
                <w:szCs w:val="18"/>
              </w:rPr>
              <w:t>n－噪声源个数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221" w:type="dxa"/>
            <w:tcBorders>
              <w:bottom w:val="single" w:color="auto" w:sz="12" w:space="0"/>
            </w:tcBorders>
            <w:noWrap w:val="0"/>
            <w:vAlign w:val="center"/>
          </w:tcPr>
          <w:p>
            <w:pPr>
              <w:jc w:val="center"/>
              <w:rPr>
                <w:i w:val="0"/>
                <w:iCs w:val="0"/>
                <w:sz w:val="18"/>
                <w:szCs w:val="18"/>
              </w:rPr>
            </w:pPr>
            <w:r>
              <w:rPr>
                <w:i w:val="0"/>
                <w:iCs w:val="0"/>
                <w:sz w:val="18"/>
                <w:szCs w:val="18"/>
              </w:rPr>
              <w:t>噪声从室内向外传播的声级差计算公式</w:t>
            </w:r>
          </w:p>
        </w:tc>
        <w:tc>
          <w:tcPr>
            <w:tcW w:w="2718" w:type="dxa"/>
            <w:tcBorders>
              <w:bottom w:val="single" w:color="auto" w:sz="12" w:space="0"/>
            </w:tcBorders>
            <w:noWrap w:val="0"/>
            <w:vAlign w:val="center"/>
          </w:tcPr>
          <w:p>
            <w:pPr>
              <w:jc w:val="center"/>
              <w:rPr>
                <w:i w:val="0"/>
                <w:iCs w:val="0"/>
                <w:sz w:val="18"/>
                <w:szCs w:val="18"/>
              </w:rPr>
            </w:pPr>
            <w:r>
              <w:rPr>
                <w:i w:val="0"/>
                <w:iCs w:val="0"/>
                <w:sz w:val="18"/>
                <w:szCs w:val="18"/>
              </w:rPr>
              <w:pict>
                <v:shape id="对象 9056" o:spid="_x0000_s2224" o:spt="75" type="#_x0000_t75" style="position:absolute;left:0pt;margin-left:26.9pt;margin-top:12.45pt;height:19pt;width:73.5pt;z-index:251661312;mso-width-relative:page;mso-height-relative:page;" o:ole="t" filled="f" stroked="f" coordsize="21600,21600">
                  <v:path/>
                  <v:fill on="f" focussize="0,0"/>
                  <v:stroke on="f"/>
                  <v:imagedata r:id="rId52" o:title=""/>
                  <o:lock v:ext="edit" grouping="f" rotation="f" text="f" aspectratio="t"/>
                </v:shape>
                <o:OLEObject Type="Embed" ProgID="" ShapeID="对象 9056" DrawAspect="Content" ObjectID="_1468075730" r:id="rId51">
                  <o:LockedField>false</o:LockedField>
                </o:OLEObject>
              </w:pict>
            </w:r>
          </w:p>
        </w:tc>
        <w:tc>
          <w:tcPr>
            <w:tcW w:w="3995" w:type="dxa"/>
            <w:tcBorders>
              <w:bottom w:val="single" w:color="auto" w:sz="12" w:space="0"/>
            </w:tcBorders>
            <w:noWrap w:val="0"/>
            <w:vAlign w:val="center"/>
          </w:tcPr>
          <w:p>
            <w:pPr>
              <w:rPr>
                <w:i w:val="0"/>
                <w:iCs w:val="0"/>
                <w:sz w:val="18"/>
                <w:szCs w:val="18"/>
              </w:rPr>
            </w:pPr>
            <w:r>
              <w:rPr>
                <w:i w:val="0"/>
                <w:iCs w:val="0"/>
                <w:sz w:val="18"/>
                <w:szCs w:val="18"/>
              </w:rPr>
              <w:t>L</w:t>
            </w:r>
            <w:r>
              <w:rPr>
                <w:i w:val="0"/>
                <w:iCs w:val="0"/>
                <w:sz w:val="18"/>
                <w:szCs w:val="18"/>
                <w:vertAlign w:val="subscript"/>
              </w:rPr>
              <w:t>2</w:t>
            </w:r>
            <w:r>
              <w:rPr>
                <w:i w:val="0"/>
                <w:iCs w:val="0"/>
                <w:sz w:val="18"/>
                <w:szCs w:val="18"/>
              </w:rPr>
              <w:t>－靠近隔墙（或窗户）室外的声压级，dB(A)</w:t>
            </w:r>
          </w:p>
          <w:p>
            <w:pPr>
              <w:rPr>
                <w:i w:val="0"/>
                <w:iCs w:val="0"/>
                <w:sz w:val="18"/>
                <w:szCs w:val="18"/>
              </w:rPr>
            </w:pPr>
            <w:r>
              <w:rPr>
                <w:i w:val="0"/>
                <w:iCs w:val="0"/>
                <w:sz w:val="18"/>
                <w:szCs w:val="18"/>
              </w:rPr>
              <w:t>L</w:t>
            </w:r>
            <w:r>
              <w:rPr>
                <w:i w:val="0"/>
                <w:iCs w:val="0"/>
                <w:sz w:val="18"/>
                <w:szCs w:val="18"/>
                <w:vertAlign w:val="subscript"/>
              </w:rPr>
              <w:t>1</w:t>
            </w:r>
            <w:r>
              <w:rPr>
                <w:i w:val="0"/>
                <w:iCs w:val="0"/>
                <w:sz w:val="18"/>
                <w:szCs w:val="18"/>
              </w:rPr>
              <w:t>－靠近隔墙（或窗户）室内的声压级，dB(A)</w:t>
            </w:r>
          </w:p>
          <w:p>
            <w:pPr>
              <w:rPr>
                <w:i w:val="0"/>
                <w:iCs w:val="0"/>
                <w:sz w:val="18"/>
                <w:szCs w:val="18"/>
              </w:rPr>
            </w:pPr>
            <w:r>
              <w:rPr>
                <w:i w:val="0"/>
                <w:iCs w:val="0"/>
                <w:sz w:val="18"/>
                <w:szCs w:val="18"/>
              </w:rPr>
              <w:t>TL－隔墙（或窗户）的传播损失</w:t>
            </w:r>
          </w:p>
        </w:tc>
      </w:tr>
    </w:tbl>
    <w:p>
      <w:pPr>
        <w:spacing w:line="360" w:lineRule="auto"/>
        <w:ind w:firstLine="480" w:firstLineChars="200"/>
        <w:rPr>
          <w:i w:val="0"/>
          <w:iCs w:val="0"/>
        </w:rPr>
      </w:pPr>
      <w:r>
        <w:rPr>
          <w:rFonts w:hint="eastAsia"/>
          <w:i w:val="0"/>
          <w:iCs w:val="0"/>
        </w:rPr>
        <w:t>5</w:t>
      </w:r>
      <w:r>
        <w:rPr>
          <w:i w:val="0"/>
          <w:iCs w:val="0"/>
        </w:rPr>
        <w:t>.2.4.3预测方法</w:t>
      </w:r>
    </w:p>
    <w:p>
      <w:pPr>
        <w:pStyle w:val="26"/>
        <w:spacing w:line="360" w:lineRule="auto"/>
        <w:rPr>
          <w:rFonts w:ascii="Times New Roman" w:hAnsi="Times New Roman"/>
          <w:i w:val="0"/>
          <w:iCs w:val="0"/>
        </w:rPr>
      </w:pPr>
      <w:r>
        <w:rPr>
          <w:rFonts w:ascii="Times New Roman" w:hAnsi="Times New Roman"/>
          <w:i w:val="0"/>
          <w:iCs w:val="0"/>
        </w:rPr>
        <w:t>根据该厂周围环境状况，在对室外声传播计算时，只考虑遮挡物和空气吸收的两个主要因素。</w:t>
      </w:r>
    </w:p>
    <w:p>
      <w:pPr>
        <w:pStyle w:val="26"/>
        <w:spacing w:line="360" w:lineRule="auto"/>
        <w:rPr>
          <w:rFonts w:ascii="Times New Roman" w:hAnsi="Times New Roman"/>
          <w:i w:val="0"/>
          <w:iCs w:val="0"/>
        </w:rPr>
      </w:pPr>
      <w:r>
        <w:rPr>
          <w:rFonts w:ascii="Times New Roman" w:hAnsi="Times New Roman"/>
          <w:i w:val="0"/>
          <w:iCs w:val="0"/>
        </w:rPr>
        <w:t>具体的预测方法：（1）环境噪声：首先计算出各车间墙外的声压级，然后用噪声户外传播衰减公式计算各个噪声源在某预测点的噪声影响值，最后把各噪声源的噪声影响值与该预测点的噪声背景值叠加，即得该预测点的环境噪声预测值。（2）厂界噪声：只计算出各车间墙外的声压级传至厂界某预测点的噪声影响值，然后叠加，即为厂界该预测点的总的影响值。</w:t>
      </w:r>
    </w:p>
    <w:p>
      <w:pPr>
        <w:pStyle w:val="26"/>
        <w:spacing w:line="360" w:lineRule="auto"/>
        <w:rPr>
          <w:rFonts w:ascii="Times New Roman" w:hAnsi="Times New Roman"/>
          <w:i/>
          <w:iCs/>
          <w:u w:val="single"/>
        </w:rPr>
      </w:pPr>
      <w:r>
        <w:rPr>
          <w:rFonts w:ascii="Times New Roman" w:hAnsi="Times New Roman"/>
          <w:i/>
          <w:iCs/>
          <w:u w:val="single"/>
        </w:rPr>
        <w:t>经过计算，车间墙壁隔声量为40dB（A），玻璃窗隔声量为32dB（A），门隔声量为20dB（A），综合考虑到墙壁和门窗结构等因素，同时为了提高预测的安全系数，取</w:t>
      </w:r>
      <w:r>
        <w:rPr>
          <w:rFonts w:hint="eastAsia" w:ascii="Times New Roman" w:hAnsi="Times New Roman"/>
          <w:i/>
          <w:iCs/>
          <w:u w:val="single"/>
        </w:rPr>
        <w:t>30</w:t>
      </w:r>
      <w:r>
        <w:rPr>
          <w:rFonts w:ascii="Times New Roman" w:hAnsi="Times New Roman"/>
          <w:i/>
          <w:iCs/>
          <w:u w:val="single"/>
        </w:rPr>
        <w:t>dB(A)作为车间墙壁及门窗的平均隔声量。由此计算出各噪声源所在车间墙外一米处的声压级。具体见表</w:t>
      </w:r>
      <w:r>
        <w:rPr>
          <w:rFonts w:hint="eastAsia" w:ascii="Times New Roman" w:hAnsi="Times New Roman"/>
          <w:i/>
          <w:iCs/>
          <w:u w:val="single"/>
        </w:rPr>
        <w:t>5</w:t>
      </w:r>
      <w:r>
        <w:rPr>
          <w:rFonts w:ascii="Times New Roman" w:hAnsi="Times New Roman"/>
          <w:i/>
          <w:iCs/>
          <w:u w:val="single"/>
        </w:rPr>
        <w:t>-</w:t>
      </w:r>
      <w:r>
        <w:rPr>
          <w:rFonts w:hint="eastAsia" w:ascii="Times New Roman" w:hAnsi="Times New Roman"/>
          <w:i/>
          <w:iCs/>
          <w:u w:val="single"/>
        </w:rPr>
        <w:t>2</w:t>
      </w:r>
      <w:r>
        <w:rPr>
          <w:rFonts w:hint="eastAsia" w:ascii="Times New Roman" w:hAnsi="Times New Roman"/>
          <w:i/>
          <w:iCs/>
          <w:u w:val="single"/>
          <w:lang w:val="en-US" w:eastAsia="zh-CN"/>
        </w:rPr>
        <w:t>1</w:t>
      </w:r>
      <w:r>
        <w:rPr>
          <w:rFonts w:ascii="Times New Roman" w:hAnsi="Times New Roman"/>
          <w:i/>
          <w:iCs/>
          <w:u w:val="single"/>
        </w:rPr>
        <w:t>。</w:t>
      </w:r>
    </w:p>
    <w:p>
      <w:pPr>
        <w:ind w:firstLine="482" w:firstLineChars="200"/>
        <w:jc w:val="center"/>
        <w:rPr>
          <w:rFonts w:hint="eastAsia"/>
          <w:b/>
          <w:i/>
          <w:iCs/>
          <w:color w:val="000000"/>
          <w:u w:val="single"/>
        </w:rPr>
      </w:pPr>
      <w:r>
        <w:rPr>
          <w:rFonts w:hint="eastAsia"/>
          <w:b/>
          <w:i/>
          <w:iCs/>
          <w:color w:val="000000"/>
          <w:u w:val="single"/>
        </w:rPr>
        <w:t>表5-2</w:t>
      </w:r>
      <w:r>
        <w:rPr>
          <w:rFonts w:hint="eastAsia"/>
          <w:b/>
          <w:i/>
          <w:iCs/>
          <w:color w:val="000000"/>
          <w:u w:val="single"/>
          <w:lang w:val="en-US" w:eastAsia="zh-CN"/>
        </w:rPr>
        <w:t>1</w:t>
      </w:r>
      <w:r>
        <w:rPr>
          <w:rFonts w:hint="eastAsia"/>
          <w:b/>
          <w:i/>
          <w:iCs/>
          <w:color w:val="000000"/>
          <w:u w:val="single"/>
        </w:rPr>
        <w:t>车间墙外1m处声压级预测结果单位：dB(A)</w:t>
      </w:r>
    </w:p>
    <w:tbl>
      <w:tblPr>
        <w:tblStyle w:val="5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2768"/>
        <w:gridCol w:w="2999"/>
        <w:gridCol w:w="34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19" w:hRule="atLeast"/>
          <w:jc w:val="center"/>
        </w:trPr>
        <w:tc>
          <w:tcPr>
            <w:tcW w:w="1507" w:type="pct"/>
            <w:noWrap w:val="0"/>
            <w:vAlign w:val="center"/>
          </w:tcPr>
          <w:p>
            <w:pPr>
              <w:jc w:val="center"/>
              <w:rPr>
                <w:rFonts w:hint="eastAsia"/>
                <w:i/>
                <w:iCs/>
                <w:color w:val="000000"/>
                <w:sz w:val="21"/>
                <w:szCs w:val="21"/>
                <w:u w:val="single"/>
              </w:rPr>
            </w:pPr>
            <w:r>
              <w:rPr>
                <w:rFonts w:hint="eastAsia"/>
                <w:i/>
                <w:iCs/>
                <w:color w:val="000000"/>
                <w:sz w:val="21"/>
                <w:szCs w:val="21"/>
                <w:u w:val="single"/>
              </w:rPr>
              <w:t>车间</w:t>
            </w:r>
          </w:p>
        </w:tc>
        <w:tc>
          <w:tcPr>
            <w:tcW w:w="1633" w:type="pct"/>
            <w:noWrap w:val="0"/>
            <w:vAlign w:val="center"/>
          </w:tcPr>
          <w:p>
            <w:pPr>
              <w:jc w:val="center"/>
              <w:rPr>
                <w:rFonts w:hint="eastAsia"/>
                <w:i/>
                <w:iCs/>
                <w:color w:val="000000"/>
                <w:sz w:val="21"/>
                <w:szCs w:val="21"/>
                <w:u w:val="single"/>
              </w:rPr>
            </w:pPr>
            <w:r>
              <w:rPr>
                <w:rFonts w:hint="eastAsia"/>
                <w:i/>
                <w:iCs/>
                <w:color w:val="000000"/>
                <w:sz w:val="21"/>
                <w:szCs w:val="21"/>
                <w:u w:val="single"/>
              </w:rPr>
              <w:t>车间内噪声值</w:t>
            </w:r>
          </w:p>
        </w:tc>
        <w:tc>
          <w:tcPr>
            <w:tcW w:w="1859" w:type="pct"/>
            <w:noWrap w:val="0"/>
            <w:vAlign w:val="center"/>
          </w:tcPr>
          <w:p>
            <w:pPr>
              <w:jc w:val="center"/>
              <w:rPr>
                <w:rFonts w:hint="eastAsia"/>
                <w:i/>
                <w:iCs/>
                <w:color w:val="000000"/>
                <w:sz w:val="21"/>
                <w:szCs w:val="21"/>
                <w:u w:val="single"/>
              </w:rPr>
            </w:pPr>
            <w:r>
              <w:rPr>
                <w:rFonts w:hint="eastAsia"/>
                <w:i/>
                <w:iCs/>
                <w:color w:val="000000"/>
                <w:sz w:val="21"/>
                <w:szCs w:val="21"/>
                <w:u w:val="single"/>
              </w:rPr>
              <w:t>车间墙外一米处的声压级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01" w:hRule="atLeast"/>
          <w:jc w:val="center"/>
        </w:trPr>
        <w:tc>
          <w:tcPr>
            <w:tcW w:w="1507" w:type="pct"/>
            <w:noWrap w:val="0"/>
            <w:vAlign w:val="center"/>
          </w:tcPr>
          <w:p>
            <w:pPr>
              <w:jc w:val="center"/>
              <w:rPr>
                <w:rFonts w:hint="eastAsia"/>
                <w:i/>
                <w:iCs/>
                <w:color w:val="000000"/>
                <w:sz w:val="21"/>
                <w:szCs w:val="21"/>
                <w:u w:val="single"/>
              </w:rPr>
            </w:pPr>
            <w:r>
              <w:rPr>
                <w:rFonts w:hint="eastAsia"/>
                <w:i/>
                <w:iCs/>
                <w:color w:val="000000"/>
                <w:sz w:val="21"/>
                <w:szCs w:val="21"/>
                <w:u w:val="single"/>
              </w:rPr>
              <w:t>发酵车间</w:t>
            </w:r>
          </w:p>
        </w:tc>
        <w:tc>
          <w:tcPr>
            <w:tcW w:w="1633" w:type="pct"/>
            <w:noWrap w:val="0"/>
            <w:vAlign w:val="center"/>
          </w:tcPr>
          <w:p>
            <w:pPr>
              <w:jc w:val="center"/>
              <w:rPr>
                <w:i/>
                <w:iCs/>
                <w:color w:val="000000"/>
                <w:sz w:val="21"/>
                <w:szCs w:val="21"/>
                <w:u w:val="single"/>
              </w:rPr>
            </w:pPr>
            <w:r>
              <w:rPr>
                <w:rFonts w:hint="eastAsia"/>
                <w:i/>
                <w:iCs/>
                <w:color w:val="000000"/>
                <w:sz w:val="21"/>
                <w:szCs w:val="21"/>
                <w:u w:val="single"/>
              </w:rPr>
              <w:t>80</w:t>
            </w:r>
          </w:p>
        </w:tc>
        <w:tc>
          <w:tcPr>
            <w:tcW w:w="1859" w:type="pct"/>
            <w:noWrap w:val="0"/>
            <w:vAlign w:val="center"/>
          </w:tcPr>
          <w:p>
            <w:pPr>
              <w:jc w:val="center"/>
              <w:rPr>
                <w:i/>
                <w:iCs/>
                <w:color w:val="000000"/>
                <w:sz w:val="21"/>
                <w:szCs w:val="21"/>
                <w:u w:val="single"/>
              </w:rPr>
            </w:pPr>
            <w:r>
              <w:rPr>
                <w:rFonts w:hint="eastAsia"/>
                <w:i/>
                <w:iCs/>
                <w:color w:val="000000"/>
                <w:sz w:val="21"/>
                <w:szCs w:val="21"/>
                <w:u w:val="single"/>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01" w:hRule="atLeast"/>
          <w:jc w:val="center"/>
        </w:trPr>
        <w:tc>
          <w:tcPr>
            <w:tcW w:w="1507" w:type="pct"/>
            <w:noWrap w:val="0"/>
            <w:vAlign w:val="center"/>
          </w:tcPr>
          <w:p>
            <w:pPr>
              <w:jc w:val="center"/>
              <w:rPr>
                <w:rFonts w:hint="eastAsia"/>
                <w:i/>
                <w:iCs/>
                <w:color w:val="000000"/>
                <w:sz w:val="21"/>
                <w:szCs w:val="21"/>
                <w:u w:val="single"/>
              </w:rPr>
            </w:pPr>
            <w:r>
              <w:rPr>
                <w:rFonts w:hint="eastAsia"/>
                <w:i/>
                <w:iCs/>
                <w:color w:val="000000"/>
                <w:sz w:val="21"/>
                <w:szCs w:val="21"/>
                <w:u w:val="single"/>
              </w:rPr>
              <w:t>提取车间</w:t>
            </w:r>
          </w:p>
        </w:tc>
        <w:tc>
          <w:tcPr>
            <w:tcW w:w="1633" w:type="pct"/>
            <w:noWrap w:val="0"/>
            <w:vAlign w:val="center"/>
          </w:tcPr>
          <w:p>
            <w:pPr>
              <w:jc w:val="center"/>
              <w:rPr>
                <w:i/>
                <w:iCs/>
                <w:color w:val="000000"/>
                <w:sz w:val="21"/>
                <w:szCs w:val="21"/>
                <w:u w:val="single"/>
              </w:rPr>
            </w:pPr>
            <w:r>
              <w:rPr>
                <w:rFonts w:hint="eastAsia"/>
                <w:i/>
                <w:iCs/>
                <w:color w:val="000000"/>
                <w:sz w:val="21"/>
                <w:szCs w:val="21"/>
                <w:u w:val="single"/>
              </w:rPr>
              <w:t>85</w:t>
            </w:r>
          </w:p>
        </w:tc>
        <w:tc>
          <w:tcPr>
            <w:tcW w:w="1859" w:type="pct"/>
            <w:noWrap w:val="0"/>
            <w:vAlign w:val="center"/>
          </w:tcPr>
          <w:p>
            <w:pPr>
              <w:jc w:val="center"/>
              <w:rPr>
                <w:i/>
                <w:iCs/>
                <w:color w:val="000000"/>
                <w:sz w:val="21"/>
                <w:szCs w:val="21"/>
                <w:u w:val="single"/>
              </w:rPr>
            </w:pPr>
            <w:r>
              <w:rPr>
                <w:rFonts w:hint="eastAsia"/>
                <w:i/>
                <w:iCs/>
                <w:color w:val="000000"/>
                <w:sz w:val="21"/>
                <w:szCs w:val="21"/>
                <w:u w:val="single"/>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01" w:hRule="atLeast"/>
          <w:jc w:val="center"/>
        </w:trPr>
        <w:tc>
          <w:tcPr>
            <w:tcW w:w="1507" w:type="pct"/>
            <w:noWrap w:val="0"/>
            <w:vAlign w:val="center"/>
          </w:tcPr>
          <w:p>
            <w:pPr>
              <w:jc w:val="center"/>
              <w:rPr>
                <w:rFonts w:hint="eastAsia"/>
                <w:i/>
                <w:iCs/>
                <w:color w:val="000000"/>
                <w:sz w:val="21"/>
                <w:szCs w:val="21"/>
                <w:u w:val="single"/>
              </w:rPr>
            </w:pPr>
            <w:r>
              <w:rPr>
                <w:rFonts w:hint="eastAsia"/>
                <w:i/>
                <w:iCs/>
                <w:color w:val="000000"/>
                <w:sz w:val="21"/>
                <w:szCs w:val="21"/>
                <w:u w:val="single"/>
              </w:rPr>
              <w:t>动力车间</w:t>
            </w:r>
          </w:p>
        </w:tc>
        <w:tc>
          <w:tcPr>
            <w:tcW w:w="1633" w:type="pct"/>
            <w:noWrap w:val="0"/>
            <w:vAlign w:val="center"/>
          </w:tcPr>
          <w:p>
            <w:pPr>
              <w:jc w:val="center"/>
              <w:rPr>
                <w:i/>
                <w:iCs/>
                <w:color w:val="000000"/>
                <w:sz w:val="21"/>
                <w:szCs w:val="21"/>
                <w:u w:val="single"/>
              </w:rPr>
            </w:pPr>
            <w:r>
              <w:rPr>
                <w:rFonts w:hint="eastAsia"/>
                <w:i/>
                <w:iCs/>
                <w:color w:val="000000"/>
                <w:sz w:val="21"/>
                <w:szCs w:val="21"/>
                <w:u w:val="single"/>
              </w:rPr>
              <w:t>90</w:t>
            </w:r>
          </w:p>
        </w:tc>
        <w:tc>
          <w:tcPr>
            <w:tcW w:w="1859" w:type="pct"/>
            <w:noWrap w:val="0"/>
            <w:vAlign w:val="center"/>
          </w:tcPr>
          <w:p>
            <w:pPr>
              <w:jc w:val="center"/>
              <w:rPr>
                <w:i/>
                <w:iCs/>
                <w:color w:val="000000"/>
                <w:sz w:val="21"/>
                <w:szCs w:val="21"/>
                <w:u w:val="single"/>
              </w:rPr>
            </w:pPr>
            <w:r>
              <w:rPr>
                <w:rFonts w:hint="eastAsia"/>
                <w:i/>
                <w:iCs/>
                <w:color w:val="000000"/>
                <w:sz w:val="21"/>
                <w:szCs w:val="21"/>
                <w:u w:val="single"/>
              </w:rPr>
              <w:t>60</w:t>
            </w:r>
          </w:p>
        </w:tc>
      </w:tr>
    </w:tbl>
    <w:p>
      <w:pPr>
        <w:pStyle w:val="26"/>
        <w:spacing w:line="360" w:lineRule="auto"/>
        <w:rPr>
          <w:rFonts w:ascii="Times New Roman" w:hAnsi="Times New Roman"/>
          <w:i/>
          <w:iCs/>
          <w:u w:val="single"/>
        </w:rPr>
      </w:pPr>
      <w:r>
        <w:rPr>
          <w:rFonts w:hint="eastAsia" w:ascii="Times New Roman" w:hAnsi="Times New Roman"/>
          <w:i/>
          <w:iCs/>
          <w:u w:val="single"/>
        </w:rPr>
        <w:t>5</w:t>
      </w:r>
      <w:r>
        <w:rPr>
          <w:rFonts w:ascii="Times New Roman" w:hAnsi="Times New Roman"/>
          <w:i/>
          <w:iCs/>
          <w:u w:val="single"/>
        </w:rPr>
        <w:t>.2.4.4预测结果</w:t>
      </w:r>
    </w:p>
    <w:p>
      <w:pPr>
        <w:pStyle w:val="26"/>
        <w:spacing w:line="360" w:lineRule="auto"/>
        <w:rPr>
          <w:rFonts w:ascii="Times New Roman" w:hAnsi="Times New Roman"/>
          <w:i/>
          <w:iCs/>
          <w:u w:val="single"/>
        </w:rPr>
      </w:pPr>
      <w:r>
        <w:rPr>
          <w:rFonts w:ascii="Times New Roman" w:hAnsi="Times New Roman"/>
          <w:i/>
          <w:iCs/>
          <w:u w:val="single"/>
        </w:rPr>
        <w:t>用上述预测模式和预测方法，预测项目营运后对声环境的影响，预测结果见表</w:t>
      </w:r>
      <w:r>
        <w:rPr>
          <w:rFonts w:hint="eastAsia" w:ascii="Times New Roman" w:hAnsi="Times New Roman"/>
          <w:i/>
          <w:iCs/>
          <w:u w:val="single"/>
        </w:rPr>
        <w:t>5</w:t>
      </w:r>
      <w:r>
        <w:rPr>
          <w:rFonts w:ascii="Times New Roman" w:hAnsi="Times New Roman"/>
          <w:i/>
          <w:iCs/>
          <w:u w:val="single"/>
        </w:rPr>
        <w:t>-</w:t>
      </w:r>
      <w:r>
        <w:rPr>
          <w:rFonts w:hint="eastAsia" w:ascii="Times New Roman" w:hAnsi="Times New Roman"/>
          <w:i/>
          <w:iCs/>
          <w:u w:val="single"/>
        </w:rPr>
        <w:t>2</w:t>
      </w:r>
      <w:r>
        <w:rPr>
          <w:rFonts w:hint="eastAsia" w:ascii="Times New Roman" w:hAnsi="Times New Roman"/>
          <w:i/>
          <w:iCs/>
          <w:u w:val="single"/>
          <w:lang w:val="en-US" w:eastAsia="zh-CN"/>
        </w:rPr>
        <w:t>2</w:t>
      </w:r>
      <w:r>
        <w:rPr>
          <w:rFonts w:ascii="Times New Roman" w:hAnsi="Times New Roman"/>
          <w:i/>
          <w:iCs/>
          <w:u w:val="single"/>
        </w:rPr>
        <w:t>。</w:t>
      </w:r>
    </w:p>
    <w:p>
      <w:pPr>
        <w:ind w:firstLine="482" w:firstLineChars="200"/>
        <w:jc w:val="center"/>
        <w:rPr>
          <w:rFonts w:hint="eastAsia"/>
          <w:b/>
          <w:i/>
          <w:iCs/>
          <w:color w:val="000000"/>
          <w:u w:val="single"/>
        </w:rPr>
      </w:pPr>
      <w:r>
        <w:rPr>
          <w:rFonts w:hint="eastAsia"/>
          <w:b/>
          <w:i/>
          <w:iCs/>
          <w:color w:val="000000"/>
          <w:u w:val="single"/>
        </w:rPr>
        <w:t>表5-2</w:t>
      </w:r>
      <w:r>
        <w:rPr>
          <w:rFonts w:hint="eastAsia"/>
          <w:b/>
          <w:i/>
          <w:iCs/>
          <w:color w:val="000000"/>
          <w:u w:val="single"/>
          <w:lang w:val="en-US" w:eastAsia="zh-CN"/>
        </w:rPr>
        <w:t>2</w:t>
      </w:r>
      <w:r>
        <w:rPr>
          <w:rFonts w:hint="eastAsia"/>
          <w:b/>
          <w:i/>
          <w:iCs/>
          <w:color w:val="000000"/>
          <w:u w:val="single"/>
        </w:rPr>
        <w:t>声环境预测结果 单位：dB(A)</w:t>
      </w:r>
    </w:p>
    <w:tbl>
      <w:tblPr>
        <w:tblStyle w:val="58"/>
        <w:tblW w:w="0" w:type="auto"/>
        <w:tblInd w:w="-34"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3"/>
        <w:gridCol w:w="709"/>
        <w:gridCol w:w="708"/>
        <w:gridCol w:w="709"/>
        <w:gridCol w:w="709"/>
        <w:gridCol w:w="709"/>
        <w:gridCol w:w="635"/>
        <w:gridCol w:w="658"/>
        <w:gridCol w:w="691"/>
        <w:gridCol w:w="709"/>
        <w:gridCol w:w="700"/>
        <w:gridCol w:w="654"/>
        <w:gridCol w:w="70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4" w:hRule="atLeast"/>
        </w:trPr>
        <w:tc>
          <w:tcPr>
            <w:tcW w:w="993" w:type="dxa"/>
            <w:vMerge w:val="restart"/>
            <w:tcBorders>
              <w:top w:val="single" w:color="auto" w:sz="12" w:space="0"/>
            </w:tcBorders>
            <w:noWrap w:val="0"/>
            <w:vAlign w:val="center"/>
          </w:tcPr>
          <w:p>
            <w:pPr>
              <w:jc w:val="center"/>
              <w:rPr>
                <w:i/>
                <w:iCs/>
                <w:color w:val="000000"/>
                <w:sz w:val="21"/>
                <w:szCs w:val="21"/>
                <w:u w:val="single"/>
              </w:rPr>
            </w:pPr>
            <w:r>
              <w:rPr>
                <w:i/>
                <w:iCs/>
                <w:color w:val="000000"/>
                <w:sz w:val="21"/>
                <w:szCs w:val="21"/>
                <w:u w:val="single"/>
              </w:rPr>
              <w:t>预测点</w:t>
            </w:r>
          </w:p>
        </w:tc>
        <w:tc>
          <w:tcPr>
            <w:tcW w:w="4179" w:type="dxa"/>
            <w:gridSpan w:val="6"/>
            <w:tcBorders>
              <w:top w:val="single" w:color="auto" w:sz="12" w:space="0"/>
            </w:tcBorders>
            <w:noWrap w:val="0"/>
            <w:vAlign w:val="center"/>
          </w:tcPr>
          <w:p>
            <w:pPr>
              <w:jc w:val="center"/>
              <w:rPr>
                <w:i/>
                <w:iCs/>
                <w:color w:val="000000"/>
                <w:sz w:val="21"/>
                <w:szCs w:val="21"/>
                <w:u w:val="single"/>
              </w:rPr>
            </w:pPr>
            <w:r>
              <w:rPr>
                <w:i/>
                <w:iCs/>
                <w:color w:val="000000"/>
                <w:sz w:val="21"/>
                <w:szCs w:val="21"/>
                <w:u w:val="single"/>
              </w:rPr>
              <w:t>昼间</w:t>
            </w:r>
          </w:p>
        </w:tc>
        <w:tc>
          <w:tcPr>
            <w:tcW w:w="4114" w:type="dxa"/>
            <w:gridSpan w:val="6"/>
            <w:tcBorders>
              <w:top w:val="single" w:color="auto" w:sz="12" w:space="0"/>
            </w:tcBorders>
            <w:noWrap w:val="0"/>
            <w:vAlign w:val="center"/>
          </w:tcPr>
          <w:p>
            <w:pPr>
              <w:jc w:val="center"/>
              <w:rPr>
                <w:i/>
                <w:iCs/>
                <w:color w:val="000000"/>
                <w:sz w:val="21"/>
                <w:szCs w:val="21"/>
                <w:u w:val="single"/>
              </w:rPr>
            </w:pPr>
            <w:r>
              <w:rPr>
                <w:i/>
                <w:iCs/>
                <w:color w:val="000000"/>
                <w:sz w:val="21"/>
                <w:szCs w:val="21"/>
                <w:u w:val="single"/>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13" w:hRule="atLeast"/>
        </w:trPr>
        <w:tc>
          <w:tcPr>
            <w:tcW w:w="993" w:type="dxa"/>
            <w:vMerge w:val="continue"/>
            <w:noWrap w:val="0"/>
            <w:vAlign w:val="center"/>
          </w:tcPr>
          <w:p>
            <w:pPr>
              <w:jc w:val="center"/>
              <w:rPr>
                <w:i/>
                <w:iCs/>
                <w:color w:val="000000"/>
                <w:sz w:val="21"/>
                <w:szCs w:val="21"/>
                <w:u w:val="single"/>
              </w:rPr>
            </w:pPr>
          </w:p>
        </w:tc>
        <w:tc>
          <w:tcPr>
            <w:tcW w:w="709" w:type="dxa"/>
            <w:noWrap w:val="0"/>
            <w:vAlign w:val="center"/>
          </w:tcPr>
          <w:p>
            <w:pPr>
              <w:jc w:val="center"/>
              <w:rPr>
                <w:i/>
                <w:iCs/>
                <w:color w:val="000000"/>
                <w:sz w:val="21"/>
                <w:szCs w:val="21"/>
                <w:u w:val="single"/>
              </w:rPr>
            </w:pPr>
            <w:r>
              <w:rPr>
                <w:i/>
                <w:iCs/>
                <w:color w:val="000000"/>
                <w:sz w:val="21"/>
                <w:szCs w:val="21"/>
                <w:u w:val="single"/>
              </w:rPr>
              <w:t>背景值</w:t>
            </w:r>
          </w:p>
        </w:tc>
        <w:tc>
          <w:tcPr>
            <w:tcW w:w="708" w:type="dxa"/>
            <w:noWrap w:val="0"/>
            <w:vAlign w:val="center"/>
          </w:tcPr>
          <w:p>
            <w:pPr>
              <w:jc w:val="center"/>
              <w:rPr>
                <w:i/>
                <w:iCs/>
                <w:color w:val="000000"/>
                <w:sz w:val="21"/>
                <w:szCs w:val="21"/>
                <w:u w:val="single"/>
              </w:rPr>
            </w:pPr>
            <w:r>
              <w:rPr>
                <w:i/>
                <w:iCs/>
                <w:color w:val="000000"/>
                <w:sz w:val="21"/>
                <w:szCs w:val="21"/>
                <w:u w:val="single"/>
              </w:rPr>
              <w:t>预测值</w:t>
            </w:r>
          </w:p>
        </w:tc>
        <w:tc>
          <w:tcPr>
            <w:tcW w:w="709" w:type="dxa"/>
            <w:tcBorders>
              <w:right w:val="single" w:color="000000" w:sz="2" w:space="0"/>
            </w:tcBorders>
            <w:noWrap w:val="0"/>
            <w:vAlign w:val="center"/>
          </w:tcPr>
          <w:p>
            <w:pPr>
              <w:jc w:val="center"/>
              <w:rPr>
                <w:i/>
                <w:iCs/>
                <w:color w:val="000000"/>
                <w:sz w:val="21"/>
                <w:szCs w:val="21"/>
                <w:u w:val="single"/>
              </w:rPr>
            </w:pPr>
            <w:r>
              <w:rPr>
                <w:i/>
                <w:iCs/>
                <w:color w:val="000000"/>
                <w:sz w:val="21"/>
                <w:szCs w:val="21"/>
                <w:u w:val="single"/>
              </w:rPr>
              <w:t>叠加值</w:t>
            </w:r>
          </w:p>
        </w:tc>
        <w:tc>
          <w:tcPr>
            <w:tcW w:w="709" w:type="dxa"/>
            <w:tcBorders>
              <w:left w:val="single" w:color="000000" w:sz="2" w:space="0"/>
            </w:tcBorders>
            <w:noWrap w:val="0"/>
            <w:vAlign w:val="center"/>
          </w:tcPr>
          <w:p>
            <w:pPr>
              <w:jc w:val="center"/>
              <w:rPr>
                <w:i/>
                <w:iCs/>
                <w:color w:val="000000"/>
                <w:sz w:val="21"/>
                <w:szCs w:val="21"/>
                <w:u w:val="single"/>
              </w:rPr>
            </w:pPr>
            <w:r>
              <w:rPr>
                <w:i/>
                <w:iCs/>
                <w:color w:val="000000"/>
                <w:sz w:val="21"/>
                <w:szCs w:val="21"/>
                <w:u w:val="single"/>
              </w:rPr>
              <w:t>变化值</w:t>
            </w:r>
          </w:p>
        </w:tc>
        <w:tc>
          <w:tcPr>
            <w:tcW w:w="709" w:type="dxa"/>
            <w:noWrap w:val="0"/>
            <w:vAlign w:val="center"/>
          </w:tcPr>
          <w:p>
            <w:pPr>
              <w:jc w:val="center"/>
              <w:rPr>
                <w:i/>
                <w:iCs/>
                <w:color w:val="000000"/>
                <w:sz w:val="21"/>
                <w:szCs w:val="21"/>
                <w:u w:val="single"/>
              </w:rPr>
            </w:pPr>
            <w:r>
              <w:rPr>
                <w:i/>
                <w:iCs/>
                <w:color w:val="000000"/>
                <w:sz w:val="21"/>
                <w:szCs w:val="21"/>
                <w:u w:val="single"/>
              </w:rPr>
              <w:t>评价标准</w:t>
            </w:r>
          </w:p>
        </w:tc>
        <w:tc>
          <w:tcPr>
            <w:tcW w:w="635" w:type="dxa"/>
            <w:noWrap w:val="0"/>
            <w:vAlign w:val="center"/>
          </w:tcPr>
          <w:p>
            <w:pPr>
              <w:jc w:val="center"/>
              <w:rPr>
                <w:i/>
                <w:iCs/>
                <w:color w:val="000000"/>
                <w:sz w:val="21"/>
                <w:szCs w:val="21"/>
                <w:u w:val="single"/>
              </w:rPr>
            </w:pPr>
            <w:r>
              <w:rPr>
                <w:i/>
                <w:iCs/>
                <w:color w:val="000000"/>
                <w:sz w:val="21"/>
                <w:szCs w:val="21"/>
                <w:u w:val="single"/>
              </w:rPr>
              <w:t>评价结果</w:t>
            </w:r>
          </w:p>
        </w:tc>
        <w:tc>
          <w:tcPr>
            <w:tcW w:w="658" w:type="dxa"/>
            <w:noWrap w:val="0"/>
            <w:vAlign w:val="center"/>
          </w:tcPr>
          <w:p>
            <w:pPr>
              <w:jc w:val="center"/>
              <w:rPr>
                <w:i/>
                <w:iCs/>
                <w:color w:val="000000"/>
                <w:sz w:val="21"/>
                <w:szCs w:val="21"/>
                <w:u w:val="single"/>
              </w:rPr>
            </w:pPr>
            <w:r>
              <w:rPr>
                <w:i/>
                <w:iCs/>
                <w:color w:val="000000"/>
                <w:sz w:val="21"/>
                <w:szCs w:val="21"/>
                <w:u w:val="single"/>
              </w:rPr>
              <w:t>背景值</w:t>
            </w:r>
          </w:p>
        </w:tc>
        <w:tc>
          <w:tcPr>
            <w:tcW w:w="691" w:type="dxa"/>
            <w:noWrap w:val="0"/>
            <w:vAlign w:val="center"/>
          </w:tcPr>
          <w:p>
            <w:pPr>
              <w:jc w:val="center"/>
              <w:rPr>
                <w:i/>
                <w:iCs/>
                <w:color w:val="000000"/>
                <w:sz w:val="21"/>
                <w:szCs w:val="21"/>
                <w:u w:val="single"/>
              </w:rPr>
            </w:pPr>
            <w:r>
              <w:rPr>
                <w:i/>
                <w:iCs/>
                <w:color w:val="000000"/>
                <w:sz w:val="21"/>
                <w:szCs w:val="21"/>
                <w:u w:val="single"/>
              </w:rPr>
              <w:t>预测值</w:t>
            </w:r>
          </w:p>
        </w:tc>
        <w:tc>
          <w:tcPr>
            <w:tcW w:w="709" w:type="dxa"/>
            <w:tcBorders>
              <w:right w:val="single" w:color="000000" w:sz="2" w:space="0"/>
            </w:tcBorders>
            <w:noWrap w:val="0"/>
            <w:vAlign w:val="center"/>
          </w:tcPr>
          <w:p>
            <w:pPr>
              <w:jc w:val="center"/>
              <w:rPr>
                <w:i/>
                <w:iCs/>
                <w:color w:val="000000"/>
                <w:sz w:val="21"/>
                <w:szCs w:val="21"/>
                <w:u w:val="single"/>
              </w:rPr>
            </w:pPr>
            <w:r>
              <w:rPr>
                <w:i/>
                <w:iCs/>
                <w:color w:val="000000"/>
                <w:sz w:val="21"/>
                <w:szCs w:val="21"/>
                <w:u w:val="single"/>
              </w:rPr>
              <w:t>叠加值</w:t>
            </w:r>
          </w:p>
        </w:tc>
        <w:tc>
          <w:tcPr>
            <w:tcW w:w="700" w:type="dxa"/>
            <w:tcBorders>
              <w:left w:val="single" w:color="000000" w:sz="2" w:space="0"/>
            </w:tcBorders>
            <w:noWrap w:val="0"/>
            <w:vAlign w:val="center"/>
          </w:tcPr>
          <w:p>
            <w:pPr>
              <w:jc w:val="center"/>
              <w:rPr>
                <w:i/>
                <w:iCs/>
                <w:color w:val="000000"/>
                <w:sz w:val="21"/>
                <w:szCs w:val="21"/>
                <w:u w:val="single"/>
              </w:rPr>
            </w:pPr>
            <w:r>
              <w:rPr>
                <w:i/>
                <w:iCs/>
                <w:color w:val="000000"/>
                <w:sz w:val="21"/>
                <w:szCs w:val="21"/>
                <w:u w:val="single"/>
              </w:rPr>
              <w:t>变化值</w:t>
            </w:r>
          </w:p>
        </w:tc>
        <w:tc>
          <w:tcPr>
            <w:tcW w:w="654" w:type="dxa"/>
            <w:noWrap w:val="0"/>
            <w:vAlign w:val="center"/>
          </w:tcPr>
          <w:p>
            <w:pPr>
              <w:jc w:val="center"/>
              <w:rPr>
                <w:i/>
                <w:iCs/>
                <w:color w:val="000000"/>
                <w:sz w:val="21"/>
                <w:szCs w:val="21"/>
                <w:u w:val="single"/>
              </w:rPr>
            </w:pPr>
            <w:r>
              <w:rPr>
                <w:i/>
                <w:iCs/>
                <w:color w:val="000000"/>
                <w:sz w:val="21"/>
                <w:szCs w:val="21"/>
                <w:u w:val="single"/>
              </w:rPr>
              <w:t>评价标准</w:t>
            </w:r>
          </w:p>
        </w:tc>
        <w:tc>
          <w:tcPr>
            <w:tcW w:w="702" w:type="dxa"/>
            <w:noWrap w:val="0"/>
            <w:vAlign w:val="center"/>
          </w:tcPr>
          <w:p>
            <w:pPr>
              <w:jc w:val="center"/>
              <w:rPr>
                <w:i/>
                <w:iCs/>
                <w:color w:val="000000"/>
                <w:sz w:val="21"/>
                <w:szCs w:val="21"/>
                <w:u w:val="single"/>
              </w:rPr>
            </w:pPr>
            <w:r>
              <w:rPr>
                <w:i/>
                <w:iCs/>
                <w:color w:val="000000"/>
                <w:sz w:val="21"/>
                <w:szCs w:val="21"/>
                <w:u w:val="single"/>
              </w:rPr>
              <w:t>评价结果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4" w:hRule="atLeast"/>
        </w:trPr>
        <w:tc>
          <w:tcPr>
            <w:tcW w:w="993" w:type="dxa"/>
            <w:noWrap w:val="0"/>
            <w:vAlign w:val="center"/>
          </w:tcPr>
          <w:p>
            <w:pPr>
              <w:jc w:val="center"/>
              <w:rPr>
                <w:i/>
                <w:iCs/>
                <w:color w:val="000000"/>
                <w:sz w:val="21"/>
                <w:szCs w:val="21"/>
                <w:u w:val="single"/>
              </w:rPr>
            </w:pPr>
            <w:r>
              <w:rPr>
                <w:i/>
                <w:iCs/>
                <w:color w:val="000000"/>
                <w:sz w:val="21"/>
                <w:szCs w:val="21"/>
                <w:u w:val="single"/>
              </w:rPr>
              <w:t>1#</w:t>
            </w:r>
            <w:r>
              <w:rPr>
                <w:rFonts w:hint="eastAsia"/>
                <w:i/>
                <w:iCs/>
                <w:color w:val="000000"/>
                <w:sz w:val="21"/>
                <w:szCs w:val="21"/>
                <w:u w:val="single"/>
              </w:rPr>
              <w:t>（东侧）</w:t>
            </w:r>
          </w:p>
        </w:tc>
        <w:tc>
          <w:tcPr>
            <w:tcW w:w="709" w:type="dxa"/>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53</w:t>
            </w:r>
          </w:p>
        </w:tc>
        <w:tc>
          <w:tcPr>
            <w:tcW w:w="708" w:type="dxa"/>
            <w:noWrap w:val="0"/>
            <w:vAlign w:val="center"/>
          </w:tcPr>
          <w:p>
            <w:pPr>
              <w:jc w:val="center"/>
              <w:rPr>
                <w:i/>
                <w:iCs/>
                <w:color w:val="000000"/>
                <w:sz w:val="21"/>
                <w:szCs w:val="21"/>
                <w:u w:val="single"/>
              </w:rPr>
            </w:pPr>
            <w:r>
              <w:rPr>
                <w:rFonts w:hint="eastAsia"/>
                <w:i/>
                <w:iCs/>
                <w:color w:val="000000"/>
                <w:sz w:val="21"/>
                <w:szCs w:val="21"/>
                <w:u w:val="single"/>
              </w:rPr>
              <w:t>16.7</w:t>
            </w:r>
          </w:p>
        </w:tc>
        <w:tc>
          <w:tcPr>
            <w:tcW w:w="709" w:type="dxa"/>
            <w:tcBorders>
              <w:bottom w:val="single" w:color="auto" w:sz="4" w:space="0"/>
              <w:right w:val="single" w:color="000000" w:sz="2" w:space="0"/>
            </w:tcBorders>
            <w:noWrap w:val="0"/>
            <w:vAlign w:val="center"/>
          </w:tcPr>
          <w:p>
            <w:pPr>
              <w:jc w:val="center"/>
              <w:rPr>
                <w:i/>
                <w:iCs/>
                <w:color w:val="000000"/>
                <w:sz w:val="21"/>
                <w:szCs w:val="21"/>
                <w:u w:val="single"/>
              </w:rPr>
            </w:pPr>
            <w:r>
              <w:rPr>
                <w:rFonts w:hint="eastAsia"/>
                <w:i/>
                <w:iCs/>
                <w:color w:val="000000"/>
                <w:sz w:val="21"/>
                <w:szCs w:val="21"/>
                <w:u w:val="single"/>
                <w:lang w:val="en-US" w:eastAsia="zh-CN"/>
              </w:rPr>
              <w:t>53</w:t>
            </w:r>
          </w:p>
        </w:tc>
        <w:tc>
          <w:tcPr>
            <w:tcW w:w="709" w:type="dxa"/>
            <w:tcBorders>
              <w:left w:val="single" w:color="000000" w:sz="2" w:space="0"/>
              <w:bottom w:val="single" w:color="auto" w:sz="4" w:space="0"/>
            </w:tcBorders>
            <w:noWrap w:val="0"/>
            <w:vAlign w:val="center"/>
          </w:tcPr>
          <w:p>
            <w:pPr>
              <w:jc w:val="center"/>
              <w:rPr>
                <w:rFonts w:hint="eastAsia"/>
                <w:i/>
                <w:iCs/>
                <w:color w:val="000000"/>
                <w:sz w:val="21"/>
                <w:szCs w:val="21"/>
                <w:u w:val="single"/>
              </w:rPr>
            </w:pPr>
            <w:r>
              <w:rPr>
                <w:rFonts w:hint="eastAsia"/>
                <w:i/>
                <w:iCs/>
                <w:color w:val="000000"/>
                <w:sz w:val="21"/>
                <w:szCs w:val="21"/>
                <w:u w:val="single"/>
              </w:rPr>
              <w:t>0</w:t>
            </w:r>
          </w:p>
        </w:tc>
        <w:tc>
          <w:tcPr>
            <w:tcW w:w="709" w:type="dxa"/>
            <w:vMerge w:val="restart"/>
            <w:noWrap w:val="0"/>
            <w:vAlign w:val="center"/>
          </w:tcPr>
          <w:p>
            <w:pPr>
              <w:jc w:val="center"/>
              <w:rPr>
                <w:rFonts w:hint="eastAsia"/>
                <w:i/>
                <w:iCs/>
                <w:color w:val="000000"/>
                <w:sz w:val="21"/>
                <w:szCs w:val="21"/>
                <w:u w:val="single"/>
                <w:lang w:val="en-GB"/>
              </w:rPr>
            </w:pPr>
            <w:r>
              <w:rPr>
                <w:i/>
                <w:iCs/>
                <w:color w:val="000000"/>
                <w:sz w:val="21"/>
                <w:szCs w:val="21"/>
                <w:u w:val="single"/>
                <w:lang w:val="en-GB"/>
              </w:rPr>
              <w:t>65</w:t>
            </w:r>
          </w:p>
        </w:tc>
        <w:tc>
          <w:tcPr>
            <w:tcW w:w="635" w:type="dxa"/>
            <w:tcBorders>
              <w:bottom w:val="single" w:color="auto" w:sz="4" w:space="0"/>
            </w:tcBorders>
            <w:noWrap w:val="0"/>
            <w:vAlign w:val="center"/>
          </w:tcPr>
          <w:p>
            <w:pPr>
              <w:jc w:val="center"/>
              <w:rPr>
                <w:i/>
                <w:iCs/>
                <w:color w:val="000000"/>
                <w:sz w:val="21"/>
                <w:szCs w:val="21"/>
                <w:u w:val="single"/>
              </w:rPr>
            </w:pPr>
            <w:r>
              <w:rPr>
                <w:i/>
                <w:iCs/>
                <w:color w:val="000000"/>
                <w:sz w:val="21"/>
                <w:szCs w:val="21"/>
                <w:u w:val="single"/>
              </w:rPr>
              <w:t>达标</w:t>
            </w:r>
          </w:p>
        </w:tc>
        <w:tc>
          <w:tcPr>
            <w:tcW w:w="658" w:type="dxa"/>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42</w:t>
            </w:r>
          </w:p>
        </w:tc>
        <w:tc>
          <w:tcPr>
            <w:tcW w:w="691" w:type="dxa"/>
            <w:noWrap w:val="0"/>
            <w:vAlign w:val="center"/>
          </w:tcPr>
          <w:p>
            <w:pPr>
              <w:jc w:val="center"/>
              <w:rPr>
                <w:i/>
                <w:iCs/>
                <w:color w:val="000000"/>
                <w:sz w:val="21"/>
                <w:szCs w:val="21"/>
                <w:u w:val="single"/>
              </w:rPr>
            </w:pPr>
            <w:r>
              <w:rPr>
                <w:rFonts w:hint="eastAsia"/>
                <w:i/>
                <w:iCs/>
                <w:color w:val="000000"/>
                <w:sz w:val="21"/>
                <w:szCs w:val="21"/>
                <w:u w:val="single"/>
              </w:rPr>
              <w:t>16.7</w:t>
            </w:r>
          </w:p>
        </w:tc>
        <w:tc>
          <w:tcPr>
            <w:tcW w:w="709" w:type="dxa"/>
            <w:tcBorders>
              <w:right w:val="single" w:color="000000" w:sz="2" w:space="0"/>
            </w:tcBorders>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42</w:t>
            </w:r>
          </w:p>
        </w:tc>
        <w:tc>
          <w:tcPr>
            <w:tcW w:w="700" w:type="dxa"/>
            <w:tcBorders>
              <w:left w:val="single" w:color="000000" w:sz="2" w:space="0"/>
            </w:tcBorders>
            <w:noWrap w:val="0"/>
            <w:vAlign w:val="center"/>
          </w:tcPr>
          <w:p>
            <w:pPr>
              <w:jc w:val="center"/>
              <w:rPr>
                <w:rFonts w:hint="eastAsia"/>
                <w:i/>
                <w:iCs/>
                <w:color w:val="000000"/>
                <w:sz w:val="21"/>
                <w:szCs w:val="21"/>
                <w:u w:val="single"/>
              </w:rPr>
            </w:pPr>
            <w:r>
              <w:rPr>
                <w:rFonts w:hint="eastAsia"/>
                <w:i/>
                <w:iCs/>
                <w:color w:val="000000"/>
                <w:sz w:val="21"/>
                <w:szCs w:val="21"/>
                <w:u w:val="single"/>
              </w:rPr>
              <w:t>0</w:t>
            </w:r>
          </w:p>
        </w:tc>
        <w:tc>
          <w:tcPr>
            <w:tcW w:w="654" w:type="dxa"/>
            <w:vMerge w:val="restart"/>
            <w:noWrap w:val="0"/>
            <w:vAlign w:val="center"/>
          </w:tcPr>
          <w:p>
            <w:pPr>
              <w:jc w:val="center"/>
              <w:rPr>
                <w:rFonts w:hint="eastAsia"/>
                <w:i/>
                <w:iCs/>
                <w:color w:val="000000"/>
                <w:sz w:val="21"/>
                <w:szCs w:val="21"/>
                <w:u w:val="single"/>
                <w:lang w:val="en-GB"/>
              </w:rPr>
            </w:pPr>
            <w:r>
              <w:rPr>
                <w:rFonts w:hint="eastAsia"/>
                <w:i/>
                <w:iCs/>
                <w:color w:val="000000"/>
                <w:sz w:val="21"/>
                <w:szCs w:val="21"/>
                <w:u w:val="single"/>
                <w:lang w:val="en-GB"/>
              </w:rPr>
              <w:t>55</w:t>
            </w:r>
          </w:p>
        </w:tc>
        <w:tc>
          <w:tcPr>
            <w:tcW w:w="702" w:type="dxa"/>
            <w:noWrap w:val="0"/>
            <w:vAlign w:val="center"/>
          </w:tcPr>
          <w:p>
            <w:pPr>
              <w:jc w:val="center"/>
              <w:rPr>
                <w:i/>
                <w:iCs/>
                <w:color w:val="000000"/>
                <w:sz w:val="21"/>
                <w:szCs w:val="21"/>
                <w:u w:val="single"/>
              </w:rPr>
            </w:pPr>
            <w:r>
              <w:rPr>
                <w:i/>
                <w:iCs/>
                <w:color w:val="000000"/>
                <w:sz w:val="21"/>
                <w:szCs w:val="21"/>
                <w:u w:val="singl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4" w:hRule="atLeast"/>
        </w:trPr>
        <w:tc>
          <w:tcPr>
            <w:tcW w:w="993" w:type="dxa"/>
            <w:noWrap w:val="0"/>
            <w:vAlign w:val="center"/>
          </w:tcPr>
          <w:p>
            <w:pPr>
              <w:jc w:val="center"/>
              <w:rPr>
                <w:i/>
                <w:iCs/>
                <w:color w:val="000000"/>
                <w:sz w:val="21"/>
                <w:szCs w:val="21"/>
                <w:u w:val="single"/>
              </w:rPr>
            </w:pPr>
            <w:r>
              <w:rPr>
                <w:i/>
                <w:iCs/>
                <w:color w:val="000000"/>
                <w:sz w:val="21"/>
                <w:szCs w:val="21"/>
                <w:u w:val="single"/>
              </w:rPr>
              <w:t>2#</w:t>
            </w:r>
            <w:r>
              <w:rPr>
                <w:rFonts w:hint="eastAsia"/>
                <w:i/>
                <w:iCs/>
                <w:color w:val="000000"/>
                <w:sz w:val="21"/>
                <w:szCs w:val="21"/>
                <w:u w:val="single"/>
              </w:rPr>
              <w:t>（南侧）</w:t>
            </w:r>
          </w:p>
        </w:tc>
        <w:tc>
          <w:tcPr>
            <w:tcW w:w="709" w:type="dxa"/>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54</w:t>
            </w:r>
          </w:p>
        </w:tc>
        <w:tc>
          <w:tcPr>
            <w:tcW w:w="708" w:type="dxa"/>
            <w:noWrap w:val="0"/>
            <w:vAlign w:val="center"/>
          </w:tcPr>
          <w:p>
            <w:pPr>
              <w:jc w:val="center"/>
              <w:rPr>
                <w:i/>
                <w:iCs/>
                <w:color w:val="000000"/>
                <w:sz w:val="21"/>
                <w:szCs w:val="21"/>
                <w:u w:val="single"/>
              </w:rPr>
            </w:pPr>
            <w:r>
              <w:rPr>
                <w:rFonts w:hint="eastAsia"/>
                <w:i/>
                <w:iCs/>
                <w:color w:val="000000"/>
                <w:sz w:val="21"/>
                <w:szCs w:val="21"/>
                <w:u w:val="single"/>
              </w:rPr>
              <w:t>22.1</w:t>
            </w:r>
          </w:p>
        </w:tc>
        <w:tc>
          <w:tcPr>
            <w:tcW w:w="709" w:type="dxa"/>
            <w:tcBorders>
              <w:top w:val="single" w:color="auto" w:sz="4" w:space="0"/>
              <w:right w:val="single" w:color="000000" w:sz="2" w:space="0"/>
            </w:tcBorders>
            <w:noWrap w:val="0"/>
            <w:vAlign w:val="center"/>
          </w:tcPr>
          <w:p>
            <w:pPr>
              <w:jc w:val="center"/>
              <w:rPr>
                <w:i/>
                <w:iCs/>
                <w:color w:val="000000"/>
                <w:sz w:val="21"/>
                <w:szCs w:val="21"/>
                <w:u w:val="single"/>
              </w:rPr>
            </w:pPr>
            <w:r>
              <w:rPr>
                <w:rFonts w:hint="eastAsia"/>
                <w:i/>
                <w:iCs/>
                <w:color w:val="000000"/>
                <w:sz w:val="21"/>
                <w:szCs w:val="21"/>
                <w:u w:val="single"/>
                <w:lang w:val="en-US" w:eastAsia="zh-CN"/>
              </w:rPr>
              <w:t>54</w:t>
            </w:r>
          </w:p>
        </w:tc>
        <w:tc>
          <w:tcPr>
            <w:tcW w:w="709" w:type="dxa"/>
            <w:tcBorders>
              <w:top w:val="single" w:color="auto" w:sz="4" w:space="0"/>
              <w:left w:val="single" w:color="000000" w:sz="2" w:space="0"/>
            </w:tcBorders>
            <w:noWrap w:val="0"/>
            <w:vAlign w:val="center"/>
          </w:tcPr>
          <w:p>
            <w:pPr>
              <w:jc w:val="center"/>
              <w:rPr>
                <w:rFonts w:hint="eastAsia"/>
                <w:i/>
                <w:iCs/>
                <w:color w:val="000000"/>
                <w:sz w:val="21"/>
                <w:szCs w:val="21"/>
                <w:u w:val="single"/>
              </w:rPr>
            </w:pPr>
            <w:r>
              <w:rPr>
                <w:rFonts w:hint="eastAsia"/>
                <w:i/>
                <w:iCs/>
                <w:color w:val="000000"/>
                <w:sz w:val="21"/>
                <w:szCs w:val="21"/>
                <w:u w:val="single"/>
              </w:rPr>
              <w:t>0</w:t>
            </w:r>
          </w:p>
        </w:tc>
        <w:tc>
          <w:tcPr>
            <w:tcW w:w="709" w:type="dxa"/>
            <w:vMerge w:val="continue"/>
            <w:noWrap w:val="0"/>
            <w:vAlign w:val="center"/>
          </w:tcPr>
          <w:p>
            <w:pPr>
              <w:jc w:val="center"/>
              <w:rPr>
                <w:i/>
                <w:iCs/>
                <w:color w:val="000000"/>
                <w:sz w:val="21"/>
                <w:szCs w:val="21"/>
                <w:u w:val="single"/>
              </w:rPr>
            </w:pPr>
          </w:p>
        </w:tc>
        <w:tc>
          <w:tcPr>
            <w:tcW w:w="635" w:type="dxa"/>
            <w:tcBorders>
              <w:top w:val="single" w:color="auto" w:sz="4" w:space="0"/>
            </w:tcBorders>
            <w:noWrap w:val="0"/>
            <w:vAlign w:val="center"/>
          </w:tcPr>
          <w:p>
            <w:pPr>
              <w:jc w:val="center"/>
              <w:rPr>
                <w:i/>
                <w:iCs/>
                <w:color w:val="000000"/>
                <w:sz w:val="21"/>
                <w:szCs w:val="21"/>
                <w:u w:val="single"/>
              </w:rPr>
            </w:pPr>
            <w:r>
              <w:rPr>
                <w:i/>
                <w:iCs/>
                <w:color w:val="000000"/>
                <w:sz w:val="21"/>
                <w:szCs w:val="21"/>
                <w:u w:val="single"/>
              </w:rPr>
              <w:t>达标</w:t>
            </w:r>
          </w:p>
        </w:tc>
        <w:tc>
          <w:tcPr>
            <w:tcW w:w="658" w:type="dxa"/>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43</w:t>
            </w:r>
          </w:p>
        </w:tc>
        <w:tc>
          <w:tcPr>
            <w:tcW w:w="691" w:type="dxa"/>
            <w:noWrap w:val="0"/>
            <w:vAlign w:val="center"/>
          </w:tcPr>
          <w:p>
            <w:pPr>
              <w:jc w:val="center"/>
              <w:rPr>
                <w:i/>
                <w:iCs/>
                <w:color w:val="000000"/>
                <w:sz w:val="21"/>
                <w:szCs w:val="21"/>
                <w:u w:val="single"/>
              </w:rPr>
            </w:pPr>
            <w:r>
              <w:rPr>
                <w:rFonts w:hint="eastAsia"/>
                <w:i/>
                <w:iCs/>
                <w:color w:val="000000"/>
                <w:sz w:val="21"/>
                <w:szCs w:val="21"/>
                <w:u w:val="single"/>
              </w:rPr>
              <w:t>22.1</w:t>
            </w:r>
          </w:p>
        </w:tc>
        <w:tc>
          <w:tcPr>
            <w:tcW w:w="709" w:type="dxa"/>
            <w:tcBorders>
              <w:right w:val="single" w:color="000000" w:sz="2" w:space="0"/>
            </w:tcBorders>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43</w:t>
            </w:r>
          </w:p>
        </w:tc>
        <w:tc>
          <w:tcPr>
            <w:tcW w:w="700" w:type="dxa"/>
            <w:tcBorders>
              <w:left w:val="single" w:color="000000" w:sz="2" w:space="0"/>
            </w:tcBorders>
            <w:noWrap w:val="0"/>
            <w:vAlign w:val="center"/>
          </w:tcPr>
          <w:p>
            <w:pPr>
              <w:jc w:val="center"/>
              <w:rPr>
                <w:i/>
                <w:iCs/>
                <w:color w:val="000000"/>
                <w:sz w:val="21"/>
                <w:szCs w:val="21"/>
                <w:u w:val="single"/>
              </w:rPr>
            </w:pPr>
            <w:r>
              <w:rPr>
                <w:rFonts w:hint="eastAsia"/>
                <w:i/>
                <w:iCs/>
                <w:color w:val="000000"/>
                <w:sz w:val="21"/>
                <w:szCs w:val="21"/>
                <w:u w:val="single"/>
              </w:rPr>
              <w:t>0</w:t>
            </w:r>
          </w:p>
        </w:tc>
        <w:tc>
          <w:tcPr>
            <w:tcW w:w="654" w:type="dxa"/>
            <w:vMerge w:val="continue"/>
            <w:noWrap w:val="0"/>
            <w:vAlign w:val="center"/>
          </w:tcPr>
          <w:p>
            <w:pPr>
              <w:jc w:val="center"/>
              <w:rPr>
                <w:i/>
                <w:iCs/>
                <w:color w:val="000000"/>
                <w:sz w:val="21"/>
                <w:szCs w:val="21"/>
                <w:u w:val="single"/>
              </w:rPr>
            </w:pPr>
          </w:p>
        </w:tc>
        <w:tc>
          <w:tcPr>
            <w:tcW w:w="702" w:type="dxa"/>
            <w:noWrap w:val="0"/>
            <w:vAlign w:val="center"/>
          </w:tcPr>
          <w:p>
            <w:pPr>
              <w:jc w:val="center"/>
              <w:rPr>
                <w:i/>
                <w:iCs/>
                <w:color w:val="000000"/>
                <w:sz w:val="21"/>
                <w:szCs w:val="21"/>
                <w:u w:val="single"/>
              </w:rPr>
            </w:pPr>
            <w:r>
              <w:rPr>
                <w:i/>
                <w:iCs/>
                <w:color w:val="000000"/>
                <w:sz w:val="21"/>
                <w:szCs w:val="21"/>
                <w:u w:val="singl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4" w:hRule="atLeast"/>
        </w:trPr>
        <w:tc>
          <w:tcPr>
            <w:tcW w:w="993" w:type="dxa"/>
            <w:noWrap w:val="0"/>
            <w:vAlign w:val="center"/>
          </w:tcPr>
          <w:p>
            <w:pPr>
              <w:jc w:val="center"/>
              <w:rPr>
                <w:i/>
                <w:iCs/>
                <w:color w:val="000000"/>
                <w:sz w:val="21"/>
                <w:szCs w:val="21"/>
                <w:u w:val="single"/>
              </w:rPr>
            </w:pPr>
            <w:r>
              <w:rPr>
                <w:i/>
                <w:iCs/>
                <w:color w:val="000000"/>
                <w:sz w:val="21"/>
                <w:szCs w:val="21"/>
                <w:u w:val="single"/>
              </w:rPr>
              <w:t>3#</w:t>
            </w:r>
            <w:r>
              <w:rPr>
                <w:rFonts w:hint="eastAsia"/>
                <w:i/>
                <w:iCs/>
                <w:color w:val="000000"/>
                <w:sz w:val="21"/>
                <w:szCs w:val="21"/>
                <w:u w:val="single"/>
              </w:rPr>
              <w:t>（西侧）</w:t>
            </w:r>
          </w:p>
        </w:tc>
        <w:tc>
          <w:tcPr>
            <w:tcW w:w="709" w:type="dxa"/>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54</w:t>
            </w:r>
          </w:p>
        </w:tc>
        <w:tc>
          <w:tcPr>
            <w:tcW w:w="708" w:type="dxa"/>
            <w:noWrap w:val="0"/>
            <w:vAlign w:val="center"/>
          </w:tcPr>
          <w:p>
            <w:pPr>
              <w:jc w:val="center"/>
              <w:rPr>
                <w:i/>
                <w:iCs/>
                <w:color w:val="000000"/>
                <w:sz w:val="21"/>
                <w:szCs w:val="21"/>
                <w:u w:val="single"/>
              </w:rPr>
            </w:pPr>
            <w:r>
              <w:rPr>
                <w:rFonts w:hint="eastAsia"/>
                <w:i/>
                <w:iCs/>
                <w:color w:val="000000"/>
                <w:sz w:val="21"/>
                <w:szCs w:val="21"/>
                <w:u w:val="single"/>
              </w:rPr>
              <w:t>26.9</w:t>
            </w:r>
          </w:p>
        </w:tc>
        <w:tc>
          <w:tcPr>
            <w:tcW w:w="709" w:type="dxa"/>
            <w:tcBorders>
              <w:right w:val="single" w:color="000000" w:sz="2" w:space="0"/>
            </w:tcBorders>
            <w:noWrap w:val="0"/>
            <w:vAlign w:val="center"/>
          </w:tcPr>
          <w:p>
            <w:pPr>
              <w:jc w:val="center"/>
              <w:rPr>
                <w:i/>
                <w:iCs/>
                <w:color w:val="000000"/>
                <w:sz w:val="21"/>
                <w:szCs w:val="21"/>
                <w:u w:val="single"/>
              </w:rPr>
            </w:pPr>
            <w:r>
              <w:rPr>
                <w:rFonts w:hint="eastAsia"/>
                <w:i/>
                <w:iCs/>
                <w:color w:val="000000"/>
                <w:sz w:val="21"/>
                <w:szCs w:val="21"/>
                <w:u w:val="single"/>
                <w:lang w:val="en-US" w:eastAsia="zh-CN"/>
              </w:rPr>
              <w:t>54</w:t>
            </w:r>
          </w:p>
        </w:tc>
        <w:tc>
          <w:tcPr>
            <w:tcW w:w="709" w:type="dxa"/>
            <w:tcBorders>
              <w:left w:val="single" w:color="000000" w:sz="2" w:space="0"/>
              <w:bottom w:val="single" w:color="000000" w:sz="2" w:space="0"/>
            </w:tcBorders>
            <w:noWrap w:val="0"/>
            <w:vAlign w:val="center"/>
          </w:tcPr>
          <w:p>
            <w:pPr>
              <w:jc w:val="center"/>
              <w:rPr>
                <w:rFonts w:hint="eastAsia"/>
                <w:i/>
                <w:iCs/>
                <w:color w:val="000000"/>
                <w:sz w:val="21"/>
                <w:szCs w:val="21"/>
                <w:u w:val="single"/>
              </w:rPr>
            </w:pPr>
            <w:r>
              <w:rPr>
                <w:rFonts w:hint="eastAsia"/>
                <w:i/>
                <w:iCs/>
                <w:color w:val="000000"/>
                <w:sz w:val="21"/>
                <w:szCs w:val="21"/>
                <w:u w:val="single"/>
              </w:rPr>
              <w:t>0</w:t>
            </w:r>
          </w:p>
        </w:tc>
        <w:tc>
          <w:tcPr>
            <w:tcW w:w="709" w:type="dxa"/>
            <w:vMerge w:val="continue"/>
            <w:noWrap w:val="0"/>
            <w:vAlign w:val="center"/>
          </w:tcPr>
          <w:p>
            <w:pPr>
              <w:jc w:val="center"/>
              <w:rPr>
                <w:i/>
                <w:iCs/>
                <w:color w:val="000000"/>
                <w:sz w:val="21"/>
                <w:szCs w:val="21"/>
                <w:u w:val="single"/>
              </w:rPr>
            </w:pPr>
          </w:p>
        </w:tc>
        <w:tc>
          <w:tcPr>
            <w:tcW w:w="635" w:type="dxa"/>
            <w:tcBorders>
              <w:bottom w:val="single" w:color="000000" w:sz="2" w:space="0"/>
            </w:tcBorders>
            <w:noWrap w:val="0"/>
            <w:vAlign w:val="center"/>
          </w:tcPr>
          <w:p>
            <w:pPr>
              <w:jc w:val="center"/>
              <w:rPr>
                <w:i/>
                <w:iCs/>
                <w:color w:val="000000"/>
                <w:sz w:val="21"/>
                <w:szCs w:val="21"/>
                <w:u w:val="single"/>
              </w:rPr>
            </w:pPr>
            <w:r>
              <w:rPr>
                <w:i/>
                <w:iCs/>
                <w:color w:val="000000"/>
                <w:sz w:val="21"/>
                <w:szCs w:val="21"/>
                <w:u w:val="single"/>
              </w:rPr>
              <w:t>达标</w:t>
            </w:r>
          </w:p>
        </w:tc>
        <w:tc>
          <w:tcPr>
            <w:tcW w:w="658" w:type="dxa"/>
            <w:tcBorders>
              <w:bottom w:val="single" w:color="000000" w:sz="2" w:space="0"/>
            </w:tcBorders>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44</w:t>
            </w:r>
          </w:p>
        </w:tc>
        <w:tc>
          <w:tcPr>
            <w:tcW w:w="691" w:type="dxa"/>
            <w:tcBorders>
              <w:bottom w:val="single" w:color="000000" w:sz="2" w:space="0"/>
            </w:tcBorders>
            <w:noWrap w:val="0"/>
            <w:vAlign w:val="center"/>
          </w:tcPr>
          <w:p>
            <w:pPr>
              <w:jc w:val="center"/>
              <w:rPr>
                <w:i/>
                <w:iCs/>
                <w:color w:val="000000"/>
                <w:sz w:val="21"/>
                <w:szCs w:val="21"/>
                <w:u w:val="single"/>
              </w:rPr>
            </w:pPr>
            <w:r>
              <w:rPr>
                <w:rFonts w:hint="eastAsia"/>
                <w:i/>
                <w:iCs/>
                <w:color w:val="000000"/>
                <w:sz w:val="21"/>
                <w:szCs w:val="21"/>
                <w:u w:val="single"/>
              </w:rPr>
              <w:t>26.9</w:t>
            </w:r>
          </w:p>
        </w:tc>
        <w:tc>
          <w:tcPr>
            <w:tcW w:w="709" w:type="dxa"/>
            <w:tcBorders>
              <w:bottom w:val="single" w:color="000000" w:sz="2" w:space="0"/>
              <w:right w:val="single" w:color="000000" w:sz="2" w:space="0"/>
            </w:tcBorders>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44.1</w:t>
            </w:r>
          </w:p>
        </w:tc>
        <w:tc>
          <w:tcPr>
            <w:tcW w:w="700" w:type="dxa"/>
            <w:tcBorders>
              <w:left w:val="single" w:color="000000" w:sz="2" w:space="0"/>
              <w:bottom w:val="single" w:color="000000" w:sz="2" w:space="0"/>
            </w:tcBorders>
            <w:noWrap w:val="0"/>
            <w:vAlign w:val="center"/>
          </w:tcPr>
          <w:p>
            <w:pPr>
              <w:jc w:val="center"/>
              <w:rPr>
                <w:rFonts w:hint="eastAsia" w:eastAsia="宋体"/>
                <w:i/>
                <w:iCs/>
                <w:color w:val="000000"/>
                <w:sz w:val="21"/>
                <w:szCs w:val="21"/>
                <w:u w:val="single"/>
                <w:lang w:eastAsia="zh-CN"/>
              </w:rPr>
            </w:pPr>
            <w:r>
              <w:rPr>
                <w:rFonts w:hint="eastAsia"/>
                <w:i/>
                <w:iCs/>
                <w:color w:val="000000"/>
                <w:sz w:val="21"/>
                <w:szCs w:val="21"/>
                <w:u w:val="single"/>
              </w:rPr>
              <w:t>+0.</w:t>
            </w:r>
            <w:r>
              <w:rPr>
                <w:rFonts w:hint="eastAsia"/>
                <w:i/>
                <w:iCs/>
                <w:color w:val="000000"/>
                <w:sz w:val="21"/>
                <w:szCs w:val="21"/>
                <w:u w:val="single"/>
                <w:lang w:val="en-US" w:eastAsia="zh-CN"/>
              </w:rPr>
              <w:t>1</w:t>
            </w:r>
          </w:p>
        </w:tc>
        <w:tc>
          <w:tcPr>
            <w:tcW w:w="654" w:type="dxa"/>
            <w:vMerge w:val="continue"/>
            <w:noWrap w:val="0"/>
            <w:vAlign w:val="center"/>
          </w:tcPr>
          <w:p>
            <w:pPr>
              <w:jc w:val="center"/>
              <w:rPr>
                <w:i/>
                <w:iCs/>
                <w:color w:val="000000"/>
                <w:sz w:val="21"/>
                <w:szCs w:val="21"/>
                <w:u w:val="single"/>
              </w:rPr>
            </w:pPr>
          </w:p>
        </w:tc>
        <w:tc>
          <w:tcPr>
            <w:tcW w:w="702" w:type="dxa"/>
            <w:noWrap w:val="0"/>
            <w:vAlign w:val="center"/>
          </w:tcPr>
          <w:p>
            <w:pPr>
              <w:jc w:val="center"/>
              <w:rPr>
                <w:i/>
                <w:iCs/>
                <w:color w:val="000000"/>
                <w:sz w:val="21"/>
                <w:szCs w:val="21"/>
                <w:u w:val="single"/>
              </w:rPr>
            </w:pPr>
            <w:r>
              <w:rPr>
                <w:i/>
                <w:iCs/>
                <w:color w:val="000000"/>
                <w:sz w:val="21"/>
                <w:szCs w:val="21"/>
                <w:u w:val="singl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993" w:type="dxa"/>
            <w:noWrap w:val="0"/>
            <w:vAlign w:val="center"/>
          </w:tcPr>
          <w:p>
            <w:pPr>
              <w:jc w:val="center"/>
              <w:rPr>
                <w:i/>
                <w:iCs/>
                <w:color w:val="000000"/>
                <w:sz w:val="21"/>
                <w:szCs w:val="21"/>
                <w:u w:val="single"/>
              </w:rPr>
            </w:pPr>
            <w:r>
              <w:rPr>
                <w:i/>
                <w:iCs/>
                <w:color w:val="000000"/>
                <w:sz w:val="21"/>
                <w:szCs w:val="21"/>
                <w:u w:val="single"/>
              </w:rPr>
              <w:t>4#</w:t>
            </w:r>
            <w:r>
              <w:rPr>
                <w:rFonts w:hint="eastAsia"/>
                <w:i/>
                <w:iCs/>
                <w:color w:val="000000"/>
                <w:sz w:val="21"/>
                <w:szCs w:val="21"/>
                <w:u w:val="single"/>
              </w:rPr>
              <w:t>（北侧）</w:t>
            </w:r>
          </w:p>
        </w:tc>
        <w:tc>
          <w:tcPr>
            <w:tcW w:w="709" w:type="dxa"/>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52</w:t>
            </w:r>
          </w:p>
        </w:tc>
        <w:tc>
          <w:tcPr>
            <w:tcW w:w="708" w:type="dxa"/>
            <w:noWrap w:val="0"/>
            <w:vAlign w:val="center"/>
          </w:tcPr>
          <w:p>
            <w:pPr>
              <w:jc w:val="center"/>
              <w:rPr>
                <w:i/>
                <w:iCs/>
                <w:color w:val="000000"/>
                <w:sz w:val="21"/>
                <w:szCs w:val="21"/>
                <w:u w:val="single"/>
              </w:rPr>
            </w:pPr>
            <w:r>
              <w:rPr>
                <w:rFonts w:hint="eastAsia"/>
                <w:i/>
                <w:iCs/>
                <w:color w:val="000000"/>
                <w:sz w:val="21"/>
                <w:szCs w:val="21"/>
                <w:u w:val="single"/>
              </w:rPr>
              <w:t>21</w:t>
            </w:r>
          </w:p>
        </w:tc>
        <w:tc>
          <w:tcPr>
            <w:tcW w:w="709" w:type="dxa"/>
            <w:tcBorders>
              <w:right w:val="single" w:color="000000" w:sz="2" w:space="0"/>
            </w:tcBorders>
            <w:noWrap w:val="0"/>
            <w:vAlign w:val="center"/>
          </w:tcPr>
          <w:p>
            <w:pPr>
              <w:jc w:val="center"/>
              <w:rPr>
                <w:i/>
                <w:iCs/>
                <w:color w:val="000000"/>
                <w:sz w:val="21"/>
                <w:szCs w:val="21"/>
                <w:u w:val="single"/>
              </w:rPr>
            </w:pPr>
            <w:r>
              <w:rPr>
                <w:rFonts w:hint="eastAsia"/>
                <w:i/>
                <w:iCs/>
                <w:color w:val="000000"/>
                <w:sz w:val="21"/>
                <w:szCs w:val="21"/>
                <w:u w:val="single"/>
                <w:lang w:val="en-US" w:eastAsia="zh-CN"/>
              </w:rPr>
              <w:t>52</w:t>
            </w:r>
          </w:p>
        </w:tc>
        <w:tc>
          <w:tcPr>
            <w:tcW w:w="709" w:type="dxa"/>
            <w:tcBorders>
              <w:top w:val="single" w:color="000000" w:sz="2" w:space="0"/>
              <w:left w:val="single" w:color="000000" w:sz="2" w:space="0"/>
              <w:bottom w:val="single" w:color="000000" w:sz="2" w:space="0"/>
            </w:tcBorders>
            <w:noWrap w:val="0"/>
            <w:vAlign w:val="center"/>
          </w:tcPr>
          <w:p>
            <w:pPr>
              <w:jc w:val="center"/>
              <w:rPr>
                <w:i/>
                <w:iCs/>
                <w:color w:val="000000"/>
                <w:sz w:val="21"/>
                <w:szCs w:val="21"/>
                <w:u w:val="single"/>
              </w:rPr>
            </w:pPr>
            <w:r>
              <w:rPr>
                <w:rFonts w:hint="eastAsia"/>
                <w:i/>
                <w:iCs/>
                <w:color w:val="000000"/>
                <w:sz w:val="21"/>
                <w:szCs w:val="21"/>
                <w:u w:val="single"/>
              </w:rPr>
              <w:t>0</w:t>
            </w:r>
          </w:p>
        </w:tc>
        <w:tc>
          <w:tcPr>
            <w:tcW w:w="709" w:type="dxa"/>
            <w:vMerge w:val="continue"/>
            <w:noWrap w:val="0"/>
            <w:vAlign w:val="center"/>
          </w:tcPr>
          <w:p>
            <w:pPr>
              <w:jc w:val="center"/>
              <w:rPr>
                <w:i/>
                <w:iCs/>
                <w:color w:val="000000"/>
                <w:sz w:val="21"/>
                <w:szCs w:val="21"/>
                <w:u w:val="single"/>
                <w:lang w:val="en-GB"/>
              </w:rPr>
            </w:pPr>
          </w:p>
        </w:tc>
        <w:tc>
          <w:tcPr>
            <w:tcW w:w="635" w:type="dxa"/>
            <w:tcBorders>
              <w:top w:val="single" w:color="000000" w:sz="2" w:space="0"/>
              <w:bottom w:val="single" w:color="000000" w:sz="2" w:space="0"/>
            </w:tcBorders>
            <w:noWrap w:val="0"/>
            <w:vAlign w:val="center"/>
          </w:tcPr>
          <w:p>
            <w:pPr>
              <w:jc w:val="center"/>
              <w:rPr>
                <w:i/>
                <w:iCs/>
                <w:color w:val="000000"/>
                <w:sz w:val="21"/>
                <w:szCs w:val="21"/>
                <w:u w:val="single"/>
              </w:rPr>
            </w:pPr>
            <w:r>
              <w:rPr>
                <w:i/>
                <w:iCs/>
                <w:color w:val="000000"/>
                <w:sz w:val="21"/>
                <w:szCs w:val="21"/>
                <w:u w:val="single"/>
              </w:rPr>
              <w:t>达标</w:t>
            </w:r>
          </w:p>
        </w:tc>
        <w:tc>
          <w:tcPr>
            <w:tcW w:w="658" w:type="dxa"/>
            <w:tcBorders>
              <w:top w:val="single" w:color="000000" w:sz="2" w:space="0"/>
              <w:bottom w:val="single" w:color="000000" w:sz="2" w:space="0"/>
            </w:tcBorders>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43</w:t>
            </w:r>
          </w:p>
        </w:tc>
        <w:tc>
          <w:tcPr>
            <w:tcW w:w="691" w:type="dxa"/>
            <w:tcBorders>
              <w:top w:val="single" w:color="000000" w:sz="2" w:space="0"/>
              <w:bottom w:val="single" w:color="000000" w:sz="2" w:space="0"/>
            </w:tcBorders>
            <w:noWrap w:val="0"/>
            <w:vAlign w:val="center"/>
          </w:tcPr>
          <w:p>
            <w:pPr>
              <w:jc w:val="center"/>
              <w:rPr>
                <w:i/>
                <w:iCs/>
                <w:color w:val="000000"/>
                <w:sz w:val="21"/>
                <w:szCs w:val="21"/>
                <w:u w:val="single"/>
              </w:rPr>
            </w:pPr>
            <w:r>
              <w:rPr>
                <w:rFonts w:hint="eastAsia"/>
                <w:i/>
                <w:iCs/>
                <w:color w:val="000000"/>
                <w:sz w:val="21"/>
                <w:szCs w:val="21"/>
                <w:u w:val="single"/>
              </w:rPr>
              <w:t>21</w:t>
            </w:r>
          </w:p>
        </w:tc>
        <w:tc>
          <w:tcPr>
            <w:tcW w:w="709" w:type="dxa"/>
            <w:tcBorders>
              <w:top w:val="single" w:color="000000" w:sz="2" w:space="0"/>
              <w:bottom w:val="single" w:color="000000" w:sz="2" w:space="0"/>
              <w:right w:val="single" w:color="000000" w:sz="2" w:space="0"/>
            </w:tcBorders>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43</w:t>
            </w:r>
          </w:p>
        </w:tc>
        <w:tc>
          <w:tcPr>
            <w:tcW w:w="700" w:type="dxa"/>
            <w:tcBorders>
              <w:top w:val="single" w:color="000000" w:sz="2" w:space="0"/>
              <w:left w:val="single" w:color="000000" w:sz="2" w:space="0"/>
              <w:bottom w:val="single" w:color="000000" w:sz="2" w:space="0"/>
            </w:tcBorders>
            <w:noWrap w:val="0"/>
            <w:vAlign w:val="center"/>
          </w:tcPr>
          <w:p>
            <w:pPr>
              <w:jc w:val="center"/>
              <w:rPr>
                <w:rFonts w:hint="eastAsia" w:eastAsia="宋体"/>
                <w:i/>
                <w:iCs/>
                <w:color w:val="000000"/>
                <w:sz w:val="21"/>
                <w:szCs w:val="21"/>
                <w:u w:val="single"/>
                <w:lang w:eastAsia="zh-CN"/>
              </w:rPr>
            </w:pPr>
            <w:r>
              <w:rPr>
                <w:rFonts w:hint="eastAsia"/>
                <w:i/>
                <w:iCs/>
                <w:color w:val="000000"/>
                <w:sz w:val="21"/>
                <w:szCs w:val="21"/>
                <w:u w:val="single"/>
                <w:lang w:val="en-US" w:eastAsia="zh-CN"/>
              </w:rPr>
              <w:t>0</w:t>
            </w:r>
          </w:p>
        </w:tc>
        <w:tc>
          <w:tcPr>
            <w:tcW w:w="654" w:type="dxa"/>
            <w:vMerge w:val="continue"/>
            <w:noWrap w:val="0"/>
            <w:vAlign w:val="center"/>
          </w:tcPr>
          <w:p>
            <w:pPr>
              <w:jc w:val="center"/>
              <w:rPr>
                <w:i/>
                <w:iCs/>
                <w:color w:val="000000"/>
                <w:sz w:val="21"/>
                <w:szCs w:val="21"/>
                <w:u w:val="single"/>
                <w:lang w:val="en-GB"/>
              </w:rPr>
            </w:pPr>
          </w:p>
        </w:tc>
        <w:tc>
          <w:tcPr>
            <w:tcW w:w="702" w:type="dxa"/>
            <w:noWrap w:val="0"/>
            <w:vAlign w:val="center"/>
          </w:tcPr>
          <w:p>
            <w:pPr>
              <w:jc w:val="center"/>
              <w:rPr>
                <w:i/>
                <w:iCs/>
                <w:color w:val="000000"/>
                <w:sz w:val="21"/>
                <w:szCs w:val="21"/>
                <w:u w:val="single"/>
              </w:rPr>
            </w:pPr>
            <w:r>
              <w:rPr>
                <w:i/>
                <w:iCs/>
                <w:color w:val="000000"/>
                <w:sz w:val="21"/>
                <w:szCs w:val="21"/>
                <w:u w:val="singl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993" w:type="dxa"/>
            <w:tcBorders>
              <w:bottom w:val="single" w:color="auto" w:sz="12" w:space="0"/>
            </w:tcBorders>
            <w:noWrap w:val="0"/>
            <w:vAlign w:val="center"/>
          </w:tcPr>
          <w:p>
            <w:pPr>
              <w:jc w:val="center"/>
              <w:rPr>
                <w:i/>
                <w:iCs/>
                <w:color w:val="000000"/>
                <w:sz w:val="21"/>
                <w:szCs w:val="21"/>
                <w:u w:val="single"/>
              </w:rPr>
            </w:pPr>
            <w:r>
              <w:rPr>
                <w:rFonts w:hint="eastAsia"/>
                <w:i/>
                <w:iCs/>
                <w:color w:val="000000"/>
                <w:sz w:val="21"/>
                <w:szCs w:val="21"/>
                <w:u w:val="single"/>
              </w:rPr>
              <w:t>西侧居民</w:t>
            </w:r>
          </w:p>
        </w:tc>
        <w:tc>
          <w:tcPr>
            <w:tcW w:w="709" w:type="dxa"/>
            <w:tcBorders>
              <w:bottom w:val="single" w:color="auto" w:sz="12" w:space="0"/>
            </w:tcBorders>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51</w:t>
            </w:r>
          </w:p>
        </w:tc>
        <w:tc>
          <w:tcPr>
            <w:tcW w:w="708" w:type="dxa"/>
            <w:tcBorders>
              <w:bottom w:val="single" w:color="auto" w:sz="12" w:space="0"/>
            </w:tcBorders>
            <w:noWrap w:val="0"/>
            <w:vAlign w:val="center"/>
          </w:tcPr>
          <w:p>
            <w:pPr>
              <w:jc w:val="center"/>
              <w:rPr>
                <w:i/>
                <w:iCs/>
                <w:color w:val="000000"/>
                <w:sz w:val="21"/>
                <w:szCs w:val="21"/>
                <w:u w:val="single"/>
              </w:rPr>
            </w:pPr>
            <w:r>
              <w:rPr>
                <w:rFonts w:hint="eastAsia"/>
                <w:i/>
                <w:iCs/>
                <w:color w:val="000000"/>
                <w:sz w:val="21"/>
                <w:szCs w:val="21"/>
                <w:u w:val="single"/>
              </w:rPr>
              <w:t>10</w:t>
            </w:r>
          </w:p>
        </w:tc>
        <w:tc>
          <w:tcPr>
            <w:tcW w:w="709" w:type="dxa"/>
            <w:tcBorders>
              <w:bottom w:val="single" w:color="auto" w:sz="12" w:space="0"/>
              <w:right w:val="single" w:color="000000" w:sz="2" w:space="0"/>
            </w:tcBorders>
            <w:noWrap w:val="0"/>
            <w:vAlign w:val="center"/>
          </w:tcPr>
          <w:p>
            <w:pPr>
              <w:jc w:val="center"/>
              <w:rPr>
                <w:rFonts w:hint="eastAsia"/>
                <w:i/>
                <w:iCs/>
                <w:color w:val="000000"/>
                <w:sz w:val="21"/>
                <w:szCs w:val="21"/>
                <w:u w:val="single"/>
              </w:rPr>
            </w:pPr>
            <w:r>
              <w:rPr>
                <w:rFonts w:hint="eastAsia"/>
                <w:i/>
                <w:iCs/>
                <w:color w:val="000000"/>
                <w:sz w:val="21"/>
                <w:szCs w:val="21"/>
                <w:u w:val="single"/>
                <w:lang w:val="en-US" w:eastAsia="zh-CN"/>
              </w:rPr>
              <w:t>51</w:t>
            </w:r>
          </w:p>
        </w:tc>
        <w:tc>
          <w:tcPr>
            <w:tcW w:w="709" w:type="dxa"/>
            <w:tcBorders>
              <w:top w:val="single" w:color="000000" w:sz="2" w:space="0"/>
              <w:left w:val="single" w:color="000000" w:sz="2" w:space="0"/>
              <w:bottom w:val="single" w:color="auto" w:sz="12" w:space="0"/>
            </w:tcBorders>
            <w:noWrap w:val="0"/>
            <w:vAlign w:val="center"/>
          </w:tcPr>
          <w:p>
            <w:pPr>
              <w:jc w:val="center"/>
              <w:rPr>
                <w:i/>
                <w:iCs/>
                <w:color w:val="000000"/>
                <w:sz w:val="21"/>
                <w:szCs w:val="21"/>
                <w:u w:val="single"/>
              </w:rPr>
            </w:pPr>
            <w:r>
              <w:rPr>
                <w:rFonts w:hint="eastAsia"/>
                <w:i/>
                <w:iCs/>
                <w:color w:val="000000"/>
                <w:sz w:val="21"/>
                <w:szCs w:val="21"/>
                <w:u w:val="single"/>
              </w:rPr>
              <w:t>0</w:t>
            </w:r>
          </w:p>
        </w:tc>
        <w:tc>
          <w:tcPr>
            <w:tcW w:w="709" w:type="dxa"/>
            <w:vMerge w:val="continue"/>
            <w:tcBorders>
              <w:bottom w:val="single" w:color="auto" w:sz="12" w:space="0"/>
            </w:tcBorders>
            <w:noWrap w:val="0"/>
            <w:vAlign w:val="center"/>
          </w:tcPr>
          <w:p>
            <w:pPr>
              <w:jc w:val="center"/>
              <w:rPr>
                <w:i/>
                <w:iCs/>
                <w:color w:val="000000"/>
                <w:sz w:val="21"/>
                <w:szCs w:val="21"/>
                <w:u w:val="single"/>
              </w:rPr>
            </w:pPr>
          </w:p>
        </w:tc>
        <w:tc>
          <w:tcPr>
            <w:tcW w:w="635" w:type="dxa"/>
            <w:tcBorders>
              <w:top w:val="single" w:color="000000" w:sz="2" w:space="0"/>
              <w:bottom w:val="single" w:color="auto" w:sz="12" w:space="0"/>
            </w:tcBorders>
            <w:noWrap w:val="0"/>
            <w:vAlign w:val="center"/>
          </w:tcPr>
          <w:p>
            <w:pPr>
              <w:jc w:val="center"/>
              <w:rPr>
                <w:i/>
                <w:iCs/>
                <w:color w:val="000000"/>
                <w:sz w:val="21"/>
                <w:szCs w:val="21"/>
                <w:u w:val="single"/>
              </w:rPr>
            </w:pPr>
          </w:p>
        </w:tc>
        <w:tc>
          <w:tcPr>
            <w:tcW w:w="658" w:type="dxa"/>
            <w:tcBorders>
              <w:top w:val="single" w:color="000000" w:sz="2" w:space="0"/>
              <w:bottom w:val="single" w:color="auto" w:sz="12" w:space="0"/>
            </w:tcBorders>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42</w:t>
            </w:r>
          </w:p>
        </w:tc>
        <w:tc>
          <w:tcPr>
            <w:tcW w:w="691" w:type="dxa"/>
            <w:tcBorders>
              <w:top w:val="single" w:color="000000" w:sz="2" w:space="0"/>
              <w:bottom w:val="single" w:color="auto" w:sz="12" w:space="0"/>
            </w:tcBorders>
            <w:noWrap w:val="0"/>
            <w:vAlign w:val="center"/>
          </w:tcPr>
          <w:p>
            <w:pPr>
              <w:jc w:val="center"/>
              <w:rPr>
                <w:i/>
                <w:iCs/>
                <w:color w:val="000000"/>
                <w:sz w:val="21"/>
                <w:szCs w:val="21"/>
                <w:u w:val="single"/>
              </w:rPr>
            </w:pPr>
            <w:r>
              <w:rPr>
                <w:rFonts w:hint="eastAsia"/>
                <w:i/>
                <w:iCs/>
                <w:color w:val="000000"/>
                <w:sz w:val="21"/>
                <w:szCs w:val="21"/>
                <w:u w:val="single"/>
              </w:rPr>
              <w:t>10</w:t>
            </w:r>
          </w:p>
        </w:tc>
        <w:tc>
          <w:tcPr>
            <w:tcW w:w="709" w:type="dxa"/>
            <w:tcBorders>
              <w:top w:val="single" w:color="000000" w:sz="2" w:space="0"/>
              <w:bottom w:val="single" w:color="auto" w:sz="12" w:space="0"/>
              <w:right w:val="single" w:color="000000" w:sz="2" w:space="0"/>
            </w:tcBorders>
            <w:noWrap w:val="0"/>
            <w:vAlign w:val="center"/>
          </w:tcPr>
          <w:p>
            <w:pPr>
              <w:jc w:val="center"/>
              <w:rPr>
                <w:rFonts w:hint="default" w:eastAsia="宋体"/>
                <w:i/>
                <w:iCs/>
                <w:color w:val="000000"/>
                <w:sz w:val="21"/>
                <w:szCs w:val="21"/>
                <w:u w:val="single"/>
                <w:lang w:val="en-US" w:eastAsia="zh-CN"/>
              </w:rPr>
            </w:pPr>
            <w:r>
              <w:rPr>
                <w:rFonts w:hint="eastAsia"/>
                <w:i/>
                <w:iCs/>
                <w:color w:val="000000"/>
                <w:sz w:val="21"/>
                <w:szCs w:val="21"/>
                <w:u w:val="single"/>
                <w:lang w:val="en-US" w:eastAsia="zh-CN"/>
              </w:rPr>
              <w:t>42</w:t>
            </w:r>
          </w:p>
        </w:tc>
        <w:tc>
          <w:tcPr>
            <w:tcW w:w="700" w:type="dxa"/>
            <w:tcBorders>
              <w:top w:val="single" w:color="000000" w:sz="2" w:space="0"/>
              <w:left w:val="single" w:color="000000" w:sz="2" w:space="0"/>
              <w:bottom w:val="single" w:color="auto" w:sz="12" w:space="0"/>
            </w:tcBorders>
            <w:noWrap w:val="0"/>
            <w:vAlign w:val="center"/>
          </w:tcPr>
          <w:p>
            <w:pPr>
              <w:jc w:val="center"/>
              <w:rPr>
                <w:rFonts w:hint="eastAsia"/>
                <w:i/>
                <w:iCs/>
                <w:color w:val="000000"/>
                <w:sz w:val="21"/>
                <w:szCs w:val="21"/>
                <w:u w:val="single"/>
              </w:rPr>
            </w:pPr>
            <w:r>
              <w:rPr>
                <w:rFonts w:hint="eastAsia"/>
                <w:i/>
                <w:iCs/>
                <w:color w:val="000000"/>
                <w:sz w:val="21"/>
                <w:szCs w:val="21"/>
                <w:u w:val="single"/>
              </w:rPr>
              <w:t>0</w:t>
            </w:r>
          </w:p>
        </w:tc>
        <w:tc>
          <w:tcPr>
            <w:tcW w:w="654" w:type="dxa"/>
            <w:vMerge w:val="continue"/>
            <w:tcBorders>
              <w:bottom w:val="single" w:color="auto" w:sz="12" w:space="0"/>
            </w:tcBorders>
            <w:noWrap w:val="0"/>
            <w:vAlign w:val="center"/>
          </w:tcPr>
          <w:p>
            <w:pPr>
              <w:jc w:val="center"/>
              <w:rPr>
                <w:i/>
                <w:iCs/>
                <w:color w:val="000000"/>
                <w:sz w:val="21"/>
                <w:szCs w:val="21"/>
                <w:u w:val="single"/>
              </w:rPr>
            </w:pPr>
          </w:p>
        </w:tc>
        <w:tc>
          <w:tcPr>
            <w:tcW w:w="702" w:type="dxa"/>
            <w:tcBorders>
              <w:bottom w:val="single" w:color="auto" w:sz="12" w:space="0"/>
            </w:tcBorders>
            <w:noWrap w:val="0"/>
            <w:vAlign w:val="center"/>
          </w:tcPr>
          <w:p>
            <w:pPr>
              <w:jc w:val="center"/>
              <w:rPr>
                <w:i/>
                <w:iCs/>
                <w:color w:val="000000"/>
                <w:sz w:val="21"/>
                <w:szCs w:val="21"/>
                <w:u w:val="single"/>
              </w:rPr>
            </w:pPr>
            <w:r>
              <w:rPr>
                <w:i/>
                <w:iCs/>
                <w:color w:val="000000"/>
                <w:sz w:val="21"/>
                <w:szCs w:val="21"/>
                <w:u w:val="single"/>
              </w:rPr>
              <w:t>达标</w:t>
            </w:r>
          </w:p>
        </w:tc>
      </w:tr>
    </w:tbl>
    <w:p>
      <w:pPr>
        <w:pStyle w:val="26"/>
        <w:spacing w:line="360" w:lineRule="auto"/>
        <w:rPr>
          <w:rFonts w:ascii="Times New Roman" w:hAnsi="Times New Roman"/>
          <w:i w:val="0"/>
          <w:iCs w:val="0"/>
        </w:rPr>
      </w:pPr>
      <w:r>
        <w:rPr>
          <w:rFonts w:hint="eastAsia" w:ascii="Times New Roman" w:hAnsi="Times New Roman"/>
          <w:i w:val="0"/>
          <w:iCs w:val="0"/>
        </w:rPr>
        <w:t>5</w:t>
      </w:r>
      <w:r>
        <w:rPr>
          <w:rFonts w:ascii="Times New Roman" w:hAnsi="Times New Roman"/>
          <w:i w:val="0"/>
          <w:iCs w:val="0"/>
        </w:rPr>
        <w:t>.2.4.5评价标准</w:t>
      </w:r>
    </w:p>
    <w:p>
      <w:pPr>
        <w:pStyle w:val="26"/>
        <w:spacing w:line="360" w:lineRule="auto"/>
        <w:rPr>
          <w:rFonts w:ascii="Times New Roman" w:hAnsi="Times New Roman"/>
          <w:i w:val="0"/>
          <w:iCs w:val="0"/>
        </w:rPr>
      </w:pPr>
      <w:r>
        <w:rPr>
          <w:rFonts w:ascii="Times New Roman" w:hAnsi="Times New Roman"/>
          <w:i w:val="0"/>
          <w:iCs w:val="0"/>
        </w:rPr>
        <w:t>采用《工业企业厂界环境噪声排放标准》（GB12348-2008）中</w:t>
      </w:r>
      <w:r>
        <w:rPr>
          <w:rFonts w:hint="eastAsia" w:ascii="Times New Roman" w:hAnsi="Times New Roman"/>
          <w:i w:val="0"/>
          <w:iCs w:val="0"/>
          <w:lang w:val="en-US" w:eastAsia="zh-CN"/>
        </w:rPr>
        <w:t>2</w:t>
      </w:r>
      <w:r>
        <w:rPr>
          <w:rFonts w:hint="eastAsia" w:ascii="Times New Roman" w:hAnsi="Times New Roman"/>
          <w:i w:val="0"/>
          <w:iCs w:val="0"/>
        </w:rPr>
        <w:t>类</w:t>
      </w:r>
      <w:r>
        <w:rPr>
          <w:rFonts w:ascii="Times New Roman" w:hAnsi="Times New Roman"/>
          <w:i w:val="0"/>
          <w:iCs w:val="0"/>
        </w:rPr>
        <w:t>标准</w:t>
      </w:r>
      <w:r>
        <w:rPr>
          <w:rFonts w:hint="eastAsia" w:ascii="Times New Roman" w:hAnsi="Times New Roman"/>
          <w:i w:val="0"/>
          <w:iCs w:val="0"/>
        </w:rPr>
        <w:t>及</w:t>
      </w:r>
      <w:r>
        <w:rPr>
          <w:rFonts w:ascii="Times New Roman" w:hAnsi="Times New Roman"/>
          <w:i w:val="0"/>
          <w:iCs w:val="0"/>
          <w:color w:val="000000"/>
        </w:rPr>
        <w:t>《声环境质量标准》GB3096-2008中</w:t>
      </w:r>
      <w:r>
        <w:rPr>
          <w:rFonts w:hint="eastAsia" w:ascii="Times New Roman" w:hAnsi="Times New Roman"/>
          <w:i w:val="0"/>
          <w:iCs w:val="0"/>
          <w:color w:val="000000"/>
          <w:lang w:val="en-US" w:eastAsia="zh-CN"/>
        </w:rPr>
        <w:t>2</w:t>
      </w:r>
      <w:r>
        <w:rPr>
          <w:rFonts w:ascii="Times New Roman" w:hAnsi="Times New Roman"/>
          <w:i w:val="0"/>
          <w:iCs w:val="0"/>
          <w:color w:val="000000"/>
        </w:rPr>
        <w:t>类标准</w:t>
      </w:r>
      <w:r>
        <w:rPr>
          <w:rFonts w:ascii="Times New Roman" w:hAnsi="Times New Roman"/>
          <w:i w:val="0"/>
          <w:iCs w:val="0"/>
        </w:rPr>
        <w:t>。</w:t>
      </w:r>
    </w:p>
    <w:p>
      <w:pPr>
        <w:pStyle w:val="26"/>
        <w:spacing w:line="360" w:lineRule="auto"/>
        <w:rPr>
          <w:rFonts w:ascii="Times New Roman" w:hAnsi="Times New Roman"/>
          <w:i w:val="0"/>
          <w:iCs w:val="0"/>
        </w:rPr>
      </w:pPr>
      <w:r>
        <w:rPr>
          <w:rFonts w:hint="eastAsia" w:ascii="Times New Roman" w:hAnsi="Times New Roman"/>
          <w:i w:val="0"/>
          <w:iCs w:val="0"/>
        </w:rPr>
        <w:t>5</w:t>
      </w:r>
      <w:r>
        <w:rPr>
          <w:rFonts w:ascii="Times New Roman" w:hAnsi="Times New Roman"/>
          <w:i w:val="0"/>
          <w:iCs w:val="0"/>
        </w:rPr>
        <w:t>.2.4.6评价结果</w:t>
      </w:r>
    </w:p>
    <w:p>
      <w:pPr>
        <w:spacing w:line="360" w:lineRule="auto"/>
        <w:ind w:firstLine="480" w:firstLineChars="200"/>
        <w:rPr>
          <w:rFonts w:hint="eastAsia"/>
          <w:i w:val="0"/>
          <w:iCs w:val="0"/>
        </w:rPr>
      </w:pPr>
      <w:r>
        <w:rPr>
          <w:i w:val="0"/>
          <w:iCs w:val="0"/>
        </w:rPr>
        <w:t>由表</w:t>
      </w:r>
      <w:r>
        <w:rPr>
          <w:rFonts w:hint="eastAsia"/>
          <w:i w:val="0"/>
          <w:iCs w:val="0"/>
        </w:rPr>
        <w:t>5</w:t>
      </w:r>
      <w:r>
        <w:rPr>
          <w:i w:val="0"/>
          <w:iCs w:val="0"/>
        </w:rPr>
        <w:t>-</w:t>
      </w:r>
      <w:r>
        <w:rPr>
          <w:rFonts w:hint="eastAsia"/>
          <w:i w:val="0"/>
          <w:iCs w:val="0"/>
          <w:lang w:val="en-US" w:eastAsia="zh-CN"/>
        </w:rPr>
        <w:t>22</w:t>
      </w:r>
      <w:r>
        <w:rPr>
          <w:i w:val="0"/>
          <w:iCs w:val="0"/>
        </w:rPr>
        <w:t>可以看出，</w:t>
      </w:r>
      <w:r>
        <w:rPr>
          <w:rFonts w:hint="eastAsia"/>
          <w:i w:val="0"/>
          <w:iCs w:val="0"/>
        </w:rPr>
        <w:t>本</w:t>
      </w:r>
      <w:r>
        <w:rPr>
          <w:i w:val="0"/>
          <w:iCs w:val="0"/>
        </w:rPr>
        <w:t>项目投产后，厂界</w:t>
      </w:r>
      <w:r>
        <w:rPr>
          <w:rFonts w:hint="eastAsia"/>
          <w:i w:val="0"/>
          <w:iCs w:val="0"/>
        </w:rPr>
        <w:t>及敏感点处</w:t>
      </w:r>
      <w:r>
        <w:rPr>
          <w:i w:val="0"/>
          <w:iCs w:val="0"/>
        </w:rPr>
        <w:t>预测点噪声预测值昼间</w:t>
      </w:r>
      <w:r>
        <w:rPr>
          <w:rFonts w:hint="eastAsia"/>
          <w:i w:val="0"/>
          <w:iCs w:val="0"/>
        </w:rPr>
        <w:t>、夜间</w:t>
      </w:r>
      <w:r>
        <w:rPr>
          <w:i w:val="0"/>
          <w:iCs w:val="0"/>
        </w:rPr>
        <w:t>噪声值</w:t>
      </w:r>
      <w:r>
        <w:rPr>
          <w:rFonts w:hint="eastAsia"/>
          <w:i w:val="0"/>
          <w:iCs w:val="0"/>
        </w:rPr>
        <w:t>变化较小，厂界四周均满足</w:t>
      </w:r>
      <w:r>
        <w:rPr>
          <w:i w:val="0"/>
          <w:iCs w:val="0"/>
        </w:rPr>
        <w:t>《工业企业厂界环境噪声排放标准》（GB12348-2008）中</w:t>
      </w:r>
      <w:r>
        <w:rPr>
          <w:rFonts w:hint="eastAsia"/>
          <w:i w:val="0"/>
          <w:iCs w:val="0"/>
          <w:lang w:val="en-US" w:eastAsia="zh-CN"/>
        </w:rPr>
        <w:t>2</w:t>
      </w:r>
      <w:r>
        <w:rPr>
          <w:rFonts w:hint="eastAsia"/>
          <w:i w:val="0"/>
          <w:iCs w:val="0"/>
        </w:rPr>
        <w:t>类</w:t>
      </w:r>
      <w:r>
        <w:rPr>
          <w:i w:val="0"/>
          <w:iCs w:val="0"/>
        </w:rPr>
        <w:t>标准，</w:t>
      </w:r>
      <w:r>
        <w:rPr>
          <w:rFonts w:hint="eastAsia"/>
          <w:i w:val="0"/>
          <w:iCs w:val="0"/>
        </w:rPr>
        <w:t>周围敏感点满足</w:t>
      </w:r>
      <w:r>
        <w:rPr>
          <w:i w:val="0"/>
          <w:iCs w:val="0"/>
          <w:color w:val="000000"/>
        </w:rPr>
        <w:t>《声环境质量标准》GB3096-2008中</w:t>
      </w:r>
      <w:r>
        <w:rPr>
          <w:rFonts w:hint="eastAsia"/>
          <w:i w:val="0"/>
          <w:iCs w:val="0"/>
          <w:color w:val="000000"/>
          <w:lang w:val="en-US" w:eastAsia="zh-CN"/>
        </w:rPr>
        <w:t>2</w:t>
      </w:r>
      <w:r>
        <w:rPr>
          <w:i w:val="0"/>
          <w:iCs w:val="0"/>
          <w:color w:val="000000"/>
        </w:rPr>
        <w:t>类标准</w:t>
      </w:r>
      <w:r>
        <w:rPr>
          <w:rFonts w:hint="eastAsia"/>
          <w:i w:val="0"/>
          <w:iCs w:val="0"/>
        </w:rPr>
        <w:t>，噪声影响可接受。</w:t>
      </w:r>
    </w:p>
    <w:p>
      <w:pPr>
        <w:spacing w:line="360" w:lineRule="auto"/>
        <w:ind w:firstLine="480" w:firstLineChars="200"/>
        <w:rPr>
          <w:i w:val="0"/>
          <w:iCs w:val="0"/>
        </w:rPr>
      </w:pPr>
      <w:r>
        <w:rPr>
          <w:rFonts w:hint="eastAsia"/>
          <w:i w:val="0"/>
          <w:iCs w:val="0"/>
        </w:rPr>
        <w:t>5</w:t>
      </w:r>
      <w:r>
        <w:rPr>
          <w:i w:val="0"/>
          <w:iCs w:val="0"/>
        </w:rPr>
        <w:t>.2.5固体废物影响预测</w:t>
      </w:r>
    </w:p>
    <w:p>
      <w:pPr>
        <w:spacing w:line="360" w:lineRule="auto"/>
        <w:ind w:firstLine="480" w:firstLineChars="200"/>
        <w:rPr>
          <w:i w:val="0"/>
          <w:iCs w:val="0"/>
        </w:rPr>
      </w:pPr>
      <w:r>
        <w:rPr>
          <w:rFonts w:hint="eastAsia"/>
          <w:i w:val="0"/>
          <w:iCs w:val="0"/>
        </w:rPr>
        <w:t>本项目产生的固体废物有生活垃圾、</w:t>
      </w:r>
      <w:r>
        <w:rPr>
          <w:rFonts w:hint="eastAsia" w:hAnsi="Times New Roman"/>
          <w:i w:val="0"/>
          <w:iCs w:val="0"/>
          <w:color w:val="000000"/>
          <w:lang w:eastAsia="zh-CN"/>
        </w:rPr>
        <w:t>收集到的粉尘、</w:t>
      </w:r>
      <w:r>
        <w:rPr>
          <w:rFonts w:hint="eastAsia"/>
          <w:i w:val="0"/>
          <w:iCs w:val="0"/>
        </w:rPr>
        <w:t>废包装材料、废滤材（初中高效过滤器、过滤芯）</w:t>
      </w:r>
      <w:r>
        <w:rPr>
          <w:rFonts w:hint="eastAsia"/>
          <w:i w:val="0"/>
          <w:iCs w:val="0"/>
          <w:lang w:eastAsia="zh-CN"/>
        </w:rPr>
        <w:t>、</w:t>
      </w:r>
      <w:r>
        <w:rPr>
          <w:rFonts w:hint="eastAsia"/>
          <w:i w:val="0"/>
          <w:iCs w:val="0"/>
        </w:rPr>
        <w:t>污水站污泥、废活性炭</w:t>
      </w:r>
      <w:r>
        <w:rPr>
          <w:rFonts w:hint="eastAsia"/>
          <w:i w:val="0"/>
          <w:iCs w:val="0"/>
          <w:lang w:eastAsia="zh-CN"/>
        </w:rPr>
        <w:t>、实验废液及废包装瓶</w:t>
      </w:r>
      <w:r>
        <w:rPr>
          <w:rFonts w:hint="eastAsia"/>
          <w:i w:val="0"/>
          <w:iCs w:val="0"/>
        </w:rPr>
        <w:t>，其中生活垃圾委托环卫部门处理；</w:t>
      </w:r>
      <w:r>
        <w:rPr>
          <w:rFonts w:hint="eastAsia" w:hAnsi="Times New Roman"/>
          <w:i w:val="0"/>
          <w:iCs w:val="0"/>
          <w:color w:val="000000"/>
          <w:lang w:eastAsia="zh-CN"/>
        </w:rPr>
        <w:t>收集到的粉尘</w:t>
      </w:r>
      <w:r>
        <w:rPr>
          <w:rFonts w:hint="eastAsia"/>
          <w:i w:val="0"/>
          <w:iCs w:val="0"/>
          <w:lang w:eastAsia="zh-CN"/>
        </w:rPr>
        <w:t>、</w:t>
      </w:r>
      <w:r>
        <w:rPr>
          <w:rFonts w:hint="eastAsia"/>
          <w:i w:val="0"/>
          <w:iCs w:val="0"/>
        </w:rPr>
        <w:t>废包装材料</w:t>
      </w:r>
      <w:r>
        <w:rPr>
          <w:rFonts w:hint="eastAsia"/>
          <w:i w:val="0"/>
          <w:iCs w:val="0"/>
          <w:lang w:eastAsia="zh-CN"/>
        </w:rPr>
        <w:t>、废滤材（初中高效过滤器、过滤芯）收集后外卖</w:t>
      </w:r>
      <w:r>
        <w:rPr>
          <w:rFonts w:hint="eastAsia"/>
          <w:i w:val="0"/>
          <w:iCs w:val="0"/>
        </w:rPr>
        <w:t>，</w:t>
      </w:r>
      <w:r>
        <w:rPr>
          <w:rFonts w:hint="eastAsia"/>
          <w:i w:val="0"/>
          <w:iCs w:val="0"/>
          <w:lang w:eastAsia="zh-CN"/>
        </w:rPr>
        <w:t>污</w:t>
      </w:r>
      <w:r>
        <w:rPr>
          <w:rFonts w:hint="eastAsia"/>
          <w:i w:val="0"/>
          <w:iCs w:val="0"/>
        </w:rPr>
        <w:t>水站污泥送至白山绿能新能源有限公司处置</w:t>
      </w:r>
      <w:r>
        <w:rPr>
          <w:rFonts w:hint="eastAsia"/>
          <w:i w:val="0"/>
          <w:iCs w:val="0"/>
          <w:lang w:eastAsia="zh-CN"/>
        </w:rPr>
        <w:t>，</w:t>
      </w:r>
      <w:r>
        <w:rPr>
          <w:rFonts w:hint="eastAsia"/>
          <w:i w:val="0"/>
          <w:iCs w:val="0"/>
        </w:rPr>
        <w:t>废活性炭</w:t>
      </w:r>
      <w:r>
        <w:rPr>
          <w:rFonts w:hint="eastAsia"/>
          <w:i w:val="0"/>
          <w:iCs w:val="0"/>
          <w:lang w:eastAsia="zh-CN"/>
        </w:rPr>
        <w:t>、实验废液及废包装瓶</w:t>
      </w:r>
      <w:r>
        <w:rPr>
          <w:rFonts w:hint="eastAsia"/>
          <w:i w:val="0"/>
          <w:iCs w:val="0"/>
        </w:rPr>
        <w:t>委托有资质单位处理。</w:t>
      </w:r>
      <w:r>
        <w:rPr>
          <w:i w:val="0"/>
          <w:iCs w:val="0"/>
        </w:rPr>
        <w:t>项目主要固体废物产生量，见表</w:t>
      </w:r>
      <w:r>
        <w:rPr>
          <w:rFonts w:hint="eastAsia"/>
          <w:i w:val="0"/>
          <w:iCs w:val="0"/>
        </w:rPr>
        <w:t>5</w:t>
      </w:r>
      <w:r>
        <w:rPr>
          <w:i w:val="0"/>
          <w:iCs w:val="0"/>
        </w:rPr>
        <w:t>-</w:t>
      </w:r>
      <w:r>
        <w:rPr>
          <w:rFonts w:hint="eastAsia"/>
          <w:i w:val="0"/>
          <w:iCs w:val="0"/>
        </w:rPr>
        <w:t>2</w:t>
      </w:r>
      <w:r>
        <w:rPr>
          <w:rFonts w:hint="eastAsia"/>
          <w:i w:val="0"/>
          <w:iCs w:val="0"/>
          <w:lang w:val="en-US" w:eastAsia="zh-CN"/>
        </w:rPr>
        <w:t>3</w:t>
      </w:r>
      <w:r>
        <w:rPr>
          <w:i w:val="0"/>
          <w:iCs w:val="0"/>
        </w:rPr>
        <w:t>。</w:t>
      </w:r>
    </w:p>
    <w:p>
      <w:pPr>
        <w:ind w:firstLine="482" w:firstLineChars="200"/>
        <w:jc w:val="center"/>
        <w:rPr>
          <w:rFonts w:hint="eastAsia"/>
          <w:b/>
          <w:i w:val="0"/>
          <w:iCs w:val="0"/>
          <w:color w:val="000000"/>
        </w:rPr>
      </w:pPr>
      <w:r>
        <w:rPr>
          <w:rFonts w:hint="eastAsia"/>
          <w:b/>
          <w:i w:val="0"/>
          <w:iCs w:val="0"/>
          <w:color w:val="000000"/>
        </w:rPr>
        <w:t>表5-2</w:t>
      </w:r>
      <w:r>
        <w:rPr>
          <w:rFonts w:hint="eastAsia"/>
          <w:b/>
          <w:i w:val="0"/>
          <w:iCs w:val="0"/>
          <w:color w:val="000000"/>
          <w:lang w:val="en-US" w:eastAsia="zh-CN"/>
        </w:rPr>
        <w:t>3</w:t>
      </w:r>
      <w:r>
        <w:rPr>
          <w:rFonts w:hint="eastAsia"/>
          <w:b/>
          <w:i w:val="0"/>
          <w:iCs w:val="0"/>
          <w:color w:val="000000"/>
        </w:rPr>
        <w:t>项目固体废物产生情况</w:t>
      </w:r>
    </w:p>
    <w:tbl>
      <w:tblPr>
        <w:tblStyle w:val="58"/>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51"/>
        <w:gridCol w:w="1882"/>
        <w:gridCol w:w="1316"/>
        <w:gridCol w:w="1327"/>
        <w:gridCol w:w="25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3" w:type="pct"/>
            <w:noWrap w:val="0"/>
            <w:vAlign w:val="center"/>
          </w:tcPr>
          <w:p>
            <w:pPr>
              <w:jc w:val="center"/>
              <w:rPr>
                <w:rFonts w:hint="eastAsia"/>
                <w:i w:val="0"/>
                <w:iCs w:val="0"/>
                <w:sz w:val="21"/>
                <w:szCs w:val="21"/>
              </w:rPr>
            </w:pPr>
            <w:r>
              <w:rPr>
                <w:rFonts w:hint="eastAsia"/>
                <w:i w:val="0"/>
                <w:iCs w:val="0"/>
                <w:sz w:val="21"/>
                <w:szCs w:val="21"/>
              </w:rPr>
              <w:t>种类</w:t>
            </w:r>
          </w:p>
        </w:tc>
        <w:tc>
          <w:tcPr>
            <w:tcW w:w="1014" w:type="pct"/>
            <w:noWrap w:val="0"/>
            <w:vAlign w:val="center"/>
          </w:tcPr>
          <w:p>
            <w:pPr>
              <w:jc w:val="center"/>
              <w:rPr>
                <w:rFonts w:hint="eastAsia"/>
                <w:i w:val="0"/>
                <w:iCs w:val="0"/>
                <w:sz w:val="21"/>
                <w:szCs w:val="21"/>
              </w:rPr>
            </w:pPr>
            <w:r>
              <w:rPr>
                <w:rFonts w:hint="eastAsia"/>
                <w:i w:val="0"/>
                <w:iCs w:val="0"/>
                <w:sz w:val="21"/>
                <w:szCs w:val="21"/>
              </w:rPr>
              <w:t>类别</w:t>
            </w:r>
          </w:p>
        </w:tc>
        <w:tc>
          <w:tcPr>
            <w:tcW w:w="709" w:type="pct"/>
            <w:noWrap w:val="0"/>
            <w:vAlign w:val="center"/>
          </w:tcPr>
          <w:p>
            <w:pPr>
              <w:jc w:val="center"/>
              <w:rPr>
                <w:rFonts w:hint="eastAsia"/>
                <w:i w:val="0"/>
                <w:iCs w:val="0"/>
                <w:sz w:val="21"/>
                <w:szCs w:val="21"/>
              </w:rPr>
            </w:pPr>
            <w:r>
              <w:rPr>
                <w:rFonts w:hint="eastAsia"/>
                <w:i w:val="0"/>
                <w:iCs w:val="0"/>
                <w:sz w:val="21"/>
                <w:szCs w:val="21"/>
              </w:rPr>
              <w:t>产生量（t/a）</w:t>
            </w:r>
          </w:p>
        </w:tc>
        <w:tc>
          <w:tcPr>
            <w:tcW w:w="715" w:type="pct"/>
            <w:noWrap w:val="0"/>
            <w:vAlign w:val="center"/>
          </w:tcPr>
          <w:p>
            <w:pPr>
              <w:jc w:val="center"/>
              <w:rPr>
                <w:rFonts w:hint="eastAsia"/>
                <w:i w:val="0"/>
                <w:iCs w:val="0"/>
                <w:sz w:val="21"/>
                <w:szCs w:val="21"/>
              </w:rPr>
            </w:pPr>
            <w:r>
              <w:rPr>
                <w:rFonts w:hint="eastAsia"/>
                <w:i w:val="0"/>
                <w:iCs w:val="0"/>
                <w:sz w:val="21"/>
                <w:szCs w:val="21"/>
              </w:rPr>
              <w:t>排放量（t/a）</w:t>
            </w:r>
          </w:p>
        </w:tc>
        <w:tc>
          <w:tcPr>
            <w:tcW w:w="1347" w:type="pct"/>
            <w:noWrap w:val="0"/>
            <w:vAlign w:val="center"/>
          </w:tcPr>
          <w:p>
            <w:pPr>
              <w:jc w:val="center"/>
              <w:rPr>
                <w:rFonts w:hint="eastAsia"/>
                <w:i w:val="0"/>
                <w:iCs w:val="0"/>
                <w:sz w:val="21"/>
                <w:szCs w:val="21"/>
              </w:rPr>
            </w:pPr>
            <w:r>
              <w:rPr>
                <w:rFonts w:hint="eastAsia"/>
                <w:i w:val="0"/>
                <w:iCs w:val="0"/>
                <w:sz w:val="21"/>
                <w:szCs w:val="21"/>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2" w:hRule="atLeast"/>
          <w:jc w:val="center"/>
        </w:trPr>
        <w:tc>
          <w:tcPr>
            <w:tcW w:w="1213" w:type="pct"/>
            <w:noWrap w:val="0"/>
            <w:vAlign w:val="center"/>
          </w:tcPr>
          <w:p>
            <w:pPr>
              <w:jc w:val="center"/>
              <w:rPr>
                <w:rFonts w:hint="eastAsia"/>
                <w:i w:val="0"/>
                <w:iCs w:val="0"/>
                <w:sz w:val="21"/>
                <w:szCs w:val="21"/>
              </w:rPr>
            </w:pPr>
            <w:r>
              <w:rPr>
                <w:rFonts w:hint="eastAsia"/>
                <w:i w:val="0"/>
                <w:iCs w:val="0"/>
                <w:sz w:val="21"/>
                <w:szCs w:val="21"/>
              </w:rPr>
              <w:t>生活垃圾</w:t>
            </w:r>
          </w:p>
        </w:tc>
        <w:tc>
          <w:tcPr>
            <w:tcW w:w="1014" w:type="pct"/>
            <w:noWrap w:val="0"/>
            <w:vAlign w:val="center"/>
          </w:tcPr>
          <w:p>
            <w:pPr>
              <w:jc w:val="center"/>
              <w:rPr>
                <w:rFonts w:hint="eastAsia"/>
                <w:i w:val="0"/>
                <w:iCs w:val="0"/>
                <w:sz w:val="21"/>
                <w:szCs w:val="21"/>
              </w:rPr>
            </w:pPr>
            <w:r>
              <w:rPr>
                <w:rFonts w:hint="eastAsia"/>
                <w:i w:val="0"/>
                <w:iCs w:val="0"/>
                <w:sz w:val="21"/>
                <w:szCs w:val="21"/>
              </w:rPr>
              <w:t>一般固体废物</w:t>
            </w:r>
          </w:p>
          <w:p>
            <w:pPr>
              <w:jc w:val="center"/>
              <w:rPr>
                <w:i w:val="0"/>
                <w:iCs w:val="0"/>
                <w:sz w:val="21"/>
                <w:szCs w:val="21"/>
              </w:rPr>
            </w:pPr>
            <w:r>
              <w:rPr>
                <w:i w:val="0"/>
                <w:iCs w:val="0"/>
                <w:sz w:val="21"/>
                <w:szCs w:val="21"/>
              </w:rPr>
              <w:t>900-999-99</w:t>
            </w:r>
          </w:p>
        </w:tc>
        <w:tc>
          <w:tcPr>
            <w:tcW w:w="709" w:type="pct"/>
            <w:noWrap w:val="0"/>
            <w:vAlign w:val="center"/>
          </w:tcPr>
          <w:p>
            <w:pPr>
              <w:jc w:val="center"/>
              <w:rPr>
                <w:i w:val="0"/>
                <w:iCs w:val="0"/>
                <w:sz w:val="21"/>
                <w:szCs w:val="21"/>
              </w:rPr>
            </w:pPr>
            <w:r>
              <w:rPr>
                <w:rFonts w:hint="eastAsia"/>
                <w:i w:val="0"/>
                <w:iCs w:val="0"/>
                <w:sz w:val="21"/>
                <w:szCs w:val="21"/>
              </w:rPr>
              <w:t>12</w:t>
            </w:r>
          </w:p>
        </w:tc>
        <w:tc>
          <w:tcPr>
            <w:tcW w:w="715" w:type="pct"/>
            <w:noWrap w:val="0"/>
            <w:vAlign w:val="center"/>
          </w:tcPr>
          <w:p>
            <w:pPr>
              <w:jc w:val="center"/>
              <w:rPr>
                <w:i w:val="0"/>
                <w:iCs w:val="0"/>
                <w:sz w:val="21"/>
                <w:szCs w:val="21"/>
              </w:rPr>
            </w:pPr>
            <w:r>
              <w:rPr>
                <w:rFonts w:hint="eastAsia"/>
                <w:i w:val="0"/>
                <w:iCs w:val="0"/>
                <w:sz w:val="21"/>
                <w:szCs w:val="21"/>
              </w:rPr>
              <w:t>12</w:t>
            </w:r>
          </w:p>
        </w:tc>
        <w:tc>
          <w:tcPr>
            <w:tcW w:w="1347" w:type="pct"/>
            <w:noWrap w:val="0"/>
            <w:vAlign w:val="center"/>
          </w:tcPr>
          <w:p>
            <w:pPr>
              <w:jc w:val="center"/>
              <w:rPr>
                <w:rFonts w:hint="eastAsia"/>
                <w:i w:val="0"/>
                <w:iCs w:val="0"/>
                <w:sz w:val="21"/>
                <w:szCs w:val="21"/>
              </w:rPr>
            </w:pPr>
            <w:r>
              <w:rPr>
                <w:rFonts w:hint="eastAsia"/>
                <w:i w:val="0"/>
                <w:iCs w:val="0"/>
                <w:sz w:val="21"/>
                <w:szCs w:val="21"/>
              </w:rPr>
              <w:t>暂存防渗垃圾桶，由环卫部门定期清运。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2" w:hRule="atLeast"/>
          <w:jc w:val="center"/>
        </w:trPr>
        <w:tc>
          <w:tcPr>
            <w:tcW w:w="1213" w:type="pct"/>
            <w:noWrap w:val="0"/>
            <w:vAlign w:val="center"/>
          </w:tcPr>
          <w:p>
            <w:pPr>
              <w:jc w:val="center"/>
              <w:rPr>
                <w:rFonts w:hint="eastAsia"/>
                <w:i w:val="0"/>
                <w:iCs w:val="0"/>
                <w:sz w:val="21"/>
                <w:szCs w:val="21"/>
              </w:rPr>
            </w:pPr>
            <w:r>
              <w:rPr>
                <w:rFonts w:hint="eastAsia"/>
                <w:i w:val="0"/>
                <w:iCs w:val="0"/>
                <w:sz w:val="21"/>
                <w:szCs w:val="21"/>
              </w:rPr>
              <w:t>污泥</w:t>
            </w:r>
          </w:p>
        </w:tc>
        <w:tc>
          <w:tcPr>
            <w:tcW w:w="1014" w:type="pct"/>
            <w:noWrap w:val="0"/>
            <w:vAlign w:val="center"/>
          </w:tcPr>
          <w:p>
            <w:pPr>
              <w:jc w:val="center"/>
              <w:rPr>
                <w:i w:val="0"/>
                <w:iCs w:val="0"/>
                <w:sz w:val="21"/>
                <w:szCs w:val="21"/>
              </w:rPr>
            </w:pPr>
            <w:r>
              <w:rPr>
                <w:i w:val="0"/>
                <w:iCs w:val="0"/>
                <w:sz w:val="21"/>
                <w:szCs w:val="21"/>
              </w:rPr>
              <w:t>一般固体废物</w:t>
            </w:r>
          </w:p>
          <w:p>
            <w:pPr>
              <w:jc w:val="center"/>
              <w:rPr>
                <w:i w:val="0"/>
                <w:iCs w:val="0"/>
                <w:sz w:val="21"/>
                <w:szCs w:val="21"/>
              </w:rPr>
            </w:pPr>
            <w:r>
              <w:rPr>
                <w:i w:val="0"/>
                <w:iCs w:val="0"/>
                <w:sz w:val="21"/>
                <w:szCs w:val="21"/>
              </w:rPr>
              <w:t>900-999-61</w:t>
            </w:r>
          </w:p>
        </w:tc>
        <w:tc>
          <w:tcPr>
            <w:tcW w:w="709" w:type="pct"/>
            <w:noWrap w:val="0"/>
            <w:vAlign w:val="center"/>
          </w:tcPr>
          <w:p>
            <w:pPr>
              <w:jc w:val="center"/>
              <w:rPr>
                <w:i w:val="0"/>
                <w:iCs w:val="0"/>
                <w:sz w:val="21"/>
                <w:szCs w:val="21"/>
              </w:rPr>
            </w:pPr>
            <w:r>
              <w:rPr>
                <w:rFonts w:hint="eastAsia"/>
                <w:i w:val="0"/>
                <w:iCs w:val="0"/>
                <w:sz w:val="21"/>
                <w:szCs w:val="21"/>
              </w:rPr>
              <w:t>316</w:t>
            </w:r>
          </w:p>
        </w:tc>
        <w:tc>
          <w:tcPr>
            <w:tcW w:w="715" w:type="pct"/>
            <w:noWrap w:val="0"/>
            <w:vAlign w:val="center"/>
          </w:tcPr>
          <w:p>
            <w:pPr>
              <w:jc w:val="center"/>
              <w:rPr>
                <w:i w:val="0"/>
                <w:iCs w:val="0"/>
                <w:sz w:val="21"/>
                <w:szCs w:val="21"/>
              </w:rPr>
            </w:pPr>
            <w:r>
              <w:rPr>
                <w:rFonts w:hint="eastAsia"/>
                <w:i w:val="0"/>
                <w:iCs w:val="0"/>
                <w:sz w:val="21"/>
                <w:szCs w:val="21"/>
              </w:rPr>
              <w:t>316</w:t>
            </w:r>
          </w:p>
        </w:tc>
        <w:tc>
          <w:tcPr>
            <w:tcW w:w="1347" w:type="pct"/>
            <w:noWrap w:val="0"/>
            <w:vAlign w:val="center"/>
          </w:tcPr>
          <w:p>
            <w:pPr>
              <w:jc w:val="center"/>
              <w:rPr>
                <w:rFonts w:hint="eastAsia"/>
                <w:i w:val="0"/>
                <w:iCs w:val="0"/>
                <w:sz w:val="21"/>
                <w:szCs w:val="21"/>
              </w:rPr>
            </w:pPr>
            <w:r>
              <w:rPr>
                <w:rFonts w:hint="eastAsia"/>
                <w:i w:val="0"/>
                <w:iCs w:val="0"/>
                <w:sz w:val="21"/>
                <w:szCs w:val="21"/>
              </w:rPr>
              <w:t>经脱水后，送至白山绿能新能源有限公司处置。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4" w:hRule="atLeast"/>
          <w:jc w:val="center"/>
        </w:trPr>
        <w:tc>
          <w:tcPr>
            <w:tcW w:w="1213" w:type="pct"/>
            <w:noWrap w:val="0"/>
            <w:vAlign w:val="center"/>
          </w:tcPr>
          <w:p>
            <w:pPr>
              <w:jc w:val="center"/>
              <w:rPr>
                <w:rFonts w:hint="eastAsia"/>
                <w:i w:val="0"/>
                <w:iCs w:val="0"/>
                <w:sz w:val="21"/>
                <w:szCs w:val="21"/>
              </w:rPr>
            </w:pPr>
            <w:r>
              <w:rPr>
                <w:rFonts w:hint="eastAsia"/>
                <w:i w:val="0"/>
                <w:iCs w:val="0"/>
                <w:sz w:val="21"/>
                <w:szCs w:val="21"/>
                <w:lang w:eastAsia="zh-CN"/>
              </w:rPr>
              <w:t>收集到的粉尘</w:t>
            </w:r>
          </w:p>
        </w:tc>
        <w:tc>
          <w:tcPr>
            <w:tcW w:w="1014" w:type="pct"/>
            <w:noWrap w:val="0"/>
            <w:vAlign w:val="center"/>
          </w:tcPr>
          <w:p>
            <w:pPr>
              <w:jc w:val="center"/>
              <w:rPr>
                <w:i w:val="0"/>
                <w:iCs w:val="0"/>
                <w:sz w:val="21"/>
                <w:szCs w:val="21"/>
              </w:rPr>
            </w:pPr>
            <w:r>
              <w:rPr>
                <w:i w:val="0"/>
                <w:iCs w:val="0"/>
                <w:sz w:val="21"/>
                <w:szCs w:val="21"/>
              </w:rPr>
              <w:t>一般固体废物</w:t>
            </w:r>
          </w:p>
          <w:p>
            <w:pPr>
              <w:jc w:val="center"/>
              <w:rPr>
                <w:rFonts w:hint="default" w:eastAsia="宋体"/>
                <w:i w:val="0"/>
                <w:iCs w:val="0"/>
                <w:sz w:val="21"/>
                <w:szCs w:val="21"/>
                <w:lang w:val="en-US" w:eastAsia="zh-CN"/>
              </w:rPr>
            </w:pPr>
            <w:r>
              <w:rPr>
                <w:rFonts w:hint="eastAsia"/>
                <w:i w:val="0"/>
                <w:iCs w:val="0"/>
                <w:sz w:val="21"/>
                <w:szCs w:val="21"/>
                <w:lang w:val="en-US" w:eastAsia="zh-CN"/>
              </w:rPr>
              <w:t>900-999-66</w:t>
            </w:r>
          </w:p>
        </w:tc>
        <w:tc>
          <w:tcPr>
            <w:tcW w:w="709" w:type="pct"/>
            <w:noWrap w:val="0"/>
            <w:vAlign w:val="center"/>
          </w:tcPr>
          <w:p>
            <w:pPr>
              <w:jc w:val="center"/>
              <w:rPr>
                <w:rFonts w:hint="default" w:eastAsia="宋体"/>
                <w:i w:val="0"/>
                <w:iCs w:val="0"/>
                <w:sz w:val="21"/>
                <w:szCs w:val="21"/>
                <w:lang w:val="en-US" w:eastAsia="zh-CN"/>
              </w:rPr>
            </w:pPr>
            <w:r>
              <w:rPr>
                <w:rFonts w:hint="eastAsia"/>
                <w:i w:val="0"/>
                <w:iCs w:val="0"/>
                <w:sz w:val="21"/>
                <w:szCs w:val="21"/>
                <w:lang w:val="en-US" w:eastAsia="zh-CN"/>
              </w:rPr>
              <w:t>220.681</w:t>
            </w:r>
          </w:p>
        </w:tc>
        <w:tc>
          <w:tcPr>
            <w:tcW w:w="715" w:type="pct"/>
            <w:noWrap w:val="0"/>
            <w:vAlign w:val="center"/>
          </w:tcPr>
          <w:p>
            <w:pPr>
              <w:jc w:val="center"/>
              <w:rPr>
                <w:rFonts w:hint="eastAsia"/>
                <w:i w:val="0"/>
                <w:iCs w:val="0"/>
                <w:sz w:val="21"/>
                <w:szCs w:val="21"/>
              </w:rPr>
            </w:pPr>
            <w:r>
              <w:rPr>
                <w:rFonts w:hint="eastAsia"/>
                <w:i w:val="0"/>
                <w:iCs w:val="0"/>
                <w:sz w:val="21"/>
                <w:szCs w:val="21"/>
                <w:lang w:val="en-US" w:eastAsia="zh-CN"/>
              </w:rPr>
              <w:t>220.681</w:t>
            </w:r>
          </w:p>
        </w:tc>
        <w:tc>
          <w:tcPr>
            <w:tcW w:w="1347" w:type="pct"/>
            <w:noWrap w:val="0"/>
            <w:vAlign w:val="center"/>
          </w:tcPr>
          <w:p>
            <w:pPr>
              <w:jc w:val="center"/>
              <w:rPr>
                <w:rFonts w:hint="eastAsia"/>
                <w:i w:val="0"/>
                <w:iCs w:val="0"/>
                <w:sz w:val="21"/>
                <w:szCs w:val="21"/>
              </w:rPr>
            </w:pPr>
            <w:r>
              <w:rPr>
                <w:rFonts w:hint="eastAsia"/>
                <w:i w:val="0"/>
                <w:iCs w:val="0"/>
                <w:sz w:val="21"/>
                <w:szCs w:val="21"/>
              </w:rPr>
              <w:t>外卖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3" w:type="pct"/>
            <w:noWrap w:val="0"/>
            <w:vAlign w:val="center"/>
          </w:tcPr>
          <w:p>
            <w:pPr>
              <w:jc w:val="center"/>
              <w:rPr>
                <w:rFonts w:hint="eastAsia"/>
                <w:i w:val="0"/>
                <w:iCs w:val="0"/>
                <w:sz w:val="21"/>
                <w:szCs w:val="21"/>
              </w:rPr>
            </w:pPr>
            <w:r>
              <w:rPr>
                <w:rFonts w:hint="eastAsia"/>
                <w:i w:val="0"/>
                <w:iCs w:val="0"/>
                <w:sz w:val="21"/>
                <w:szCs w:val="21"/>
              </w:rPr>
              <w:t>废包装材料</w:t>
            </w:r>
          </w:p>
        </w:tc>
        <w:tc>
          <w:tcPr>
            <w:tcW w:w="1014" w:type="pct"/>
            <w:noWrap w:val="0"/>
            <w:vAlign w:val="center"/>
          </w:tcPr>
          <w:p>
            <w:pPr>
              <w:jc w:val="center"/>
              <w:rPr>
                <w:i w:val="0"/>
                <w:iCs w:val="0"/>
                <w:sz w:val="21"/>
                <w:szCs w:val="21"/>
              </w:rPr>
            </w:pPr>
            <w:r>
              <w:rPr>
                <w:i w:val="0"/>
                <w:iCs w:val="0"/>
                <w:sz w:val="21"/>
                <w:szCs w:val="21"/>
              </w:rPr>
              <w:t>一般固体废物</w:t>
            </w:r>
            <w:r>
              <w:rPr>
                <w:rFonts w:hint="eastAsia"/>
                <w:i w:val="0"/>
                <w:iCs w:val="0"/>
                <w:sz w:val="21"/>
                <w:szCs w:val="21"/>
              </w:rPr>
              <w:t>999-999-99</w:t>
            </w:r>
          </w:p>
        </w:tc>
        <w:tc>
          <w:tcPr>
            <w:tcW w:w="709" w:type="pct"/>
            <w:noWrap w:val="0"/>
            <w:vAlign w:val="center"/>
          </w:tcPr>
          <w:p>
            <w:pPr>
              <w:jc w:val="center"/>
              <w:rPr>
                <w:i w:val="0"/>
                <w:iCs w:val="0"/>
                <w:sz w:val="21"/>
                <w:szCs w:val="21"/>
              </w:rPr>
            </w:pPr>
            <w:r>
              <w:rPr>
                <w:rFonts w:hint="eastAsia"/>
                <w:i w:val="0"/>
                <w:iCs w:val="0"/>
                <w:sz w:val="21"/>
                <w:szCs w:val="21"/>
              </w:rPr>
              <w:t>5</w:t>
            </w:r>
          </w:p>
        </w:tc>
        <w:tc>
          <w:tcPr>
            <w:tcW w:w="715" w:type="pct"/>
            <w:noWrap w:val="0"/>
            <w:vAlign w:val="center"/>
          </w:tcPr>
          <w:p>
            <w:pPr>
              <w:jc w:val="center"/>
              <w:rPr>
                <w:i w:val="0"/>
                <w:iCs w:val="0"/>
                <w:sz w:val="21"/>
                <w:szCs w:val="21"/>
              </w:rPr>
            </w:pPr>
            <w:r>
              <w:rPr>
                <w:rFonts w:hint="eastAsia"/>
                <w:i w:val="0"/>
                <w:iCs w:val="0"/>
                <w:sz w:val="21"/>
                <w:szCs w:val="21"/>
              </w:rPr>
              <w:t>5</w:t>
            </w:r>
          </w:p>
        </w:tc>
        <w:tc>
          <w:tcPr>
            <w:tcW w:w="1347" w:type="pct"/>
            <w:noWrap w:val="0"/>
            <w:vAlign w:val="center"/>
          </w:tcPr>
          <w:p>
            <w:pPr>
              <w:jc w:val="center"/>
              <w:rPr>
                <w:rFonts w:hint="eastAsia"/>
                <w:i w:val="0"/>
                <w:iCs w:val="0"/>
                <w:sz w:val="21"/>
                <w:szCs w:val="21"/>
              </w:rPr>
            </w:pPr>
            <w:r>
              <w:rPr>
                <w:rFonts w:hint="eastAsia"/>
                <w:i w:val="0"/>
                <w:iCs w:val="0"/>
                <w:sz w:val="21"/>
                <w:szCs w:val="21"/>
              </w:rPr>
              <w:t>外卖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3" w:type="pct"/>
            <w:noWrap w:val="0"/>
            <w:vAlign w:val="center"/>
          </w:tcPr>
          <w:p>
            <w:pPr>
              <w:jc w:val="center"/>
              <w:rPr>
                <w:rFonts w:hint="eastAsia"/>
                <w:i w:val="0"/>
                <w:iCs w:val="0"/>
                <w:sz w:val="21"/>
                <w:szCs w:val="21"/>
              </w:rPr>
            </w:pPr>
            <w:r>
              <w:rPr>
                <w:rFonts w:hint="eastAsia"/>
                <w:i w:val="0"/>
                <w:iCs w:val="0"/>
                <w:sz w:val="21"/>
                <w:szCs w:val="21"/>
              </w:rPr>
              <w:t>废滤材（初中高效过滤器、过滤芯）</w:t>
            </w:r>
          </w:p>
        </w:tc>
        <w:tc>
          <w:tcPr>
            <w:tcW w:w="1014" w:type="pct"/>
            <w:noWrap w:val="0"/>
            <w:vAlign w:val="center"/>
          </w:tcPr>
          <w:p>
            <w:pPr>
              <w:jc w:val="center"/>
              <w:rPr>
                <w:i w:val="0"/>
                <w:iCs w:val="0"/>
                <w:sz w:val="21"/>
                <w:szCs w:val="21"/>
              </w:rPr>
            </w:pPr>
            <w:r>
              <w:rPr>
                <w:i w:val="0"/>
                <w:iCs w:val="0"/>
                <w:sz w:val="21"/>
                <w:szCs w:val="21"/>
              </w:rPr>
              <w:t>一般固体废物</w:t>
            </w:r>
            <w:r>
              <w:rPr>
                <w:rFonts w:hint="eastAsia"/>
                <w:i w:val="0"/>
                <w:iCs w:val="0"/>
                <w:sz w:val="21"/>
                <w:szCs w:val="21"/>
              </w:rPr>
              <w:t>999-999-99</w:t>
            </w:r>
          </w:p>
        </w:tc>
        <w:tc>
          <w:tcPr>
            <w:tcW w:w="709" w:type="pct"/>
            <w:noWrap w:val="0"/>
            <w:vAlign w:val="center"/>
          </w:tcPr>
          <w:p>
            <w:pPr>
              <w:jc w:val="center"/>
              <w:rPr>
                <w:rFonts w:hint="default" w:eastAsia="宋体"/>
                <w:i w:val="0"/>
                <w:iCs w:val="0"/>
                <w:sz w:val="21"/>
                <w:szCs w:val="21"/>
                <w:lang w:val="en-US" w:eastAsia="zh-CN"/>
              </w:rPr>
            </w:pPr>
            <w:r>
              <w:rPr>
                <w:rFonts w:hint="eastAsia"/>
                <w:i w:val="0"/>
                <w:iCs w:val="0"/>
                <w:sz w:val="21"/>
                <w:szCs w:val="21"/>
                <w:lang w:val="en-US" w:eastAsia="zh-CN"/>
              </w:rPr>
              <w:t>0.5</w:t>
            </w:r>
          </w:p>
        </w:tc>
        <w:tc>
          <w:tcPr>
            <w:tcW w:w="715" w:type="pct"/>
            <w:noWrap w:val="0"/>
            <w:vAlign w:val="center"/>
          </w:tcPr>
          <w:p>
            <w:pPr>
              <w:jc w:val="center"/>
              <w:rPr>
                <w:rFonts w:hint="default" w:eastAsia="宋体"/>
                <w:i w:val="0"/>
                <w:iCs w:val="0"/>
                <w:sz w:val="21"/>
                <w:szCs w:val="21"/>
                <w:lang w:val="en-US" w:eastAsia="zh-CN"/>
              </w:rPr>
            </w:pPr>
            <w:r>
              <w:rPr>
                <w:rFonts w:hint="eastAsia"/>
                <w:i w:val="0"/>
                <w:iCs w:val="0"/>
                <w:sz w:val="21"/>
                <w:szCs w:val="21"/>
                <w:lang w:val="en-US" w:eastAsia="zh-CN"/>
              </w:rPr>
              <w:t>0.5</w:t>
            </w:r>
          </w:p>
        </w:tc>
        <w:tc>
          <w:tcPr>
            <w:tcW w:w="1347" w:type="pct"/>
            <w:noWrap w:val="0"/>
            <w:vAlign w:val="center"/>
          </w:tcPr>
          <w:p>
            <w:pPr>
              <w:jc w:val="center"/>
              <w:rPr>
                <w:rFonts w:hint="eastAsia"/>
                <w:i w:val="0"/>
                <w:iCs w:val="0"/>
                <w:sz w:val="21"/>
                <w:szCs w:val="21"/>
              </w:rPr>
            </w:pPr>
            <w:r>
              <w:rPr>
                <w:rFonts w:hint="eastAsia"/>
                <w:i w:val="0"/>
                <w:iCs w:val="0"/>
                <w:sz w:val="21"/>
                <w:szCs w:val="21"/>
              </w:rPr>
              <w:t>外卖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2" w:hRule="atLeast"/>
          <w:jc w:val="center"/>
        </w:trPr>
        <w:tc>
          <w:tcPr>
            <w:tcW w:w="1213" w:type="pct"/>
            <w:noWrap w:val="0"/>
            <w:vAlign w:val="center"/>
          </w:tcPr>
          <w:p>
            <w:pPr>
              <w:jc w:val="center"/>
              <w:rPr>
                <w:rFonts w:hint="eastAsia"/>
                <w:i w:val="0"/>
                <w:iCs w:val="0"/>
                <w:sz w:val="21"/>
                <w:szCs w:val="21"/>
              </w:rPr>
            </w:pPr>
            <w:r>
              <w:rPr>
                <w:rFonts w:hint="eastAsia"/>
                <w:i w:val="0"/>
                <w:iCs w:val="0"/>
                <w:sz w:val="21"/>
                <w:szCs w:val="21"/>
              </w:rPr>
              <w:t>废活性炭</w:t>
            </w:r>
          </w:p>
        </w:tc>
        <w:tc>
          <w:tcPr>
            <w:tcW w:w="1014" w:type="pct"/>
            <w:noWrap w:val="0"/>
            <w:vAlign w:val="center"/>
          </w:tcPr>
          <w:p>
            <w:pPr>
              <w:jc w:val="center"/>
              <w:rPr>
                <w:i w:val="0"/>
                <w:iCs w:val="0"/>
                <w:sz w:val="21"/>
                <w:szCs w:val="21"/>
              </w:rPr>
            </w:pPr>
            <w:r>
              <w:rPr>
                <w:i w:val="0"/>
                <w:iCs w:val="0"/>
                <w:sz w:val="21"/>
                <w:szCs w:val="21"/>
              </w:rPr>
              <w:t>危险废物（代码：</w:t>
            </w:r>
            <w:r>
              <w:rPr>
                <w:rFonts w:hint="eastAsia"/>
                <w:i w:val="0"/>
                <w:iCs w:val="0"/>
                <w:sz w:val="21"/>
                <w:szCs w:val="21"/>
              </w:rPr>
              <w:t>HW49 900-041-49</w:t>
            </w:r>
            <w:r>
              <w:rPr>
                <w:i w:val="0"/>
                <w:iCs w:val="0"/>
                <w:sz w:val="21"/>
                <w:szCs w:val="21"/>
              </w:rPr>
              <w:t>）</w:t>
            </w:r>
          </w:p>
        </w:tc>
        <w:tc>
          <w:tcPr>
            <w:tcW w:w="709" w:type="pct"/>
            <w:noWrap w:val="0"/>
            <w:vAlign w:val="center"/>
          </w:tcPr>
          <w:p>
            <w:pPr>
              <w:widowControl/>
              <w:jc w:val="center"/>
              <w:textAlignment w:val="center"/>
              <w:rPr>
                <w:i w:val="0"/>
                <w:iCs w:val="0"/>
                <w:sz w:val="21"/>
                <w:szCs w:val="21"/>
              </w:rPr>
            </w:pPr>
            <w:r>
              <w:rPr>
                <w:rFonts w:hint="eastAsia"/>
                <w:i w:val="0"/>
                <w:iCs w:val="0"/>
                <w:sz w:val="21"/>
                <w:szCs w:val="21"/>
              </w:rPr>
              <w:t>0.5</w:t>
            </w:r>
          </w:p>
        </w:tc>
        <w:tc>
          <w:tcPr>
            <w:tcW w:w="715" w:type="pct"/>
            <w:noWrap w:val="0"/>
            <w:vAlign w:val="center"/>
          </w:tcPr>
          <w:p>
            <w:pPr>
              <w:widowControl/>
              <w:jc w:val="center"/>
              <w:textAlignment w:val="center"/>
              <w:rPr>
                <w:i w:val="0"/>
                <w:iCs w:val="0"/>
                <w:sz w:val="21"/>
                <w:szCs w:val="21"/>
              </w:rPr>
            </w:pPr>
            <w:r>
              <w:rPr>
                <w:rFonts w:hint="eastAsia"/>
                <w:i w:val="0"/>
                <w:iCs w:val="0"/>
                <w:sz w:val="21"/>
                <w:szCs w:val="21"/>
              </w:rPr>
              <w:t>0.5</w:t>
            </w:r>
          </w:p>
        </w:tc>
        <w:tc>
          <w:tcPr>
            <w:tcW w:w="1347" w:type="pct"/>
            <w:vMerge w:val="restart"/>
            <w:noWrap w:val="0"/>
            <w:vAlign w:val="center"/>
          </w:tcPr>
          <w:p>
            <w:pPr>
              <w:jc w:val="center"/>
              <w:rPr>
                <w:rFonts w:hint="eastAsia"/>
                <w:i w:val="0"/>
                <w:iCs w:val="0"/>
                <w:sz w:val="21"/>
                <w:szCs w:val="21"/>
              </w:rPr>
            </w:pPr>
            <w:r>
              <w:rPr>
                <w:i w:val="0"/>
                <w:iCs w:val="0"/>
                <w:sz w:val="21"/>
                <w:szCs w:val="21"/>
              </w:rPr>
              <w:t>暂存危险废物</w:t>
            </w:r>
            <w:r>
              <w:rPr>
                <w:rFonts w:hint="eastAsia"/>
                <w:i w:val="0"/>
                <w:iCs w:val="0"/>
                <w:sz w:val="21"/>
                <w:szCs w:val="21"/>
              </w:rPr>
              <w:t>暂存间内</w:t>
            </w:r>
            <w:r>
              <w:rPr>
                <w:i w:val="0"/>
                <w:iCs w:val="0"/>
                <w:sz w:val="21"/>
                <w:szCs w:val="21"/>
              </w:rPr>
              <w:t>，委托</w:t>
            </w:r>
            <w:r>
              <w:rPr>
                <w:rFonts w:hint="eastAsia"/>
                <w:i w:val="0"/>
                <w:iCs w:val="0"/>
                <w:sz w:val="21"/>
                <w:szCs w:val="21"/>
              </w:rPr>
              <w:t>有资质单位处理</w:t>
            </w:r>
            <w:r>
              <w:rPr>
                <w:i w:val="0"/>
                <w:iCs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9" w:hRule="atLeast"/>
          <w:jc w:val="center"/>
        </w:trPr>
        <w:tc>
          <w:tcPr>
            <w:tcW w:w="1213" w:type="pct"/>
            <w:noWrap w:val="0"/>
            <w:vAlign w:val="center"/>
          </w:tcPr>
          <w:p>
            <w:pPr>
              <w:jc w:val="center"/>
              <w:rPr>
                <w:rFonts w:hint="eastAsia" w:ascii="Times New Roman" w:hAnsi="Times New Roman" w:eastAsia="宋体" w:cs="Times New Roman"/>
                <w:i w:val="0"/>
                <w:iCs w:val="0"/>
                <w:sz w:val="21"/>
                <w:szCs w:val="21"/>
                <w:lang w:eastAsia="zh-CN"/>
              </w:rPr>
            </w:pPr>
            <w:r>
              <w:rPr>
                <w:rFonts w:hint="eastAsia" w:ascii="Times New Roman" w:hAnsi="Times New Roman" w:eastAsia="宋体" w:cs="Times New Roman"/>
                <w:i w:val="0"/>
                <w:iCs w:val="0"/>
                <w:sz w:val="21"/>
                <w:szCs w:val="21"/>
                <w:lang w:eastAsia="zh-CN"/>
              </w:rPr>
              <w:t>实验废液</w:t>
            </w:r>
          </w:p>
        </w:tc>
        <w:tc>
          <w:tcPr>
            <w:tcW w:w="1014" w:type="pct"/>
            <w:noWrap w:val="0"/>
            <w:vAlign w:val="center"/>
          </w:tcPr>
          <w:p>
            <w:pPr>
              <w:jc w:val="center"/>
              <w:rPr>
                <w:rFonts w:hint="eastAsia"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rPr>
              <w:t>危险废物（代码：HW49 900-047-49</w:t>
            </w:r>
            <w:r>
              <w:rPr>
                <w:i w:val="0"/>
                <w:iCs w:val="0"/>
                <w:sz w:val="21"/>
                <w:szCs w:val="21"/>
              </w:rPr>
              <w:t>）</w:t>
            </w:r>
          </w:p>
        </w:tc>
        <w:tc>
          <w:tcPr>
            <w:tcW w:w="709" w:type="pct"/>
            <w:noWrap w:val="0"/>
            <w:vAlign w:val="center"/>
          </w:tcPr>
          <w:p>
            <w:pPr>
              <w:jc w:val="center"/>
              <w:rPr>
                <w:rFonts w:hint="default" w:ascii="Times New Roman" w:hAnsi="Times New Roman" w:eastAsia="宋体" w:cs="Times New Roman"/>
                <w:i w:val="0"/>
                <w:iCs w:val="0"/>
                <w:sz w:val="21"/>
                <w:szCs w:val="21"/>
                <w:lang w:val="en-US" w:eastAsia="zh-CN"/>
              </w:rPr>
            </w:pPr>
            <w:r>
              <w:rPr>
                <w:rFonts w:hint="eastAsia" w:ascii="Times New Roman" w:hAnsi="Times New Roman" w:eastAsia="宋体" w:cs="Times New Roman"/>
                <w:i w:val="0"/>
                <w:iCs w:val="0"/>
                <w:sz w:val="21"/>
                <w:szCs w:val="21"/>
                <w:lang w:val="en-US" w:eastAsia="zh-CN"/>
              </w:rPr>
              <w:t>0.07</w:t>
            </w:r>
          </w:p>
        </w:tc>
        <w:tc>
          <w:tcPr>
            <w:tcW w:w="715" w:type="pct"/>
            <w:noWrap w:val="0"/>
            <w:vAlign w:val="center"/>
          </w:tcPr>
          <w:p>
            <w:pPr>
              <w:jc w:val="center"/>
              <w:rPr>
                <w:rFonts w:hint="eastAsia"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lang w:val="en-US" w:eastAsia="zh-CN"/>
              </w:rPr>
              <w:t>0.07</w:t>
            </w:r>
          </w:p>
        </w:tc>
        <w:tc>
          <w:tcPr>
            <w:tcW w:w="1347" w:type="pct"/>
            <w:vMerge w:val="continue"/>
            <w:noWrap w:val="0"/>
            <w:vAlign w:val="center"/>
          </w:tcPr>
          <w:p>
            <w:pPr>
              <w:jc w:val="center"/>
              <w:rPr>
                <w:rFonts w:hint="eastAsia"/>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2" w:hRule="atLeast"/>
          <w:jc w:val="center"/>
        </w:trPr>
        <w:tc>
          <w:tcPr>
            <w:tcW w:w="1213" w:type="pct"/>
            <w:noWrap w:val="0"/>
            <w:vAlign w:val="center"/>
          </w:tcPr>
          <w:p>
            <w:pPr>
              <w:jc w:val="center"/>
              <w:rPr>
                <w:rFonts w:hint="eastAsia"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rPr>
              <w:t>废包装瓶</w:t>
            </w:r>
          </w:p>
        </w:tc>
        <w:tc>
          <w:tcPr>
            <w:tcW w:w="1014" w:type="pct"/>
            <w:noWrap w:val="0"/>
            <w:vAlign w:val="center"/>
          </w:tcPr>
          <w:p>
            <w:pPr>
              <w:jc w:val="center"/>
              <w:rPr>
                <w:rFonts w:hint="eastAsia"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rPr>
              <w:t>危险废物（代码：HW49 900-047-49</w:t>
            </w:r>
            <w:r>
              <w:rPr>
                <w:i w:val="0"/>
                <w:iCs w:val="0"/>
                <w:sz w:val="21"/>
                <w:szCs w:val="21"/>
              </w:rPr>
              <w:t>）</w:t>
            </w:r>
          </w:p>
        </w:tc>
        <w:tc>
          <w:tcPr>
            <w:tcW w:w="709" w:type="pct"/>
            <w:noWrap w:val="0"/>
            <w:vAlign w:val="center"/>
          </w:tcPr>
          <w:p>
            <w:pPr>
              <w:jc w:val="center"/>
              <w:rPr>
                <w:rFonts w:hint="default" w:ascii="Times New Roman" w:hAnsi="Times New Roman" w:eastAsia="宋体" w:cs="Times New Roman"/>
                <w:i w:val="0"/>
                <w:iCs w:val="0"/>
                <w:sz w:val="21"/>
                <w:szCs w:val="21"/>
                <w:lang w:val="en-US" w:eastAsia="zh-CN"/>
              </w:rPr>
            </w:pPr>
            <w:r>
              <w:rPr>
                <w:rFonts w:hint="eastAsia" w:ascii="Times New Roman" w:hAnsi="Times New Roman" w:eastAsia="宋体" w:cs="Times New Roman"/>
                <w:i w:val="0"/>
                <w:iCs w:val="0"/>
                <w:sz w:val="21"/>
                <w:szCs w:val="21"/>
                <w:lang w:val="en-US" w:eastAsia="zh-CN"/>
              </w:rPr>
              <w:t>0.05</w:t>
            </w:r>
          </w:p>
        </w:tc>
        <w:tc>
          <w:tcPr>
            <w:tcW w:w="715" w:type="pct"/>
            <w:noWrap w:val="0"/>
            <w:vAlign w:val="center"/>
          </w:tcPr>
          <w:p>
            <w:pPr>
              <w:jc w:val="center"/>
              <w:rPr>
                <w:rFonts w:hint="eastAsia" w:ascii="Times New Roman" w:hAnsi="Times New Roman" w:eastAsia="宋体" w:cs="Times New Roman"/>
                <w:i w:val="0"/>
                <w:iCs w:val="0"/>
                <w:sz w:val="21"/>
                <w:szCs w:val="21"/>
              </w:rPr>
            </w:pPr>
            <w:r>
              <w:rPr>
                <w:rFonts w:hint="eastAsia" w:ascii="Times New Roman" w:hAnsi="Times New Roman" w:eastAsia="宋体" w:cs="Times New Roman"/>
                <w:i w:val="0"/>
                <w:iCs w:val="0"/>
                <w:sz w:val="21"/>
                <w:szCs w:val="21"/>
                <w:lang w:val="en-US" w:eastAsia="zh-CN"/>
              </w:rPr>
              <w:t>0.05</w:t>
            </w:r>
          </w:p>
        </w:tc>
        <w:tc>
          <w:tcPr>
            <w:tcW w:w="1347" w:type="pct"/>
            <w:vMerge w:val="continue"/>
            <w:noWrap w:val="0"/>
            <w:vAlign w:val="center"/>
          </w:tcPr>
          <w:p>
            <w:pPr>
              <w:jc w:val="center"/>
              <w:rPr>
                <w:rFonts w:hint="eastAsia"/>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2" w:hRule="atLeast"/>
          <w:jc w:val="center"/>
        </w:trPr>
        <w:tc>
          <w:tcPr>
            <w:tcW w:w="1213" w:type="pct"/>
            <w:noWrap w:val="0"/>
            <w:vAlign w:val="center"/>
          </w:tcPr>
          <w:p>
            <w:pPr>
              <w:jc w:val="center"/>
              <w:rPr>
                <w:rFonts w:hint="default" w:ascii="Times New Roman" w:hAnsi="Times New Roman" w:eastAsia="宋体" w:cs="Times New Roman"/>
                <w:i w:val="0"/>
                <w:iCs w:val="0"/>
                <w:sz w:val="21"/>
                <w:szCs w:val="21"/>
                <w:lang w:val="en-US" w:eastAsia="zh-CN"/>
              </w:rPr>
            </w:pPr>
            <w:r>
              <w:rPr>
                <w:rFonts w:hint="eastAsia" w:cs="Times New Roman"/>
                <w:i w:val="0"/>
                <w:iCs w:val="0"/>
                <w:sz w:val="21"/>
                <w:szCs w:val="21"/>
                <w:lang w:val="en-US" w:eastAsia="zh-CN"/>
              </w:rPr>
              <w:t>废机油及废机油桶</w:t>
            </w:r>
          </w:p>
        </w:tc>
        <w:tc>
          <w:tcPr>
            <w:tcW w:w="1014" w:type="pct"/>
            <w:noWrap w:val="0"/>
            <w:vAlign w:val="center"/>
          </w:tcPr>
          <w:p>
            <w:pPr>
              <w:jc w:val="center"/>
              <w:rPr>
                <w:rFonts w:hint="default" w:ascii="Times New Roman" w:hAnsi="Times New Roman" w:eastAsia="宋体" w:cs="Times New Roman"/>
                <w:i w:val="0"/>
                <w:iCs w:val="0"/>
                <w:sz w:val="21"/>
                <w:szCs w:val="21"/>
                <w:lang w:val="en-US"/>
              </w:rPr>
            </w:pPr>
            <w:r>
              <w:rPr>
                <w:rFonts w:hint="eastAsia" w:ascii="Times New Roman" w:hAnsi="Times New Roman" w:eastAsia="宋体" w:cs="Times New Roman"/>
                <w:i w:val="0"/>
                <w:iCs w:val="0"/>
                <w:sz w:val="21"/>
                <w:szCs w:val="21"/>
              </w:rPr>
              <w:t>危险废物（代码：HW</w:t>
            </w:r>
            <w:r>
              <w:rPr>
                <w:rFonts w:hint="eastAsia" w:ascii="Times New Roman" w:hAnsi="Times New Roman" w:eastAsia="宋体" w:cs="Times New Roman"/>
                <w:i w:val="0"/>
                <w:iCs w:val="0"/>
                <w:sz w:val="21"/>
                <w:szCs w:val="21"/>
                <w:lang w:val="en-US" w:eastAsia="zh-CN"/>
              </w:rPr>
              <w:t>08</w:t>
            </w:r>
            <w:r>
              <w:rPr>
                <w:rFonts w:hint="eastAsia" w:ascii="Times New Roman" w:hAnsi="Times New Roman" w:eastAsia="宋体" w:cs="Times New Roman"/>
                <w:i w:val="0"/>
                <w:iCs w:val="0"/>
                <w:sz w:val="21"/>
                <w:szCs w:val="21"/>
              </w:rPr>
              <w:t xml:space="preserve"> 900-</w:t>
            </w:r>
            <w:r>
              <w:rPr>
                <w:rFonts w:hint="eastAsia" w:ascii="Times New Roman" w:hAnsi="Times New Roman" w:eastAsia="宋体" w:cs="Times New Roman"/>
                <w:i w:val="0"/>
                <w:iCs w:val="0"/>
                <w:sz w:val="21"/>
                <w:szCs w:val="21"/>
                <w:lang w:val="en-US" w:eastAsia="zh-CN"/>
              </w:rPr>
              <w:t>249-08</w:t>
            </w:r>
            <w:r>
              <w:rPr>
                <w:i w:val="0"/>
                <w:iCs w:val="0"/>
                <w:sz w:val="21"/>
                <w:szCs w:val="21"/>
              </w:rPr>
              <w:t>）</w:t>
            </w:r>
          </w:p>
        </w:tc>
        <w:tc>
          <w:tcPr>
            <w:tcW w:w="709" w:type="pct"/>
            <w:noWrap w:val="0"/>
            <w:vAlign w:val="center"/>
          </w:tcPr>
          <w:p>
            <w:pPr>
              <w:jc w:val="center"/>
              <w:rPr>
                <w:rFonts w:hint="eastAsia" w:ascii="Times New Roman" w:hAnsi="Times New Roman" w:eastAsia="宋体" w:cs="Times New Roman"/>
                <w:i w:val="0"/>
                <w:iCs w:val="0"/>
                <w:sz w:val="21"/>
                <w:szCs w:val="21"/>
                <w:lang w:val="en-US" w:eastAsia="zh-CN"/>
              </w:rPr>
            </w:pPr>
            <w:r>
              <w:rPr>
                <w:rFonts w:hint="eastAsia" w:ascii="Times New Roman" w:hAnsi="Times New Roman" w:eastAsia="宋体" w:cs="Times New Roman"/>
                <w:i w:val="0"/>
                <w:iCs w:val="0"/>
                <w:sz w:val="21"/>
                <w:szCs w:val="21"/>
                <w:lang w:val="en-US" w:eastAsia="zh-CN"/>
              </w:rPr>
              <w:t>0.05</w:t>
            </w:r>
          </w:p>
        </w:tc>
        <w:tc>
          <w:tcPr>
            <w:tcW w:w="715" w:type="pct"/>
            <w:noWrap w:val="0"/>
            <w:vAlign w:val="center"/>
          </w:tcPr>
          <w:p>
            <w:pPr>
              <w:jc w:val="center"/>
              <w:rPr>
                <w:rFonts w:hint="eastAsia" w:ascii="Times New Roman" w:hAnsi="Times New Roman" w:eastAsia="宋体" w:cs="Times New Roman"/>
                <w:i w:val="0"/>
                <w:iCs w:val="0"/>
                <w:sz w:val="21"/>
                <w:szCs w:val="21"/>
                <w:lang w:val="en-US" w:eastAsia="zh-CN"/>
              </w:rPr>
            </w:pPr>
            <w:r>
              <w:rPr>
                <w:rFonts w:hint="eastAsia" w:ascii="Times New Roman" w:hAnsi="Times New Roman" w:eastAsia="宋体" w:cs="Times New Roman"/>
                <w:i w:val="0"/>
                <w:iCs w:val="0"/>
                <w:sz w:val="21"/>
                <w:szCs w:val="21"/>
                <w:lang w:val="en-US" w:eastAsia="zh-CN"/>
              </w:rPr>
              <w:t>0.05</w:t>
            </w:r>
          </w:p>
        </w:tc>
        <w:tc>
          <w:tcPr>
            <w:tcW w:w="1347" w:type="pct"/>
            <w:vMerge w:val="continue"/>
            <w:noWrap w:val="0"/>
            <w:vAlign w:val="center"/>
          </w:tcPr>
          <w:p>
            <w:pPr>
              <w:jc w:val="center"/>
              <w:rPr>
                <w:rFonts w:hint="eastAsia"/>
                <w:i w:val="0"/>
                <w:iCs w:val="0"/>
                <w:sz w:val="21"/>
                <w:szCs w:val="21"/>
              </w:rPr>
            </w:pPr>
          </w:p>
        </w:tc>
      </w:tr>
    </w:tbl>
    <w:p>
      <w:pPr>
        <w:spacing w:line="360" w:lineRule="auto"/>
        <w:ind w:firstLine="480" w:firstLineChars="200"/>
        <w:rPr>
          <w:i w:val="0"/>
          <w:iCs w:val="0"/>
        </w:rPr>
      </w:pPr>
      <w:r>
        <w:rPr>
          <w:i w:val="0"/>
          <w:iCs w:val="0"/>
        </w:rPr>
        <w:t>建设项目投产后产生的各种固体废物均进行合理的处置。</w:t>
      </w:r>
    </w:p>
    <w:p>
      <w:pPr>
        <w:adjustRightInd w:val="0"/>
        <w:snapToGrid w:val="0"/>
        <w:spacing w:line="360" w:lineRule="auto"/>
        <w:ind w:firstLine="440" w:firstLineChars="200"/>
        <w:rPr>
          <w:rFonts w:hint="default" w:ascii="Times New Roman" w:hAnsi="Times New Roman" w:eastAsia="宋体" w:cs="Times New Roman"/>
          <w:bCs/>
          <w:i w:val="0"/>
          <w:iCs w:val="0"/>
          <w:color w:val="auto"/>
          <w:spacing w:val="-10"/>
          <w:sz w:val="24"/>
          <w:highlight w:val="none"/>
          <w:u w:val="none"/>
          <w:lang w:eastAsia="zh-CN"/>
        </w:rPr>
      </w:pPr>
      <w:r>
        <w:rPr>
          <w:rFonts w:hint="default" w:ascii="Times New Roman" w:hAnsi="Times New Roman" w:eastAsia="宋体" w:cs="Times New Roman"/>
          <w:bCs/>
          <w:i w:val="0"/>
          <w:iCs w:val="0"/>
          <w:color w:val="auto"/>
          <w:spacing w:val="-10"/>
          <w:sz w:val="24"/>
          <w:highlight w:val="none"/>
          <w:u w:val="none"/>
        </w:rPr>
        <w:t>依据《中华人民共和国固体废物污染环境防治法》、《危险废物贮存污染控制标准》（GB18597-2023）、《危险废物收集贮存运输技术规范》 （HJ 2025-2012）及相关规定进行收集、管理、运输及处置</w:t>
      </w:r>
      <w:r>
        <w:rPr>
          <w:rFonts w:hint="default" w:ascii="Times New Roman" w:hAnsi="Times New Roman" w:eastAsia="宋体" w:cs="Times New Roman"/>
          <w:bCs/>
          <w:i w:val="0"/>
          <w:iCs w:val="0"/>
          <w:color w:val="auto"/>
          <w:spacing w:val="-10"/>
          <w:sz w:val="24"/>
          <w:highlight w:val="none"/>
          <w:u w:val="none"/>
          <w:lang w:eastAsia="zh-CN"/>
        </w:rPr>
        <w:t>。</w:t>
      </w:r>
    </w:p>
    <w:p>
      <w:pPr>
        <w:adjustRightInd w:val="0"/>
        <w:snapToGrid w:val="0"/>
        <w:spacing w:line="360" w:lineRule="auto"/>
        <w:ind w:firstLine="440" w:firstLineChars="200"/>
        <w:rPr>
          <w:rFonts w:hint="default" w:ascii="Times New Roman" w:hAnsi="Times New Roman" w:eastAsia="宋体" w:cs="Times New Roman"/>
          <w:bCs/>
          <w:i w:val="0"/>
          <w:iCs w:val="0"/>
          <w:color w:val="auto"/>
          <w:spacing w:val="-10"/>
          <w:sz w:val="24"/>
          <w:highlight w:val="none"/>
          <w:u w:val="none"/>
        </w:rPr>
      </w:pPr>
      <w:r>
        <w:rPr>
          <w:rFonts w:hint="default" w:ascii="Times New Roman" w:hAnsi="Times New Roman" w:eastAsia="宋体" w:cs="Times New Roman"/>
          <w:bCs/>
          <w:i w:val="0"/>
          <w:iCs w:val="0"/>
          <w:color w:val="auto"/>
          <w:spacing w:val="-10"/>
          <w:sz w:val="24"/>
          <w:highlight w:val="none"/>
          <w:u w:val="none"/>
        </w:rPr>
        <w:t>本项目</w:t>
      </w:r>
      <w:r>
        <w:rPr>
          <w:rFonts w:hint="default" w:ascii="Times New Roman" w:hAnsi="Times New Roman" w:eastAsia="宋体" w:cs="Times New Roman"/>
          <w:bCs/>
          <w:i w:val="0"/>
          <w:iCs w:val="0"/>
          <w:color w:val="auto"/>
          <w:spacing w:val="-10"/>
          <w:sz w:val="24"/>
          <w:highlight w:val="none"/>
          <w:u w:val="none"/>
          <w:lang w:val="en-US" w:eastAsia="zh-CN"/>
        </w:rPr>
        <w:t>新建一座</w:t>
      </w:r>
      <w:r>
        <w:rPr>
          <w:rFonts w:hint="default" w:ascii="Times New Roman" w:hAnsi="Times New Roman" w:eastAsia="宋体" w:cs="Times New Roman"/>
          <w:bCs/>
          <w:i w:val="0"/>
          <w:iCs w:val="0"/>
          <w:color w:val="auto"/>
          <w:spacing w:val="-10"/>
          <w:sz w:val="24"/>
          <w:highlight w:val="none"/>
          <w:u w:val="none"/>
        </w:rPr>
        <w:t>的危废暂存间，暂存项目产生的危险废物，定期交由有资质单位进行处置。</w:t>
      </w:r>
    </w:p>
    <w:p>
      <w:pPr>
        <w:adjustRightInd w:val="0"/>
        <w:snapToGrid w:val="0"/>
        <w:spacing w:line="360" w:lineRule="auto"/>
        <w:ind w:firstLine="440" w:firstLineChars="200"/>
        <w:rPr>
          <w:rFonts w:hint="default" w:ascii="Times New Roman" w:hAnsi="Times New Roman" w:eastAsia="宋体" w:cs="Times New Roman"/>
          <w:bCs/>
          <w:i w:val="0"/>
          <w:iCs w:val="0"/>
          <w:color w:val="auto"/>
          <w:spacing w:val="-10"/>
          <w:sz w:val="24"/>
          <w:highlight w:val="none"/>
          <w:u w:val="none"/>
        </w:rPr>
      </w:pPr>
      <w:r>
        <w:rPr>
          <w:rFonts w:hint="default" w:ascii="Times New Roman" w:hAnsi="Times New Roman" w:eastAsia="宋体" w:cs="Times New Roman"/>
          <w:bCs/>
          <w:i w:val="0"/>
          <w:iCs w:val="0"/>
          <w:color w:val="auto"/>
          <w:spacing w:val="-10"/>
          <w:sz w:val="24"/>
          <w:highlight w:val="none"/>
          <w:u w:val="none"/>
        </w:rPr>
        <w:t>危险废物环境管理要求：</w:t>
      </w:r>
    </w:p>
    <w:p>
      <w:pPr>
        <w:adjustRightInd w:val="0"/>
        <w:snapToGrid w:val="0"/>
        <w:spacing w:line="360" w:lineRule="auto"/>
        <w:ind w:firstLine="480" w:firstLineChars="200"/>
        <w:rPr>
          <w:rFonts w:hint="default" w:ascii="Times New Roman" w:hAnsi="Times New Roman" w:eastAsia="宋体" w:cs="Times New Roman"/>
          <w:bCs/>
          <w:i w:val="0"/>
          <w:iCs w:val="0"/>
          <w:color w:val="auto"/>
          <w:spacing w:val="-10"/>
          <w:sz w:val="24"/>
          <w:highlight w:val="none"/>
          <w:u w:val="single"/>
        </w:rPr>
      </w:pPr>
      <w:r>
        <w:rPr>
          <w:rFonts w:hint="eastAsia" w:ascii="Times New Roman" w:hAnsi="Times New Roman" w:cs="Times New Roman"/>
          <w:i w:val="0"/>
          <w:iCs w:val="0"/>
          <w:color w:val="auto"/>
          <w:szCs w:val="24"/>
          <w:highlight w:val="none"/>
          <w:u w:val="single"/>
          <w:lang w:val="en-US" w:eastAsia="zh-CN"/>
        </w:rPr>
        <w:t>1</w:t>
      </w:r>
      <w:r>
        <w:rPr>
          <w:rFonts w:hint="default" w:ascii="Times New Roman" w:hAnsi="Times New Roman" w:eastAsia="宋体" w:cs="Times New Roman"/>
          <w:i w:val="0"/>
          <w:iCs w:val="0"/>
          <w:color w:val="auto"/>
          <w:szCs w:val="24"/>
          <w:highlight w:val="none"/>
          <w:u w:val="single"/>
        </w:rPr>
        <w:t>、</w:t>
      </w:r>
      <w:r>
        <w:rPr>
          <w:rFonts w:hint="default" w:ascii="Times New Roman" w:hAnsi="Times New Roman" w:eastAsia="宋体" w:cs="Times New Roman"/>
          <w:bCs/>
          <w:i w:val="0"/>
          <w:iCs w:val="0"/>
          <w:color w:val="auto"/>
          <w:spacing w:val="-10"/>
          <w:sz w:val="24"/>
          <w:highlight w:val="none"/>
          <w:u w:val="single"/>
        </w:rPr>
        <w:t>全过程管理要求</w:t>
      </w:r>
    </w:p>
    <w:p>
      <w:pPr>
        <w:adjustRightInd w:val="0"/>
        <w:snapToGrid w:val="0"/>
        <w:spacing w:line="360" w:lineRule="auto"/>
        <w:ind w:firstLine="440" w:firstLineChars="200"/>
        <w:rPr>
          <w:rFonts w:hint="default" w:ascii="Times New Roman" w:hAnsi="Times New Roman" w:eastAsia="宋体" w:cs="Times New Roman"/>
          <w:bCs/>
          <w:i w:val="0"/>
          <w:iCs w:val="0"/>
          <w:color w:val="auto"/>
          <w:spacing w:val="-10"/>
          <w:sz w:val="24"/>
          <w:highlight w:val="none"/>
          <w:u w:val="single"/>
        </w:rPr>
      </w:pPr>
      <w:r>
        <w:rPr>
          <w:rFonts w:hint="default" w:ascii="Times New Roman" w:hAnsi="Times New Roman" w:eastAsia="宋体" w:cs="Times New Roman"/>
          <w:bCs/>
          <w:i w:val="0"/>
          <w:iCs w:val="0"/>
          <w:color w:val="auto"/>
          <w:spacing w:val="-10"/>
          <w:sz w:val="24"/>
          <w:highlight w:val="none"/>
          <w:u w:val="single"/>
        </w:rPr>
        <w:t>本项目产生的危险废物从收集、贮存、运输、利用、处置各环节严格执行《危险废物收集、贮存、运输技术规范》（HJ2025-2012）的相关要求。危险废物暂存过程中满足《危险废物贮存污染控制标准》（GB18597-2023）中的相关规定，危险废物的贮存容器满足下列要求：</w:t>
      </w:r>
    </w:p>
    <w:p>
      <w:pPr>
        <w:adjustRightInd w:val="0"/>
        <w:snapToGrid w:val="0"/>
        <w:spacing w:line="360" w:lineRule="auto"/>
        <w:ind w:firstLine="440" w:firstLineChars="200"/>
        <w:rPr>
          <w:rFonts w:hint="default" w:ascii="Times New Roman" w:hAnsi="Times New Roman" w:eastAsia="宋体" w:cs="Times New Roman"/>
          <w:bCs/>
          <w:i w:val="0"/>
          <w:iCs w:val="0"/>
          <w:color w:val="auto"/>
          <w:spacing w:val="-10"/>
          <w:sz w:val="24"/>
          <w:highlight w:val="none"/>
          <w:u w:val="single"/>
        </w:rPr>
      </w:pPr>
      <w:r>
        <w:rPr>
          <w:rFonts w:hint="eastAsia" w:ascii="Times New Roman" w:hAnsi="Times New Roman" w:cs="Times New Roman"/>
          <w:bCs/>
          <w:i w:val="0"/>
          <w:iCs w:val="0"/>
          <w:color w:val="auto"/>
          <w:spacing w:val="-10"/>
          <w:sz w:val="24"/>
          <w:highlight w:val="none"/>
          <w:u w:val="single"/>
          <w:lang w:eastAsia="zh-CN"/>
        </w:rPr>
        <w:t>（</w:t>
      </w:r>
      <w:r>
        <w:rPr>
          <w:rFonts w:hint="eastAsia" w:ascii="Times New Roman" w:hAnsi="Times New Roman" w:cs="Times New Roman"/>
          <w:bCs/>
          <w:i w:val="0"/>
          <w:iCs w:val="0"/>
          <w:color w:val="auto"/>
          <w:spacing w:val="-10"/>
          <w:sz w:val="24"/>
          <w:highlight w:val="none"/>
          <w:u w:val="single"/>
          <w:lang w:val="en-US" w:eastAsia="zh-CN"/>
        </w:rPr>
        <w:t>1</w:t>
      </w:r>
      <w:r>
        <w:rPr>
          <w:rFonts w:hint="eastAsia" w:ascii="Times New Roman" w:hAnsi="Times New Roman" w:cs="Times New Roman"/>
          <w:bCs/>
          <w:i w:val="0"/>
          <w:iCs w:val="0"/>
          <w:color w:val="auto"/>
          <w:spacing w:val="-10"/>
          <w:sz w:val="24"/>
          <w:highlight w:val="none"/>
          <w:u w:val="single"/>
          <w:lang w:eastAsia="zh-CN"/>
        </w:rPr>
        <w:t>）</w:t>
      </w:r>
      <w:r>
        <w:rPr>
          <w:rFonts w:hint="default" w:ascii="Times New Roman" w:hAnsi="Times New Roman" w:eastAsia="宋体" w:cs="Times New Roman"/>
          <w:bCs/>
          <w:i w:val="0"/>
          <w:iCs w:val="0"/>
          <w:color w:val="auto"/>
          <w:spacing w:val="-10"/>
          <w:sz w:val="24"/>
          <w:highlight w:val="none"/>
          <w:u w:val="single"/>
        </w:rPr>
        <w:t>容器和包装物材质、内衬应与盛装的危险废物相容。</w:t>
      </w:r>
    </w:p>
    <w:p>
      <w:pPr>
        <w:adjustRightInd w:val="0"/>
        <w:snapToGrid w:val="0"/>
        <w:spacing w:line="360" w:lineRule="auto"/>
        <w:ind w:firstLine="440" w:firstLineChars="200"/>
        <w:rPr>
          <w:rFonts w:hint="default" w:ascii="Times New Roman" w:hAnsi="Times New Roman" w:eastAsia="宋体" w:cs="Times New Roman"/>
          <w:bCs/>
          <w:i w:val="0"/>
          <w:iCs w:val="0"/>
          <w:color w:val="auto"/>
          <w:spacing w:val="-10"/>
          <w:sz w:val="24"/>
          <w:highlight w:val="none"/>
          <w:u w:val="single"/>
        </w:rPr>
      </w:pPr>
      <w:r>
        <w:rPr>
          <w:rFonts w:hint="eastAsia" w:ascii="Times New Roman" w:hAnsi="Times New Roman" w:cs="Times New Roman"/>
          <w:bCs/>
          <w:i w:val="0"/>
          <w:iCs w:val="0"/>
          <w:color w:val="auto"/>
          <w:spacing w:val="-10"/>
          <w:sz w:val="24"/>
          <w:highlight w:val="none"/>
          <w:u w:val="single"/>
          <w:lang w:eastAsia="zh-CN"/>
        </w:rPr>
        <w:t>（</w:t>
      </w:r>
      <w:r>
        <w:rPr>
          <w:rFonts w:hint="eastAsia" w:ascii="Times New Roman" w:hAnsi="Times New Roman" w:cs="Times New Roman"/>
          <w:bCs/>
          <w:i w:val="0"/>
          <w:iCs w:val="0"/>
          <w:color w:val="auto"/>
          <w:spacing w:val="-10"/>
          <w:sz w:val="24"/>
          <w:highlight w:val="none"/>
          <w:u w:val="single"/>
          <w:lang w:val="en-US" w:eastAsia="zh-CN"/>
        </w:rPr>
        <w:t>2</w:t>
      </w:r>
      <w:r>
        <w:rPr>
          <w:rFonts w:hint="eastAsia" w:ascii="Times New Roman" w:hAnsi="Times New Roman" w:cs="Times New Roman"/>
          <w:bCs/>
          <w:i w:val="0"/>
          <w:iCs w:val="0"/>
          <w:color w:val="auto"/>
          <w:spacing w:val="-10"/>
          <w:sz w:val="24"/>
          <w:highlight w:val="none"/>
          <w:u w:val="single"/>
          <w:lang w:eastAsia="zh-CN"/>
        </w:rPr>
        <w:t>）</w:t>
      </w:r>
      <w:r>
        <w:rPr>
          <w:rFonts w:hint="default" w:ascii="Times New Roman" w:hAnsi="Times New Roman" w:eastAsia="宋体" w:cs="Times New Roman"/>
          <w:bCs/>
          <w:i w:val="0"/>
          <w:iCs w:val="0"/>
          <w:color w:val="auto"/>
          <w:spacing w:val="-10"/>
          <w:sz w:val="24"/>
          <w:highlight w:val="none"/>
          <w:u w:val="single"/>
        </w:rPr>
        <w:t>针对不同类别、形态、物理化学性质的危险废物，其容器和包装物应满足相应的防渗、防漏、防腐和强度等要求。</w:t>
      </w:r>
    </w:p>
    <w:p>
      <w:pPr>
        <w:adjustRightInd w:val="0"/>
        <w:snapToGrid w:val="0"/>
        <w:spacing w:line="360" w:lineRule="auto"/>
        <w:ind w:firstLine="440" w:firstLineChars="200"/>
        <w:rPr>
          <w:rFonts w:hint="default" w:ascii="Times New Roman" w:hAnsi="Times New Roman" w:eastAsia="宋体" w:cs="Times New Roman"/>
          <w:bCs/>
          <w:i w:val="0"/>
          <w:iCs w:val="0"/>
          <w:color w:val="auto"/>
          <w:spacing w:val="-10"/>
          <w:sz w:val="24"/>
          <w:highlight w:val="none"/>
          <w:u w:val="single"/>
        </w:rPr>
      </w:pPr>
      <w:r>
        <w:rPr>
          <w:rFonts w:hint="eastAsia" w:ascii="Times New Roman" w:hAnsi="Times New Roman" w:cs="Times New Roman"/>
          <w:bCs/>
          <w:i w:val="0"/>
          <w:iCs w:val="0"/>
          <w:color w:val="auto"/>
          <w:spacing w:val="-10"/>
          <w:sz w:val="24"/>
          <w:highlight w:val="none"/>
          <w:u w:val="single"/>
          <w:lang w:eastAsia="zh-CN"/>
        </w:rPr>
        <w:t>（</w:t>
      </w:r>
      <w:r>
        <w:rPr>
          <w:rFonts w:hint="eastAsia" w:ascii="Times New Roman" w:hAnsi="Times New Roman" w:cs="Times New Roman"/>
          <w:bCs/>
          <w:i w:val="0"/>
          <w:iCs w:val="0"/>
          <w:color w:val="auto"/>
          <w:spacing w:val="-10"/>
          <w:sz w:val="24"/>
          <w:highlight w:val="none"/>
          <w:u w:val="single"/>
          <w:lang w:val="en-US" w:eastAsia="zh-CN"/>
        </w:rPr>
        <w:t>3</w:t>
      </w:r>
      <w:r>
        <w:rPr>
          <w:rFonts w:hint="eastAsia" w:ascii="Times New Roman" w:hAnsi="Times New Roman" w:cs="Times New Roman"/>
          <w:bCs/>
          <w:i w:val="0"/>
          <w:iCs w:val="0"/>
          <w:color w:val="auto"/>
          <w:spacing w:val="-10"/>
          <w:sz w:val="24"/>
          <w:highlight w:val="none"/>
          <w:u w:val="single"/>
          <w:lang w:eastAsia="zh-CN"/>
        </w:rPr>
        <w:t>）</w:t>
      </w:r>
      <w:r>
        <w:rPr>
          <w:rFonts w:hint="default" w:ascii="Times New Roman" w:hAnsi="Times New Roman" w:eastAsia="宋体" w:cs="Times New Roman"/>
          <w:bCs/>
          <w:i w:val="0"/>
          <w:iCs w:val="0"/>
          <w:color w:val="auto"/>
          <w:spacing w:val="-10"/>
          <w:sz w:val="24"/>
          <w:highlight w:val="none"/>
          <w:u w:val="single"/>
        </w:rPr>
        <w:t>硬质容器和包装物及其支护结构堆叠码放时不应有明显变形，无破损泄漏。</w:t>
      </w:r>
    </w:p>
    <w:p>
      <w:pPr>
        <w:adjustRightInd w:val="0"/>
        <w:snapToGrid w:val="0"/>
        <w:spacing w:line="360" w:lineRule="auto"/>
        <w:ind w:firstLine="440" w:firstLineChars="200"/>
        <w:rPr>
          <w:rFonts w:hint="default" w:ascii="Times New Roman" w:hAnsi="Times New Roman" w:eastAsia="宋体" w:cs="Times New Roman"/>
          <w:bCs/>
          <w:i w:val="0"/>
          <w:iCs w:val="0"/>
          <w:color w:val="auto"/>
          <w:spacing w:val="-10"/>
          <w:sz w:val="24"/>
          <w:highlight w:val="none"/>
          <w:u w:val="single"/>
        </w:rPr>
      </w:pPr>
      <w:r>
        <w:rPr>
          <w:rFonts w:hint="eastAsia" w:ascii="Times New Roman" w:hAnsi="Times New Roman" w:cs="Times New Roman"/>
          <w:bCs/>
          <w:i w:val="0"/>
          <w:iCs w:val="0"/>
          <w:color w:val="auto"/>
          <w:spacing w:val="-10"/>
          <w:sz w:val="24"/>
          <w:highlight w:val="none"/>
          <w:u w:val="single"/>
          <w:lang w:eastAsia="zh-CN"/>
        </w:rPr>
        <w:t>（</w:t>
      </w:r>
      <w:r>
        <w:rPr>
          <w:rFonts w:hint="eastAsia" w:ascii="Times New Roman" w:hAnsi="Times New Roman" w:cs="Times New Roman"/>
          <w:bCs/>
          <w:i w:val="0"/>
          <w:iCs w:val="0"/>
          <w:color w:val="auto"/>
          <w:spacing w:val="-10"/>
          <w:sz w:val="24"/>
          <w:highlight w:val="none"/>
          <w:u w:val="single"/>
          <w:lang w:val="en-US" w:eastAsia="zh-CN"/>
        </w:rPr>
        <w:t>4</w:t>
      </w:r>
      <w:r>
        <w:rPr>
          <w:rFonts w:hint="eastAsia" w:ascii="Times New Roman" w:hAnsi="Times New Roman" w:cs="Times New Roman"/>
          <w:bCs/>
          <w:i w:val="0"/>
          <w:iCs w:val="0"/>
          <w:color w:val="auto"/>
          <w:spacing w:val="-10"/>
          <w:sz w:val="24"/>
          <w:highlight w:val="none"/>
          <w:u w:val="single"/>
          <w:lang w:eastAsia="zh-CN"/>
        </w:rPr>
        <w:t>）</w:t>
      </w:r>
      <w:r>
        <w:rPr>
          <w:rFonts w:hint="default" w:ascii="Times New Roman" w:hAnsi="Times New Roman" w:eastAsia="宋体" w:cs="Times New Roman"/>
          <w:bCs/>
          <w:i w:val="0"/>
          <w:iCs w:val="0"/>
          <w:color w:val="auto"/>
          <w:spacing w:val="-10"/>
          <w:sz w:val="24"/>
          <w:highlight w:val="none"/>
          <w:u w:val="single"/>
        </w:rPr>
        <w:t>柔性容器和包装物堆叠码放时应封口严密，无破损泄漏。</w:t>
      </w:r>
    </w:p>
    <w:p>
      <w:pPr>
        <w:adjustRightInd w:val="0"/>
        <w:snapToGrid w:val="0"/>
        <w:spacing w:line="360" w:lineRule="auto"/>
        <w:ind w:firstLine="440" w:firstLineChars="200"/>
        <w:rPr>
          <w:rFonts w:hint="default" w:ascii="Times New Roman" w:hAnsi="Times New Roman" w:eastAsia="宋体" w:cs="Times New Roman"/>
          <w:bCs/>
          <w:i w:val="0"/>
          <w:iCs w:val="0"/>
          <w:color w:val="auto"/>
          <w:spacing w:val="-10"/>
          <w:sz w:val="24"/>
          <w:highlight w:val="none"/>
          <w:u w:val="single"/>
        </w:rPr>
      </w:pPr>
      <w:r>
        <w:rPr>
          <w:rFonts w:hint="eastAsia" w:ascii="Times New Roman" w:hAnsi="Times New Roman" w:cs="Times New Roman"/>
          <w:bCs/>
          <w:i w:val="0"/>
          <w:iCs w:val="0"/>
          <w:color w:val="auto"/>
          <w:spacing w:val="-10"/>
          <w:sz w:val="24"/>
          <w:highlight w:val="none"/>
          <w:u w:val="single"/>
          <w:lang w:eastAsia="zh-CN"/>
        </w:rPr>
        <w:t>（</w:t>
      </w:r>
      <w:r>
        <w:rPr>
          <w:rFonts w:hint="eastAsia" w:ascii="Times New Roman" w:hAnsi="Times New Roman" w:cs="Times New Roman"/>
          <w:bCs/>
          <w:i w:val="0"/>
          <w:iCs w:val="0"/>
          <w:color w:val="auto"/>
          <w:spacing w:val="-10"/>
          <w:sz w:val="24"/>
          <w:highlight w:val="none"/>
          <w:u w:val="single"/>
          <w:lang w:val="en-US" w:eastAsia="zh-CN"/>
        </w:rPr>
        <w:t>5</w:t>
      </w:r>
      <w:r>
        <w:rPr>
          <w:rFonts w:hint="eastAsia" w:ascii="Times New Roman" w:hAnsi="Times New Roman" w:cs="Times New Roman"/>
          <w:bCs/>
          <w:i w:val="0"/>
          <w:iCs w:val="0"/>
          <w:color w:val="auto"/>
          <w:spacing w:val="-10"/>
          <w:sz w:val="24"/>
          <w:highlight w:val="none"/>
          <w:u w:val="single"/>
          <w:lang w:eastAsia="zh-CN"/>
        </w:rPr>
        <w:t>）</w:t>
      </w:r>
      <w:r>
        <w:rPr>
          <w:rFonts w:hint="default" w:ascii="Times New Roman" w:hAnsi="Times New Roman" w:eastAsia="宋体" w:cs="Times New Roman"/>
          <w:bCs/>
          <w:i w:val="0"/>
          <w:iCs w:val="0"/>
          <w:color w:val="auto"/>
          <w:spacing w:val="-10"/>
          <w:sz w:val="24"/>
          <w:highlight w:val="none"/>
          <w:u w:val="single"/>
        </w:rPr>
        <w:t>使用容器盛装液态、半固态危险废物时，容器内部应留有适当的空间，以适应因温度变化等可能引发的收缩和膨胀，防止其导致容器渗漏或永久变形。</w:t>
      </w:r>
    </w:p>
    <w:p>
      <w:pPr>
        <w:adjustRightInd w:val="0"/>
        <w:snapToGrid w:val="0"/>
        <w:spacing w:line="360" w:lineRule="auto"/>
        <w:ind w:firstLine="440" w:firstLineChars="200"/>
        <w:rPr>
          <w:rFonts w:hint="default" w:ascii="Times New Roman" w:hAnsi="Times New Roman" w:eastAsia="宋体" w:cs="Times New Roman"/>
          <w:bCs/>
          <w:i w:val="0"/>
          <w:iCs w:val="0"/>
          <w:color w:val="auto"/>
          <w:spacing w:val="-10"/>
          <w:sz w:val="24"/>
          <w:highlight w:val="none"/>
          <w:u w:val="single"/>
        </w:rPr>
      </w:pPr>
      <w:r>
        <w:rPr>
          <w:rFonts w:hint="eastAsia" w:ascii="Times New Roman" w:hAnsi="Times New Roman" w:cs="Times New Roman"/>
          <w:bCs/>
          <w:i w:val="0"/>
          <w:iCs w:val="0"/>
          <w:color w:val="auto"/>
          <w:spacing w:val="-10"/>
          <w:sz w:val="24"/>
          <w:highlight w:val="none"/>
          <w:u w:val="single"/>
          <w:lang w:eastAsia="zh-CN"/>
        </w:rPr>
        <w:t>（</w:t>
      </w:r>
      <w:r>
        <w:rPr>
          <w:rFonts w:hint="eastAsia" w:ascii="Times New Roman" w:hAnsi="Times New Roman" w:cs="Times New Roman"/>
          <w:bCs/>
          <w:i w:val="0"/>
          <w:iCs w:val="0"/>
          <w:color w:val="auto"/>
          <w:spacing w:val="-10"/>
          <w:sz w:val="24"/>
          <w:highlight w:val="none"/>
          <w:u w:val="single"/>
          <w:lang w:val="en-US" w:eastAsia="zh-CN"/>
        </w:rPr>
        <w:t>6</w:t>
      </w:r>
      <w:r>
        <w:rPr>
          <w:rFonts w:hint="eastAsia" w:ascii="Times New Roman" w:hAnsi="Times New Roman" w:cs="Times New Roman"/>
          <w:bCs/>
          <w:i w:val="0"/>
          <w:iCs w:val="0"/>
          <w:color w:val="auto"/>
          <w:spacing w:val="-10"/>
          <w:sz w:val="24"/>
          <w:highlight w:val="none"/>
          <w:u w:val="single"/>
          <w:lang w:eastAsia="zh-CN"/>
        </w:rPr>
        <w:t>）</w:t>
      </w:r>
      <w:r>
        <w:rPr>
          <w:rFonts w:hint="default" w:ascii="Times New Roman" w:hAnsi="Times New Roman" w:eastAsia="宋体" w:cs="Times New Roman"/>
          <w:bCs/>
          <w:i w:val="0"/>
          <w:iCs w:val="0"/>
          <w:color w:val="auto"/>
          <w:spacing w:val="-10"/>
          <w:sz w:val="24"/>
          <w:highlight w:val="none"/>
          <w:u w:val="single"/>
        </w:rPr>
        <w:t>容器和包装物外表面应保持清洁。</w:t>
      </w:r>
    </w:p>
    <w:p>
      <w:pPr>
        <w:adjustRightInd w:val="0"/>
        <w:snapToGrid w:val="0"/>
        <w:spacing w:line="360" w:lineRule="auto"/>
        <w:ind w:firstLine="480" w:firstLineChars="200"/>
        <w:rPr>
          <w:rFonts w:hint="default" w:ascii="Times New Roman" w:hAnsi="Times New Roman" w:eastAsia="宋体" w:cs="Times New Roman"/>
          <w:bCs/>
          <w:i w:val="0"/>
          <w:iCs w:val="0"/>
          <w:color w:val="auto"/>
          <w:spacing w:val="-10"/>
          <w:sz w:val="24"/>
          <w:highlight w:val="none"/>
          <w:u w:val="single"/>
        </w:rPr>
      </w:pPr>
      <w:r>
        <w:rPr>
          <w:rFonts w:hint="eastAsia" w:ascii="Times New Roman" w:hAnsi="Times New Roman" w:cs="Times New Roman"/>
          <w:i w:val="0"/>
          <w:iCs w:val="0"/>
          <w:color w:val="auto"/>
          <w:szCs w:val="24"/>
          <w:highlight w:val="none"/>
          <w:u w:val="single"/>
          <w:lang w:val="en-US" w:eastAsia="zh-CN"/>
        </w:rPr>
        <w:t>2</w:t>
      </w:r>
      <w:r>
        <w:rPr>
          <w:rFonts w:hint="default" w:ascii="Times New Roman" w:hAnsi="Times New Roman" w:eastAsia="宋体" w:cs="Times New Roman"/>
          <w:i w:val="0"/>
          <w:iCs w:val="0"/>
          <w:color w:val="auto"/>
          <w:szCs w:val="24"/>
          <w:highlight w:val="none"/>
          <w:u w:val="single"/>
        </w:rPr>
        <w:t>、</w:t>
      </w:r>
      <w:r>
        <w:rPr>
          <w:rFonts w:hint="default" w:ascii="Times New Roman" w:hAnsi="Times New Roman" w:eastAsia="宋体" w:cs="Times New Roman"/>
          <w:bCs/>
          <w:i w:val="0"/>
          <w:iCs w:val="0"/>
          <w:color w:val="auto"/>
          <w:spacing w:val="-10"/>
          <w:sz w:val="24"/>
          <w:highlight w:val="none"/>
          <w:u w:val="single"/>
        </w:rPr>
        <w:t>危险废物贮存设施的运行与管理按照下列要求执行：</w:t>
      </w:r>
    </w:p>
    <w:p>
      <w:pPr>
        <w:adjustRightInd w:val="0"/>
        <w:snapToGrid w:val="0"/>
        <w:spacing w:line="360" w:lineRule="auto"/>
        <w:ind w:firstLine="440" w:firstLineChars="200"/>
        <w:rPr>
          <w:rFonts w:hint="default" w:ascii="Times New Roman" w:hAnsi="Times New Roman" w:eastAsia="宋体" w:cs="Times New Roman"/>
          <w:bCs/>
          <w:i w:val="0"/>
          <w:iCs w:val="0"/>
          <w:color w:val="auto"/>
          <w:spacing w:val="-10"/>
          <w:sz w:val="24"/>
          <w:highlight w:val="none"/>
          <w:u w:val="single"/>
        </w:rPr>
      </w:pPr>
      <w:r>
        <w:rPr>
          <w:rFonts w:hint="eastAsia" w:ascii="Times New Roman" w:hAnsi="Times New Roman" w:cs="Times New Roman"/>
          <w:bCs/>
          <w:i w:val="0"/>
          <w:iCs w:val="0"/>
          <w:color w:val="auto"/>
          <w:spacing w:val="-10"/>
          <w:sz w:val="24"/>
          <w:highlight w:val="none"/>
          <w:u w:val="single"/>
          <w:lang w:eastAsia="zh-CN"/>
        </w:rPr>
        <w:t>（</w:t>
      </w:r>
      <w:r>
        <w:rPr>
          <w:rFonts w:hint="eastAsia" w:ascii="Times New Roman" w:hAnsi="Times New Roman" w:cs="Times New Roman"/>
          <w:bCs/>
          <w:i w:val="0"/>
          <w:iCs w:val="0"/>
          <w:color w:val="auto"/>
          <w:spacing w:val="-10"/>
          <w:sz w:val="24"/>
          <w:highlight w:val="none"/>
          <w:u w:val="single"/>
          <w:lang w:val="en-US" w:eastAsia="zh-CN"/>
        </w:rPr>
        <w:t>1</w:t>
      </w:r>
      <w:r>
        <w:rPr>
          <w:rFonts w:hint="eastAsia" w:ascii="Times New Roman" w:hAnsi="Times New Roman" w:cs="Times New Roman"/>
          <w:bCs/>
          <w:i w:val="0"/>
          <w:iCs w:val="0"/>
          <w:color w:val="auto"/>
          <w:spacing w:val="-10"/>
          <w:sz w:val="24"/>
          <w:highlight w:val="none"/>
          <w:u w:val="single"/>
          <w:lang w:eastAsia="zh-CN"/>
        </w:rPr>
        <w:t>）</w:t>
      </w:r>
      <w:r>
        <w:rPr>
          <w:rFonts w:hint="default" w:ascii="Times New Roman" w:hAnsi="Times New Roman" w:eastAsia="宋体" w:cs="Times New Roman"/>
          <w:bCs/>
          <w:i w:val="0"/>
          <w:iCs w:val="0"/>
          <w:color w:val="auto"/>
          <w:spacing w:val="-10"/>
          <w:sz w:val="24"/>
          <w:highlight w:val="none"/>
          <w:u w:val="single"/>
        </w:rPr>
        <w:t>危险废物存入贮存设施前应对危险废物类别和特性与危险废物标签等危险废物识别标志的一致性进行核验，不一致的或类别、特性不明的不应存入。</w:t>
      </w:r>
    </w:p>
    <w:p>
      <w:pPr>
        <w:adjustRightInd w:val="0"/>
        <w:snapToGrid w:val="0"/>
        <w:spacing w:line="360" w:lineRule="auto"/>
        <w:ind w:firstLine="440" w:firstLineChars="200"/>
        <w:rPr>
          <w:rFonts w:hint="default" w:ascii="Times New Roman" w:hAnsi="Times New Roman" w:eastAsia="宋体" w:cs="Times New Roman"/>
          <w:bCs/>
          <w:i w:val="0"/>
          <w:iCs w:val="0"/>
          <w:color w:val="auto"/>
          <w:spacing w:val="-10"/>
          <w:sz w:val="24"/>
          <w:highlight w:val="none"/>
          <w:u w:val="single"/>
        </w:rPr>
      </w:pPr>
      <w:r>
        <w:rPr>
          <w:rFonts w:hint="eastAsia" w:ascii="Times New Roman" w:hAnsi="Times New Roman" w:cs="Times New Roman"/>
          <w:bCs/>
          <w:i w:val="0"/>
          <w:iCs w:val="0"/>
          <w:color w:val="auto"/>
          <w:spacing w:val="-10"/>
          <w:sz w:val="24"/>
          <w:highlight w:val="none"/>
          <w:u w:val="single"/>
          <w:lang w:eastAsia="zh-CN"/>
        </w:rPr>
        <w:t>（</w:t>
      </w:r>
      <w:r>
        <w:rPr>
          <w:rFonts w:hint="eastAsia" w:ascii="Times New Roman" w:hAnsi="Times New Roman" w:cs="Times New Roman"/>
          <w:bCs/>
          <w:i w:val="0"/>
          <w:iCs w:val="0"/>
          <w:color w:val="auto"/>
          <w:spacing w:val="-10"/>
          <w:sz w:val="24"/>
          <w:highlight w:val="none"/>
          <w:u w:val="single"/>
          <w:lang w:val="en-US" w:eastAsia="zh-CN"/>
        </w:rPr>
        <w:t>2</w:t>
      </w:r>
      <w:r>
        <w:rPr>
          <w:rFonts w:hint="eastAsia" w:ascii="Times New Roman" w:hAnsi="Times New Roman" w:cs="Times New Roman"/>
          <w:bCs/>
          <w:i w:val="0"/>
          <w:iCs w:val="0"/>
          <w:color w:val="auto"/>
          <w:spacing w:val="-10"/>
          <w:sz w:val="24"/>
          <w:highlight w:val="none"/>
          <w:u w:val="single"/>
          <w:lang w:eastAsia="zh-CN"/>
        </w:rPr>
        <w:t>）</w:t>
      </w:r>
      <w:r>
        <w:rPr>
          <w:rFonts w:hint="default" w:ascii="Times New Roman" w:hAnsi="Times New Roman" w:eastAsia="宋体" w:cs="Times New Roman"/>
          <w:bCs/>
          <w:i w:val="0"/>
          <w:iCs w:val="0"/>
          <w:color w:val="auto"/>
          <w:spacing w:val="-10"/>
          <w:sz w:val="24"/>
          <w:highlight w:val="none"/>
          <w:u w:val="single"/>
        </w:rPr>
        <w:t>应定期检查危险废物的贮存状况，及时清理贮存设施地面，更换破损泄漏的危险废物贮存容器和包装物，保证堆存危险废物的防雨、防风、防扬尘等设施功能完好。</w:t>
      </w:r>
    </w:p>
    <w:p>
      <w:pPr>
        <w:adjustRightInd w:val="0"/>
        <w:snapToGrid w:val="0"/>
        <w:spacing w:line="360" w:lineRule="auto"/>
        <w:ind w:firstLine="440" w:firstLineChars="200"/>
        <w:rPr>
          <w:rFonts w:hint="default" w:ascii="Times New Roman" w:hAnsi="Times New Roman" w:eastAsia="宋体" w:cs="Times New Roman"/>
          <w:bCs/>
          <w:i w:val="0"/>
          <w:iCs w:val="0"/>
          <w:color w:val="auto"/>
          <w:spacing w:val="-10"/>
          <w:sz w:val="24"/>
          <w:highlight w:val="none"/>
          <w:u w:val="single"/>
        </w:rPr>
      </w:pPr>
      <w:r>
        <w:rPr>
          <w:rFonts w:hint="eastAsia" w:ascii="Times New Roman" w:hAnsi="Times New Roman" w:cs="Times New Roman"/>
          <w:bCs/>
          <w:i w:val="0"/>
          <w:iCs w:val="0"/>
          <w:color w:val="auto"/>
          <w:spacing w:val="-10"/>
          <w:sz w:val="24"/>
          <w:highlight w:val="none"/>
          <w:u w:val="single"/>
          <w:lang w:eastAsia="zh-CN"/>
        </w:rPr>
        <w:t>（</w:t>
      </w:r>
      <w:r>
        <w:rPr>
          <w:rFonts w:hint="eastAsia" w:ascii="Times New Roman" w:hAnsi="Times New Roman" w:cs="Times New Roman"/>
          <w:bCs/>
          <w:i w:val="0"/>
          <w:iCs w:val="0"/>
          <w:color w:val="auto"/>
          <w:spacing w:val="-10"/>
          <w:sz w:val="24"/>
          <w:highlight w:val="none"/>
          <w:u w:val="single"/>
          <w:lang w:val="en-US" w:eastAsia="zh-CN"/>
        </w:rPr>
        <w:t>3</w:t>
      </w:r>
      <w:r>
        <w:rPr>
          <w:rFonts w:hint="eastAsia" w:ascii="Times New Roman" w:hAnsi="Times New Roman" w:cs="Times New Roman"/>
          <w:bCs/>
          <w:i w:val="0"/>
          <w:iCs w:val="0"/>
          <w:color w:val="auto"/>
          <w:spacing w:val="-10"/>
          <w:sz w:val="24"/>
          <w:highlight w:val="none"/>
          <w:u w:val="single"/>
          <w:lang w:eastAsia="zh-CN"/>
        </w:rPr>
        <w:t>）</w:t>
      </w:r>
      <w:r>
        <w:rPr>
          <w:rFonts w:hint="default" w:ascii="Times New Roman" w:hAnsi="Times New Roman" w:eastAsia="宋体" w:cs="Times New Roman"/>
          <w:bCs/>
          <w:i w:val="0"/>
          <w:iCs w:val="0"/>
          <w:color w:val="auto"/>
          <w:spacing w:val="-10"/>
          <w:sz w:val="24"/>
          <w:highlight w:val="none"/>
          <w:u w:val="single"/>
        </w:rPr>
        <w:t>作业设备及车辆等结束作业离开贮存设施时，应对其残留的危险废物进行清理，清理的废物或清洗废水应收集处理。</w:t>
      </w:r>
    </w:p>
    <w:p>
      <w:pPr>
        <w:adjustRightInd w:val="0"/>
        <w:snapToGrid w:val="0"/>
        <w:spacing w:line="360" w:lineRule="auto"/>
        <w:ind w:firstLine="440" w:firstLineChars="200"/>
        <w:rPr>
          <w:rFonts w:hint="default" w:ascii="Times New Roman" w:hAnsi="Times New Roman" w:eastAsia="宋体" w:cs="Times New Roman"/>
          <w:bCs/>
          <w:i w:val="0"/>
          <w:iCs w:val="0"/>
          <w:color w:val="auto"/>
          <w:spacing w:val="-10"/>
          <w:sz w:val="24"/>
          <w:highlight w:val="none"/>
          <w:u w:val="single"/>
        </w:rPr>
      </w:pPr>
      <w:r>
        <w:rPr>
          <w:rFonts w:hint="eastAsia" w:ascii="Times New Roman" w:hAnsi="Times New Roman" w:cs="Times New Roman"/>
          <w:bCs/>
          <w:i w:val="0"/>
          <w:iCs w:val="0"/>
          <w:color w:val="auto"/>
          <w:spacing w:val="-10"/>
          <w:sz w:val="24"/>
          <w:highlight w:val="none"/>
          <w:u w:val="single"/>
          <w:lang w:eastAsia="zh-CN"/>
        </w:rPr>
        <w:t>（</w:t>
      </w:r>
      <w:r>
        <w:rPr>
          <w:rFonts w:hint="eastAsia" w:ascii="Times New Roman" w:hAnsi="Times New Roman" w:cs="Times New Roman"/>
          <w:bCs/>
          <w:i w:val="0"/>
          <w:iCs w:val="0"/>
          <w:color w:val="auto"/>
          <w:spacing w:val="-10"/>
          <w:sz w:val="24"/>
          <w:highlight w:val="none"/>
          <w:u w:val="single"/>
          <w:lang w:val="en-US" w:eastAsia="zh-CN"/>
        </w:rPr>
        <w:t>4</w:t>
      </w:r>
      <w:r>
        <w:rPr>
          <w:rFonts w:hint="eastAsia" w:ascii="Times New Roman" w:hAnsi="Times New Roman" w:cs="Times New Roman"/>
          <w:bCs/>
          <w:i w:val="0"/>
          <w:iCs w:val="0"/>
          <w:color w:val="auto"/>
          <w:spacing w:val="-10"/>
          <w:sz w:val="24"/>
          <w:highlight w:val="none"/>
          <w:u w:val="single"/>
          <w:lang w:eastAsia="zh-CN"/>
        </w:rPr>
        <w:t>）</w:t>
      </w:r>
      <w:r>
        <w:rPr>
          <w:rFonts w:hint="default" w:ascii="Times New Roman" w:hAnsi="Times New Roman" w:eastAsia="宋体" w:cs="Times New Roman"/>
          <w:bCs/>
          <w:i w:val="0"/>
          <w:iCs w:val="0"/>
          <w:color w:val="auto"/>
          <w:spacing w:val="-10"/>
          <w:sz w:val="24"/>
          <w:highlight w:val="none"/>
          <w:u w:val="single"/>
        </w:rPr>
        <w:t>贮存设施运行期间，应按国家有关标准和规定建立危险废物管理台账并保存。</w:t>
      </w:r>
    </w:p>
    <w:p>
      <w:pPr>
        <w:adjustRightInd w:val="0"/>
        <w:snapToGrid w:val="0"/>
        <w:spacing w:line="360" w:lineRule="auto"/>
        <w:ind w:firstLine="440" w:firstLineChars="200"/>
        <w:rPr>
          <w:rFonts w:hint="default" w:ascii="Times New Roman" w:hAnsi="Times New Roman" w:eastAsia="宋体" w:cs="Times New Roman"/>
          <w:bCs/>
          <w:i w:val="0"/>
          <w:iCs w:val="0"/>
          <w:color w:val="auto"/>
          <w:spacing w:val="-10"/>
          <w:sz w:val="24"/>
          <w:highlight w:val="none"/>
          <w:u w:val="single"/>
        </w:rPr>
      </w:pPr>
      <w:r>
        <w:rPr>
          <w:rFonts w:hint="eastAsia" w:ascii="Times New Roman" w:hAnsi="Times New Roman" w:cs="Times New Roman"/>
          <w:bCs/>
          <w:i w:val="0"/>
          <w:iCs w:val="0"/>
          <w:color w:val="auto"/>
          <w:spacing w:val="-10"/>
          <w:sz w:val="24"/>
          <w:highlight w:val="none"/>
          <w:u w:val="single"/>
          <w:lang w:eastAsia="zh-CN"/>
        </w:rPr>
        <w:t>（</w:t>
      </w:r>
      <w:r>
        <w:rPr>
          <w:rFonts w:hint="eastAsia" w:ascii="Times New Roman" w:hAnsi="Times New Roman" w:cs="Times New Roman"/>
          <w:bCs/>
          <w:i w:val="0"/>
          <w:iCs w:val="0"/>
          <w:color w:val="auto"/>
          <w:spacing w:val="-10"/>
          <w:sz w:val="24"/>
          <w:highlight w:val="none"/>
          <w:u w:val="single"/>
          <w:lang w:val="en-US" w:eastAsia="zh-CN"/>
        </w:rPr>
        <w:t>5</w:t>
      </w:r>
      <w:r>
        <w:rPr>
          <w:rFonts w:hint="eastAsia" w:ascii="Times New Roman" w:hAnsi="Times New Roman" w:cs="Times New Roman"/>
          <w:bCs/>
          <w:i w:val="0"/>
          <w:iCs w:val="0"/>
          <w:color w:val="auto"/>
          <w:spacing w:val="-10"/>
          <w:sz w:val="24"/>
          <w:highlight w:val="none"/>
          <w:u w:val="single"/>
          <w:lang w:eastAsia="zh-CN"/>
        </w:rPr>
        <w:t>）</w:t>
      </w:r>
      <w:r>
        <w:rPr>
          <w:rFonts w:hint="default" w:ascii="Times New Roman" w:hAnsi="Times New Roman" w:eastAsia="宋体" w:cs="Times New Roman"/>
          <w:bCs/>
          <w:i w:val="0"/>
          <w:iCs w:val="0"/>
          <w:color w:val="auto"/>
          <w:spacing w:val="-10"/>
          <w:sz w:val="24"/>
          <w:highlight w:val="none"/>
          <w:u w:val="single"/>
        </w:rPr>
        <w:t xml:space="preserve"> 贮存设施所有者或运营者应建立贮存设施环境管理制度、管理人员岗位职责制度、设施运行操作制度、人员岗位培训制度等。</w:t>
      </w:r>
    </w:p>
    <w:p>
      <w:pPr>
        <w:adjustRightInd w:val="0"/>
        <w:snapToGrid w:val="0"/>
        <w:spacing w:line="360" w:lineRule="auto"/>
        <w:ind w:firstLine="440" w:firstLineChars="200"/>
        <w:rPr>
          <w:rFonts w:hint="default" w:ascii="Times New Roman" w:hAnsi="Times New Roman" w:eastAsia="宋体" w:cs="Times New Roman"/>
          <w:bCs/>
          <w:i w:val="0"/>
          <w:iCs w:val="0"/>
          <w:color w:val="auto"/>
          <w:spacing w:val="-10"/>
          <w:sz w:val="24"/>
          <w:highlight w:val="none"/>
          <w:u w:val="single"/>
        </w:rPr>
      </w:pPr>
      <w:r>
        <w:rPr>
          <w:rFonts w:hint="eastAsia" w:ascii="Times New Roman" w:hAnsi="Times New Roman" w:cs="Times New Roman"/>
          <w:bCs/>
          <w:i w:val="0"/>
          <w:iCs w:val="0"/>
          <w:color w:val="auto"/>
          <w:spacing w:val="-10"/>
          <w:sz w:val="24"/>
          <w:highlight w:val="none"/>
          <w:u w:val="single"/>
          <w:lang w:eastAsia="zh-CN"/>
        </w:rPr>
        <w:t>（</w:t>
      </w:r>
      <w:r>
        <w:rPr>
          <w:rFonts w:hint="eastAsia" w:ascii="Times New Roman" w:hAnsi="Times New Roman" w:cs="Times New Roman"/>
          <w:bCs/>
          <w:i w:val="0"/>
          <w:iCs w:val="0"/>
          <w:color w:val="auto"/>
          <w:spacing w:val="-10"/>
          <w:sz w:val="24"/>
          <w:highlight w:val="none"/>
          <w:u w:val="single"/>
          <w:lang w:val="en-US" w:eastAsia="zh-CN"/>
        </w:rPr>
        <w:t>6</w:t>
      </w:r>
      <w:r>
        <w:rPr>
          <w:rFonts w:hint="eastAsia" w:ascii="Times New Roman" w:hAnsi="Times New Roman" w:cs="Times New Roman"/>
          <w:bCs/>
          <w:i w:val="0"/>
          <w:iCs w:val="0"/>
          <w:color w:val="auto"/>
          <w:spacing w:val="-10"/>
          <w:sz w:val="24"/>
          <w:highlight w:val="none"/>
          <w:u w:val="single"/>
          <w:lang w:eastAsia="zh-CN"/>
        </w:rPr>
        <w:t>）</w:t>
      </w:r>
      <w:r>
        <w:rPr>
          <w:rFonts w:hint="default" w:ascii="Times New Roman" w:hAnsi="Times New Roman" w:eastAsia="宋体" w:cs="Times New Roman"/>
          <w:bCs/>
          <w:i w:val="0"/>
          <w:iCs w:val="0"/>
          <w:color w:val="auto"/>
          <w:spacing w:val="-10"/>
          <w:sz w:val="24"/>
          <w:highlight w:val="none"/>
          <w:u w:val="single"/>
        </w:rPr>
        <w:t>贮存设施所有者或运营者应依据国家土壤和地下水污染防治的有关规定，结合贮存设施特点建立土壤和地下水污染隐患排查制度，并定期开展隐患排查；发现隐患应及时采取措施消除隐患，并建立档案。</w:t>
      </w:r>
    </w:p>
    <w:p>
      <w:pPr>
        <w:adjustRightInd w:val="0"/>
        <w:snapToGrid w:val="0"/>
        <w:spacing w:line="360" w:lineRule="auto"/>
        <w:ind w:firstLine="440" w:firstLineChars="200"/>
        <w:rPr>
          <w:rFonts w:hint="default" w:ascii="Times New Roman" w:hAnsi="Times New Roman" w:eastAsia="宋体" w:cs="Times New Roman"/>
          <w:bCs/>
          <w:i w:val="0"/>
          <w:iCs w:val="0"/>
          <w:color w:val="auto"/>
          <w:spacing w:val="-10"/>
          <w:sz w:val="24"/>
          <w:highlight w:val="none"/>
          <w:u w:val="single"/>
        </w:rPr>
      </w:pPr>
      <w:r>
        <w:rPr>
          <w:rFonts w:hint="default" w:ascii="Times New Roman" w:hAnsi="Times New Roman" w:eastAsia="宋体" w:cs="Times New Roman"/>
          <w:bCs/>
          <w:i w:val="0"/>
          <w:iCs w:val="0"/>
          <w:color w:val="auto"/>
          <w:spacing w:val="-10"/>
          <w:sz w:val="24"/>
          <w:highlight w:val="none"/>
          <w:u w:val="single"/>
        </w:rPr>
        <w:t>7）贮存设施所有者或运营者应建立贮存设施全部档案，包括设计、施工、验收、运行、监测和环境应急等，应按国家有关档案管理的法律法规进行整理和归档。</w:t>
      </w:r>
    </w:p>
    <w:p>
      <w:pPr>
        <w:adjustRightInd w:val="0"/>
        <w:snapToGrid w:val="0"/>
        <w:spacing w:line="360" w:lineRule="auto"/>
        <w:ind w:firstLine="440" w:firstLineChars="200"/>
        <w:rPr>
          <w:rFonts w:hint="default" w:ascii="Times New Roman" w:hAnsi="Times New Roman" w:eastAsia="宋体" w:cs="Times New Roman"/>
          <w:bCs/>
          <w:i w:val="0"/>
          <w:iCs w:val="0"/>
          <w:color w:val="auto"/>
          <w:spacing w:val="-10"/>
          <w:sz w:val="24"/>
          <w:highlight w:val="none"/>
          <w:u w:val="single"/>
        </w:rPr>
      </w:pPr>
      <w:r>
        <w:rPr>
          <w:rFonts w:hint="default" w:ascii="Times New Roman" w:hAnsi="Times New Roman" w:eastAsia="宋体" w:cs="Times New Roman"/>
          <w:bCs/>
          <w:i w:val="0"/>
          <w:iCs w:val="0"/>
          <w:color w:val="auto"/>
          <w:spacing w:val="-10"/>
          <w:sz w:val="24"/>
          <w:highlight w:val="none"/>
          <w:u w:val="single"/>
        </w:rPr>
        <w:t>综上，采用上述废物处置方式后，拟建项目所产生的固废物均得到有效处理处置，对区域环境无显著不利影响。</w:t>
      </w:r>
    </w:p>
    <w:p>
      <w:pPr>
        <w:spacing w:line="360" w:lineRule="auto"/>
        <w:ind w:firstLine="480" w:firstLineChars="200"/>
        <w:rPr>
          <w:rFonts w:hint="eastAsia"/>
          <w:i w:val="0"/>
          <w:iCs w:val="0"/>
        </w:rPr>
      </w:pPr>
    </w:p>
    <w:p>
      <w:pPr>
        <w:spacing w:line="360" w:lineRule="auto"/>
        <w:rPr>
          <w:i w:val="0"/>
          <w:iCs w:val="0"/>
        </w:rPr>
        <w:sectPr>
          <w:pgSz w:w="11907" w:h="16840"/>
          <w:pgMar w:top="1304" w:right="1418" w:bottom="1304" w:left="1418" w:header="851" w:footer="851" w:gutter="0"/>
          <w:pgBorders>
            <w:top w:val="none" w:sz="0" w:space="0"/>
            <w:left w:val="none" w:sz="0" w:space="0"/>
            <w:bottom w:val="none" w:sz="0" w:space="0"/>
            <w:right w:val="none" w:sz="0" w:space="0"/>
          </w:pgBorders>
          <w:pgNumType w:fmt="decimal"/>
          <w:cols w:space="720" w:num="1"/>
          <w:docGrid w:linePitch="312" w:charSpace="0"/>
        </w:sectPr>
      </w:pPr>
    </w:p>
    <w:bookmarkEnd w:id="92"/>
    <w:p>
      <w:pPr>
        <w:pStyle w:val="3"/>
        <w:spacing w:before="120" w:after="360" w:line="360" w:lineRule="auto"/>
        <w:jc w:val="center"/>
        <w:rPr>
          <w:b w:val="0"/>
          <w:i w:val="0"/>
          <w:iCs w:val="0"/>
          <w:sz w:val="28"/>
          <w:szCs w:val="28"/>
        </w:rPr>
      </w:pPr>
      <w:bookmarkStart w:id="172" w:name="_Toc244238482"/>
      <w:bookmarkStart w:id="173" w:name="_Toc31912"/>
      <w:r>
        <w:rPr>
          <w:i w:val="0"/>
          <w:iCs w:val="0"/>
          <w:sz w:val="36"/>
        </w:rPr>
        <w:t>第</w:t>
      </w:r>
      <w:r>
        <w:rPr>
          <w:rFonts w:hint="eastAsia"/>
          <w:i w:val="0"/>
          <w:iCs w:val="0"/>
          <w:sz w:val="36"/>
        </w:rPr>
        <w:t>六</w:t>
      </w:r>
      <w:r>
        <w:rPr>
          <w:i w:val="0"/>
          <w:iCs w:val="0"/>
          <w:sz w:val="36"/>
        </w:rPr>
        <w:t>章</w:t>
      </w:r>
      <w:bookmarkEnd w:id="172"/>
      <w:bookmarkStart w:id="174" w:name="_Hlt196646060"/>
      <w:bookmarkEnd w:id="174"/>
      <w:bookmarkStart w:id="175" w:name="_Hlt204334677"/>
      <w:bookmarkEnd w:id="175"/>
      <w:bookmarkStart w:id="176" w:name="_Hlt199313855"/>
      <w:bookmarkEnd w:id="176"/>
      <w:bookmarkStart w:id="177" w:name="_Hlt197152316"/>
      <w:bookmarkEnd w:id="177"/>
      <w:bookmarkStart w:id="178" w:name="_Toc244238484"/>
      <w:bookmarkStart w:id="179" w:name="_Toc195769837"/>
      <w:r>
        <w:rPr>
          <w:rFonts w:hint="eastAsia"/>
          <w:i w:val="0"/>
          <w:iCs w:val="0"/>
          <w:sz w:val="36"/>
        </w:rPr>
        <w:t>环境保护措施及其可行性论证</w:t>
      </w:r>
      <w:bookmarkEnd w:id="173"/>
    </w:p>
    <w:p>
      <w:pPr>
        <w:pStyle w:val="4"/>
        <w:rPr>
          <w:rFonts w:ascii="Times New Roman" w:hAnsi="Times New Roman" w:eastAsia="宋体"/>
          <w:b/>
          <w:i w:val="0"/>
          <w:iCs w:val="0"/>
          <w:sz w:val="28"/>
          <w:szCs w:val="28"/>
        </w:rPr>
      </w:pPr>
      <w:bookmarkStart w:id="180" w:name="_Toc30557"/>
      <w:r>
        <w:rPr>
          <w:rFonts w:hint="eastAsia" w:ascii="Times New Roman" w:hAnsi="Times New Roman" w:eastAsia="宋体"/>
          <w:b/>
          <w:i w:val="0"/>
          <w:iCs w:val="0"/>
          <w:sz w:val="28"/>
          <w:szCs w:val="28"/>
        </w:rPr>
        <w:t>6</w:t>
      </w:r>
      <w:r>
        <w:rPr>
          <w:rFonts w:ascii="Times New Roman" w:hAnsi="Times New Roman" w:eastAsia="宋体"/>
          <w:b/>
          <w:i w:val="0"/>
          <w:iCs w:val="0"/>
          <w:sz w:val="28"/>
          <w:szCs w:val="28"/>
        </w:rPr>
        <w:t>.1施工期污染防治措施</w:t>
      </w:r>
      <w:bookmarkEnd w:id="178"/>
      <w:bookmarkEnd w:id="179"/>
      <w:bookmarkEnd w:id="180"/>
      <w:bookmarkStart w:id="181" w:name="_Hlt197227680"/>
      <w:bookmarkEnd w:id="181"/>
    </w:p>
    <w:p>
      <w:pPr>
        <w:pStyle w:val="412"/>
        <w:adjustRightInd w:val="0"/>
        <w:snapToGrid w:val="0"/>
        <w:spacing w:beforeLines="0" w:afterLines="0"/>
        <w:jc w:val="both"/>
        <w:outlineLvl w:val="2"/>
        <w:rPr>
          <w:rFonts w:ascii="Times New Roman" w:hAnsi="Times New Roman" w:cs="Times New Roman"/>
          <w:b/>
          <w:i w:val="0"/>
          <w:iCs w:val="0"/>
          <w:sz w:val="24"/>
          <w:szCs w:val="24"/>
        </w:rPr>
      </w:pPr>
      <w:bookmarkStart w:id="182" w:name="_Toc31815"/>
      <w:bookmarkStart w:id="183" w:name="_Toc461818924"/>
      <w:bookmarkStart w:id="184" w:name="_Toc25124"/>
      <w:r>
        <w:rPr>
          <w:rFonts w:ascii="Times New Roman" w:hAnsi="Times New Roman" w:cs="Times New Roman"/>
          <w:b/>
          <w:i w:val="0"/>
          <w:iCs w:val="0"/>
          <w:sz w:val="24"/>
          <w:szCs w:val="24"/>
        </w:rPr>
        <w:t>6.1.1施工期废气污染防治措施</w:t>
      </w:r>
      <w:bookmarkEnd w:id="182"/>
      <w:bookmarkEnd w:id="183"/>
      <w:bookmarkEnd w:id="184"/>
    </w:p>
    <w:p>
      <w:pPr>
        <w:widowControl/>
        <w:adjustRightInd w:val="0"/>
        <w:snapToGrid w:val="0"/>
        <w:spacing w:line="360" w:lineRule="auto"/>
        <w:ind w:firstLine="480" w:firstLineChars="200"/>
        <w:rPr>
          <w:i w:val="0"/>
          <w:iCs w:val="0"/>
          <w:kern w:val="0"/>
        </w:rPr>
      </w:pPr>
      <w:r>
        <w:rPr>
          <w:i w:val="0"/>
          <w:iCs w:val="0"/>
          <w:kern w:val="0"/>
        </w:rPr>
        <w:t>项目施工期废气主要是施工扬尘、物料堆场产生的扬尘及施工车辆汽车尾气，环评单位根据《防治城市扬尘污染技术规范》提出如下施工废气污染防治措施：</w:t>
      </w:r>
    </w:p>
    <w:p>
      <w:pPr>
        <w:widowControl/>
        <w:adjustRightInd w:val="0"/>
        <w:snapToGrid w:val="0"/>
        <w:spacing w:line="360" w:lineRule="auto"/>
        <w:ind w:firstLine="480" w:firstLineChars="200"/>
        <w:rPr>
          <w:i w:val="0"/>
          <w:iCs w:val="0"/>
          <w:kern w:val="0"/>
        </w:rPr>
      </w:pPr>
      <w:r>
        <w:rPr>
          <w:i w:val="0"/>
          <w:iCs w:val="0"/>
          <w:kern w:val="0"/>
        </w:rPr>
        <w:t>（1）施工标志牌的规格和内容。施工期间，施工单位应根据《建设工程施工现场管理规定》的规定设置现场平面布置图、工程概况牌、安全生产牌、消防保卫牌、文明施工牌、环境保护牌、管理人员名单及监督电话牌等。</w:t>
      </w:r>
    </w:p>
    <w:p>
      <w:pPr>
        <w:widowControl/>
        <w:adjustRightInd w:val="0"/>
        <w:snapToGrid w:val="0"/>
        <w:spacing w:line="360" w:lineRule="auto"/>
        <w:ind w:firstLine="480" w:firstLineChars="200"/>
        <w:rPr>
          <w:i w:val="0"/>
          <w:iCs w:val="0"/>
          <w:kern w:val="0"/>
        </w:rPr>
      </w:pPr>
      <w:r>
        <w:rPr>
          <w:i w:val="0"/>
          <w:iCs w:val="0"/>
          <w:kern w:val="0"/>
        </w:rPr>
        <w:t>（2）围挡、围栏及防溢座的设置。施工期间，施工工地边界应设置高度2.5m以上的围挡，以上围挡高度可视地方管理要求适当增加。围挡底端应设置防溢座，围挡之间以及围挡与防溢座之间无缝隙。对于特殊地点无法设置围挡、围栏及防溢座的，应设置警示牌。</w:t>
      </w:r>
    </w:p>
    <w:p>
      <w:pPr>
        <w:widowControl/>
        <w:adjustRightInd w:val="0"/>
        <w:snapToGrid w:val="0"/>
        <w:spacing w:line="360" w:lineRule="auto"/>
        <w:ind w:firstLine="480" w:firstLineChars="200"/>
        <w:rPr>
          <w:i w:val="0"/>
          <w:iCs w:val="0"/>
          <w:kern w:val="0"/>
        </w:rPr>
      </w:pPr>
      <w:r>
        <w:rPr>
          <w:i w:val="0"/>
          <w:iCs w:val="0"/>
          <w:kern w:val="0"/>
        </w:rPr>
        <w:t>（3）土方工程防尘措施。土方工程包括土的开挖、运输和填筑等施工过程，有时还需进行排水、降水、土壁支撑等准备工作。遇到干燥、易起尘的土方工程作业时，应辅以洒水压尘，尽量缩短起尘操作时间。遇到四级或四级以上大风天气，应停止土方作业，同时作业处覆以防尘网。</w:t>
      </w:r>
    </w:p>
    <w:p>
      <w:pPr>
        <w:widowControl/>
        <w:adjustRightInd w:val="0"/>
        <w:snapToGrid w:val="0"/>
        <w:spacing w:line="360" w:lineRule="auto"/>
        <w:ind w:firstLine="480" w:firstLineChars="200"/>
        <w:rPr>
          <w:i w:val="0"/>
          <w:iCs w:val="0"/>
          <w:kern w:val="0"/>
        </w:rPr>
      </w:pPr>
      <w:r>
        <w:rPr>
          <w:i w:val="0"/>
          <w:iCs w:val="0"/>
          <w:kern w:val="0"/>
        </w:rPr>
        <w:t>（4）建筑材料的防尘管理措施。施工过程中使用水泥、石灰、砂石、涂料、铺装材料等易产生扬尘的建筑材料，应采取下列措施之一：</w:t>
      </w:r>
    </w:p>
    <w:p>
      <w:pPr>
        <w:widowControl/>
        <w:adjustRightInd w:val="0"/>
        <w:snapToGrid w:val="0"/>
        <w:spacing w:line="360" w:lineRule="auto"/>
        <w:ind w:firstLine="480" w:firstLineChars="200"/>
        <w:rPr>
          <w:i w:val="0"/>
          <w:iCs w:val="0"/>
          <w:kern w:val="0"/>
        </w:rPr>
      </w:pPr>
      <w:r>
        <w:rPr>
          <w:i w:val="0"/>
          <w:iCs w:val="0"/>
          <w:kern w:val="0"/>
        </w:rPr>
        <w:t>①密闭存储；</w:t>
      </w:r>
    </w:p>
    <w:p>
      <w:pPr>
        <w:widowControl/>
        <w:adjustRightInd w:val="0"/>
        <w:snapToGrid w:val="0"/>
        <w:spacing w:line="360" w:lineRule="auto"/>
        <w:ind w:firstLine="480" w:firstLineChars="200"/>
        <w:rPr>
          <w:i w:val="0"/>
          <w:iCs w:val="0"/>
          <w:kern w:val="0"/>
        </w:rPr>
      </w:pPr>
      <w:r>
        <w:rPr>
          <w:i w:val="0"/>
          <w:iCs w:val="0"/>
          <w:kern w:val="0"/>
        </w:rPr>
        <w:t>②设置围挡或堆砌围墙；</w:t>
      </w:r>
    </w:p>
    <w:p>
      <w:pPr>
        <w:widowControl/>
        <w:adjustRightInd w:val="0"/>
        <w:snapToGrid w:val="0"/>
        <w:spacing w:line="360" w:lineRule="auto"/>
        <w:ind w:firstLine="480" w:firstLineChars="200"/>
        <w:rPr>
          <w:i w:val="0"/>
          <w:iCs w:val="0"/>
          <w:kern w:val="0"/>
        </w:rPr>
      </w:pPr>
      <w:r>
        <w:rPr>
          <w:i w:val="0"/>
          <w:iCs w:val="0"/>
          <w:kern w:val="0"/>
        </w:rPr>
        <w:t>③采用防尘布苫盖；</w:t>
      </w:r>
    </w:p>
    <w:p>
      <w:pPr>
        <w:widowControl/>
        <w:adjustRightInd w:val="0"/>
        <w:snapToGrid w:val="0"/>
        <w:spacing w:line="360" w:lineRule="auto"/>
        <w:ind w:firstLine="480" w:firstLineChars="200"/>
        <w:rPr>
          <w:i w:val="0"/>
          <w:iCs w:val="0"/>
          <w:kern w:val="0"/>
        </w:rPr>
      </w:pPr>
      <w:r>
        <w:rPr>
          <w:i w:val="0"/>
          <w:iCs w:val="0"/>
          <w:kern w:val="0"/>
        </w:rPr>
        <w:t>④其他有效的防尘措施。</w:t>
      </w:r>
    </w:p>
    <w:p>
      <w:pPr>
        <w:widowControl/>
        <w:adjustRightInd w:val="0"/>
        <w:snapToGrid w:val="0"/>
        <w:spacing w:line="360" w:lineRule="auto"/>
        <w:ind w:firstLine="480" w:firstLineChars="200"/>
        <w:rPr>
          <w:i w:val="0"/>
          <w:iCs w:val="0"/>
          <w:kern w:val="0"/>
        </w:rPr>
      </w:pPr>
      <w:r>
        <w:rPr>
          <w:i w:val="0"/>
          <w:iCs w:val="0"/>
          <w:kern w:val="0"/>
        </w:rPr>
        <w:t>（5）建筑垃圾的防尘管理措施。施工工程中产生的弃土、弃料及其他建筑垃圾，应及时清运。若在工地内堆置超过一周的，则应采取下列措施之一，防止风蚀起尘及水蚀迁移：</w:t>
      </w:r>
    </w:p>
    <w:p>
      <w:pPr>
        <w:widowControl/>
        <w:adjustRightInd w:val="0"/>
        <w:snapToGrid w:val="0"/>
        <w:spacing w:line="360" w:lineRule="auto"/>
        <w:ind w:firstLine="480" w:firstLineChars="200"/>
        <w:rPr>
          <w:i w:val="0"/>
          <w:iCs w:val="0"/>
          <w:kern w:val="0"/>
        </w:rPr>
      </w:pPr>
      <w:r>
        <w:rPr>
          <w:i w:val="0"/>
          <w:iCs w:val="0"/>
          <w:kern w:val="0"/>
        </w:rPr>
        <w:t>①覆盖防尘布、防尘网；</w:t>
      </w:r>
    </w:p>
    <w:p>
      <w:pPr>
        <w:widowControl/>
        <w:adjustRightInd w:val="0"/>
        <w:snapToGrid w:val="0"/>
        <w:spacing w:line="360" w:lineRule="auto"/>
        <w:ind w:firstLine="480" w:firstLineChars="200"/>
        <w:rPr>
          <w:i w:val="0"/>
          <w:iCs w:val="0"/>
          <w:kern w:val="0"/>
        </w:rPr>
      </w:pPr>
      <w:r>
        <w:rPr>
          <w:i w:val="0"/>
          <w:iCs w:val="0"/>
          <w:kern w:val="0"/>
        </w:rPr>
        <w:t>②定期喷洒抑尘剂；</w:t>
      </w:r>
    </w:p>
    <w:p>
      <w:pPr>
        <w:widowControl/>
        <w:adjustRightInd w:val="0"/>
        <w:snapToGrid w:val="0"/>
        <w:spacing w:line="360" w:lineRule="auto"/>
        <w:ind w:firstLine="480" w:firstLineChars="200"/>
        <w:rPr>
          <w:i w:val="0"/>
          <w:iCs w:val="0"/>
          <w:kern w:val="0"/>
        </w:rPr>
      </w:pPr>
      <w:r>
        <w:rPr>
          <w:i w:val="0"/>
          <w:iCs w:val="0"/>
          <w:kern w:val="0"/>
        </w:rPr>
        <w:t>③定期喷水压尘；</w:t>
      </w:r>
    </w:p>
    <w:p>
      <w:pPr>
        <w:widowControl/>
        <w:adjustRightInd w:val="0"/>
        <w:snapToGrid w:val="0"/>
        <w:spacing w:line="360" w:lineRule="auto"/>
        <w:ind w:firstLine="480" w:firstLineChars="200"/>
        <w:rPr>
          <w:i w:val="0"/>
          <w:iCs w:val="0"/>
          <w:kern w:val="0"/>
        </w:rPr>
      </w:pPr>
      <w:r>
        <w:rPr>
          <w:i w:val="0"/>
          <w:iCs w:val="0"/>
          <w:kern w:val="0"/>
        </w:rPr>
        <w:t>④其他有效的防尘措施。</w:t>
      </w:r>
    </w:p>
    <w:p>
      <w:pPr>
        <w:widowControl/>
        <w:adjustRightInd w:val="0"/>
        <w:snapToGrid w:val="0"/>
        <w:spacing w:line="360" w:lineRule="auto"/>
        <w:ind w:firstLine="480" w:firstLineChars="200"/>
        <w:rPr>
          <w:i w:val="0"/>
          <w:iCs w:val="0"/>
          <w:kern w:val="0"/>
        </w:rPr>
      </w:pPr>
      <w:r>
        <w:rPr>
          <w:i w:val="0"/>
          <w:iCs w:val="0"/>
          <w:kern w:val="0"/>
        </w:rPr>
        <w:t>（6）设置洗车平台，完善排水设施，防止泥土粘带。施工期间，应在物料、渣土、垃圾运输车辆的出口内侧设置洗车平台，车辆驶离工地前，应在洗车平台清洗轮胎及车身，不得带泥上路。洗车平台四周应设置防溢座、废水导流渠、废水收集池、沉砂池及其它防治设施，收集洗车、施工以及降水过程中产生的废水和泥浆。工地出口处铺装道路上可见粘带泥土不得超过10m，并应及时清扫冲洗。</w:t>
      </w:r>
    </w:p>
    <w:p>
      <w:pPr>
        <w:widowControl/>
        <w:adjustRightInd w:val="0"/>
        <w:snapToGrid w:val="0"/>
        <w:spacing w:line="360" w:lineRule="auto"/>
        <w:ind w:firstLine="480" w:firstLineChars="200"/>
        <w:rPr>
          <w:i w:val="0"/>
          <w:iCs w:val="0"/>
          <w:kern w:val="0"/>
        </w:rPr>
      </w:pPr>
      <w:r>
        <w:rPr>
          <w:i w:val="0"/>
          <w:iCs w:val="0"/>
          <w:kern w:val="0"/>
        </w:rPr>
        <w:t>（7）进出工地的物料、渣土、垃圾运输车辆的防尘措施、运输路线和时间。进出工地的物料、渣土、垃圾运输车辆，应尽可能采用密闭车斗，并保证物料不遗撒外漏。若无密闭车斗，物料、垃圾、渣土的装载高度不得超过车辆槽帮上沿，车斗应用苫布遮盖严实。苫布边缘至少要遮住槽帮上沿以下15cm，保证物料、渣土、垃圾等不露出。车辆应按照批准的路线和时间进行物料、渣土、垃圾的运输。</w:t>
      </w:r>
    </w:p>
    <w:p>
      <w:pPr>
        <w:widowControl/>
        <w:adjustRightInd w:val="0"/>
        <w:snapToGrid w:val="0"/>
        <w:spacing w:line="360" w:lineRule="auto"/>
        <w:ind w:firstLine="480" w:firstLineChars="200"/>
        <w:rPr>
          <w:i w:val="0"/>
          <w:iCs w:val="0"/>
          <w:kern w:val="0"/>
        </w:rPr>
      </w:pPr>
      <w:r>
        <w:rPr>
          <w:i w:val="0"/>
          <w:iCs w:val="0"/>
          <w:kern w:val="0"/>
        </w:rPr>
        <w:t>（8）施工工地道路防尘措施。施工期间，施工工地内及工地出口至铺装道路间的车行道路，应采取下列措施之一，并保持路面清洁，防止机动车扬尘：</w:t>
      </w:r>
    </w:p>
    <w:p>
      <w:pPr>
        <w:widowControl/>
        <w:adjustRightInd w:val="0"/>
        <w:snapToGrid w:val="0"/>
        <w:spacing w:line="360" w:lineRule="auto"/>
        <w:ind w:firstLine="480" w:firstLineChars="200"/>
        <w:rPr>
          <w:i w:val="0"/>
          <w:iCs w:val="0"/>
          <w:kern w:val="0"/>
        </w:rPr>
      </w:pPr>
      <w:r>
        <w:rPr>
          <w:i w:val="0"/>
          <w:iCs w:val="0"/>
          <w:kern w:val="0"/>
        </w:rPr>
        <w:t>①铺设钢板；</w:t>
      </w:r>
    </w:p>
    <w:p>
      <w:pPr>
        <w:widowControl/>
        <w:adjustRightInd w:val="0"/>
        <w:snapToGrid w:val="0"/>
        <w:spacing w:line="360" w:lineRule="auto"/>
        <w:ind w:firstLine="480" w:firstLineChars="200"/>
        <w:rPr>
          <w:i w:val="0"/>
          <w:iCs w:val="0"/>
          <w:kern w:val="0"/>
        </w:rPr>
      </w:pPr>
      <w:r>
        <w:rPr>
          <w:i w:val="0"/>
          <w:iCs w:val="0"/>
          <w:kern w:val="0"/>
        </w:rPr>
        <w:t>②铺设水泥混凝土；</w:t>
      </w:r>
    </w:p>
    <w:p>
      <w:pPr>
        <w:widowControl/>
        <w:adjustRightInd w:val="0"/>
        <w:snapToGrid w:val="0"/>
        <w:spacing w:line="360" w:lineRule="auto"/>
        <w:ind w:firstLine="480" w:firstLineChars="200"/>
        <w:rPr>
          <w:i w:val="0"/>
          <w:iCs w:val="0"/>
          <w:kern w:val="0"/>
        </w:rPr>
      </w:pPr>
      <w:r>
        <w:rPr>
          <w:i w:val="0"/>
          <w:iCs w:val="0"/>
          <w:kern w:val="0"/>
        </w:rPr>
        <w:t>③铺设沥青混凝土；</w:t>
      </w:r>
    </w:p>
    <w:p>
      <w:pPr>
        <w:widowControl/>
        <w:adjustRightInd w:val="0"/>
        <w:snapToGrid w:val="0"/>
        <w:spacing w:line="360" w:lineRule="auto"/>
        <w:ind w:firstLine="480" w:firstLineChars="200"/>
        <w:rPr>
          <w:i w:val="0"/>
          <w:iCs w:val="0"/>
          <w:kern w:val="0"/>
        </w:rPr>
      </w:pPr>
      <w:r>
        <w:rPr>
          <w:i w:val="0"/>
          <w:iCs w:val="0"/>
          <w:kern w:val="0"/>
        </w:rPr>
        <w:t>④铺设用礁渣、细石或其它功能相当的材料等，并辅以洒水、喷洒抑尘剂等措施。</w:t>
      </w:r>
    </w:p>
    <w:p>
      <w:pPr>
        <w:widowControl/>
        <w:adjustRightInd w:val="0"/>
        <w:snapToGrid w:val="0"/>
        <w:spacing w:line="360" w:lineRule="auto"/>
        <w:ind w:firstLine="480" w:firstLineChars="200"/>
        <w:rPr>
          <w:i w:val="0"/>
          <w:iCs w:val="0"/>
          <w:kern w:val="0"/>
        </w:rPr>
      </w:pPr>
      <w:r>
        <w:rPr>
          <w:i w:val="0"/>
          <w:iCs w:val="0"/>
          <w:kern w:val="0"/>
        </w:rPr>
        <w:t>⑤其他有效的防尘措施。</w:t>
      </w:r>
    </w:p>
    <w:p>
      <w:pPr>
        <w:widowControl/>
        <w:adjustRightInd w:val="0"/>
        <w:snapToGrid w:val="0"/>
        <w:spacing w:line="360" w:lineRule="auto"/>
        <w:ind w:firstLine="480" w:firstLineChars="200"/>
        <w:rPr>
          <w:i w:val="0"/>
          <w:iCs w:val="0"/>
          <w:kern w:val="0"/>
        </w:rPr>
      </w:pPr>
      <w:r>
        <w:rPr>
          <w:i w:val="0"/>
          <w:iCs w:val="0"/>
          <w:kern w:val="0"/>
        </w:rPr>
        <w:t>（9）施工工地道路积尘清洁措施。可采用吸尘或水冲洗的方法清洁施工工地道路积尘，不得在未实施洒水等抑尘措施情况下进行直接清扫。</w:t>
      </w:r>
    </w:p>
    <w:p>
      <w:pPr>
        <w:widowControl/>
        <w:adjustRightInd w:val="0"/>
        <w:snapToGrid w:val="0"/>
        <w:spacing w:line="360" w:lineRule="auto"/>
        <w:ind w:firstLine="480" w:firstLineChars="200"/>
        <w:rPr>
          <w:i w:val="0"/>
          <w:iCs w:val="0"/>
          <w:kern w:val="0"/>
        </w:rPr>
      </w:pPr>
      <w:r>
        <w:rPr>
          <w:i w:val="0"/>
          <w:iCs w:val="0"/>
          <w:kern w:val="0"/>
        </w:rPr>
        <w:t>（10）施工工地内部裸地防尘措施。施工期间，对于工地内裸露地面，应采取下列防尘措施之一：</w:t>
      </w:r>
    </w:p>
    <w:p>
      <w:pPr>
        <w:widowControl/>
        <w:adjustRightInd w:val="0"/>
        <w:snapToGrid w:val="0"/>
        <w:spacing w:line="360" w:lineRule="auto"/>
        <w:ind w:firstLine="480" w:firstLineChars="200"/>
        <w:rPr>
          <w:i w:val="0"/>
          <w:iCs w:val="0"/>
          <w:kern w:val="0"/>
        </w:rPr>
      </w:pPr>
      <w:r>
        <w:rPr>
          <w:i w:val="0"/>
          <w:iCs w:val="0"/>
          <w:kern w:val="0"/>
        </w:rPr>
        <w:t>①覆盖防尘布或防尘网；</w:t>
      </w:r>
    </w:p>
    <w:p>
      <w:pPr>
        <w:widowControl/>
        <w:adjustRightInd w:val="0"/>
        <w:snapToGrid w:val="0"/>
        <w:spacing w:line="360" w:lineRule="auto"/>
        <w:ind w:firstLine="480" w:firstLineChars="200"/>
        <w:rPr>
          <w:i w:val="0"/>
          <w:iCs w:val="0"/>
          <w:kern w:val="0"/>
        </w:rPr>
      </w:pPr>
      <w:r>
        <w:rPr>
          <w:i w:val="0"/>
          <w:iCs w:val="0"/>
          <w:kern w:val="0"/>
        </w:rPr>
        <w:t>②铺设礁渣、细石或其他功能相当的材料；</w:t>
      </w:r>
    </w:p>
    <w:p>
      <w:pPr>
        <w:widowControl/>
        <w:adjustRightInd w:val="0"/>
        <w:snapToGrid w:val="0"/>
        <w:spacing w:line="360" w:lineRule="auto"/>
        <w:ind w:firstLine="480" w:firstLineChars="200"/>
        <w:rPr>
          <w:i w:val="0"/>
          <w:iCs w:val="0"/>
          <w:kern w:val="0"/>
        </w:rPr>
      </w:pPr>
      <w:r>
        <w:rPr>
          <w:i w:val="0"/>
          <w:iCs w:val="0"/>
          <w:kern w:val="0"/>
        </w:rPr>
        <w:t>③植被绿化；</w:t>
      </w:r>
    </w:p>
    <w:p>
      <w:pPr>
        <w:widowControl/>
        <w:adjustRightInd w:val="0"/>
        <w:snapToGrid w:val="0"/>
        <w:spacing w:line="360" w:lineRule="auto"/>
        <w:ind w:firstLine="480" w:firstLineChars="200"/>
        <w:rPr>
          <w:i w:val="0"/>
          <w:iCs w:val="0"/>
          <w:kern w:val="0"/>
        </w:rPr>
      </w:pPr>
      <w:r>
        <w:rPr>
          <w:i w:val="0"/>
          <w:iCs w:val="0"/>
          <w:kern w:val="0"/>
        </w:rPr>
        <w:t>④晴朗天气时，视情况每周等时间隔洒水二至七次，扬尘严重时应加大洒水频率；</w:t>
      </w:r>
    </w:p>
    <w:p>
      <w:pPr>
        <w:widowControl/>
        <w:adjustRightInd w:val="0"/>
        <w:snapToGrid w:val="0"/>
        <w:spacing w:line="360" w:lineRule="auto"/>
        <w:ind w:firstLine="480" w:firstLineChars="200"/>
        <w:rPr>
          <w:i w:val="0"/>
          <w:iCs w:val="0"/>
          <w:kern w:val="0"/>
        </w:rPr>
      </w:pPr>
      <w:r>
        <w:rPr>
          <w:i w:val="0"/>
          <w:iCs w:val="0"/>
          <w:kern w:val="0"/>
        </w:rPr>
        <w:t>⑤根据抑尘剂性能，定期喷洒抑尘剂。</w:t>
      </w:r>
    </w:p>
    <w:p>
      <w:pPr>
        <w:widowControl/>
        <w:adjustRightInd w:val="0"/>
        <w:snapToGrid w:val="0"/>
        <w:spacing w:line="360" w:lineRule="auto"/>
        <w:ind w:firstLine="480" w:firstLineChars="200"/>
        <w:rPr>
          <w:i w:val="0"/>
          <w:iCs w:val="0"/>
          <w:kern w:val="0"/>
        </w:rPr>
      </w:pPr>
      <w:r>
        <w:rPr>
          <w:i w:val="0"/>
          <w:iCs w:val="0"/>
          <w:kern w:val="0"/>
        </w:rPr>
        <w:t>⑥其他有效的防尘措施。</w:t>
      </w:r>
    </w:p>
    <w:p>
      <w:pPr>
        <w:widowControl/>
        <w:adjustRightInd w:val="0"/>
        <w:snapToGrid w:val="0"/>
        <w:spacing w:line="360" w:lineRule="auto"/>
        <w:ind w:firstLine="480" w:firstLineChars="200"/>
        <w:rPr>
          <w:i w:val="0"/>
          <w:iCs w:val="0"/>
          <w:kern w:val="0"/>
        </w:rPr>
      </w:pPr>
      <w:r>
        <w:rPr>
          <w:i w:val="0"/>
          <w:iCs w:val="0"/>
          <w:kern w:val="0"/>
        </w:rPr>
        <w:t>（11）施工期间，应在工地建筑结构脚手架外侧设置有效抑尘的密目防尘网（不低于2000目/100cm</w:t>
      </w:r>
      <w:r>
        <w:rPr>
          <w:i w:val="0"/>
          <w:iCs w:val="0"/>
          <w:kern w:val="0"/>
          <w:vertAlign w:val="superscript"/>
        </w:rPr>
        <w:t>2</w:t>
      </w:r>
      <w:r>
        <w:rPr>
          <w:i w:val="0"/>
          <w:iCs w:val="0"/>
          <w:kern w:val="0"/>
        </w:rPr>
        <w:t>）或防尘布。</w:t>
      </w:r>
    </w:p>
    <w:p>
      <w:pPr>
        <w:widowControl/>
        <w:adjustRightInd w:val="0"/>
        <w:snapToGrid w:val="0"/>
        <w:spacing w:line="360" w:lineRule="auto"/>
        <w:ind w:firstLine="480" w:firstLineChars="200"/>
        <w:rPr>
          <w:i w:val="0"/>
          <w:iCs w:val="0"/>
          <w:kern w:val="0"/>
        </w:rPr>
      </w:pPr>
      <w:r>
        <w:rPr>
          <w:i w:val="0"/>
          <w:iCs w:val="0"/>
          <w:kern w:val="0"/>
        </w:rPr>
        <w:t>（12）混凝土的防尘措施。施工期间需使用混凝土时，可使用预拌商品混凝土或者进行密闭搅拌并配备防尘除尘装置，不得现场露天搅拌混凝土、消化石灰及拌石灰土等。应尽量采用石材、木制等成品或半成品，实施装配式施工，减少因石材、木制品切割所造成的扬尘污染。</w:t>
      </w:r>
    </w:p>
    <w:p>
      <w:pPr>
        <w:widowControl/>
        <w:adjustRightInd w:val="0"/>
        <w:snapToGrid w:val="0"/>
        <w:spacing w:line="360" w:lineRule="auto"/>
        <w:ind w:firstLine="480" w:firstLineChars="200"/>
        <w:rPr>
          <w:i w:val="0"/>
          <w:iCs w:val="0"/>
          <w:kern w:val="0"/>
        </w:rPr>
      </w:pPr>
      <w:r>
        <w:rPr>
          <w:i w:val="0"/>
          <w:iCs w:val="0"/>
          <w:kern w:val="0"/>
        </w:rPr>
        <w:t>（13）物料、渣土、垃圾等纵向输送作业的防尘措施。施工期间，工地内从建筑上层将具有粉尘逸散性的物料、渣土或废弃物输送至地面或地下楼层时，可从电梯孔道、建筑内部管道或密闭输送管道输送，或者打包装框搬运，不得凌空抛撒。</w:t>
      </w:r>
    </w:p>
    <w:p>
      <w:pPr>
        <w:widowControl/>
        <w:adjustRightInd w:val="0"/>
        <w:snapToGrid w:val="0"/>
        <w:spacing w:line="360" w:lineRule="auto"/>
        <w:ind w:firstLine="480" w:firstLineChars="200"/>
        <w:rPr>
          <w:i w:val="0"/>
          <w:iCs w:val="0"/>
          <w:kern w:val="0"/>
        </w:rPr>
      </w:pPr>
      <w:r>
        <w:rPr>
          <w:i w:val="0"/>
          <w:iCs w:val="0"/>
          <w:kern w:val="0"/>
        </w:rPr>
        <w:t>（14）大、中型工地应设专职人员负责扬尘控制措施的实施和监督。各工地应有专人负责逸散性材料、垃圾、渣土、裸地等密闭、覆盖、洒水作业以及车辆清洗作业等，并记录扬尘控制措施的实施情况。</w:t>
      </w:r>
    </w:p>
    <w:p>
      <w:pPr>
        <w:widowControl/>
        <w:adjustRightInd w:val="0"/>
        <w:snapToGrid w:val="0"/>
        <w:spacing w:line="360" w:lineRule="auto"/>
        <w:ind w:firstLine="480" w:firstLineChars="200"/>
        <w:rPr>
          <w:i w:val="0"/>
          <w:iCs w:val="0"/>
          <w:kern w:val="0"/>
        </w:rPr>
      </w:pPr>
      <w:r>
        <w:rPr>
          <w:i w:val="0"/>
          <w:iCs w:val="0"/>
          <w:kern w:val="0"/>
        </w:rPr>
        <w:t>（15）工地周围环境的保洁。施工单位保洁责任区的范围应根据施工扬尘影响情况确定，一般设在施工工地周围20m范围内。</w:t>
      </w:r>
    </w:p>
    <w:p>
      <w:pPr>
        <w:widowControl/>
        <w:adjustRightInd w:val="0"/>
        <w:snapToGrid w:val="0"/>
        <w:spacing w:line="360" w:lineRule="auto"/>
        <w:ind w:firstLine="480" w:firstLineChars="200"/>
        <w:rPr>
          <w:i w:val="0"/>
          <w:iCs w:val="0"/>
          <w:kern w:val="0"/>
        </w:rPr>
      </w:pPr>
      <w:r>
        <w:rPr>
          <w:i w:val="0"/>
          <w:iCs w:val="0"/>
          <w:kern w:val="0"/>
        </w:rPr>
        <w:t>另外，针对施工机械及运输车辆尾气排放，环评建议企业在施工期加强施工机械及车辆的管理，进行定期保养和维护，选用符合国家规定的尾气达标的施工机械，确保施工机械尾气排放不对周围环境空气产生明显不利影响。</w:t>
      </w:r>
    </w:p>
    <w:p>
      <w:pPr>
        <w:widowControl/>
        <w:adjustRightInd w:val="0"/>
        <w:snapToGrid w:val="0"/>
        <w:spacing w:line="360" w:lineRule="auto"/>
        <w:ind w:firstLine="480" w:firstLineChars="200"/>
        <w:rPr>
          <w:i w:val="0"/>
          <w:iCs w:val="0"/>
          <w:kern w:val="0"/>
        </w:rPr>
      </w:pPr>
      <w:r>
        <w:rPr>
          <w:i w:val="0"/>
          <w:iCs w:val="0"/>
          <w:kern w:val="0"/>
        </w:rPr>
        <w:t>而根据《吉林省落实大气污染防治行动计划实施细则》本项目施工期扬尘防治应采取以下措施：工程施工现场应全封闭设置围挡，严禁敞开式作业，施工现场道路应进行地面硬化，各种堆料应封闭储存或建设防风抑尘设施。渣土运输车辆要全部采取密闭措施，严查渣土车沿途洒落，在建筑工地集中区域设置运输指定通道，规定时间、路线进行运输作业。</w:t>
      </w:r>
    </w:p>
    <w:p>
      <w:pPr>
        <w:pStyle w:val="412"/>
        <w:adjustRightInd w:val="0"/>
        <w:snapToGrid w:val="0"/>
        <w:spacing w:beforeLines="0" w:afterLines="0"/>
        <w:jc w:val="both"/>
        <w:outlineLvl w:val="2"/>
        <w:rPr>
          <w:rFonts w:ascii="Times New Roman" w:hAnsi="Times New Roman" w:cs="Times New Roman"/>
          <w:b/>
          <w:i w:val="0"/>
          <w:iCs w:val="0"/>
          <w:sz w:val="24"/>
          <w:szCs w:val="24"/>
        </w:rPr>
      </w:pPr>
      <w:bookmarkStart w:id="185" w:name="_Toc27001"/>
      <w:bookmarkStart w:id="186" w:name="_Toc7914"/>
      <w:bookmarkStart w:id="187" w:name="_Toc461818925"/>
      <w:r>
        <w:rPr>
          <w:rFonts w:ascii="Times New Roman" w:hAnsi="Times New Roman" w:cs="Times New Roman"/>
          <w:b/>
          <w:i w:val="0"/>
          <w:iCs w:val="0"/>
          <w:sz w:val="24"/>
          <w:szCs w:val="24"/>
        </w:rPr>
        <w:t>6.1.2施工期废水污染防治措施</w:t>
      </w:r>
      <w:bookmarkEnd w:id="185"/>
      <w:bookmarkEnd w:id="186"/>
      <w:bookmarkEnd w:id="187"/>
    </w:p>
    <w:p>
      <w:pPr>
        <w:widowControl/>
        <w:adjustRightInd w:val="0"/>
        <w:snapToGrid w:val="0"/>
        <w:spacing w:line="360" w:lineRule="auto"/>
        <w:ind w:firstLine="480" w:firstLineChars="200"/>
        <w:rPr>
          <w:i w:val="0"/>
          <w:iCs w:val="0"/>
          <w:kern w:val="0"/>
        </w:rPr>
      </w:pPr>
      <w:r>
        <w:rPr>
          <w:i w:val="0"/>
          <w:iCs w:val="0"/>
          <w:kern w:val="0"/>
        </w:rPr>
        <w:t>项目施工期废水主要为施工生产废水和施工人员生活污水，施工生产废水主要为砂石料生产系统、施工机械维修冲洗废水，废水全部排入施工场区内沉淀池内进行处理，经处理后的生产废水全部回用于施工生产；沉淀池污泥在施工结束后回填于施工场地内；施工生活污水全部排入附近现有厕所内，不外排。</w:t>
      </w:r>
    </w:p>
    <w:p>
      <w:pPr>
        <w:pStyle w:val="412"/>
        <w:adjustRightInd w:val="0"/>
        <w:snapToGrid w:val="0"/>
        <w:spacing w:beforeLines="0" w:afterLines="0"/>
        <w:jc w:val="both"/>
        <w:outlineLvl w:val="2"/>
        <w:rPr>
          <w:rFonts w:ascii="Times New Roman" w:hAnsi="Times New Roman" w:cs="Times New Roman"/>
          <w:b/>
          <w:i w:val="0"/>
          <w:iCs w:val="0"/>
          <w:sz w:val="24"/>
          <w:szCs w:val="24"/>
        </w:rPr>
      </w:pPr>
      <w:bookmarkStart w:id="188" w:name="_Toc1033"/>
      <w:bookmarkStart w:id="189" w:name="_Toc2336"/>
      <w:bookmarkStart w:id="190" w:name="_Toc461818926"/>
      <w:r>
        <w:rPr>
          <w:rFonts w:ascii="Times New Roman" w:hAnsi="Times New Roman" w:cs="Times New Roman"/>
          <w:b/>
          <w:i w:val="0"/>
          <w:iCs w:val="0"/>
          <w:sz w:val="24"/>
          <w:szCs w:val="24"/>
        </w:rPr>
        <w:t>6.1.3施工期噪声污染防治措施</w:t>
      </w:r>
      <w:bookmarkEnd w:id="188"/>
      <w:bookmarkEnd w:id="189"/>
      <w:bookmarkEnd w:id="190"/>
    </w:p>
    <w:p>
      <w:pPr>
        <w:widowControl/>
        <w:adjustRightInd w:val="0"/>
        <w:snapToGrid w:val="0"/>
        <w:spacing w:line="360" w:lineRule="auto"/>
        <w:ind w:firstLine="480" w:firstLineChars="200"/>
        <w:rPr>
          <w:i w:val="0"/>
          <w:iCs w:val="0"/>
          <w:kern w:val="0"/>
        </w:rPr>
      </w:pPr>
      <w:r>
        <w:rPr>
          <w:i w:val="0"/>
          <w:iCs w:val="0"/>
          <w:kern w:val="0"/>
        </w:rPr>
        <w:t>（1）采用低噪声机械设备和运输车辆，使用过程中经常检修和养护，保证其正常运行；</w:t>
      </w:r>
    </w:p>
    <w:p>
      <w:pPr>
        <w:widowControl/>
        <w:adjustRightInd w:val="0"/>
        <w:snapToGrid w:val="0"/>
        <w:spacing w:line="360" w:lineRule="auto"/>
        <w:ind w:firstLine="480" w:firstLineChars="200"/>
        <w:rPr>
          <w:i w:val="0"/>
          <w:iCs w:val="0"/>
          <w:kern w:val="0"/>
        </w:rPr>
      </w:pPr>
      <w:r>
        <w:rPr>
          <w:i w:val="0"/>
          <w:iCs w:val="0"/>
          <w:kern w:val="0"/>
        </w:rPr>
        <w:t>（2）合理安排施工机械的使用，减少高噪声设备的使用时间，日常注意对施工设备的维修保养，使各种施工机械保持良好的运行状态，减少了噪声的产生。</w:t>
      </w:r>
    </w:p>
    <w:p>
      <w:pPr>
        <w:widowControl/>
        <w:adjustRightInd w:val="0"/>
        <w:snapToGrid w:val="0"/>
        <w:spacing w:line="360" w:lineRule="auto"/>
        <w:ind w:firstLine="480" w:firstLineChars="200"/>
        <w:rPr>
          <w:i w:val="0"/>
          <w:iCs w:val="0"/>
          <w:kern w:val="0"/>
        </w:rPr>
      </w:pPr>
      <w:r>
        <w:rPr>
          <w:i w:val="0"/>
          <w:iCs w:val="0"/>
          <w:kern w:val="0"/>
        </w:rPr>
        <w:t>（3）施工过程中应对主要高噪声设备放置在合理位置或采取隔声降噪措施。在结构施工阶段，对混凝土泵、混凝土罐车可搭简易棚围护降噪，并加强对混凝土泵的维修保养，加强对施工人员的培训和责任心教育，保证设备及车辆平稳运行。</w:t>
      </w:r>
    </w:p>
    <w:p>
      <w:pPr>
        <w:widowControl/>
        <w:adjustRightInd w:val="0"/>
        <w:snapToGrid w:val="0"/>
        <w:spacing w:line="360" w:lineRule="auto"/>
        <w:ind w:firstLine="480" w:firstLineChars="200"/>
        <w:rPr>
          <w:i w:val="0"/>
          <w:iCs w:val="0"/>
          <w:kern w:val="0"/>
        </w:rPr>
      </w:pPr>
      <w:r>
        <w:rPr>
          <w:i w:val="0"/>
          <w:iCs w:val="0"/>
          <w:kern w:val="0"/>
        </w:rPr>
        <w:t>（4）合理安排运输线路和运输时间，疏导进入施工区的车辆，减少汽车会车时的鸣笛噪声。</w:t>
      </w:r>
    </w:p>
    <w:p>
      <w:pPr>
        <w:widowControl/>
        <w:adjustRightInd w:val="0"/>
        <w:snapToGrid w:val="0"/>
        <w:spacing w:line="360" w:lineRule="auto"/>
        <w:ind w:firstLine="480" w:firstLineChars="200"/>
        <w:rPr>
          <w:i w:val="0"/>
          <w:iCs w:val="0"/>
          <w:kern w:val="0"/>
        </w:rPr>
      </w:pPr>
      <w:r>
        <w:rPr>
          <w:i w:val="0"/>
          <w:iCs w:val="0"/>
          <w:kern w:val="0"/>
        </w:rPr>
        <w:t>（5）挖掘机、推土机等施工机械设备采用高标号燃油。</w:t>
      </w:r>
    </w:p>
    <w:p>
      <w:pPr>
        <w:pStyle w:val="412"/>
        <w:adjustRightInd w:val="0"/>
        <w:snapToGrid w:val="0"/>
        <w:spacing w:beforeLines="0" w:afterLines="0"/>
        <w:jc w:val="both"/>
        <w:outlineLvl w:val="2"/>
        <w:rPr>
          <w:rFonts w:ascii="Times New Roman" w:hAnsi="Times New Roman" w:cs="Times New Roman"/>
          <w:b/>
          <w:i w:val="0"/>
          <w:iCs w:val="0"/>
          <w:sz w:val="24"/>
          <w:szCs w:val="24"/>
        </w:rPr>
      </w:pPr>
      <w:bookmarkStart w:id="191" w:name="_Toc25542"/>
      <w:bookmarkStart w:id="192" w:name="_Toc23208"/>
      <w:bookmarkStart w:id="193" w:name="_Toc461818927"/>
      <w:r>
        <w:rPr>
          <w:rFonts w:ascii="Times New Roman" w:hAnsi="Times New Roman" w:cs="Times New Roman"/>
          <w:b/>
          <w:i w:val="0"/>
          <w:iCs w:val="0"/>
          <w:sz w:val="24"/>
          <w:szCs w:val="24"/>
        </w:rPr>
        <w:t>6.1.4施工期固体废物污染防治措施</w:t>
      </w:r>
      <w:bookmarkEnd w:id="191"/>
      <w:bookmarkEnd w:id="192"/>
      <w:bookmarkEnd w:id="193"/>
    </w:p>
    <w:p>
      <w:pPr>
        <w:widowControl/>
        <w:adjustRightInd w:val="0"/>
        <w:snapToGrid w:val="0"/>
        <w:spacing w:line="360" w:lineRule="auto"/>
        <w:ind w:firstLine="480" w:firstLineChars="200"/>
        <w:rPr>
          <w:i w:val="0"/>
          <w:iCs w:val="0"/>
          <w:kern w:val="0"/>
        </w:rPr>
      </w:pPr>
      <w:r>
        <w:rPr>
          <w:i w:val="0"/>
          <w:iCs w:val="0"/>
          <w:kern w:val="0"/>
        </w:rPr>
        <w:t>（1）施工建筑垃圾</w:t>
      </w:r>
    </w:p>
    <w:p>
      <w:pPr>
        <w:widowControl/>
        <w:adjustRightInd w:val="0"/>
        <w:snapToGrid w:val="0"/>
        <w:spacing w:line="360" w:lineRule="auto"/>
        <w:ind w:firstLine="480" w:firstLineChars="200"/>
        <w:rPr>
          <w:i w:val="0"/>
          <w:iCs w:val="0"/>
          <w:kern w:val="0"/>
        </w:rPr>
      </w:pPr>
      <w:r>
        <w:rPr>
          <w:i w:val="0"/>
          <w:iCs w:val="0"/>
          <w:kern w:val="0"/>
        </w:rPr>
        <w:t>全部</w:t>
      </w:r>
      <w:r>
        <w:rPr>
          <w:rFonts w:hint="eastAsia"/>
          <w:i w:val="0"/>
          <w:iCs w:val="0"/>
          <w:kern w:val="0"/>
        </w:rPr>
        <w:t>清运至政府指定建筑垃圾处理进行处理。</w:t>
      </w:r>
    </w:p>
    <w:p>
      <w:pPr>
        <w:widowControl/>
        <w:adjustRightInd w:val="0"/>
        <w:snapToGrid w:val="0"/>
        <w:spacing w:line="360" w:lineRule="auto"/>
        <w:ind w:firstLine="480" w:firstLineChars="200"/>
        <w:rPr>
          <w:i w:val="0"/>
          <w:iCs w:val="0"/>
          <w:kern w:val="0"/>
        </w:rPr>
      </w:pPr>
      <w:r>
        <w:rPr>
          <w:i w:val="0"/>
          <w:iCs w:val="0"/>
          <w:kern w:val="0"/>
        </w:rPr>
        <w:t>（2）施工人员生活垃圾</w:t>
      </w:r>
    </w:p>
    <w:p>
      <w:pPr>
        <w:widowControl/>
        <w:adjustRightInd w:val="0"/>
        <w:snapToGrid w:val="0"/>
        <w:spacing w:line="360" w:lineRule="auto"/>
        <w:ind w:firstLine="480" w:firstLineChars="200"/>
        <w:rPr>
          <w:i w:val="0"/>
          <w:iCs w:val="0"/>
          <w:kern w:val="0"/>
        </w:rPr>
      </w:pPr>
      <w:r>
        <w:rPr>
          <w:i w:val="0"/>
          <w:iCs w:val="0"/>
          <w:kern w:val="0"/>
        </w:rPr>
        <w:t>全部集中收集后</w:t>
      </w:r>
      <w:r>
        <w:rPr>
          <w:rFonts w:hint="eastAsia"/>
          <w:i w:val="0"/>
          <w:iCs w:val="0"/>
          <w:kern w:val="0"/>
        </w:rPr>
        <w:t>由环卫部门统一清运，避免随意抛弃</w:t>
      </w:r>
      <w:r>
        <w:rPr>
          <w:i w:val="0"/>
          <w:iCs w:val="0"/>
          <w:kern w:val="0"/>
        </w:rPr>
        <w:t>。</w:t>
      </w:r>
    </w:p>
    <w:p>
      <w:pPr>
        <w:pStyle w:val="412"/>
        <w:adjustRightInd w:val="0"/>
        <w:snapToGrid w:val="0"/>
        <w:spacing w:beforeLines="0" w:afterLines="0"/>
        <w:jc w:val="both"/>
        <w:outlineLvl w:val="2"/>
        <w:rPr>
          <w:rFonts w:ascii="Times New Roman" w:hAnsi="Times New Roman" w:cs="Times New Roman"/>
          <w:b/>
          <w:i w:val="0"/>
          <w:iCs w:val="0"/>
          <w:sz w:val="24"/>
          <w:szCs w:val="24"/>
        </w:rPr>
      </w:pPr>
      <w:bookmarkStart w:id="194" w:name="_Toc461818928"/>
      <w:bookmarkStart w:id="195" w:name="_Toc8260"/>
      <w:bookmarkStart w:id="196" w:name="_Toc29876"/>
      <w:r>
        <w:rPr>
          <w:rFonts w:ascii="Times New Roman" w:hAnsi="Times New Roman" w:cs="Times New Roman"/>
          <w:b/>
          <w:i w:val="0"/>
          <w:iCs w:val="0"/>
          <w:sz w:val="24"/>
          <w:szCs w:val="24"/>
        </w:rPr>
        <w:t>6.1.5施工期环境管理和监控</w:t>
      </w:r>
      <w:bookmarkEnd w:id="194"/>
      <w:bookmarkEnd w:id="195"/>
      <w:bookmarkEnd w:id="196"/>
    </w:p>
    <w:p>
      <w:pPr>
        <w:widowControl/>
        <w:adjustRightInd w:val="0"/>
        <w:snapToGrid w:val="0"/>
        <w:spacing w:line="360" w:lineRule="auto"/>
        <w:ind w:firstLine="480" w:firstLineChars="200"/>
        <w:rPr>
          <w:i w:val="0"/>
          <w:iCs w:val="0"/>
          <w:kern w:val="0"/>
        </w:rPr>
      </w:pPr>
      <w:r>
        <w:rPr>
          <w:i w:val="0"/>
          <w:iCs w:val="0"/>
          <w:kern w:val="0"/>
        </w:rPr>
        <w:t>（1）保证现场施工单位具有国家要求的资质，杜绝野蛮施工、破坏性施工的现象发生；</w:t>
      </w:r>
    </w:p>
    <w:p>
      <w:pPr>
        <w:widowControl/>
        <w:adjustRightInd w:val="0"/>
        <w:snapToGrid w:val="0"/>
        <w:spacing w:line="360" w:lineRule="auto"/>
        <w:ind w:firstLine="480" w:firstLineChars="200"/>
        <w:rPr>
          <w:i w:val="0"/>
          <w:iCs w:val="0"/>
          <w:kern w:val="0"/>
        </w:rPr>
      </w:pPr>
      <w:r>
        <w:rPr>
          <w:i w:val="0"/>
          <w:iCs w:val="0"/>
          <w:kern w:val="0"/>
        </w:rPr>
        <w:t>（2）在建筑施工合同中，应包括有关环境保护的条款，建设材料运输、堆放、建筑垃圾处理处置、现场恢复、噪声控制等，以督促施工单位在工作中和结束后完成各项指标要求；</w:t>
      </w:r>
    </w:p>
    <w:p>
      <w:pPr>
        <w:widowControl/>
        <w:adjustRightInd w:val="0"/>
        <w:snapToGrid w:val="0"/>
        <w:spacing w:line="360" w:lineRule="auto"/>
        <w:ind w:firstLine="480" w:firstLineChars="200"/>
        <w:rPr>
          <w:i w:val="0"/>
          <w:iCs w:val="0"/>
          <w:kern w:val="0"/>
        </w:rPr>
      </w:pPr>
      <w:r>
        <w:rPr>
          <w:i w:val="0"/>
          <w:iCs w:val="0"/>
          <w:kern w:val="0"/>
        </w:rPr>
        <w:t>（3）建议建设单位与市、县两级环境监理部门取得联系，定期检查、督促施工单位，及时纠正出现的问题。</w:t>
      </w:r>
    </w:p>
    <w:p>
      <w:pPr>
        <w:pStyle w:val="412"/>
        <w:adjustRightInd w:val="0"/>
        <w:snapToGrid w:val="0"/>
        <w:spacing w:beforeLines="0" w:afterLines="0"/>
        <w:jc w:val="both"/>
        <w:outlineLvl w:val="2"/>
        <w:rPr>
          <w:rFonts w:ascii="Times New Roman" w:hAnsi="Times New Roman" w:cs="Times New Roman"/>
          <w:b/>
          <w:i w:val="0"/>
          <w:iCs w:val="0"/>
          <w:sz w:val="24"/>
          <w:szCs w:val="24"/>
        </w:rPr>
      </w:pPr>
      <w:bookmarkStart w:id="197" w:name="_Toc32201"/>
      <w:bookmarkStart w:id="198" w:name="_Toc22825"/>
      <w:bookmarkStart w:id="199" w:name="_Toc461818929"/>
      <w:r>
        <w:rPr>
          <w:rFonts w:ascii="Times New Roman" w:hAnsi="Times New Roman" w:cs="Times New Roman"/>
          <w:b/>
          <w:i w:val="0"/>
          <w:iCs w:val="0"/>
          <w:sz w:val="24"/>
          <w:szCs w:val="24"/>
        </w:rPr>
        <w:t>6.1.6施工期生态保护措施</w:t>
      </w:r>
      <w:bookmarkEnd w:id="197"/>
      <w:bookmarkEnd w:id="198"/>
      <w:bookmarkEnd w:id="199"/>
    </w:p>
    <w:p>
      <w:pPr>
        <w:widowControl/>
        <w:adjustRightInd w:val="0"/>
        <w:snapToGrid w:val="0"/>
        <w:spacing w:line="360" w:lineRule="auto"/>
        <w:ind w:firstLine="480" w:firstLineChars="200"/>
        <w:rPr>
          <w:i w:val="0"/>
          <w:iCs w:val="0"/>
          <w:kern w:val="0"/>
        </w:rPr>
      </w:pPr>
      <w:r>
        <w:rPr>
          <w:i w:val="0"/>
          <w:iCs w:val="0"/>
          <w:kern w:val="0"/>
        </w:rPr>
        <w:t>（1）管理措施</w:t>
      </w:r>
    </w:p>
    <w:p>
      <w:pPr>
        <w:widowControl/>
        <w:adjustRightInd w:val="0"/>
        <w:snapToGrid w:val="0"/>
        <w:spacing w:line="360" w:lineRule="auto"/>
        <w:ind w:firstLine="480" w:firstLineChars="200"/>
        <w:rPr>
          <w:i w:val="0"/>
          <w:iCs w:val="0"/>
          <w:kern w:val="0"/>
        </w:rPr>
      </w:pPr>
      <w:r>
        <w:rPr>
          <w:i w:val="0"/>
          <w:iCs w:val="0"/>
          <w:kern w:val="0"/>
        </w:rPr>
        <w:t>①建设单位在招标文件的编制过程中应将环境影响缓解措施写入招标文件，并纳入工程承包合同中；施工过程中设专人负责施工期环境监理工作；</w:t>
      </w:r>
    </w:p>
    <w:p>
      <w:pPr>
        <w:widowControl/>
        <w:adjustRightInd w:val="0"/>
        <w:snapToGrid w:val="0"/>
        <w:spacing w:line="360" w:lineRule="auto"/>
        <w:ind w:firstLine="480" w:firstLineChars="200"/>
        <w:rPr>
          <w:i w:val="0"/>
          <w:iCs w:val="0"/>
          <w:kern w:val="0"/>
        </w:rPr>
      </w:pPr>
      <w:r>
        <w:rPr>
          <w:i w:val="0"/>
          <w:iCs w:val="0"/>
          <w:kern w:val="0"/>
        </w:rPr>
        <w:t>②加强施工期环境保护管理，做到边施工边进行环境保护，不仅要求环境保护资金管理到位，而且要做到环境保护措施的及时实施。如施工结束后，应立即对破坏的植被进行恢复，施工临时用地应在工程内容结束后立即拆除并恢复，缩短工程施工的破坏时间，减少扰动土壤的裸露时间，从时间角度降低工程对环境的破坏程度。</w:t>
      </w:r>
    </w:p>
    <w:p>
      <w:pPr>
        <w:widowControl/>
        <w:adjustRightInd w:val="0"/>
        <w:snapToGrid w:val="0"/>
        <w:spacing w:line="360" w:lineRule="auto"/>
        <w:ind w:firstLine="480" w:firstLineChars="200"/>
        <w:rPr>
          <w:i w:val="0"/>
          <w:iCs w:val="0"/>
          <w:kern w:val="0"/>
        </w:rPr>
      </w:pPr>
      <w:r>
        <w:rPr>
          <w:i w:val="0"/>
          <w:iCs w:val="0"/>
          <w:kern w:val="0"/>
        </w:rPr>
        <w:t>③加强对施工及工作人员的环保意识教育，做到自觉保护自然资源，不伤害野生动物，禁止捕食国家重点保护野生动物，不乱砍伐树木和破坏植被。施工车辆应走临时便道，以免损坏农田和其它植被。</w:t>
      </w:r>
    </w:p>
    <w:p>
      <w:pPr>
        <w:widowControl/>
        <w:adjustRightInd w:val="0"/>
        <w:snapToGrid w:val="0"/>
        <w:spacing w:line="360" w:lineRule="auto"/>
        <w:ind w:firstLine="480" w:firstLineChars="200"/>
        <w:rPr>
          <w:i w:val="0"/>
          <w:iCs w:val="0"/>
          <w:kern w:val="0"/>
        </w:rPr>
      </w:pPr>
      <w:r>
        <w:rPr>
          <w:i w:val="0"/>
          <w:iCs w:val="0"/>
          <w:kern w:val="0"/>
        </w:rPr>
        <w:t>（2）施工用地生态保护措施</w:t>
      </w:r>
    </w:p>
    <w:p>
      <w:pPr>
        <w:widowControl/>
        <w:adjustRightInd w:val="0"/>
        <w:snapToGrid w:val="0"/>
        <w:spacing w:line="360" w:lineRule="auto"/>
        <w:ind w:firstLine="480" w:firstLineChars="200"/>
        <w:rPr>
          <w:i w:val="0"/>
          <w:iCs w:val="0"/>
          <w:kern w:val="0"/>
        </w:rPr>
      </w:pPr>
      <w:r>
        <w:rPr>
          <w:i w:val="0"/>
          <w:iCs w:val="0"/>
          <w:kern w:val="0"/>
        </w:rPr>
        <w:t>①施工时严格控制施工占地，将施工区控制在工程征用的土地范围内；</w:t>
      </w:r>
    </w:p>
    <w:p>
      <w:pPr>
        <w:widowControl/>
        <w:adjustRightInd w:val="0"/>
        <w:snapToGrid w:val="0"/>
        <w:spacing w:line="360" w:lineRule="auto"/>
        <w:ind w:firstLine="480" w:firstLineChars="200"/>
        <w:rPr>
          <w:i w:val="0"/>
          <w:iCs w:val="0"/>
          <w:kern w:val="0"/>
        </w:rPr>
      </w:pPr>
      <w:r>
        <w:rPr>
          <w:i w:val="0"/>
          <w:iCs w:val="0"/>
          <w:kern w:val="0"/>
        </w:rPr>
        <w:t>②合理安排施工季节和作业时间，优化施工方案，减少废弃土石方的临时堆放时间，尽量避免雨季进行大量动土和开挖工程，减小水土流失；</w:t>
      </w:r>
    </w:p>
    <w:p>
      <w:pPr>
        <w:widowControl/>
        <w:adjustRightInd w:val="0"/>
        <w:snapToGrid w:val="0"/>
        <w:spacing w:line="360" w:lineRule="auto"/>
        <w:ind w:firstLine="480" w:firstLineChars="200"/>
        <w:rPr>
          <w:i w:val="0"/>
          <w:iCs w:val="0"/>
          <w:kern w:val="0"/>
        </w:rPr>
      </w:pPr>
      <w:r>
        <w:rPr>
          <w:i w:val="0"/>
          <w:iCs w:val="0"/>
          <w:kern w:val="0"/>
        </w:rPr>
        <w:t>③工程在进行施工前，应对耕层土壤进行保护，以便于施工后期的场地绿化和植被恢复；</w:t>
      </w:r>
    </w:p>
    <w:p>
      <w:pPr>
        <w:widowControl/>
        <w:adjustRightInd w:val="0"/>
        <w:snapToGrid w:val="0"/>
        <w:spacing w:line="360" w:lineRule="auto"/>
        <w:ind w:firstLine="480" w:firstLineChars="200"/>
        <w:rPr>
          <w:i w:val="0"/>
          <w:iCs w:val="0"/>
          <w:kern w:val="0"/>
        </w:rPr>
      </w:pPr>
      <w:r>
        <w:rPr>
          <w:i w:val="0"/>
          <w:iCs w:val="0"/>
          <w:kern w:val="0"/>
        </w:rPr>
        <w:t>④施工管线敷设前应对表土进行剥离，并堆存于工业场地内，待施工结束后进行表土回覆。</w:t>
      </w:r>
    </w:p>
    <w:p>
      <w:pPr>
        <w:pStyle w:val="4"/>
        <w:rPr>
          <w:rFonts w:ascii="Times New Roman" w:hAnsi="Times New Roman" w:eastAsia="宋体"/>
          <w:b/>
          <w:i w:val="0"/>
          <w:iCs w:val="0"/>
          <w:sz w:val="28"/>
          <w:szCs w:val="28"/>
        </w:rPr>
      </w:pPr>
      <w:bookmarkStart w:id="200" w:name="_Toc28593"/>
      <w:r>
        <w:rPr>
          <w:rFonts w:hint="eastAsia" w:ascii="Times New Roman" w:hAnsi="Times New Roman" w:eastAsia="宋体"/>
          <w:b/>
          <w:i w:val="0"/>
          <w:iCs w:val="0"/>
          <w:sz w:val="28"/>
          <w:szCs w:val="28"/>
        </w:rPr>
        <w:t>6</w:t>
      </w:r>
      <w:r>
        <w:rPr>
          <w:rFonts w:ascii="Times New Roman" w:hAnsi="Times New Roman" w:eastAsia="宋体"/>
          <w:b/>
          <w:i w:val="0"/>
          <w:iCs w:val="0"/>
          <w:sz w:val="28"/>
          <w:szCs w:val="28"/>
        </w:rPr>
        <w:t>.</w:t>
      </w:r>
      <w:r>
        <w:rPr>
          <w:rFonts w:hint="eastAsia" w:ascii="Times New Roman" w:hAnsi="Times New Roman" w:eastAsia="宋体"/>
          <w:b/>
          <w:i w:val="0"/>
          <w:iCs w:val="0"/>
          <w:sz w:val="28"/>
          <w:szCs w:val="28"/>
        </w:rPr>
        <w:t>2运营</w:t>
      </w:r>
      <w:r>
        <w:rPr>
          <w:rFonts w:ascii="Times New Roman" w:hAnsi="Times New Roman" w:eastAsia="宋体"/>
          <w:b/>
          <w:i w:val="0"/>
          <w:iCs w:val="0"/>
          <w:sz w:val="28"/>
          <w:szCs w:val="28"/>
        </w:rPr>
        <w:t>期污染防治措施</w:t>
      </w:r>
      <w:bookmarkEnd w:id="200"/>
    </w:p>
    <w:p>
      <w:pPr>
        <w:pStyle w:val="412"/>
        <w:adjustRightInd w:val="0"/>
        <w:snapToGrid w:val="0"/>
        <w:spacing w:beforeLines="0" w:afterLines="0"/>
        <w:jc w:val="both"/>
        <w:outlineLvl w:val="2"/>
        <w:rPr>
          <w:rFonts w:ascii="Times New Roman" w:hAnsi="Times New Roman" w:cs="Times New Roman"/>
          <w:b/>
          <w:i w:val="0"/>
          <w:iCs w:val="0"/>
          <w:sz w:val="24"/>
          <w:szCs w:val="24"/>
        </w:rPr>
      </w:pPr>
      <w:r>
        <w:rPr>
          <w:rFonts w:hint="eastAsia" w:ascii="Times New Roman" w:hAnsi="Times New Roman" w:cs="Times New Roman"/>
          <w:b/>
          <w:i w:val="0"/>
          <w:iCs w:val="0"/>
          <w:sz w:val="24"/>
          <w:szCs w:val="24"/>
        </w:rPr>
        <w:t>6.2.1</w:t>
      </w:r>
      <w:r>
        <w:rPr>
          <w:rFonts w:ascii="Times New Roman" w:hAnsi="Times New Roman" w:cs="Times New Roman"/>
          <w:b/>
          <w:i w:val="0"/>
          <w:iCs w:val="0"/>
          <w:sz w:val="24"/>
          <w:szCs w:val="24"/>
        </w:rPr>
        <w:t>废水污染防治措施</w:t>
      </w:r>
    </w:p>
    <w:p>
      <w:pPr>
        <w:pStyle w:val="24"/>
        <w:spacing w:line="360" w:lineRule="auto"/>
        <w:ind w:firstLine="480" w:firstLineChars="200"/>
        <w:jc w:val="left"/>
        <w:rPr>
          <w:rFonts w:hint="eastAsia"/>
          <w:i w:val="0"/>
          <w:iCs w:val="0"/>
        </w:rPr>
      </w:pPr>
      <w:r>
        <w:rPr>
          <w:rFonts w:hint="eastAsia"/>
          <w:i w:val="0"/>
          <w:iCs w:val="0"/>
        </w:rPr>
        <w:t>1、废水</w:t>
      </w:r>
    </w:p>
    <w:p>
      <w:pPr>
        <w:spacing w:line="360" w:lineRule="auto"/>
        <w:ind w:firstLine="480" w:firstLineChars="200"/>
        <w:rPr>
          <w:rFonts w:hint="eastAsia"/>
          <w:i w:val="0"/>
          <w:iCs w:val="0"/>
          <w:lang w:val="zh-CN"/>
        </w:rPr>
      </w:pPr>
      <w:r>
        <w:rPr>
          <w:rFonts w:hint="eastAsia"/>
          <w:i w:val="0"/>
          <w:iCs w:val="0"/>
        </w:rPr>
        <w:t>本</w:t>
      </w:r>
      <w:r>
        <w:rPr>
          <w:rFonts w:hint="eastAsia"/>
          <w:i w:val="0"/>
          <w:iCs w:val="0"/>
          <w:lang w:val="zh-CN"/>
        </w:rPr>
        <w:t>项目废水主要为项目废水主要为生活污水、生产废水，其中生产废水主要为</w:t>
      </w:r>
      <w:r>
        <w:rPr>
          <w:rFonts w:hint="eastAsia" w:hAnsi="宋体"/>
          <w:i w:val="0"/>
          <w:iCs w:val="0"/>
          <w:color w:val="000000"/>
        </w:rPr>
        <w:t>发酵车间</w:t>
      </w:r>
      <w:r>
        <w:rPr>
          <w:rFonts w:hint="eastAsia" w:hAnsi="宋体"/>
          <w:i w:val="0"/>
          <w:iCs w:val="0"/>
          <w:color w:val="000000"/>
          <w:lang w:val="en-US" w:eastAsia="zh-CN"/>
        </w:rPr>
        <w:t>洗罐</w:t>
      </w:r>
      <w:r>
        <w:rPr>
          <w:rFonts w:hint="eastAsia" w:hAnsi="宋体"/>
          <w:i w:val="0"/>
          <w:iCs w:val="0"/>
          <w:color w:val="000000"/>
        </w:rPr>
        <w:t>废水、分离干燥车间离心洗涤废水、车间冲洗地面水</w:t>
      </w:r>
      <w:r>
        <w:rPr>
          <w:rFonts w:hint="eastAsia" w:hAnsi="宋体"/>
          <w:i w:val="0"/>
          <w:iCs w:val="0"/>
          <w:color w:val="000000"/>
          <w:lang w:eastAsia="zh-CN"/>
        </w:rPr>
        <w:t>、</w:t>
      </w:r>
      <w:r>
        <w:rPr>
          <w:rFonts w:hint="eastAsia" w:hAnsi="宋体"/>
          <w:i w:val="0"/>
          <w:iCs w:val="0"/>
          <w:color w:val="000000"/>
          <w:lang w:val="en-US" w:eastAsia="zh-CN"/>
        </w:rPr>
        <w:t>喷淋废水、化验废水、循环水系统排水及冷凝水</w:t>
      </w:r>
      <w:r>
        <w:rPr>
          <w:rFonts w:hint="eastAsia"/>
          <w:i w:val="0"/>
          <w:iCs w:val="0"/>
          <w:lang w:val="zh-CN"/>
        </w:rPr>
        <w:t>等。</w:t>
      </w:r>
    </w:p>
    <w:p>
      <w:pPr>
        <w:pStyle w:val="24"/>
        <w:spacing w:line="360" w:lineRule="auto"/>
        <w:ind w:firstLine="480" w:firstLineChars="200"/>
        <w:jc w:val="left"/>
        <w:rPr>
          <w:rFonts w:hint="eastAsia"/>
          <w:i w:val="0"/>
          <w:iCs w:val="0"/>
          <w:lang w:val="zh-CN"/>
        </w:rPr>
      </w:pPr>
      <w:r>
        <w:rPr>
          <w:rFonts w:hint="eastAsia"/>
          <w:i w:val="0"/>
          <w:iCs w:val="0"/>
          <w:lang w:val="zh-CN"/>
        </w:rPr>
        <w:t>本项目产生的食堂废水由油水分离器处理后与生活污水、生产废水经厂内污水管道收集，经过厂内污水处理站采用“水解+UASB+A/O”工艺处理，处理后废水达到《污水综合排放标准》GB8978-1996表2三级标准排放限值及园区污水处理厂进水指标后排入污水管网内，进入园区污水处理厂处理后排放。</w:t>
      </w:r>
    </w:p>
    <w:p>
      <w:pPr>
        <w:pStyle w:val="24"/>
        <w:spacing w:line="360" w:lineRule="auto"/>
        <w:ind w:firstLine="480" w:firstLineChars="200"/>
        <w:jc w:val="left"/>
        <w:rPr>
          <w:rFonts w:hint="eastAsia"/>
          <w:i w:val="0"/>
          <w:iCs w:val="0"/>
        </w:rPr>
      </w:pPr>
      <w:r>
        <w:rPr>
          <w:rFonts w:hint="eastAsia"/>
          <w:i w:val="0"/>
          <w:iCs w:val="0"/>
        </w:rPr>
        <w:t>2、废水排</w:t>
      </w:r>
      <w:r>
        <w:rPr>
          <w:rFonts w:hint="eastAsia" w:ascii="宋体" w:hAnsi="宋体" w:cs="宋体"/>
          <w:i w:val="0"/>
          <w:iCs w:val="0"/>
          <w:kern w:val="0"/>
          <w:szCs w:val="21"/>
        </w:rPr>
        <w:t>长白山特色食药科技产业园</w:t>
      </w:r>
      <w:r>
        <w:rPr>
          <w:rFonts w:hint="eastAsia"/>
          <w:i w:val="0"/>
          <w:iCs w:val="0"/>
        </w:rPr>
        <w:t>污水处理厂的可行性</w:t>
      </w:r>
    </w:p>
    <w:p>
      <w:pPr>
        <w:pStyle w:val="24"/>
        <w:spacing w:line="360" w:lineRule="auto"/>
        <w:ind w:firstLine="480" w:firstLineChars="200"/>
        <w:jc w:val="left"/>
        <w:rPr>
          <w:rFonts w:hint="eastAsia" w:ascii="Times New Roman" w:hAnsi="Times New Roman" w:eastAsia="宋体" w:cs="Times New Roman"/>
          <w:i/>
          <w:iCs/>
          <w:u w:val="single"/>
          <w:lang w:val="zh-CN"/>
        </w:rPr>
      </w:pPr>
      <w:r>
        <w:rPr>
          <w:rFonts w:hint="eastAsia" w:ascii="Times New Roman" w:hAnsi="Times New Roman" w:eastAsia="宋体" w:cs="Times New Roman"/>
          <w:i/>
          <w:iCs/>
          <w:u w:val="single"/>
          <w:lang w:val="zh-CN"/>
        </w:rPr>
        <w:t>长白山特色食药科技产业园污水处理厂位于在长白山特色食药科技产业园区南侧，设计总规模为1万m</w:t>
      </w:r>
      <w:r>
        <w:rPr>
          <w:rFonts w:hint="eastAsia" w:ascii="Times New Roman" w:hAnsi="Times New Roman" w:eastAsia="宋体" w:cs="Times New Roman"/>
          <w:i/>
          <w:iCs/>
          <w:u w:val="single"/>
          <w:vertAlign w:val="superscript"/>
          <w:lang w:val="zh-CN"/>
        </w:rPr>
        <w:t>3</w:t>
      </w:r>
      <w:r>
        <w:rPr>
          <w:rFonts w:hint="eastAsia" w:ascii="Times New Roman" w:hAnsi="Times New Roman" w:eastAsia="宋体" w:cs="Times New Roman"/>
          <w:i/>
          <w:iCs/>
          <w:u w:val="single"/>
          <w:lang w:val="zh-CN"/>
        </w:rPr>
        <w:t>/d。分两期建设，近期设计规模5000m</w:t>
      </w:r>
      <w:r>
        <w:rPr>
          <w:rFonts w:hint="eastAsia" w:ascii="Times New Roman" w:hAnsi="Times New Roman" w:eastAsia="宋体" w:cs="Times New Roman"/>
          <w:i/>
          <w:iCs/>
          <w:u w:val="single"/>
          <w:vertAlign w:val="superscript"/>
          <w:lang w:val="zh-CN"/>
        </w:rPr>
        <w:t>3</w:t>
      </w:r>
      <w:r>
        <w:rPr>
          <w:rFonts w:hint="eastAsia" w:ascii="Times New Roman" w:hAnsi="Times New Roman" w:eastAsia="宋体" w:cs="Times New Roman"/>
          <w:i/>
          <w:iCs/>
          <w:u w:val="single"/>
          <w:lang w:val="zh-CN"/>
        </w:rPr>
        <w:t>/d，远期设计规模5000m</w:t>
      </w:r>
      <w:r>
        <w:rPr>
          <w:rFonts w:hint="eastAsia" w:ascii="Times New Roman" w:hAnsi="Times New Roman" w:eastAsia="宋体" w:cs="Times New Roman"/>
          <w:i/>
          <w:iCs/>
          <w:u w:val="single"/>
          <w:vertAlign w:val="superscript"/>
          <w:lang w:val="zh-CN"/>
        </w:rPr>
        <w:t>3</w:t>
      </w:r>
      <w:r>
        <w:rPr>
          <w:rFonts w:hint="eastAsia" w:ascii="Times New Roman" w:hAnsi="Times New Roman" w:eastAsia="宋体" w:cs="Times New Roman"/>
          <w:i/>
          <w:iCs/>
          <w:u w:val="single"/>
          <w:lang w:val="zh-CN"/>
        </w:rPr>
        <w:t>/d，主体工艺采用粗格栅→污水提升泵房→细格栅→旋流沉砂池→水解酸化池→改良型A2/O→二沉池→高效沉淀池→V型滤池，出水排放标准为《城镇污水处理厂污染物排放标准》（GB 18918-2002）中一级标准的A标准，出水达标后排入浑江；根据调查，长白山特色食药科技产业园污水处理厂尚未投建成，预计2025年8月建成，2025年12月前投产，本项目建设周期为两年，预计建成投入生产时间为2026年11月，长白山特色食药科技产业园污水处理厂</w:t>
      </w:r>
      <w:r>
        <w:rPr>
          <w:rFonts w:hint="eastAsia" w:cs="Times New Roman"/>
          <w:i/>
          <w:iCs/>
          <w:u w:val="single"/>
          <w:lang w:val="zh-CN"/>
        </w:rPr>
        <w:t>未建成稳定运行前，本项目不得投入生产</w:t>
      </w:r>
      <w:r>
        <w:rPr>
          <w:rFonts w:hint="eastAsia" w:ascii="Times New Roman" w:hAnsi="Times New Roman" w:eastAsia="宋体" w:cs="Times New Roman"/>
          <w:i/>
          <w:iCs/>
          <w:u w:val="single"/>
          <w:lang w:val="zh-CN"/>
        </w:rPr>
        <w:t>。</w:t>
      </w:r>
    </w:p>
    <w:p>
      <w:pPr>
        <w:pStyle w:val="24"/>
        <w:spacing w:line="360" w:lineRule="auto"/>
        <w:ind w:firstLine="480" w:firstLineChars="200"/>
        <w:jc w:val="left"/>
        <w:rPr>
          <w:rFonts w:hint="eastAsia" w:ascii="Times New Roman" w:hAnsi="Times New Roman" w:eastAsia="宋体" w:cs="Times New Roman"/>
          <w:i w:val="0"/>
          <w:iCs w:val="0"/>
          <w:lang w:val="zh-CN"/>
        </w:rPr>
      </w:pPr>
      <w:r>
        <w:rPr>
          <w:rFonts w:hint="eastAsia" w:ascii="Times New Roman" w:hAnsi="Times New Roman" w:eastAsia="宋体" w:cs="Times New Roman"/>
          <w:i w:val="0"/>
          <w:iCs w:val="0"/>
          <w:lang w:val="zh-CN"/>
        </w:rPr>
        <w:t>本项目排入长白山特色食药科技产业园污水处理厂废水量109.44m</w:t>
      </w:r>
      <w:r>
        <w:rPr>
          <w:rFonts w:hint="eastAsia" w:ascii="Times New Roman" w:hAnsi="Times New Roman" w:eastAsia="宋体" w:cs="Times New Roman"/>
          <w:i w:val="0"/>
          <w:iCs w:val="0"/>
          <w:vertAlign w:val="superscript"/>
          <w:lang w:val="zh-CN"/>
        </w:rPr>
        <w:t>3</w:t>
      </w:r>
      <w:r>
        <w:rPr>
          <w:rFonts w:hint="eastAsia" w:ascii="Times New Roman" w:hAnsi="Times New Roman" w:eastAsia="宋体" w:cs="Times New Roman"/>
          <w:i w:val="0"/>
          <w:iCs w:val="0"/>
          <w:lang w:val="zh-CN"/>
        </w:rPr>
        <w:t>/d，占污水处理厂处理能力的0.02%，出水水质满足长白山特色食药科技产业园污水处理厂进水标准，污水量在污水处理厂处理能力负荷范围内，对受纳水体浑江影响较小。</w:t>
      </w:r>
    </w:p>
    <w:p>
      <w:pPr>
        <w:pStyle w:val="24"/>
        <w:spacing w:line="360" w:lineRule="auto"/>
        <w:ind w:firstLine="482" w:firstLineChars="200"/>
        <w:jc w:val="left"/>
        <w:rPr>
          <w:rFonts w:hint="eastAsia" w:ascii="Times New Roman" w:hAnsi="Times New Roman" w:cs="Times New Roman"/>
          <w:b/>
          <w:i w:val="0"/>
          <w:iCs w:val="0"/>
          <w:sz w:val="24"/>
          <w:szCs w:val="24"/>
        </w:rPr>
      </w:pPr>
      <w:r>
        <w:rPr>
          <w:rFonts w:hint="eastAsia" w:ascii="Times New Roman" w:hAnsi="Times New Roman" w:cs="Times New Roman"/>
          <w:b/>
          <w:i w:val="0"/>
          <w:iCs w:val="0"/>
          <w:sz w:val="24"/>
          <w:szCs w:val="24"/>
        </w:rPr>
        <w:t>6.2.2废气污染防治措施</w:t>
      </w:r>
    </w:p>
    <w:p>
      <w:pPr>
        <w:spacing w:line="360" w:lineRule="auto"/>
        <w:ind w:firstLine="480" w:firstLineChars="200"/>
        <w:rPr>
          <w:rFonts w:hint="eastAsia"/>
          <w:i w:val="0"/>
          <w:iCs w:val="0"/>
        </w:rPr>
      </w:pPr>
      <w:r>
        <w:rPr>
          <w:rFonts w:hint="eastAsia"/>
          <w:i w:val="0"/>
          <w:iCs w:val="0"/>
        </w:rPr>
        <w:t>本项目生产过程中产生的废气主要为污水站产生的恶臭气体，发酵产生的氨气及非甲烷总烃，</w:t>
      </w:r>
      <w:r>
        <w:rPr>
          <w:rFonts w:hint="eastAsia"/>
          <w:i w:val="0"/>
          <w:iCs w:val="0"/>
          <w:lang w:val="en-US" w:eastAsia="zh-CN"/>
        </w:rPr>
        <w:t>热风炉烟气及</w:t>
      </w:r>
      <w:r>
        <w:rPr>
          <w:rFonts w:hint="eastAsia"/>
          <w:i w:val="0"/>
          <w:iCs w:val="0"/>
        </w:rPr>
        <w:t>喷雾干燥产生的</w:t>
      </w:r>
      <w:r>
        <w:rPr>
          <w:rFonts w:hint="eastAsia"/>
          <w:i w:val="0"/>
          <w:iCs w:val="0"/>
          <w:color w:val="000000"/>
        </w:rPr>
        <w:t>干燥废气</w:t>
      </w:r>
      <w:r>
        <w:rPr>
          <w:rFonts w:hint="eastAsia"/>
          <w:i w:val="0"/>
          <w:iCs w:val="0"/>
        </w:rPr>
        <w:t>，食堂产生的食堂油烟。</w:t>
      </w:r>
    </w:p>
    <w:p>
      <w:pPr>
        <w:spacing w:line="360" w:lineRule="auto"/>
        <w:ind w:firstLine="480" w:firstLineChars="200"/>
        <w:rPr>
          <w:rFonts w:hint="eastAsia"/>
          <w:i/>
          <w:iCs/>
          <w:u w:val="single"/>
        </w:rPr>
      </w:pPr>
      <w:r>
        <w:rPr>
          <w:rFonts w:hint="eastAsia"/>
          <w:i/>
          <w:iCs/>
          <w:u w:val="single"/>
        </w:rPr>
        <w:t>1、厂区污水站臭气</w:t>
      </w:r>
    </w:p>
    <w:p>
      <w:pPr>
        <w:pStyle w:val="48"/>
        <w:spacing w:line="360" w:lineRule="auto"/>
        <w:ind w:left="0" w:firstLine="480" w:firstLineChars="200"/>
        <w:rPr>
          <w:rFonts w:hint="eastAsia"/>
          <w:i/>
          <w:iCs/>
          <w:smallCaps w:val="0"/>
          <w:sz w:val="24"/>
          <w:szCs w:val="24"/>
          <w:u w:val="single"/>
        </w:rPr>
      </w:pPr>
      <w:r>
        <w:rPr>
          <w:rFonts w:hint="eastAsia"/>
          <w:i/>
          <w:iCs/>
          <w:sz w:val="24"/>
          <w:szCs w:val="24"/>
          <w:u w:val="single"/>
        </w:rPr>
        <w:t>污水站产生的废气采用</w:t>
      </w:r>
      <w:r>
        <w:rPr>
          <w:rFonts w:hint="eastAsia"/>
          <w:i/>
          <w:iCs/>
          <w:smallCaps w:val="0"/>
          <w:sz w:val="24"/>
          <w:szCs w:val="24"/>
          <w:u w:val="single"/>
        </w:rPr>
        <w:t>“化学洗涤+生物滤池+活性炭吸附”</w:t>
      </w:r>
      <w:r>
        <w:rPr>
          <w:rFonts w:hint="eastAsia"/>
          <w:i/>
          <w:iCs/>
          <w:sz w:val="24"/>
          <w:szCs w:val="24"/>
          <w:u w:val="single"/>
        </w:rPr>
        <w:t>进行处</w:t>
      </w:r>
      <w:r>
        <w:rPr>
          <w:rFonts w:hint="eastAsia"/>
          <w:i/>
          <w:iCs/>
          <w:smallCaps w:val="0"/>
          <w:sz w:val="24"/>
          <w:szCs w:val="24"/>
          <w:u w:val="single"/>
        </w:rPr>
        <w:t>理后通过15m</w:t>
      </w:r>
      <w:r>
        <w:rPr>
          <w:i/>
          <w:iCs/>
          <w:smallCaps w:val="0"/>
          <w:sz w:val="24"/>
          <w:szCs w:val="24"/>
          <w:u w:val="single"/>
        </w:rPr>
        <w:t>高的</w:t>
      </w:r>
      <w:r>
        <w:rPr>
          <w:rFonts w:hint="eastAsia"/>
          <w:i/>
          <w:iCs/>
          <w:smallCaps w:val="0"/>
          <w:sz w:val="24"/>
          <w:szCs w:val="24"/>
          <w:u w:val="single"/>
        </w:rPr>
        <w:t>排气筒外排，满足《恶臭污染物排放标准》（GB14554-93）中限值要求。</w:t>
      </w:r>
    </w:p>
    <w:p>
      <w:pPr>
        <w:pStyle w:val="48"/>
        <w:spacing w:line="360" w:lineRule="auto"/>
        <w:ind w:left="0" w:firstLine="480" w:firstLineChars="200"/>
        <w:rPr>
          <w:rFonts w:hint="eastAsia"/>
          <w:i/>
          <w:iCs/>
          <w:sz w:val="24"/>
          <w:szCs w:val="24"/>
          <w:u w:val="single"/>
        </w:rPr>
      </w:pPr>
      <w:r>
        <w:rPr>
          <w:rFonts w:hint="eastAsia"/>
          <w:i/>
          <w:iCs/>
          <w:sz w:val="24"/>
          <w:szCs w:val="24"/>
          <w:u w:val="single"/>
        </w:rPr>
        <w:t>2、发酵废气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i/>
          <w:iCs/>
          <w:smallCaps w:val="0"/>
          <w:kern w:val="2"/>
          <w:sz w:val="24"/>
          <w:szCs w:val="24"/>
          <w:u w:val="single"/>
          <w:lang w:val="en-US" w:eastAsia="zh-CN" w:bidi="ar-SA"/>
        </w:rPr>
      </w:pPr>
      <w:r>
        <w:rPr>
          <w:rFonts w:hint="eastAsia" w:ascii="Times New Roman" w:hAnsi="Times New Roman" w:eastAsia="宋体" w:cs="Times New Roman"/>
          <w:i/>
          <w:iCs/>
          <w:smallCaps w:val="0"/>
          <w:kern w:val="2"/>
          <w:sz w:val="24"/>
          <w:szCs w:val="24"/>
          <w:u w:val="single"/>
          <w:lang w:val="en-US" w:eastAsia="zh-CN" w:bidi="ar-SA"/>
        </w:rPr>
        <w:t>发酵废气经水喷淋处理后经24m高排气筒（DA002）排放，其中非甲烷总烃满足《大气污染物综合排放标准》(GB16927-1996) 表2二级标准要求，氨满足《恶臭污染物排放标准》(GB 14554-93)表2标准，根据《国家污染防治技术指导目录（2024年，限制类和淘汰类）》（公示稿），VOCs(挥发性有机物）洗涤吸收净化技术属于限制类，但具有水溶性或有酸碱反应性的 VOCs处理属于豁免范围，本项目发酵废气产生的氨及非甲烷总烃都具有水溶性，水喷淋措施处理发酵废气可行。</w:t>
      </w:r>
    </w:p>
    <w:p>
      <w:pPr>
        <w:pStyle w:val="48"/>
        <w:spacing w:line="360" w:lineRule="auto"/>
        <w:ind w:left="0" w:firstLine="480" w:firstLineChars="200"/>
        <w:rPr>
          <w:i/>
          <w:iCs/>
          <w:smallCaps w:val="0"/>
          <w:sz w:val="24"/>
          <w:szCs w:val="24"/>
          <w:u w:val="single"/>
        </w:rPr>
      </w:pPr>
      <w:r>
        <w:rPr>
          <w:rFonts w:hint="eastAsia"/>
          <w:i/>
          <w:iCs/>
          <w:smallCaps w:val="0"/>
          <w:sz w:val="24"/>
          <w:szCs w:val="24"/>
          <w:u w:val="single"/>
        </w:rPr>
        <w:t>3、</w:t>
      </w:r>
      <w:r>
        <w:rPr>
          <w:rFonts w:hint="eastAsia"/>
          <w:i/>
          <w:iCs/>
          <w:smallCaps w:val="0"/>
          <w:sz w:val="24"/>
          <w:szCs w:val="24"/>
          <w:u w:val="single"/>
          <w:lang w:val="en-US" w:eastAsia="zh-CN"/>
        </w:rPr>
        <w:t>热风炉1烟气及</w:t>
      </w:r>
      <w:r>
        <w:rPr>
          <w:rFonts w:hint="eastAsia"/>
          <w:i/>
          <w:iCs/>
          <w:smallCaps w:val="0"/>
          <w:sz w:val="24"/>
          <w:szCs w:val="24"/>
          <w:u w:val="single"/>
        </w:rPr>
        <w:t>喷雾干燥塔1喷雾干燥废气</w:t>
      </w:r>
    </w:p>
    <w:p>
      <w:pPr>
        <w:pStyle w:val="48"/>
        <w:wordWrap w:val="0"/>
        <w:spacing w:line="360" w:lineRule="auto"/>
        <w:ind w:left="0" w:firstLine="480" w:firstLineChars="200"/>
        <w:rPr>
          <w:rFonts w:hint="eastAsia"/>
          <w:i/>
          <w:iCs/>
          <w:sz w:val="24"/>
          <w:szCs w:val="24"/>
          <w:u w:val="single"/>
        </w:rPr>
      </w:pPr>
      <w:r>
        <w:rPr>
          <w:rFonts w:hint="eastAsia"/>
          <w:i/>
          <w:iCs/>
          <w:sz w:val="24"/>
          <w:szCs w:val="24"/>
          <w:u w:val="single"/>
          <w:lang w:val="en-US" w:eastAsia="zh-CN"/>
        </w:rPr>
        <w:t>热风炉1烟气与</w:t>
      </w:r>
      <w:r>
        <w:rPr>
          <w:rFonts w:hint="eastAsia"/>
          <w:i/>
          <w:iCs/>
          <w:sz w:val="24"/>
          <w:szCs w:val="24"/>
          <w:u w:val="single"/>
        </w:rPr>
        <w:t>喷雾干燥塔1</w:t>
      </w:r>
      <w:r>
        <w:rPr>
          <w:rFonts w:hint="eastAsia"/>
          <w:i/>
          <w:iCs/>
          <w:sz w:val="24"/>
          <w:szCs w:val="24"/>
          <w:u w:val="single"/>
          <w:lang w:val="en-US" w:eastAsia="zh-CN"/>
        </w:rPr>
        <w:t>烘干粉尘经过布袋除尘器（效率99%）处理后由同一根15m高排气筒排放（DA003），其中颗粒物满足《大气污染物综合排放标准》（GB16297-1996）中表2颗粒物排放限值，SO</w:t>
      </w:r>
      <w:r>
        <w:rPr>
          <w:rFonts w:hint="eastAsia"/>
          <w:i/>
          <w:iCs/>
          <w:sz w:val="24"/>
          <w:szCs w:val="24"/>
          <w:u w:val="single"/>
          <w:vertAlign w:val="subscript"/>
          <w:lang w:val="en-US" w:eastAsia="zh-CN"/>
        </w:rPr>
        <w:t>2</w:t>
      </w:r>
      <w:r>
        <w:rPr>
          <w:rFonts w:hint="eastAsia"/>
          <w:i/>
          <w:iCs/>
          <w:sz w:val="24"/>
          <w:szCs w:val="24"/>
          <w:u w:val="single"/>
          <w:lang w:val="en-US" w:eastAsia="zh-CN"/>
        </w:rPr>
        <w:t>和NO</w:t>
      </w:r>
      <w:r>
        <w:rPr>
          <w:rFonts w:hint="eastAsia"/>
          <w:i/>
          <w:iCs/>
          <w:sz w:val="24"/>
          <w:szCs w:val="24"/>
          <w:u w:val="single"/>
          <w:vertAlign w:val="subscript"/>
          <w:lang w:val="en-US" w:eastAsia="zh-CN"/>
        </w:rPr>
        <w:t>X</w:t>
      </w:r>
      <w:r>
        <w:rPr>
          <w:rFonts w:hint="eastAsia"/>
          <w:i/>
          <w:iCs/>
          <w:sz w:val="24"/>
          <w:szCs w:val="24"/>
          <w:u w:val="single"/>
          <w:lang w:val="en-US" w:eastAsia="zh-CN"/>
        </w:rPr>
        <w:t>满足《锅炉大气污染物排放标准》（GB13271-2014)表2新建锅炉大气污染物排放限值，工艺上采取二次除尘装置，即在旋风除尘器捕集之后再进行一次布袋除尘，这样总除尘效率可达到99%，本项目采用袋式除尘器控制生产过程的粉尘污染，属于常规且技术成熟的除尘方法，且都已广泛应用于各个工业行业，是有效可行的。</w:t>
      </w:r>
    </w:p>
    <w:p>
      <w:pPr>
        <w:pStyle w:val="48"/>
        <w:spacing w:line="360" w:lineRule="auto"/>
        <w:ind w:left="0" w:firstLine="480" w:firstLineChars="200"/>
        <w:rPr>
          <w:rFonts w:hint="default"/>
          <w:i/>
          <w:iCs/>
          <w:sz w:val="24"/>
          <w:szCs w:val="24"/>
          <w:u w:val="single"/>
          <w:lang w:val="en-US" w:eastAsia="zh-CN"/>
        </w:rPr>
      </w:pPr>
      <w:r>
        <w:rPr>
          <w:rFonts w:hint="eastAsia"/>
          <w:i/>
          <w:iCs/>
          <w:sz w:val="24"/>
          <w:szCs w:val="24"/>
          <w:u w:val="single"/>
          <w:lang w:val="en-US" w:eastAsia="zh-CN"/>
        </w:rPr>
        <w:t>4、热风炉2烟气及喷雾干燥塔2喷雾干燥废气</w:t>
      </w:r>
    </w:p>
    <w:p>
      <w:pPr>
        <w:pStyle w:val="48"/>
        <w:wordWrap w:val="0"/>
        <w:spacing w:line="360" w:lineRule="auto"/>
        <w:ind w:left="0" w:firstLine="480" w:firstLineChars="200"/>
        <w:rPr>
          <w:rFonts w:hint="eastAsia"/>
          <w:i/>
          <w:iCs/>
          <w:sz w:val="24"/>
          <w:szCs w:val="24"/>
          <w:u w:val="single"/>
        </w:rPr>
      </w:pPr>
      <w:r>
        <w:rPr>
          <w:rFonts w:hint="eastAsia"/>
          <w:i/>
          <w:iCs/>
          <w:sz w:val="24"/>
          <w:szCs w:val="24"/>
          <w:u w:val="single"/>
          <w:lang w:val="en-US" w:eastAsia="zh-CN"/>
        </w:rPr>
        <w:t>热风炉2烟气与</w:t>
      </w:r>
      <w:r>
        <w:rPr>
          <w:rFonts w:hint="eastAsia"/>
          <w:i/>
          <w:iCs/>
          <w:sz w:val="24"/>
          <w:szCs w:val="24"/>
          <w:u w:val="single"/>
        </w:rPr>
        <w:t>喷雾干燥塔</w:t>
      </w:r>
      <w:r>
        <w:rPr>
          <w:rFonts w:hint="eastAsia"/>
          <w:i/>
          <w:iCs/>
          <w:sz w:val="24"/>
          <w:szCs w:val="24"/>
          <w:u w:val="single"/>
          <w:lang w:val="en-US" w:eastAsia="zh-CN"/>
        </w:rPr>
        <w:t>2烘干粉尘经过布袋除尘器（效率99%）处理后由同一根15m高排气筒排放（DA004），其中颗粒物满足《大气污染物综合排放标准》（GB16297-1996）中表2颗粒物排放限值，SO</w:t>
      </w:r>
      <w:r>
        <w:rPr>
          <w:rFonts w:hint="eastAsia"/>
          <w:i/>
          <w:iCs/>
          <w:sz w:val="24"/>
          <w:szCs w:val="24"/>
          <w:u w:val="single"/>
          <w:vertAlign w:val="subscript"/>
          <w:lang w:val="en-US" w:eastAsia="zh-CN"/>
        </w:rPr>
        <w:t>2</w:t>
      </w:r>
      <w:r>
        <w:rPr>
          <w:rFonts w:hint="eastAsia"/>
          <w:i/>
          <w:iCs/>
          <w:sz w:val="24"/>
          <w:szCs w:val="24"/>
          <w:u w:val="single"/>
          <w:lang w:val="en-US" w:eastAsia="zh-CN"/>
        </w:rPr>
        <w:t>和NO</w:t>
      </w:r>
      <w:r>
        <w:rPr>
          <w:rFonts w:hint="eastAsia"/>
          <w:i/>
          <w:iCs/>
          <w:sz w:val="24"/>
          <w:szCs w:val="24"/>
          <w:u w:val="single"/>
          <w:vertAlign w:val="subscript"/>
          <w:lang w:val="en-US" w:eastAsia="zh-CN"/>
        </w:rPr>
        <w:t>X</w:t>
      </w:r>
      <w:r>
        <w:rPr>
          <w:rFonts w:hint="eastAsia"/>
          <w:i/>
          <w:iCs/>
          <w:sz w:val="24"/>
          <w:szCs w:val="24"/>
          <w:u w:val="single"/>
          <w:lang w:val="en-US" w:eastAsia="zh-CN"/>
        </w:rPr>
        <w:t>满足《锅炉大气污染物排放标准》（GB13271-2014)表2新建锅炉大气污染物排放限值。</w:t>
      </w:r>
    </w:p>
    <w:p>
      <w:pPr>
        <w:pStyle w:val="48"/>
        <w:spacing w:line="360" w:lineRule="auto"/>
        <w:ind w:left="0" w:firstLine="480" w:firstLineChars="200"/>
        <w:rPr>
          <w:rFonts w:hint="eastAsia"/>
          <w:i/>
          <w:iCs/>
          <w:sz w:val="24"/>
          <w:szCs w:val="24"/>
          <w:u w:val="single"/>
        </w:rPr>
      </w:pPr>
      <w:r>
        <w:rPr>
          <w:rFonts w:hint="eastAsia"/>
          <w:i/>
          <w:iCs/>
          <w:sz w:val="24"/>
          <w:szCs w:val="24"/>
          <w:u w:val="single"/>
          <w:lang w:val="en-US" w:eastAsia="zh-CN"/>
        </w:rPr>
        <w:t>5</w:t>
      </w:r>
      <w:r>
        <w:rPr>
          <w:rFonts w:hint="eastAsia"/>
          <w:i/>
          <w:iCs/>
          <w:sz w:val="24"/>
          <w:szCs w:val="24"/>
          <w:u w:val="single"/>
        </w:rPr>
        <w:t>、食堂油烟</w:t>
      </w:r>
    </w:p>
    <w:p>
      <w:pPr>
        <w:pStyle w:val="48"/>
        <w:wordWrap w:val="0"/>
        <w:spacing w:line="360" w:lineRule="auto"/>
        <w:ind w:left="0" w:firstLine="480" w:firstLineChars="200"/>
        <w:rPr>
          <w:rFonts w:hint="eastAsia"/>
          <w:i w:val="0"/>
          <w:iCs w:val="0"/>
          <w:smallCaps w:val="0"/>
          <w:sz w:val="24"/>
          <w:szCs w:val="24"/>
        </w:rPr>
      </w:pPr>
      <w:r>
        <w:rPr>
          <w:rFonts w:hint="eastAsia"/>
          <w:i/>
          <w:iCs/>
          <w:smallCaps w:val="0"/>
          <w:sz w:val="24"/>
          <w:szCs w:val="24"/>
          <w:u w:val="single"/>
        </w:rPr>
        <w:t>本项目食堂产生的油烟采用集风罩收集（收集效率为90%）后通过油烟净化装置处理（设计处理效率75%以上），处理后食堂油烟能够满足《饮食业油烟排放标准（试行）》（ GB18483-2001）中的最高</w:t>
      </w:r>
      <w:r>
        <w:rPr>
          <w:rFonts w:hint="eastAsia"/>
          <w:i w:val="0"/>
          <w:iCs w:val="0"/>
          <w:smallCaps w:val="0"/>
          <w:sz w:val="24"/>
          <w:szCs w:val="24"/>
        </w:rPr>
        <w:t>允许排放浓度限值2mg/m</w:t>
      </w:r>
      <w:r>
        <w:rPr>
          <w:rFonts w:hint="eastAsia"/>
          <w:i w:val="0"/>
          <w:iCs w:val="0"/>
          <w:smallCaps w:val="0"/>
          <w:sz w:val="24"/>
          <w:szCs w:val="24"/>
          <w:vertAlign w:val="superscript"/>
        </w:rPr>
        <w:t>3</w:t>
      </w:r>
      <w:r>
        <w:rPr>
          <w:rFonts w:hint="eastAsia"/>
          <w:i w:val="0"/>
          <w:iCs w:val="0"/>
          <w:smallCaps w:val="0"/>
          <w:sz w:val="24"/>
          <w:szCs w:val="24"/>
        </w:rPr>
        <w:t>的要求。食堂油烟通过高于楼顶3m排气筒排放。</w:t>
      </w:r>
    </w:p>
    <w:p>
      <w:pPr>
        <w:pStyle w:val="412"/>
        <w:adjustRightInd w:val="0"/>
        <w:snapToGrid w:val="0"/>
        <w:spacing w:beforeLines="0" w:afterLines="0"/>
        <w:jc w:val="both"/>
        <w:outlineLvl w:val="2"/>
        <w:rPr>
          <w:rFonts w:hint="eastAsia" w:ascii="Times New Roman" w:hAnsi="Times New Roman" w:cs="Times New Roman"/>
          <w:b/>
          <w:i w:val="0"/>
          <w:iCs w:val="0"/>
          <w:sz w:val="24"/>
          <w:szCs w:val="24"/>
        </w:rPr>
      </w:pPr>
      <w:r>
        <w:rPr>
          <w:rFonts w:hint="eastAsia" w:ascii="Times New Roman" w:hAnsi="Times New Roman" w:cs="Times New Roman"/>
          <w:b/>
          <w:i w:val="0"/>
          <w:iCs w:val="0"/>
          <w:sz w:val="24"/>
          <w:szCs w:val="24"/>
        </w:rPr>
        <w:t>6.2.3声污染防治措施</w:t>
      </w:r>
    </w:p>
    <w:p>
      <w:pPr>
        <w:pStyle w:val="47"/>
        <w:spacing w:line="360" w:lineRule="auto"/>
        <w:ind w:firstLine="501" w:firstLineChars="209"/>
        <w:rPr>
          <w:rFonts w:hint="eastAsia" w:eastAsia="宋体"/>
          <w:i w:val="0"/>
          <w:iCs w:val="0"/>
          <w:sz w:val="24"/>
          <w:szCs w:val="28"/>
        </w:rPr>
      </w:pPr>
      <w:r>
        <w:rPr>
          <w:rFonts w:hint="eastAsia" w:eastAsia="宋体"/>
          <w:i w:val="0"/>
          <w:iCs w:val="0"/>
          <w:sz w:val="24"/>
          <w:szCs w:val="28"/>
        </w:rPr>
        <w:t>本</w:t>
      </w:r>
      <w:r>
        <w:rPr>
          <w:rFonts w:eastAsia="宋体"/>
          <w:i w:val="0"/>
          <w:iCs w:val="0"/>
          <w:sz w:val="24"/>
          <w:szCs w:val="28"/>
        </w:rPr>
        <w:t>项目主要噪声源为风机、水泵、生产设备等，设备噪声值见表</w:t>
      </w:r>
      <w:r>
        <w:rPr>
          <w:rFonts w:hint="eastAsia" w:eastAsia="宋体"/>
          <w:i w:val="0"/>
          <w:iCs w:val="0"/>
          <w:sz w:val="24"/>
          <w:szCs w:val="28"/>
        </w:rPr>
        <w:t>3</w:t>
      </w:r>
      <w:r>
        <w:rPr>
          <w:rFonts w:eastAsia="宋体"/>
          <w:i w:val="0"/>
          <w:iCs w:val="0"/>
          <w:sz w:val="24"/>
          <w:szCs w:val="28"/>
        </w:rPr>
        <w:t>-</w:t>
      </w:r>
      <w:r>
        <w:rPr>
          <w:rFonts w:hint="eastAsia" w:eastAsia="宋体"/>
          <w:i w:val="0"/>
          <w:iCs w:val="0"/>
          <w:sz w:val="24"/>
          <w:szCs w:val="28"/>
          <w:lang w:val="en-US" w:eastAsia="zh-CN"/>
        </w:rPr>
        <w:t>27</w:t>
      </w:r>
      <w:r>
        <w:rPr>
          <w:rFonts w:eastAsia="宋体"/>
          <w:i w:val="0"/>
          <w:iCs w:val="0"/>
          <w:sz w:val="24"/>
          <w:szCs w:val="28"/>
        </w:rPr>
        <w:t>，采取消声、减振、隔声、降噪措施如下：</w:t>
      </w:r>
    </w:p>
    <w:p>
      <w:pPr>
        <w:pStyle w:val="37"/>
        <w:widowControl/>
        <w:spacing w:line="360" w:lineRule="auto"/>
        <w:ind w:firstLine="480" w:firstLineChars="200"/>
        <w:jc w:val="left"/>
        <w:rPr>
          <w:i w:val="0"/>
          <w:iCs w:val="0"/>
        </w:rPr>
      </w:pPr>
      <w:r>
        <w:rPr>
          <w:i w:val="0"/>
          <w:iCs w:val="0"/>
        </w:rPr>
        <w:t>（</w:t>
      </w:r>
      <w:r>
        <w:rPr>
          <w:rFonts w:hint="eastAsia"/>
          <w:i w:val="0"/>
          <w:iCs w:val="0"/>
        </w:rPr>
        <w:t>1</w:t>
      </w:r>
      <w:r>
        <w:rPr>
          <w:i w:val="0"/>
          <w:iCs w:val="0"/>
        </w:rPr>
        <w:t>）在厂区总平面布置时，应考虑利用建筑物的隔声作用，减轻噪声对外环境的影响。</w:t>
      </w:r>
    </w:p>
    <w:p>
      <w:pPr>
        <w:pStyle w:val="47"/>
        <w:spacing w:line="360" w:lineRule="auto"/>
        <w:ind w:firstLine="470" w:firstLineChars="196"/>
        <w:rPr>
          <w:rFonts w:eastAsia="宋体"/>
          <w:i w:val="0"/>
          <w:iCs w:val="0"/>
          <w:sz w:val="24"/>
          <w:szCs w:val="28"/>
        </w:rPr>
      </w:pPr>
      <w:r>
        <w:rPr>
          <w:rFonts w:eastAsia="宋体"/>
          <w:i w:val="0"/>
          <w:iCs w:val="0"/>
          <w:sz w:val="24"/>
          <w:szCs w:val="28"/>
        </w:rPr>
        <w:t>（</w:t>
      </w:r>
      <w:r>
        <w:rPr>
          <w:rFonts w:hint="eastAsia" w:eastAsia="宋体"/>
          <w:i w:val="0"/>
          <w:iCs w:val="0"/>
          <w:sz w:val="24"/>
          <w:szCs w:val="28"/>
        </w:rPr>
        <w:t>2</w:t>
      </w:r>
      <w:r>
        <w:rPr>
          <w:rFonts w:eastAsia="宋体"/>
          <w:i w:val="0"/>
          <w:iCs w:val="0"/>
          <w:sz w:val="24"/>
          <w:szCs w:val="28"/>
        </w:rPr>
        <w:t>）设备选用低噪声设备，对各主要设备的声级控制要求必须在设备采购中作为技术参数之一向供货商正式提出。</w:t>
      </w:r>
    </w:p>
    <w:p>
      <w:pPr>
        <w:pStyle w:val="47"/>
        <w:spacing w:line="360" w:lineRule="auto"/>
        <w:ind w:firstLine="470" w:firstLineChars="196"/>
        <w:rPr>
          <w:rFonts w:eastAsia="宋体"/>
          <w:i w:val="0"/>
          <w:iCs w:val="0"/>
          <w:sz w:val="24"/>
          <w:szCs w:val="28"/>
        </w:rPr>
      </w:pPr>
      <w:r>
        <w:rPr>
          <w:rFonts w:eastAsia="宋体"/>
          <w:i w:val="0"/>
          <w:iCs w:val="0"/>
          <w:sz w:val="24"/>
          <w:szCs w:val="28"/>
        </w:rPr>
        <w:t>（</w:t>
      </w:r>
      <w:r>
        <w:rPr>
          <w:rFonts w:hint="eastAsia" w:eastAsia="宋体"/>
          <w:i w:val="0"/>
          <w:iCs w:val="0"/>
          <w:sz w:val="24"/>
          <w:szCs w:val="28"/>
        </w:rPr>
        <w:t>3</w:t>
      </w:r>
      <w:r>
        <w:rPr>
          <w:rFonts w:eastAsia="宋体"/>
          <w:i w:val="0"/>
          <w:iCs w:val="0"/>
          <w:sz w:val="24"/>
          <w:szCs w:val="28"/>
        </w:rPr>
        <w:t>）高噪声设备如空压机、鼓风机等设在单独的隔声间内，隔声量大于20dB(A)；风机、引风机装设消声器或隔声罩，以降低送风机口、引风机口的气流噪声，一般可降噪20～25dB(A)；</w:t>
      </w:r>
    </w:p>
    <w:p>
      <w:pPr>
        <w:pStyle w:val="47"/>
        <w:spacing w:line="360" w:lineRule="auto"/>
        <w:ind w:firstLine="470" w:firstLineChars="196"/>
        <w:rPr>
          <w:rFonts w:eastAsia="宋体"/>
          <w:i w:val="0"/>
          <w:iCs w:val="0"/>
          <w:sz w:val="24"/>
          <w:szCs w:val="28"/>
        </w:rPr>
      </w:pPr>
      <w:r>
        <w:rPr>
          <w:rFonts w:eastAsia="宋体"/>
          <w:i w:val="0"/>
          <w:iCs w:val="0"/>
          <w:sz w:val="24"/>
          <w:szCs w:val="28"/>
        </w:rPr>
        <w:t>（</w:t>
      </w:r>
      <w:r>
        <w:rPr>
          <w:rFonts w:hint="eastAsia" w:eastAsia="宋体"/>
          <w:i w:val="0"/>
          <w:iCs w:val="0"/>
          <w:sz w:val="24"/>
          <w:szCs w:val="28"/>
        </w:rPr>
        <w:t>4</w:t>
      </w:r>
      <w:r>
        <w:rPr>
          <w:rFonts w:eastAsia="宋体"/>
          <w:i w:val="0"/>
          <w:iCs w:val="0"/>
          <w:sz w:val="24"/>
          <w:szCs w:val="28"/>
        </w:rPr>
        <w:t>）高噪声易产生振动设备做好减振基础。</w:t>
      </w:r>
    </w:p>
    <w:p>
      <w:pPr>
        <w:spacing w:line="360" w:lineRule="auto"/>
        <w:ind w:firstLine="480" w:firstLineChars="200"/>
        <w:rPr>
          <w:i w:val="0"/>
          <w:iCs w:val="0"/>
        </w:rPr>
      </w:pPr>
      <w:r>
        <w:rPr>
          <w:i w:val="0"/>
          <w:iCs w:val="0"/>
        </w:rPr>
        <w:t>（</w:t>
      </w:r>
      <w:r>
        <w:rPr>
          <w:rFonts w:hint="eastAsia"/>
          <w:i w:val="0"/>
          <w:iCs w:val="0"/>
        </w:rPr>
        <w:t>5</w:t>
      </w:r>
      <w:r>
        <w:rPr>
          <w:i w:val="0"/>
          <w:iCs w:val="0"/>
        </w:rPr>
        <w:t>）运输过程有交通噪声，声压级约78-85dB(A)，鸣笛90-105dB(A)。禁止夜间运输，轻易不要鸣笛，在经过住宅等对声敏感的地段禁止鸣笛，避免对沿线居民等产生明显影响。</w:t>
      </w:r>
    </w:p>
    <w:p>
      <w:pPr>
        <w:pStyle w:val="37"/>
        <w:widowControl/>
        <w:spacing w:line="360" w:lineRule="auto"/>
        <w:ind w:firstLine="480" w:firstLineChars="200"/>
        <w:jc w:val="left"/>
        <w:rPr>
          <w:i w:val="0"/>
          <w:iCs w:val="0"/>
        </w:rPr>
      </w:pPr>
      <w:r>
        <w:rPr>
          <w:i w:val="0"/>
          <w:iCs w:val="0"/>
        </w:rPr>
        <w:t>（</w:t>
      </w:r>
      <w:r>
        <w:rPr>
          <w:rFonts w:hint="eastAsia"/>
          <w:i w:val="0"/>
          <w:iCs w:val="0"/>
        </w:rPr>
        <w:t>6</w:t>
      </w:r>
      <w:r>
        <w:rPr>
          <w:i w:val="0"/>
          <w:iCs w:val="0"/>
        </w:rPr>
        <w:t>）随着使用年限的增长，应加强对设备检修和维修，发现问题及时处理，保证设备正常运转。</w:t>
      </w:r>
    </w:p>
    <w:p>
      <w:pPr>
        <w:pStyle w:val="37"/>
        <w:widowControl/>
        <w:spacing w:line="360" w:lineRule="auto"/>
        <w:ind w:firstLine="480" w:firstLineChars="200"/>
        <w:jc w:val="left"/>
        <w:rPr>
          <w:i w:val="0"/>
          <w:iCs w:val="0"/>
        </w:rPr>
      </w:pPr>
      <w:r>
        <w:rPr>
          <w:i w:val="0"/>
          <w:iCs w:val="0"/>
        </w:rPr>
        <w:t>（</w:t>
      </w:r>
      <w:r>
        <w:rPr>
          <w:rFonts w:hint="eastAsia"/>
          <w:i w:val="0"/>
          <w:iCs w:val="0"/>
        </w:rPr>
        <w:t>7</w:t>
      </w:r>
      <w:r>
        <w:rPr>
          <w:i w:val="0"/>
          <w:iCs w:val="0"/>
        </w:rPr>
        <w:t>）在有关环保人员的统一管理下，定期检查、监测厂区内及厂界噪声情况，发现噪声超标时要及时治理，并增加相关操作岗位人员的防护。</w:t>
      </w:r>
    </w:p>
    <w:p>
      <w:pPr>
        <w:spacing w:line="360" w:lineRule="auto"/>
        <w:ind w:firstLine="480" w:firstLineChars="200"/>
        <w:rPr>
          <w:i w:val="0"/>
          <w:iCs w:val="0"/>
        </w:rPr>
      </w:pPr>
      <w:r>
        <w:rPr>
          <w:i w:val="0"/>
          <w:iCs w:val="0"/>
        </w:rPr>
        <w:t>采取上述措施后，厂界噪声符合《工业企业厂界环境噪声排放标准》（GB12348-2008）中</w:t>
      </w:r>
      <w:r>
        <w:rPr>
          <w:rFonts w:hint="eastAsia"/>
          <w:i w:val="0"/>
          <w:iCs w:val="0"/>
          <w:lang w:val="en-US" w:eastAsia="zh-CN"/>
        </w:rPr>
        <w:t>2</w:t>
      </w:r>
      <w:r>
        <w:rPr>
          <w:i w:val="0"/>
          <w:iCs w:val="0"/>
        </w:rPr>
        <w:t>类</w:t>
      </w:r>
      <w:r>
        <w:rPr>
          <w:rFonts w:hint="eastAsia"/>
          <w:i w:val="0"/>
          <w:iCs w:val="0"/>
        </w:rPr>
        <w:t>类排放</w:t>
      </w:r>
      <w:r>
        <w:rPr>
          <w:i w:val="0"/>
          <w:iCs w:val="0"/>
        </w:rPr>
        <w:t>标准。</w:t>
      </w:r>
    </w:p>
    <w:p>
      <w:pPr>
        <w:pStyle w:val="412"/>
        <w:adjustRightInd w:val="0"/>
        <w:snapToGrid w:val="0"/>
        <w:spacing w:beforeLines="0" w:afterLines="0"/>
        <w:jc w:val="both"/>
        <w:outlineLvl w:val="2"/>
        <w:rPr>
          <w:rFonts w:hint="eastAsia" w:ascii="Times New Roman" w:hAnsi="Times New Roman" w:cs="Times New Roman"/>
          <w:b/>
          <w:i w:val="0"/>
          <w:iCs w:val="0"/>
          <w:sz w:val="24"/>
          <w:szCs w:val="24"/>
        </w:rPr>
      </w:pPr>
      <w:r>
        <w:rPr>
          <w:rFonts w:hint="eastAsia" w:ascii="Times New Roman" w:hAnsi="Times New Roman" w:cs="Times New Roman"/>
          <w:b/>
          <w:i w:val="0"/>
          <w:iCs w:val="0"/>
          <w:sz w:val="24"/>
          <w:szCs w:val="24"/>
        </w:rPr>
        <w:t>6.2.4固体废物污染防治措施</w:t>
      </w:r>
    </w:p>
    <w:p>
      <w:pPr>
        <w:spacing w:line="360" w:lineRule="auto"/>
        <w:ind w:firstLine="480" w:firstLineChars="200"/>
        <w:rPr>
          <w:rFonts w:hint="eastAsia"/>
          <w:i w:val="0"/>
          <w:iCs w:val="0"/>
          <w:szCs w:val="28"/>
        </w:rPr>
      </w:pPr>
      <w:r>
        <w:rPr>
          <w:rFonts w:hint="eastAsia"/>
          <w:i w:val="0"/>
          <w:iCs w:val="0"/>
          <w:szCs w:val="28"/>
        </w:rPr>
        <w:t>本项目产生的固体废物有生活垃圾、</w:t>
      </w:r>
      <w:r>
        <w:rPr>
          <w:rFonts w:hint="eastAsia" w:hAnsi="Times New Roman"/>
          <w:i w:val="0"/>
          <w:iCs w:val="0"/>
          <w:color w:val="000000"/>
          <w:lang w:eastAsia="zh-CN"/>
        </w:rPr>
        <w:t>收集到的粉尘、</w:t>
      </w:r>
      <w:r>
        <w:rPr>
          <w:rFonts w:hint="eastAsia"/>
          <w:i w:val="0"/>
          <w:iCs w:val="0"/>
          <w:szCs w:val="28"/>
        </w:rPr>
        <w:t>废包装材料、废滤材（初中高效过滤器、过滤芯）</w:t>
      </w:r>
      <w:r>
        <w:rPr>
          <w:rFonts w:hint="eastAsia"/>
          <w:i w:val="0"/>
          <w:iCs w:val="0"/>
          <w:szCs w:val="28"/>
          <w:lang w:eastAsia="zh-CN"/>
        </w:rPr>
        <w:t>、</w:t>
      </w:r>
      <w:r>
        <w:rPr>
          <w:rFonts w:hint="eastAsia"/>
          <w:i w:val="0"/>
          <w:iCs w:val="0"/>
          <w:szCs w:val="28"/>
        </w:rPr>
        <w:t>污水站污泥、废活性炭</w:t>
      </w:r>
      <w:r>
        <w:rPr>
          <w:rFonts w:hint="eastAsia"/>
          <w:i w:val="0"/>
          <w:iCs w:val="0"/>
          <w:szCs w:val="28"/>
          <w:lang w:eastAsia="zh-CN"/>
        </w:rPr>
        <w:t>、</w:t>
      </w:r>
      <w:r>
        <w:rPr>
          <w:rFonts w:hint="eastAsia"/>
          <w:i w:val="0"/>
          <w:iCs w:val="0"/>
          <w:lang w:eastAsia="zh-CN"/>
        </w:rPr>
        <w:t>实验废液及废包装瓶</w:t>
      </w:r>
      <w:r>
        <w:rPr>
          <w:rFonts w:hint="eastAsia"/>
          <w:i w:val="0"/>
          <w:iCs w:val="0"/>
          <w:szCs w:val="28"/>
        </w:rPr>
        <w:t>，其中生活垃圾委托环卫部门处理；</w:t>
      </w:r>
      <w:r>
        <w:rPr>
          <w:rFonts w:hint="eastAsia" w:hAnsi="Times New Roman"/>
          <w:i w:val="0"/>
          <w:iCs w:val="0"/>
          <w:color w:val="000000"/>
          <w:lang w:eastAsia="zh-CN"/>
        </w:rPr>
        <w:t>收集到的粉尘</w:t>
      </w:r>
      <w:r>
        <w:rPr>
          <w:rFonts w:hint="eastAsia"/>
          <w:i w:val="0"/>
          <w:iCs w:val="0"/>
          <w:color w:val="000000"/>
          <w:lang w:eastAsia="zh-CN"/>
        </w:rPr>
        <w:t>、</w:t>
      </w:r>
      <w:r>
        <w:rPr>
          <w:rFonts w:hint="eastAsia"/>
          <w:i w:val="0"/>
          <w:iCs w:val="0"/>
          <w:szCs w:val="28"/>
        </w:rPr>
        <w:t>废包装材料</w:t>
      </w:r>
      <w:r>
        <w:rPr>
          <w:rFonts w:hint="eastAsia"/>
          <w:i w:val="0"/>
          <w:iCs w:val="0"/>
          <w:szCs w:val="28"/>
          <w:lang w:eastAsia="zh-CN"/>
        </w:rPr>
        <w:t>、废滤材（初中高效过滤器、过滤芯）收集后外卖</w:t>
      </w:r>
      <w:r>
        <w:rPr>
          <w:rFonts w:hint="eastAsia"/>
          <w:i w:val="0"/>
          <w:iCs w:val="0"/>
          <w:szCs w:val="28"/>
        </w:rPr>
        <w:t>，污水站污泥送至白山绿能新能源有限公司处置</w:t>
      </w:r>
      <w:r>
        <w:rPr>
          <w:rFonts w:hint="eastAsia"/>
          <w:i w:val="0"/>
          <w:iCs w:val="0"/>
          <w:szCs w:val="28"/>
          <w:lang w:eastAsia="zh-CN"/>
        </w:rPr>
        <w:t>，废机油及废机油桶、</w:t>
      </w:r>
      <w:r>
        <w:rPr>
          <w:rFonts w:hint="eastAsia"/>
          <w:i w:val="0"/>
          <w:iCs w:val="0"/>
          <w:szCs w:val="28"/>
        </w:rPr>
        <w:t>废活性炭</w:t>
      </w:r>
      <w:r>
        <w:rPr>
          <w:rFonts w:hint="eastAsia"/>
          <w:i w:val="0"/>
          <w:iCs w:val="0"/>
          <w:szCs w:val="28"/>
          <w:lang w:eastAsia="zh-CN"/>
        </w:rPr>
        <w:t>、</w:t>
      </w:r>
      <w:r>
        <w:rPr>
          <w:rFonts w:hint="eastAsia"/>
          <w:i w:val="0"/>
          <w:iCs w:val="0"/>
          <w:lang w:eastAsia="zh-CN"/>
        </w:rPr>
        <w:t>实验废液及废包装瓶</w:t>
      </w:r>
      <w:r>
        <w:rPr>
          <w:rFonts w:hint="eastAsia"/>
          <w:i w:val="0"/>
          <w:iCs w:val="0"/>
          <w:szCs w:val="28"/>
        </w:rPr>
        <w:t>委托有资质单位处理。</w:t>
      </w:r>
    </w:p>
    <w:p>
      <w:pPr>
        <w:spacing w:line="360" w:lineRule="auto"/>
        <w:ind w:firstLine="480" w:firstLineChars="200"/>
        <w:rPr>
          <w:rFonts w:hint="eastAsia"/>
          <w:i w:val="0"/>
          <w:iCs w:val="0"/>
        </w:rPr>
      </w:pPr>
      <w:r>
        <w:rPr>
          <w:rFonts w:hint="eastAsia"/>
          <w:i w:val="0"/>
          <w:iCs w:val="0"/>
        </w:rPr>
        <w:t>项目产生的固体废物均有合理去向。</w:t>
      </w:r>
    </w:p>
    <w:p>
      <w:pPr>
        <w:pStyle w:val="412"/>
        <w:adjustRightInd w:val="0"/>
        <w:snapToGrid w:val="0"/>
        <w:spacing w:beforeLines="0" w:afterLines="0"/>
        <w:jc w:val="both"/>
        <w:outlineLvl w:val="2"/>
        <w:rPr>
          <w:rFonts w:hint="eastAsia" w:ascii="Times New Roman" w:hAnsi="Times New Roman" w:cs="Times New Roman"/>
          <w:b/>
          <w:i w:val="0"/>
          <w:iCs w:val="0"/>
          <w:sz w:val="24"/>
          <w:szCs w:val="24"/>
        </w:rPr>
      </w:pPr>
      <w:r>
        <w:rPr>
          <w:rFonts w:hint="eastAsia" w:ascii="Times New Roman" w:hAnsi="Times New Roman" w:cs="Times New Roman"/>
          <w:b/>
          <w:i w:val="0"/>
          <w:iCs w:val="0"/>
          <w:sz w:val="24"/>
          <w:szCs w:val="24"/>
        </w:rPr>
        <w:t>6.2.5地下水/土壤污染防治措施</w:t>
      </w:r>
    </w:p>
    <w:p>
      <w:pPr>
        <w:spacing w:line="360" w:lineRule="auto"/>
        <w:ind w:firstLine="480" w:firstLineChars="200"/>
        <w:rPr>
          <w:i w:val="0"/>
          <w:iCs w:val="0"/>
        </w:rPr>
      </w:pPr>
      <w:r>
        <w:rPr>
          <w:rFonts w:hint="eastAsia"/>
          <w:i w:val="0"/>
          <w:iCs w:val="0"/>
        </w:rPr>
        <w:t>1、</w:t>
      </w:r>
      <w:r>
        <w:rPr>
          <w:i w:val="0"/>
          <w:iCs w:val="0"/>
        </w:rPr>
        <w:t>厂区地下水污染防治措施</w:t>
      </w:r>
    </w:p>
    <w:p>
      <w:pPr>
        <w:spacing w:line="360" w:lineRule="auto"/>
        <w:ind w:firstLine="480" w:firstLineChars="200"/>
        <w:rPr>
          <w:i w:val="0"/>
          <w:iCs w:val="0"/>
        </w:rPr>
      </w:pPr>
      <w:r>
        <w:rPr>
          <w:i w:val="0"/>
          <w:iCs w:val="0"/>
        </w:rPr>
        <w:t>厂区厂房包括</w:t>
      </w:r>
      <w:r>
        <w:rPr>
          <w:rFonts w:hint="eastAsia"/>
          <w:i w:val="0"/>
          <w:iCs w:val="0"/>
        </w:rPr>
        <w:t>发酵车间、提取车间、动力车间、污水站、危品库、综合库等</w:t>
      </w:r>
      <w:r>
        <w:rPr>
          <w:i w:val="0"/>
          <w:iCs w:val="0"/>
        </w:rPr>
        <w:t>均已做防渗。厂区防渗情况具体内容见表</w:t>
      </w:r>
      <w:r>
        <w:rPr>
          <w:rFonts w:hint="eastAsia"/>
          <w:i w:val="0"/>
          <w:iCs w:val="0"/>
        </w:rPr>
        <w:t>6</w:t>
      </w:r>
      <w:r>
        <w:rPr>
          <w:i w:val="0"/>
          <w:iCs w:val="0"/>
        </w:rPr>
        <w:t>-</w:t>
      </w:r>
      <w:r>
        <w:rPr>
          <w:rFonts w:hint="eastAsia"/>
          <w:i w:val="0"/>
          <w:iCs w:val="0"/>
        </w:rPr>
        <w:t>1</w:t>
      </w:r>
      <w:r>
        <w:rPr>
          <w:i w:val="0"/>
          <w:iCs w:val="0"/>
        </w:rPr>
        <w:t>。</w:t>
      </w:r>
    </w:p>
    <w:p>
      <w:pPr>
        <w:ind w:firstLine="482" w:firstLineChars="200"/>
        <w:jc w:val="center"/>
        <w:rPr>
          <w:b/>
          <w:i w:val="0"/>
          <w:iCs w:val="0"/>
        </w:rPr>
      </w:pPr>
      <w:r>
        <w:rPr>
          <w:b/>
          <w:i w:val="0"/>
          <w:iCs w:val="0"/>
        </w:rPr>
        <w:t>表</w:t>
      </w:r>
      <w:r>
        <w:rPr>
          <w:rFonts w:hint="eastAsia"/>
          <w:b/>
          <w:i w:val="0"/>
          <w:iCs w:val="0"/>
        </w:rPr>
        <w:t>6-1厂区</w:t>
      </w:r>
      <w:r>
        <w:rPr>
          <w:b/>
          <w:i w:val="0"/>
          <w:iCs w:val="0"/>
        </w:rPr>
        <w:t>工程防渗情况表</w:t>
      </w:r>
    </w:p>
    <w:tbl>
      <w:tblPr>
        <w:tblStyle w:val="58"/>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90"/>
        <w:gridCol w:w="1326"/>
        <w:gridCol w:w="2995"/>
        <w:gridCol w:w="3121"/>
        <w:gridCol w:w="84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890" w:type="dxa"/>
            <w:noWrap w:val="0"/>
            <w:vAlign w:val="center"/>
          </w:tcPr>
          <w:p>
            <w:pPr>
              <w:pStyle w:val="376"/>
              <w:adjustRightInd w:val="0"/>
              <w:snapToGrid w:val="0"/>
              <w:spacing w:beforeLines="0" w:afterLines="0" w:line="240" w:lineRule="auto"/>
              <w:ind w:firstLine="0" w:firstLineChars="0"/>
              <w:jc w:val="center"/>
              <w:rPr>
                <w:i w:val="0"/>
                <w:iCs w:val="0"/>
                <w:sz w:val="21"/>
                <w:szCs w:val="21"/>
                <w:u w:val="single"/>
              </w:rPr>
            </w:pPr>
            <w:r>
              <w:rPr>
                <w:i w:val="0"/>
                <w:iCs w:val="0"/>
                <w:sz w:val="21"/>
                <w:szCs w:val="21"/>
                <w:u w:val="single"/>
              </w:rPr>
              <w:t>防治分区</w:t>
            </w:r>
          </w:p>
        </w:tc>
        <w:tc>
          <w:tcPr>
            <w:tcW w:w="1326" w:type="dxa"/>
            <w:noWrap w:val="0"/>
            <w:vAlign w:val="center"/>
          </w:tcPr>
          <w:p>
            <w:pPr>
              <w:pStyle w:val="376"/>
              <w:adjustRightInd w:val="0"/>
              <w:snapToGrid w:val="0"/>
              <w:spacing w:beforeLines="0" w:afterLines="0" w:line="240" w:lineRule="auto"/>
              <w:ind w:firstLine="0" w:firstLineChars="0"/>
              <w:jc w:val="center"/>
              <w:rPr>
                <w:i w:val="0"/>
                <w:iCs w:val="0"/>
                <w:sz w:val="21"/>
                <w:szCs w:val="21"/>
                <w:u w:val="single"/>
              </w:rPr>
            </w:pPr>
            <w:r>
              <w:rPr>
                <w:i w:val="0"/>
                <w:iCs w:val="0"/>
                <w:sz w:val="21"/>
                <w:szCs w:val="21"/>
                <w:u w:val="single"/>
              </w:rPr>
              <w:t>防治部位</w:t>
            </w:r>
          </w:p>
        </w:tc>
        <w:tc>
          <w:tcPr>
            <w:tcW w:w="2995" w:type="dxa"/>
            <w:noWrap w:val="0"/>
            <w:vAlign w:val="center"/>
          </w:tcPr>
          <w:p>
            <w:pPr>
              <w:pStyle w:val="376"/>
              <w:adjustRightInd w:val="0"/>
              <w:snapToGrid w:val="0"/>
              <w:spacing w:beforeLines="0" w:afterLines="0" w:line="240" w:lineRule="auto"/>
              <w:ind w:firstLine="0" w:firstLineChars="0"/>
              <w:jc w:val="center"/>
              <w:rPr>
                <w:i w:val="0"/>
                <w:iCs w:val="0"/>
                <w:sz w:val="21"/>
                <w:szCs w:val="21"/>
                <w:u w:val="single"/>
              </w:rPr>
            </w:pPr>
            <w:r>
              <w:rPr>
                <w:i w:val="0"/>
                <w:iCs w:val="0"/>
                <w:sz w:val="21"/>
                <w:szCs w:val="21"/>
                <w:u w:val="single"/>
              </w:rPr>
              <w:t>防渗要求</w:t>
            </w:r>
          </w:p>
        </w:tc>
        <w:tc>
          <w:tcPr>
            <w:tcW w:w="3121" w:type="dxa"/>
            <w:tcBorders>
              <w:right w:val="single" w:color="auto" w:sz="4" w:space="0"/>
            </w:tcBorders>
            <w:noWrap w:val="0"/>
            <w:vAlign w:val="center"/>
          </w:tcPr>
          <w:p>
            <w:pPr>
              <w:pStyle w:val="376"/>
              <w:adjustRightInd w:val="0"/>
              <w:snapToGrid w:val="0"/>
              <w:spacing w:beforeLines="0" w:afterLines="0" w:line="240" w:lineRule="auto"/>
              <w:ind w:firstLine="0" w:firstLineChars="0"/>
              <w:jc w:val="center"/>
              <w:rPr>
                <w:i w:val="0"/>
                <w:iCs w:val="0"/>
                <w:sz w:val="21"/>
                <w:szCs w:val="21"/>
                <w:u w:val="single"/>
              </w:rPr>
            </w:pPr>
            <w:r>
              <w:rPr>
                <w:i w:val="0"/>
                <w:iCs w:val="0"/>
                <w:sz w:val="21"/>
                <w:szCs w:val="21"/>
                <w:u w:val="single"/>
              </w:rPr>
              <w:t>防渗设计</w:t>
            </w:r>
          </w:p>
        </w:tc>
        <w:tc>
          <w:tcPr>
            <w:tcW w:w="842" w:type="dxa"/>
            <w:tcBorders>
              <w:left w:val="single" w:color="auto" w:sz="4" w:space="0"/>
            </w:tcBorders>
            <w:noWrap w:val="0"/>
            <w:vAlign w:val="center"/>
          </w:tcPr>
          <w:p>
            <w:pPr>
              <w:pStyle w:val="376"/>
              <w:adjustRightInd w:val="0"/>
              <w:snapToGrid w:val="0"/>
              <w:spacing w:beforeLines="0" w:afterLines="0" w:line="240" w:lineRule="auto"/>
              <w:ind w:firstLine="0" w:firstLineChars="0"/>
              <w:jc w:val="center"/>
              <w:rPr>
                <w:i w:val="0"/>
                <w:iCs w:val="0"/>
                <w:sz w:val="21"/>
                <w:szCs w:val="21"/>
                <w:u w:val="single"/>
              </w:rPr>
            </w:pPr>
            <w:r>
              <w:rPr>
                <w:i w:val="0"/>
                <w:iCs w:val="0"/>
                <w:sz w:val="21"/>
                <w:szCs w:val="21"/>
                <w:u w:val="single"/>
              </w:rPr>
              <w:t>是否满足要求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80" w:hRule="atLeast"/>
          <w:jc w:val="center"/>
        </w:trPr>
        <w:tc>
          <w:tcPr>
            <w:tcW w:w="890" w:type="dxa"/>
            <w:noWrap w:val="0"/>
            <w:vAlign w:val="center"/>
          </w:tcPr>
          <w:p>
            <w:pPr>
              <w:pStyle w:val="376"/>
              <w:adjustRightInd w:val="0"/>
              <w:snapToGrid w:val="0"/>
              <w:spacing w:beforeLines="0" w:afterLines="0" w:line="240" w:lineRule="auto"/>
              <w:ind w:firstLine="0" w:firstLineChars="0"/>
              <w:jc w:val="center"/>
              <w:rPr>
                <w:i w:val="0"/>
                <w:iCs w:val="0"/>
                <w:sz w:val="21"/>
                <w:szCs w:val="21"/>
                <w:u w:val="single"/>
              </w:rPr>
            </w:pPr>
            <w:r>
              <w:rPr>
                <w:i w:val="0"/>
                <w:iCs w:val="0"/>
                <w:sz w:val="21"/>
                <w:szCs w:val="21"/>
                <w:u w:val="single"/>
              </w:rPr>
              <w:t>重点污染防治区</w:t>
            </w:r>
          </w:p>
        </w:tc>
        <w:tc>
          <w:tcPr>
            <w:tcW w:w="1326" w:type="dxa"/>
            <w:noWrap w:val="0"/>
            <w:vAlign w:val="center"/>
          </w:tcPr>
          <w:p>
            <w:pPr>
              <w:pStyle w:val="376"/>
              <w:adjustRightInd w:val="0"/>
              <w:snapToGrid w:val="0"/>
              <w:spacing w:beforeLines="0" w:afterLines="0" w:line="240" w:lineRule="auto"/>
              <w:ind w:firstLine="0" w:firstLineChars="0"/>
              <w:jc w:val="center"/>
              <w:rPr>
                <w:rFonts w:hint="eastAsia"/>
                <w:i w:val="0"/>
                <w:iCs w:val="0"/>
                <w:sz w:val="21"/>
                <w:szCs w:val="21"/>
                <w:u w:val="single"/>
              </w:rPr>
            </w:pPr>
            <w:r>
              <w:rPr>
                <w:rFonts w:hint="eastAsia"/>
                <w:i w:val="0"/>
                <w:iCs w:val="0"/>
                <w:sz w:val="21"/>
                <w:szCs w:val="21"/>
                <w:u w:val="single"/>
              </w:rPr>
              <w:t>污水站、危品库</w:t>
            </w:r>
          </w:p>
        </w:tc>
        <w:tc>
          <w:tcPr>
            <w:tcW w:w="2995" w:type="dxa"/>
            <w:noWrap w:val="0"/>
            <w:vAlign w:val="center"/>
          </w:tcPr>
          <w:p>
            <w:pPr>
              <w:pStyle w:val="376"/>
              <w:adjustRightInd w:val="0"/>
              <w:snapToGrid w:val="0"/>
              <w:spacing w:beforeLines="0" w:afterLines="0" w:line="240" w:lineRule="auto"/>
              <w:ind w:firstLine="0" w:firstLineChars="0"/>
              <w:jc w:val="center"/>
              <w:rPr>
                <w:i w:val="0"/>
                <w:iCs w:val="0"/>
                <w:sz w:val="21"/>
                <w:szCs w:val="21"/>
                <w:u w:val="single"/>
              </w:rPr>
            </w:pPr>
            <w:r>
              <w:rPr>
                <w:i w:val="0"/>
                <w:iCs w:val="0"/>
                <w:sz w:val="21"/>
                <w:szCs w:val="21"/>
                <w:u w:val="single"/>
              </w:rPr>
              <w:t>重点污染防治区防渗层的防渗性能应等效于6.0m厚、渗透系数为≤1.0×10</w:t>
            </w:r>
            <w:r>
              <w:rPr>
                <w:i w:val="0"/>
                <w:iCs w:val="0"/>
                <w:sz w:val="21"/>
                <w:szCs w:val="21"/>
                <w:u w:val="single"/>
                <w:vertAlign w:val="superscript"/>
              </w:rPr>
              <w:t>-7</w:t>
            </w:r>
            <w:r>
              <w:rPr>
                <w:i w:val="0"/>
                <w:iCs w:val="0"/>
                <w:sz w:val="21"/>
                <w:szCs w:val="21"/>
                <w:u w:val="single"/>
              </w:rPr>
              <w:t>cm/s的黏土层的防渗性能。</w:t>
            </w:r>
          </w:p>
        </w:tc>
        <w:tc>
          <w:tcPr>
            <w:tcW w:w="3121" w:type="dxa"/>
            <w:tcBorders>
              <w:right w:val="single" w:color="auto" w:sz="4" w:space="0"/>
            </w:tcBorders>
            <w:noWrap w:val="0"/>
            <w:vAlign w:val="center"/>
          </w:tcPr>
          <w:p>
            <w:pPr>
              <w:pStyle w:val="90"/>
              <w:rPr>
                <w:i w:val="0"/>
                <w:iCs w:val="0"/>
                <w:color w:val="auto"/>
                <w:sz w:val="21"/>
                <w:szCs w:val="21"/>
                <w:u w:val="single"/>
              </w:rPr>
            </w:pPr>
            <w:r>
              <w:rPr>
                <w:rFonts w:hint="eastAsia"/>
                <w:i w:val="0"/>
                <w:iCs w:val="0"/>
                <w:color w:val="auto"/>
                <w:sz w:val="21"/>
                <w:szCs w:val="21"/>
                <w:u w:val="single"/>
              </w:rPr>
              <w:t>污水站现状各污水处理池以及</w:t>
            </w:r>
            <w:r>
              <w:rPr>
                <w:i w:val="0"/>
                <w:iCs w:val="0"/>
                <w:color w:val="auto"/>
                <w:sz w:val="21"/>
                <w:szCs w:val="21"/>
                <w:u w:val="single"/>
              </w:rPr>
              <w:t>污水管线全部采用钢筋混凝土管道敷设，全部采用防渗混凝土，渗透系数≤1.0×10</w:t>
            </w:r>
            <w:r>
              <w:rPr>
                <w:i w:val="0"/>
                <w:iCs w:val="0"/>
                <w:color w:val="auto"/>
                <w:sz w:val="21"/>
                <w:szCs w:val="21"/>
                <w:u w:val="single"/>
                <w:vertAlign w:val="superscript"/>
              </w:rPr>
              <w:t>-7</w:t>
            </w:r>
            <w:r>
              <w:rPr>
                <w:i w:val="0"/>
                <w:iCs w:val="0"/>
                <w:color w:val="auto"/>
                <w:sz w:val="21"/>
                <w:szCs w:val="21"/>
                <w:u w:val="single"/>
              </w:rPr>
              <w:t>cm/s。</w:t>
            </w:r>
          </w:p>
        </w:tc>
        <w:tc>
          <w:tcPr>
            <w:tcW w:w="842" w:type="dxa"/>
            <w:tcBorders>
              <w:left w:val="single" w:color="auto" w:sz="4" w:space="0"/>
            </w:tcBorders>
            <w:noWrap w:val="0"/>
            <w:vAlign w:val="center"/>
          </w:tcPr>
          <w:p>
            <w:pPr>
              <w:autoSpaceDE w:val="0"/>
              <w:autoSpaceDN w:val="0"/>
              <w:adjustRightInd w:val="0"/>
              <w:snapToGrid w:val="0"/>
              <w:jc w:val="center"/>
              <w:rPr>
                <w:i w:val="0"/>
                <w:iCs w:val="0"/>
                <w:sz w:val="21"/>
                <w:szCs w:val="21"/>
                <w:u w:val="single"/>
              </w:rPr>
            </w:pPr>
            <w:r>
              <w:rPr>
                <w:i w:val="0"/>
                <w:iCs w:val="0"/>
                <w:sz w:val="21"/>
                <w:szCs w:val="21"/>
                <w:u w:val="single"/>
              </w:rPr>
              <w:t>满足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890" w:type="dxa"/>
            <w:noWrap w:val="0"/>
            <w:vAlign w:val="center"/>
          </w:tcPr>
          <w:p>
            <w:pPr>
              <w:pStyle w:val="376"/>
              <w:adjustRightInd w:val="0"/>
              <w:snapToGrid w:val="0"/>
              <w:spacing w:beforeLines="0" w:afterLines="0" w:line="240" w:lineRule="auto"/>
              <w:ind w:firstLine="0" w:firstLineChars="0"/>
              <w:jc w:val="center"/>
              <w:rPr>
                <w:i w:val="0"/>
                <w:iCs w:val="0"/>
                <w:sz w:val="21"/>
                <w:szCs w:val="21"/>
                <w:u w:val="single"/>
              </w:rPr>
            </w:pPr>
            <w:r>
              <w:rPr>
                <w:i w:val="0"/>
                <w:iCs w:val="0"/>
                <w:sz w:val="21"/>
                <w:szCs w:val="21"/>
                <w:u w:val="single"/>
              </w:rPr>
              <w:t>一般污染防治区</w:t>
            </w:r>
          </w:p>
        </w:tc>
        <w:tc>
          <w:tcPr>
            <w:tcW w:w="1326" w:type="dxa"/>
            <w:noWrap w:val="0"/>
            <w:vAlign w:val="center"/>
          </w:tcPr>
          <w:p>
            <w:pPr>
              <w:pStyle w:val="376"/>
              <w:adjustRightInd w:val="0"/>
              <w:snapToGrid w:val="0"/>
              <w:spacing w:beforeLines="0" w:afterLines="0" w:line="240" w:lineRule="auto"/>
              <w:ind w:firstLine="0" w:firstLineChars="0"/>
              <w:jc w:val="center"/>
              <w:rPr>
                <w:rFonts w:hint="eastAsia"/>
                <w:i w:val="0"/>
                <w:iCs w:val="0"/>
                <w:sz w:val="21"/>
                <w:szCs w:val="21"/>
                <w:u w:val="single"/>
              </w:rPr>
            </w:pPr>
            <w:r>
              <w:rPr>
                <w:rFonts w:hint="eastAsia"/>
                <w:i w:val="0"/>
                <w:iCs w:val="0"/>
                <w:sz w:val="21"/>
                <w:szCs w:val="21"/>
                <w:u w:val="single"/>
              </w:rPr>
              <w:t>发酵车间、提取车间、动力车间、综合库</w:t>
            </w:r>
          </w:p>
        </w:tc>
        <w:tc>
          <w:tcPr>
            <w:tcW w:w="2995" w:type="dxa"/>
            <w:noWrap w:val="0"/>
            <w:vAlign w:val="center"/>
          </w:tcPr>
          <w:p>
            <w:pPr>
              <w:autoSpaceDE w:val="0"/>
              <w:autoSpaceDN w:val="0"/>
              <w:adjustRightInd w:val="0"/>
              <w:snapToGrid w:val="0"/>
              <w:jc w:val="center"/>
              <w:rPr>
                <w:i w:val="0"/>
                <w:iCs w:val="0"/>
                <w:sz w:val="21"/>
                <w:szCs w:val="21"/>
                <w:u w:val="single"/>
              </w:rPr>
            </w:pPr>
            <w:r>
              <w:rPr>
                <w:i w:val="0"/>
                <w:iCs w:val="0"/>
                <w:sz w:val="21"/>
                <w:szCs w:val="21"/>
                <w:u w:val="single"/>
              </w:rPr>
              <w:t>一般污染防治区防渗层的防渗性能应等效于1.5m厚、渗透系数为1.0×10</w:t>
            </w:r>
            <w:r>
              <w:rPr>
                <w:i w:val="0"/>
                <w:iCs w:val="0"/>
                <w:sz w:val="21"/>
                <w:szCs w:val="21"/>
                <w:u w:val="single"/>
                <w:vertAlign w:val="superscript"/>
              </w:rPr>
              <w:t>-7</w:t>
            </w:r>
            <w:r>
              <w:rPr>
                <w:i w:val="0"/>
                <w:iCs w:val="0"/>
                <w:sz w:val="21"/>
                <w:szCs w:val="21"/>
                <w:u w:val="single"/>
              </w:rPr>
              <w:t>cm/s的黏土层的防渗性能。</w:t>
            </w:r>
          </w:p>
        </w:tc>
        <w:tc>
          <w:tcPr>
            <w:tcW w:w="3121" w:type="dxa"/>
            <w:tcBorders>
              <w:right w:val="single" w:color="auto" w:sz="4" w:space="0"/>
            </w:tcBorders>
            <w:noWrap w:val="0"/>
            <w:vAlign w:val="center"/>
          </w:tcPr>
          <w:p>
            <w:pPr>
              <w:autoSpaceDE w:val="0"/>
              <w:autoSpaceDN w:val="0"/>
              <w:adjustRightInd w:val="0"/>
              <w:snapToGrid w:val="0"/>
              <w:jc w:val="center"/>
              <w:rPr>
                <w:i w:val="0"/>
                <w:iCs w:val="0"/>
                <w:sz w:val="21"/>
                <w:szCs w:val="21"/>
                <w:u w:val="single"/>
              </w:rPr>
            </w:pPr>
            <w:r>
              <w:rPr>
                <w:i w:val="0"/>
                <w:iCs w:val="0"/>
                <w:sz w:val="21"/>
                <w:szCs w:val="21"/>
                <w:u w:val="single"/>
              </w:rPr>
              <w:t>生产车间地面采用30cm厚混凝土，渗透系数为1.0×10</w:t>
            </w:r>
            <w:r>
              <w:rPr>
                <w:i w:val="0"/>
                <w:iCs w:val="0"/>
                <w:sz w:val="21"/>
                <w:szCs w:val="21"/>
                <w:u w:val="single"/>
                <w:vertAlign w:val="superscript"/>
              </w:rPr>
              <w:t>-7</w:t>
            </w:r>
            <w:r>
              <w:rPr>
                <w:i w:val="0"/>
                <w:iCs w:val="0"/>
                <w:sz w:val="21"/>
                <w:szCs w:val="21"/>
                <w:u w:val="single"/>
              </w:rPr>
              <w:t>cm/s</w:t>
            </w:r>
          </w:p>
        </w:tc>
        <w:tc>
          <w:tcPr>
            <w:tcW w:w="842" w:type="dxa"/>
            <w:tcBorders>
              <w:left w:val="single" w:color="auto" w:sz="4" w:space="0"/>
            </w:tcBorders>
            <w:noWrap w:val="0"/>
            <w:vAlign w:val="center"/>
          </w:tcPr>
          <w:p>
            <w:pPr>
              <w:autoSpaceDE w:val="0"/>
              <w:autoSpaceDN w:val="0"/>
              <w:adjustRightInd w:val="0"/>
              <w:snapToGrid w:val="0"/>
              <w:jc w:val="center"/>
              <w:rPr>
                <w:i w:val="0"/>
                <w:iCs w:val="0"/>
                <w:sz w:val="21"/>
                <w:szCs w:val="21"/>
                <w:u w:val="single"/>
              </w:rPr>
            </w:pPr>
            <w:r>
              <w:rPr>
                <w:i w:val="0"/>
                <w:iCs w:val="0"/>
                <w:sz w:val="21"/>
                <w:szCs w:val="21"/>
                <w:u w:val="single"/>
              </w:rPr>
              <w:t>满足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90" w:type="dxa"/>
            <w:noWrap w:val="0"/>
            <w:vAlign w:val="center"/>
          </w:tcPr>
          <w:p>
            <w:pPr>
              <w:pStyle w:val="376"/>
              <w:adjustRightInd w:val="0"/>
              <w:snapToGrid w:val="0"/>
              <w:spacing w:beforeLines="0" w:afterLines="0" w:line="240" w:lineRule="auto"/>
              <w:ind w:firstLine="0" w:firstLineChars="0"/>
              <w:jc w:val="center"/>
              <w:rPr>
                <w:i w:val="0"/>
                <w:iCs w:val="0"/>
                <w:sz w:val="21"/>
                <w:szCs w:val="21"/>
                <w:u w:val="single"/>
              </w:rPr>
            </w:pPr>
            <w:r>
              <w:rPr>
                <w:i w:val="0"/>
                <w:iCs w:val="0"/>
                <w:sz w:val="21"/>
                <w:szCs w:val="21"/>
                <w:u w:val="single"/>
              </w:rPr>
              <w:t>简单防渗区</w:t>
            </w:r>
          </w:p>
        </w:tc>
        <w:tc>
          <w:tcPr>
            <w:tcW w:w="1326" w:type="dxa"/>
            <w:noWrap w:val="0"/>
            <w:vAlign w:val="center"/>
          </w:tcPr>
          <w:p>
            <w:pPr>
              <w:pStyle w:val="376"/>
              <w:adjustRightInd w:val="0"/>
              <w:snapToGrid w:val="0"/>
              <w:spacing w:beforeLines="0" w:afterLines="0" w:line="240" w:lineRule="auto"/>
              <w:ind w:firstLine="0" w:firstLineChars="0"/>
              <w:jc w:val="center"/>
              <w:rPr>
                <w:rFonts w:hint="eastAsia"/>
                <w:i w:val="0"/>
                <w:iCs w:val="0"/>
                <w:sz w:val="21"/>
                <w:szCs w:val="21"/>
                <w:u w:val="single"/>
              </w:rPr>
            </w:pPr>
            <w:r>
              <w:rPr>
                <w:rFonts w:hint="eastAsia"/>
                <w:i w:val="0"/>
                <w:iCs w:val="0"/>
                <w:sz w:val="21"/>
                <w:szCs w:val="21"/>
                <w:u w:val="single"/>
              </w:rPr>
              <w:t>厂区道路及办公区</w:t>
            </w:r>
          </w:p>
        </w:tc>
        <w:tc>
          <w:tcPr>
            <w:tcW w:w="2995" w:type="dxa"/>
            <w:noWrap w:val="0"/>
            <w:vAlign w:val="center"/>
          </w:tcPr>
          <w:p>
            <w:pPr>
              <w:pStyle w:val="376"/>
              <w:adjustRightInd w:val="0"/>
              <w:snapToGrid w:val="0"/>
              <w:spacing w:beforeLines="0" w:afterLines="0" w:line="240" w:lineRule="auto"/>
              <w:ind w:firstLine="0" w:firstLineChars="0"/>
              <w:jc w:val="center"/>
              <w:rPr>
                <w:i w:val="0"/>
                <w:iCs w:val="0"/>
                <w:sz w:val="21"/>
                <w:szCs w:val="21"/>
                <w:u w:val="single"/>
              </w:rPr>
            </w:pPr>
            <w:r>
              <w:rPr>
                <w:i w:val="0"/>
                <w:iCs w:val="0"/>
                <w:sz w:val="21"/>
                <w:szCs w:val="21"/>
                <w:u w:val="single"/>
              </w:rPr>
              <w:t>简单污染防治区，防渗性能应不大于1.0×10</w:t>
            </w:r>
            <w:r>
              <w:rPr>
                <w:i w:val="0"/>
                <w:iCs w:val="0"/>
                <w:sz w:val="21"/>
                <w:szCs w:val="21"/>
                <w:u w:val="single"/>
                <w:vertAlign w:val="superscript"/>
              </w:rPr>
              <w:t>-6</w:t>
            </w:r>
            <w:r>
              <w:rPr>
                <w:i w:val="0"/>
                <w:iCs w:val="0"/>
                <w:sz w:val="21"/>
                <w:szCs w:val="21"/>
                <w:u w:val="single"/>
              </w:rPr>
              <w:t>cm/s。</w:t>
            </w:r>
          </w:p>
        </w:tc>
        <w:tc>
          <w:tcPr>
            <w:tcW w:w="3121" w:type="dxa"/>
            <w:tcBorders>
              <w:right w:val="single" w:color="auto" w:sz="4" w:space="0"/>
            </w:tcBorders>
            <w:noWrap w:val="0"/>
            <w:vAlign w:val="center"/>
          </w:tcPr>
          <w:p>
            <w:pPr>
              <w:pStyle w:val="376"/>
              <w:adjustRightInd w:val="0"/>
              <w:snapToGrid w:val="0"/>
              <w:spacing w:beforeLines="0" w:afterLines="0" w:line="240" w:lineRule="auto"/>
              <w:ind w:firstLine="0" w:firstLineChars="0"/>
              <w:jc w:val="center"/>
              <w:rPr>
                <w:i w:val="0"/>
                <w:iCs w:val="0"/>
                <w:sz w:val="21"/>
                <w:szCs w:val="21"/>
                <w:u w:val="single"/>
              </w:rPr>
            </w:pPr>
            <w:r>
              <w:rPr>
                <w:i w:val="0"/>
                <w:iCs w:val="0"/>
                <w:sz w:val="21"/>
                <w:szCs w:val="21"/>
                <w:u w:val="single"/>
              </w:rPr>
              <w:t>厂区道路全部是粘土夯实处理后，混凝土浇筑</w:t>
            </w:r>
          </w:p>
        </w:tc>
        <w:tc>
          <w:tcPr>
            <w:tcW w:w="842" w:type="dxa"/>
            <w:tcBorders>
              <w:left w:val="single" w:color="auto" w:sz="4" w:space="0"/>
            </w:tcBorders>
            <w:noWrap w:val="0"/>
            <w:vAlign w:val="center"/>
          </w:tcPr>
          <w:p>
            <w:pPr>
              <w:autoSpaceDE w:val="0"/>
              <w:autoSpaceDN w:val="0"/>
              <w:adjustRightInd w:val="0"/>
              <w:snapToGrid w:val="0"/>
              <w:jc w:val="center"/>
              <w:rPr>
                <w:i w:val="0"/>
                <w:iCs w:val="0"/>
                <w:sz w:val="21"/>
                <w:szCs w:val="21"/>
                <w:u w:val="single"/>
              </w:rPr>
            </w:pPr>
            <w:r>
              <w:rPr>
                <w:i w:val="0"/>
                <w:iCs w:val="0"/>
                <w:sz w:val="21"/>
                <w:szCs w:val="21"/>
                <w:u w:val="single"/>
              </w:rPr>
              <w:t>满足</w:t>
            </w:r>
          </w:p>
        </w:tc>
      </w:tr>
    </w:tbl>
    <w:p>
      <w:pPr>
        <w:spacing w:line="360" w:lineRule="auto"/>
        <w:ind w:firstLine="480" w:firstLineChars="200"/>
        <w:rPr>
          <w:i w:val="0"/>
          <w:iCs w:val="0"/>
        </w:rPr>
      </w:pPr>
      <w:r>
        <w:rPr>
          <w:i w:val="0"/>
          <w:iCs w:val="0"/>
        </w:rPr>
        <w:t>根据厂区防渗情况</w:t>
      </w:r>
      <w:r>
        <w:rPr>
          <w:rFonts w:hint="eastAsia"/>
          <w:i w:val="0"/>
          <w:iCs w:val="0"/>
        </w:rPr>
        <w:t>满足</w:t>
      </w:r>
      <w:r>
        <w:rPr>
          <w:i w:val="0"/>
          <w:iCs w:val="0"/>
        </w:rPr>
        <w:t>《环境影响评价技术导则地下水环境》（HJ610-2016）的相关要求。</w:t>
      </w:r>
    </w:p>
    <w:p>
      <w:pPr>
        <w:spacing w:line="360" w:lineRule="auto"/>
        <w:ind w:firstLine="480" w:firstLineChars="200"/>
        <w:rPr>
          <w:i w:val="0"/>
          <w:iCs w:val="0"/>
        </w:rPr>
      </w:pPr>
      <w:r>
        <w:rPr>
          <w:rFonts w:hint="eastAsia"/>
          <w:i w:val="0"/>
          <w:iCs w:val="0"/>
        </w:rPr>
        <w:t>2、</w:t>
      </w:r>
      <w:r>
        <w:rPr>
          <w:i w:val="0"/>
          <w:iCs w:val="0"/>
        </w:rPr>
        <w:t>地下水</w:t>
      </w:r>
      <w:r>
        <w:rPr>
          <w:rFonts w:hint="eastAsia"/>
          <w:i w:val="0"/>
          <w:iCs w:val="0"/>
        </w:rPr>
        <w:t>以及土壤</w:t>
      </w:r>
      <w:r>
        <w:rPr>
          <w:i w:val="0"/>
          <w:iCs w:val="0"/>
        </w:rPr>
        <w:t>环境监测</w:t>
      </w:r>
    </w:p>
    <w:p>
      <w:pPr>
        <w:spacing w:line="360" w:lineRule="auto"/>
        <w:ind w:firstLine="480" w:firstLineChars="200"/>
        <w:rPr>
          <w:rFonts w:hint="eastAsia"/>
          <w:i w:val="0"/>
          <w:iCs w:val="0"/>
        </w:rPr>
      </w:pPr>
      <w:r>
        <w:rPr>
          <w:rFonts w:hint="eastAsia"/>
          <w:i w:val="0"/>
          <w:iCs w:val="0"/>
        </w:rPr>
        <w:t>根据《环境影响评价技术导则地下水环境》（HJ610-2016）中地下水环境监测与管理要求，项目应制定地下水环境影响跟踪监测计划，建立跟踪监测制度，根据评价等级，三级评价的建设项目，应至少在建设项目场地下游布置1个地下水跟踪监测点，监测频次</w:t>
      </w:r>
      <w:r>
        <w:rPr>
          <w:i w:val="0"/>
          <w:iCs w:val="0"/>
        </w:rPr>
        <w:t>参考《地下水环境监测技术规范》（HJ/T164-2004）</w:t>
      </w:r>
      <w:r>
        <w:rPr>
          <w:rFonts w:hint="eastAsia"/>
          <w:i w:val="0"/>
          <w:iCs w:val="0"/>
        </w:rPr>
        <w:t>，具体设置及监测因子见表6-2</w:t>
      </w:r>
      <w:r>
        <w:rPr>
          <w:i w:val="0"/>
          <w:iCs w:val="0"/>
        </w:rPr>
        <w:t>。</w:t>
      </w:r>
    </w:p>
    <w:p>
      <w:pPr>
        <w:ind w:firstLine="482" w:firstLineChars="200"/>
        <w:jc w:val="center"/>
        <w:rPr>
          <w:rFonts w:hint="eastAsia"/>
          <w:b/>
          <w:i w:val="0"/>
          <w:iCs w:val="0"/>
        </w:rPr>
      </w:pPr>
      <w:r>
        <w:rPr>
          <w:rFonts w:hint="eastAsia"/>
          <w:b/>
          <w:i w:val="0"/>
          <w:iCs w:val="0"/>
        </w:rPr>
        <w:t>表6-2项目地下水污染监控井布设点及监测因子</w:t>
      </w:r>
    </w:p>
    <w:tbl>
      <w:tblPr>
        <w:tblStyle w:val="58"/>
        <w:tblW w:w="9494"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133"/>
        <w:gridCol w:w="1134"/>
        <w:gridCol w:w="1134"/>
        <w:gridCol w:w="1276"/>
        <w:gridCol w:w="992"/>
        <w:gridCol w:w="2268"/>
        <w:gridCol w:w="8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803" w:type="dxa"/>
            <w:gridSpan w:val="2"/>
            <w:noWrap w:val="0"/>
            <w:vAlign w:val="center"/>
          </w:tcPr>
          <w:p>
            <w:pPr>
              <w:pStyle w:val="48"/>
              <w:ind w:left="0"/>
              <w:jc w:val="center"/>
              <w:rPr>
                <w:i w:val="0"/>
                <w:iCs w:val="0"/>
                <w:sz w:val="21"/>
                <w:szCs w:val="21"/>
              </w:rPr>
            </w:pPr>
            <w:r>
              <w:rPr>
                <w:i w:val="0"/>
                <w:iCs w:val="0"/>
                <w:sz w:val="21"/>
                <w:szCs w:val="21"/>
              </w:rPr>
              <w:t>地下水污染监控点</w:t>
            </w:r>
          </w:p>
        </w:tc>
        <w:tc>
          <w:tcPr>
            <w:tcW w:w="1134" w:type="dxa"/>
            <w:noWrap w:val="0"/>
            <w:vAlign w:val="center"/>
          </w:tcPr>
          <w:p>
            <w:pPr>
              <w:pStyle w:val="48"/>
              <w:ind w:left="0"/>
              <w:jc w:val="center"/>
              <w:rPr>
                <w:i w:val="0"/>
                <w:iCs w:val="0"/>
                <w:sz w:val="21"/>
                <w:szCs w:val="21"/>
              </w:rPr>
            </w:pPr>
            <w:r>
              <w:rPr>
                <w:i w:val="0"/>
                <w:iCs w:val="0"/>
                <w:sz w:val="21"/>
                <w:szCs w:val="21"/>
              </w:rPr>
              <w:t>经度（度）</w:t>
            </w:r>
          </w:p>
        </w:tc>
        <w:tc>
          <w:tcPr>
            <w:tcW w:w="1134" w:type="dxa"/>
            <w:noWrap w:val="0"/>
            <w:vAlign w:val="center"/>
          </w:tcPr>
          <w:p>
            <w:pPr>
              <w:pStyle w:val="48"/>
              <w:ind w:left="0"/>
              <w:jc w:val="center"/>
              <w:rPr>
                <w:i w:val="0"/>
                <w:iCs w:val="0"/>
                <w:sz w:val="21"/>
                <w:szCs w:val="21"/>
              </w:rPr>
            </w:pPr>
            <w:r>
              <w:rPr>
                <w:i w:val="0"/>
                <w:iCs w:val="0"/>
                <w:sz w:val="21"/>
                <w:szCs w:val="21"/>
              </w:rPr>
              <w:t>纬度（度）</w:t>
            </w:r>
          </w:p>
        </w:tc>
        <w:tc>
          <w:tcPr>
            <w:tcW w:w="1276" w:type="dxa"/>
            <w:noWrap w:val="0"/>
            <w:vAlign w:val="center"/>
          </w:tcPr>
          <w:p>
            <w:pPr>
              <w:pStyle w:val="48"/>
              <w:ind w:left="0"/>
              <w:jc w:val="center"/>
              <w:rPr>
                <w:i w:val="0"/>
                <w:iCs w:val="0"/>
                <w:sz w:val="21"/>
                <w:szCs w:val="21"/>
              </w:rPr>
            </w:pPr>
            <w:r>
              <w:rPr>
                <w:i w:val="0"/>
                <w:iCs w:val="0"/>
                <w:sz w:val="21"/>
                <w:szCs w:val="21"/>
              </w:rPr>
              <w:t>距离厂区位置</w:t>
            </w:r>
          </w:p>
        </w:tc>
        <w:tc>
          <w:tcPr>
            <w:tcW w:w="992" w:type="dxa"/>
            <w:noWrap w:val="0"/>
            <w:vAlign w:val="center"/>
          </w:tcPr>
          <w:p>
            <w:pPr>
              <w:pStyle w:val="48"/>
              <w:ind w:left="0"/>
              <w:jc w:val="center"/>
              <w:rPr>
                <w:i w:val="0"/>
                <w:iCs w:val="0"/>
                <w:sz w:val="21"/>
                <w:szCs w:val="21"/>
              </w:rPr>
            </w:pPr>
            <w:r>
              <w:rPr>
                <w:i w:val="0"/>
                <w:iCs w:val="0"/>
                <w:sz w:val="21"/>
                <w:szCs w:val="21"/>
              </w:rPr>
              <w:t>是否为现有水井</w:t>
            </w:r>
          </w:p>
        </w:tc>
        <w:tc>
          <w:tcPr>
            <w:tcW w:w="2268" w:type="dxa"/>
            <w:noWrap w:val="0"/>
            <w:vAlign w:val="center"/>
          </w:tcPr>
          <w:p>
            <w:pPr>
              <w:pStyle w:val="48"/>
              <w:ind w:left="0"/>
              <w:jc w:val="center"/>
              <w:rPr>
                <w:i w:val="0"/>
                <w:iCs w:val="0"/>
                <w:sz w:val="21"/>
                <w:szCs w:val="21"/>
              </w:rPr>
            </w:pPr>
            <w:r>
              <w:rPr>
                <w:i w:val="0"/>
                <w:iCs w:val="0"/>
                <w:sz w:val="21"/>
                <w:szCs w:val="21"/>
              </w:rPr>
              <w:t>监测因子</w:t>
            </w:r>
          </w:p>
        </w:tc>
        <w:tc>
          <w:tcPr>
            <w:tcW w:w="887" w:type="dxa"/>
            <w:noWrap w:val="0"/>
            <w:vAlign w:val="center"/>
          </w:tcPr>
          <w:p>
            <w:pPr>
              <w:pStyle w:val="48"/>
              <w:ind w:left="0"/>
              <w:jc w:val="center"/>
              <w:rPr>
                <w:i w:val="0"/>
                <w:iCs w:val="0"/>
                <w:sz w:val="21"/>
                <w:szCs w:val="21"/>
              </w:rPr>
            </w:pPr>
            <w:r>
              <w:rPr>
                <w:rFonts w:hint="eastAsia"/>
                <w:i w:val="0"/>
                <w:iCs w:val="0"/>
                <w:sz w:val="21"/>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70" w:type="dxa"/>
            <w:noWrap w:val="0"/>
            <w:vAlign w:val="center"/>
          </w:tcPr>
          <w:p>
            <w:pPr>
              <w:pStyle w:val="48"/>
              <w:ind w:left="0"/>
              <w:jc w:val="center"/>
              <w:rPr>
                <w:i w:val="0"/>
                <w:iCs w:val="0"/>
                <w:sz w:val="21"/>
                <w:szCs w:val="21"/>
              </w:rPr>
            </w:pPr>
            <w:r>
              <w:rPr>
                <w:i w:val="0"/>
                <w:iCs w:val="0"/>
                <w:sz w:val="21"/>
                <w:szCs w:val="21"/>
              </w:rPr>
              <w:t>1#</w:t>
            </w:r>
          </w:p>
        </w:tc>
        <w:tc>
          <w:tcPr>
            <w:tcW w:w="1133" w:type="dxa"/>
            <w:noWrap w:val="0"/>
            <w:vAlign w:val="center"/>
          </w:tcPr>
          <w:p>
            <w:pPr>
              <w:pStyle w:val="48"/>
              <w:ind w:left="0"/>
              <w:jc w:val="center"/>
              <w:rPr>
                <w:rFonts w:hint="eastAsia"/>
                <w:i w:val="0"/>
                <w:iCs w:val="0"/>
                <w:sz w:val="21"/>
                <w:szCs w:val="21"/>
              </w:rPr>
            </w:pPr>
            <w:r>
              <w:rPr>
                <w:rFonts w:hint="eastAsia"/>
                <w:i w:val="0"/>
                <w:iCs w:val="0"/>
                <w:sz w:val="21"/>
                <w:szCs w:val="21"/>
              </w:rPr>
              <w:t>厂区外下游</w:t>
            </w:r>
          </w:p>
        </w:tc>
        <w:tc>
          <w:tcPr>
            <w:tcW w:w="1134" w:type="dxa"/>
            <w:noWrap w:val="0"/>
            <w:vAlign w:val="center"/>
          </w:tcPr>
          <w:p>
            <w:pPr>
              <w:pStyle w:val="48"/>
              <w:ind w:left="0"/>
              <w:jc w:val="center"/>
              <w:rPr>
                <w:i w:val="0"/>
                <w:iCs w:val="0"/>
                <w:sz w:val="21"/>
                <w:szCs w:val="21"/>
              </w:rPr>
            </w:pPr>
            <w:r>
              <w:rPr>
                <w:rFonts w:hint="eastAsia"/>
                <w:i w:val="0"/>
                <w:iCs w:val="0"/>
                <w:sz w:val="21"/>
                <w:szCs w:val="21"/>
              </w:rPr>
              <w:t>126.5895757</w:t>
            </w:r>
          </w:p>
        </w:tc>
        <w:tc>
          <w:tcPr>
            <w:tcW w:w="1134" w:type="dxa"/>
            <w:noWrap w:val="0"/>
            <w:vAlign w:val="center"/>
          </w:tcPr>
          <w:p>
            <w:pPr>
              <w:pStyle w:val="48"/>
              <w:ind w:left="0"/>
              <w:jc w:val="center"/>
              <w:rPr>
                <w:i w:val="0"/>
                <w:iCs w:val="0"/>
                <w:sz w:val="21"/>
                <w:szCs w:val="21"/>
              </w:rPr>
            </w:pPr>
            <w:r>
              <w:rPr>
                <w:rFonts w:hint="eastAsia"/>
                <w:i w:val="0"/>
                <w:iCs w:val="0"/>
                <w:sz w:val="21"/>
                <w:szCs w:val="21"/>
              </w:rPr>
              <w:t>42.0817487</w:t>
            </w:r>
          </w:p>
        </w:tc>
        <w:tc>
          <w:tcPr>
            <w:tcW w:w="1276" w:type="dxa"/>
            <w:noWrap w:val="0"/>
            <w:vAlign w:val="center"/>
          </w:tcPr>
          <w:p>
            <w:pPr>
              <w:pStyle w:val="354"/>
              <w:spacing w:line="240" w:lineRule="auto"/>
              <w:ind w:firstLine="0" w:firstLineChars="0"/>
              <w:jc w:val="center"/>
              <w:rPr>
                <w:i w:val="0"/>
                <w:iCs w:val="0"/>
                <w:sz w:val="21"/>
                <w:szCs w:val="21"/>
              </w:rPr>
            </w:pPr>
            <w:r>
              <w:rPr>
                <w:i w:val="0"/>
                <w:iCs w:val="0"/>
                <w:sz w:val="21"/>
                <w:szCs w:val="21"/>
              </w:rPr>
              <w:t>厂区</w:t>
            </w:r>
            <w:r>
              <w:rPr>
                <w:rFonts w:hint="eastAsia"/>
                <w:i w:val="0"/>
                <w:iCs w:val="0"/>
                <w:sz w:val="21"/>
                <w:szCs w:val="21"/>
              </w:rPr>
              <w:t>外</w:t>
            </w:r>
            <w:r>
              <w:rPr>
                <w:i w:val="0"/>
                <w:iCs w:val="0"/>
                <w:sz w:val="21"/>
                <w:szCs w:val="21"/>
              </w:rPr>
              <w:t>东</w:t>
            </w:r>
            <w:r>
              <w:rPr>
                <w:rFonts w:hint="eastAsia"/>
                <w:i w:val="0"/>
                <w:iCs w:val="0"/>
                <w:sz w:val="21"/>
                <w:szCs w:val="21"/>
              </w:rPr>
              <w:t>北</w:t>
            </w:r>
            <w:r>
              <w:rPr>
                <w:i w:val="0"/>
                <w:iCs w:val="0"/>
                <w:sz w:val="21"/>
                <w:szCs w:val="21"/>
              </w:rPr>
              <w:t>侧</w:t>
            </w:r>
            <w:r>
              <w:rPr>
                <w:rFonts w:hint="eastAsia"/>
                <w:i w:val="0"/>
                <w:iCs w:val="0"/>
                <w:sz w:val="21"/>
                <w:szCs w:val="21"/>
              </w:rPr>
              <w:t>42</w:t>
            </w:r>
            <w:r>
              <w:rPr>
                <w:i w:val="0"/>
                <w:iCs w:val="0"/>
                <w:sz w:val="21"/>
                <w:szCs w:val="21"/>
              </w:rPr>
              <w:t>m</w:t>
            </w:r>
          </w:p>
        </w:tc>
        <w:tc>
          <w:tcPr>
            <w:tcW w:w="992" w:type="dxa"/>
            <w:noWrap w:val="0"/>
            <w:vAlign w:val="center"/>
          </w:tcPr>
          <w:p>
            <w:pPr>
              <w:pStyle w:val="48"/>
              <w:ind w:left="0"/>
              <w:jc w:val="center"/>
              <w:rPr>
                <w:i w:val="0"/>
                <w:iCs w:val="0"/>
                <w:sz w:val="21"/>
                <w:szCs w:val="21"/>
              </w:rPr>
            </w:pPr>
            <w:r>
              <w:rPr>
                <w:rFonts w:hint="eastAsia"/>
                <w:i w:val="0"/>
                <w:iCs w:val="0"/>
                <w:sz w:val="21"/>
                <w:szCs w:val="21"/>
              </w:rPr>
              <w:t>新建</w:t>
            </w:r>
          </w:p>
        </w:tc>
        <w:tc>
          <w:tcPr>
            <w:tcW w:w="2268" w:type="dxa"/>
            <w:noWrap w:val="0"/>
            <w:vAlign w:val="center"/>
          </w:tcPr>
          <w:p>
            <w:pPr>
              <w:pStyle w:val="48"/>
              <w:ind w:left="0"/>
              <w:jc w:val="center"/>
              <w:rPr>
                <w:i w:val="0"/>
                <w:iCs w:val="0"/>
                <w:sz w:val="21"/>
                <w:szCs w:val="21"/>
              </w:rPr>
            </w:pPr>
            <w:r>
              <w:rPr>
                <w:rFonts w:hint="eastAsia"/>
                <w:i w:val="0"/>
                <w:iCs w:val="0"/>
                <w:sz w:val="21"/>
                <w:szCs w:val="21"/>
              </w:rPr>
              <w:t>P</w:t>
            </w:r>
            <w:r>
              <w:rPr>
                <w:i w:val="0"/>
                <w:iCs w:val="0"/>
                <w:sz w:val="21"/>
                <w:szCs w:val="21"/>
              </w:rPr>
              <w:t>H、耗氧量、氨氮、亚硝酸盐、硝酸盐</w:t>
            </w:r>
          </w:p>
        </w:tc>
        <w:tc>
          <w:tcPr>
            <w:tcW w:w="887" w:type="dxa"/>
            <w:noWrap w:val="0"/>
            <w:vAlign w:val="center"/>
          </w:tcPr>
          <w:p>
            <w:pPr>
              <w:pStyle w:val="48"/>
              <w:ind w:left="0"/>
              <w:jc w:val="center"/>
              <w:rPr>
                <w:i w:val="0"/>
                <w:iCs w:val="0"/>
                <w:sz w:val="21"/>
                <w:szCs w:val="21"/>
              </w:rPr>
            </w:pPr>
            <w:r>
              <w:rPr>
                <w:i w:val="0"/>
                <w:iCs w:val="0"/>
                <w:sz w:val="21"/>
                <w:szCs w:val="21"/>
              </w:rPr>
              <w:t>每</w:t>
            </w:r>
            <w:r>
              <w:rPr>
                <w:rFonts w:hint="eastAsia"/>
                <w:i w:val="0"/>
                <w:iCs w:val="0"/>
                <w:sz w:val="21"/>
                <w:szCs w:val="21"/>
              </w:rPr>
              <w:t>年</w:t>
            </w:r>
            <w:r>
              <w:rPr>
                <w:i w:val="0"/>
                <w:iCs w:val="0"/>
                <w:sz w:val="21"/>
                <w:szCs w:val="21"/>
              </w:rPr>
              <w:t>一次</w:t>
            </w:r>
          </w:p>
        </w:tc>
      </w:tr>
    </w:tbl>
    <w:p>
      <w:pPr>
        <w:spacing w:line="360" w:lineRule="auto"/>
        <w:ind w:firstLine="480" w:firstLineChars="200"/>
        <w:rPr>
          <w:rFonts w:hint="eastAsia"/>
          <w:i w:val="0"/>
          <w:iCs w:val="0"/>
        </w:rPr>
      </w:pPr>
      <w:r>
        <w:rPr>
          <w:rFonts w:hint="eastAsia"/>
          <w:i w:val="0"/>
          <w:iCs w:val="0"/>
        </w:rPr>
        <w:t>针对土壤跟踪监测，按照导则要求，二级评价必要时可开展跟踪监测，因此本项目如遇废水发生泄漏污染事件，可根据情况进行土壤监测。</w:t>
      </w:r>
    </w:p>
    <w:p>
      <w:pPr>
        <w:spacing w:line="360" w:lineRule="auto"/>
        <w:ind w:firstLine="480" w:firstLineChars="200"/>
        <w:rPr>
          <w:i w:val="0"/>
          <w:iCs w:val="0"/>
        </w:rPr>
      </w:pPr>
      <w:r>
        <w:rPr>
          <w:rFonts w:hint="eastAsia"/>
          <w:i w:val="0"/>
          <w:iCs w:val="0"/>
        </w:rPr>
        <w:t>4、</w:t>
      </w:r>
      <w:r>
        <w:rPr>
          <w:i w:val="0"/>
          <w:iCs w:val="0"/>
        </w:rPr>
        <w:t>地下水应急响应</w:t>
      </w:r>
    </w:p>
    <w:p>
      <w:pPr>
        <w:spacing w:line="360" w:lineRule="auto"/>
        <w:ind w:firstLine="480" w:firstLineChars="200"/>
        <w:rPr>
          <w:i w:val="0"/>
          <w:iCs w:val="0"/>
        </w:rPr>
      </w:pPr>
      <w:r>
        <w:rPr>
          <w:i w:val="0"/>
          <w:iCs w:val="0"/>
        </w:rPr>
        <w:t>针对应急工作需要，参照相关技术导则，结合地下水污染治理的技术特点，制定地下水污染应急治理程序，制定防止事故污染物向环境转移防范措施，防止事故伴生/次生污染物向地下水环境转移防范措施，事故污染物进入环境后的消除措施。</w:t>
      </w:r>
    </w:p>
    <w:p>
      <w:pPr>
        <w:spacing w:line="360" w:lineRule="auto"/>
        <w:ind w:firstLine="480" w:firstLineChars="200"/>
        <w:rPr>
          <w:i w:val="0"/>
          <w:iCs w:val="0"/>
        </w:rPr>
      </w:pPr>
      <w:r>
        <w:rPr>
          <w:i w:val="0"/>
          <w:iCs w:val="0"/>
        </w:rPr>
        <w:t>地下水污染具有不易发现和一旦污染很难治理的特点，因此，防止地下水污染应遵循预防为主、防止渗漏、污染监测及事故应急处理的主动及被动防渗相结合的原则。</w:t>
      </w:r>
    </w:p>
    <w:p>
      <w:pPr>
        <w:pStyle w:val="90"/>
        <w:adjustRightInd/>
        <w:spacing w:line="360" w:lineRule="auto"/>
        <w:ind w:firstLine="480" w:firstLineChars="200"/>
        <w:rPr>
          <w:rFonts w:hint="eastAsia"/>
          <w:i w:val="0"/>
          <w:iCs w:val="0"/>
          <w:color w:val="auto"/>
        </w:rPr>
      </w:pPr>
      <w:r>
        <w:rPr>
          <w:i w:val="0"/>
          <w:iCs w:val="0"/>
          <w:color w:val="auto"/>
        </w:rPr>
        <w:t>地下水污染情况勘察和治理是一项专业性很强的工作，一旦发生污染事故，应委托具有水文地质勘察资质的单位查明地下水污染情况，并委托具有专业资质的单位进行治理。</w:t>
      </w:r>
    </w:p>
    <w:p>
      <w:pPr>
        <w:pStyle w:val="4"/>
        <w:rPr>
          <w:rFonts w:ascii="Times New Roman" w:hAnsi="Times New Roman" w:eastAsia="宋体"/>
          <w:b/>
          <w:i w:val="0"/>
          <w:iCs w:val="0"/>
          <w:sz w:val="28"/>
          <w:szCs w:val="28"/>
        </w:rPr>
      </w:pPr>
      <w:bookmarkStart w:id="201" w:name="_Hlt199404502"/>
      <w:bookmarkEnd w:id="201"/>
      <w:bookmarkStart w:id="202" w:name="_Toc244238486"/>
      <w:bookmarkStart w:id="203" w:name="_Toc321810147"/>
      <w:bookmarkStart w:id="204" w:name="_Toc195769839"/>
      <w:bookmarkStart w:id="205" w:name="_Toc15501"/>
      <w:r>
        <w:rPr>
          <w:rFonts w:hint="eastAsia" w:ascii="Times New Roman" w:hAnsi="Times New Roman" w:eastAsia="宋体"/>
          <w:b/>
          <w:i w:val="0"/>
          <w:iCs w:val="0"/>
          <w:sz w:val="28"/>
          <w:szCs w:val="28"/>
        </w:rPr>
        <w:t>6</w:t>
      </w:r>
      <w:r>
        <w:rPr>
          <w:rFonts w:ascii="Times New Roman" w:hAnsi="Times New Roman" w:eastAsia="宋体"/>
          <w:b/>
          <w:i w:val="0"/>
          <w:iCs w:val="0"/>
          <w:sz w:val="28"/>
          <w:szCs w:val="28"/>
        </w:rPr>
        <w:t>.</w:t>
      </w:r>
      <w:r>
        <w:rPr>
          <w:rFonts w:hint="eastAsia" w:ascii="Times New Roman" w:hAnsi="Times New Roman" w:eastAsia="宋体"/>
          <w:b/>
          <w:i w:val="0"/>
          <w:iCs w:val="0"/>
          <w:sz w:val="28"/>
          <w:szCs w:val="28"/>
        </w:rPr>
        <w:t>3</w:t>
      </w:r>
      <w:r>
        <w:rPr>
          <w:rFonts w:ascii="Times New Roman" w:hAnsi="Times New Roman" w:eastAsia="宋体"/>
          <w:b/>
          <w:i w:val="0"/>
          <w:iCs w:val="0"/>
          <w:sz w:val="28"/>
          <w:szCs w:val="28"/>
        </w:rPr>
        <w:t>环保投资及污染防治“三同时”验收项目</w:t>
      </w:r>
      <w:bookmarkEnd w:id="202"/>
      <w:bookmarkEnd w:id="203"/>
      <w:bookmarkEnd w:id="204"/>
      <w:bookmarkEnd w:id="205"/>
    </w:p>
    <w:p>
      <w:pPr>
        <w:pStyle w:val="26"/>
        <w:spacing w:line="360" w:lineRule="auto"/>
        <w:rPr>
          <w:rFonts w:hint="eastAsia" w:ascii="Times New Roman" w:hAnsi="Times New Roman"/>
          <w:i w:val="0"/>
          <w:iCs w:val="0"/>
          <w:szCs w:val="18"/>
        </w:rPr>
      </w:pPr>
      <w:r>
        <w:rPr>
          <w:rFonts w:ascii="Times New Roman" w:hAnsi="Times New Roman"/>
          <w:i w:val="0"/>
          <w:iCs w:val="0"/>
        </w:rPr>
        <w:t>项目总投资为</w:t>
      </w:r>
      <w:r>
        <w:rPr>
          <w:rFonts w:hint="eastAsia" w:ascii="Times New Roman" w:hAnsi="Times New Roman"/>
          <w:i w:val="0"/>
          <w:iCs w:val="0"/>
          <w:color w:val="000000"/>
          <w:lang w:val="en-US" w:eastAsia="zh-CN"/>
        </w:rPr>
        <w:t>24000</w:t>
      </w:r>
      <w:r>
        <w:rPr>
          <w:rFonts w:ascii="Times New Roman" w:hAnsi="Times New Roman"/>
          <w:i w:val="0"/>
          <w:iCs w:val="0"/>
        </w:rPr>
        <w:t>万元，</w:t>
      </w:r>
      <w:r>
        <w:rPr>
          <w:rFonts w:ascii="Times New Roman" w:hAnsi="Times New Roman"/>
          <w:i w:val="0"/>
          <w:iCs w:val="0"/>
          <w:szCs w:val="18"/>
        </w:rPr>
        <w:t>建设项目环保投资</w:t>
      </w:r>
      <w:r>
        <w:rPr>
          <w:rFonts w:hint="eastAsia" w:ascii="Times New Roman" w:hAnsi="Times New Roman"/>
          <w:i w:val="0"/>
          <w:iCs w:val="0"/>
          <w:szCs w:val="18"/>
        </w:rPr>
        <w:t>774</w:t>
      </w:r>
      <w:r>
        <w:rPr>
          <w:rFonts w:ascii="Times New Roman" w:hAnsi="Times New Roman"/>
          <w:i w:val="0"/>
          <w:iCs w:val="0"/>
          <w:szCs w:val="18"/>
        </w:rPr>
        <w:t>万元，占总投资的</w:t>
      </w:r>
      <w:r>
        <w:rPr>
          <w:rFonts w:hint="eastAsia" w:ascii="Times New Roman" w:hAnsi="Times New Roman"/>
          <w:i w:val="0"/>
          <w:iCs w:val="0"/>
          <w:szCs w:val="18"/>
        </w:rPr>
        <w:t>0.</w:t>
      </w:r>
      <w:r>
        <w:rPr>
          <w:rFonts w:hint="eastAsia" w:ascii="Times New Roman" w:hAnsi="Times New Roman"/>
          <w:i w:val="0"/>
          <w:iCs w:val="0"/>
          <w:szCs w:val="18"/>
          <w:lang w:val="en-US" w:eastAsia="zh-CN"/>
        </w:rPr>
        <w:t>32</w:t>
      </w:r>
      <w:r>
        <w:rPr>
          <w:rFonts w:ascii="Times New Roman" w:hAnsi="Times New Roman"/>
          <w:i w:val="0"/>
          <w:iCs w:val="0"/>
          <w:szCs w:val="18"/>
        </w:rPr>
        <w:t>%</w:t>
      </w:r>
      <w:r>
        <w:rPr>
          <w:rFonts w:hint="eastAsia" w:ascii="Times New Roman" w:hAnsi="Times New Roman"/>
          <w:i w:val="0"/>
          <w:iCs w:val="0"/>
          <w:szCs w:val="18"/>
        </w:rPr>
        <w:t>，</w:t>
      </w:r>
      <w:r>
        <w:rPr>
          <w:rFonts w:ascii="Times New Roman" w:hAnsi="Times New Roman"/>
          <w:i w:val="0"/>
          <w:iCs w:val="0"/>
          <w:szCs w:val="18"/>
        </w:rPr>
        <w:t>各项环保工程应与主体工程“同时设计、同时施工建设、同时投运”，环保投资及环境保护设施验收项目详见表</w:t>
      </w:r>
      <w:r>
        <w:rPr>
          <w:rFonts w:hint="eastAsia" w:ascii="Times New Roman" w:hAnsi="Times New Roman"/>
          <w:i w:val="0"/>
          <w:iCs w:val="0"/>
          <w:szCs w:val="18"/>
        </w:rPr>
        <w:t>6</w:t>
      </w:r>
      <w:r>
        <w:rPr>
          <w:rFonts w:ascii="Times New Roman" w:hAnsi="Times New Roman"/>
          <w:i w:val="0"/>
          <w:iCs w:val="0"/>
          <w:szCs w:val="18"/>
        </w:rPr>
        <w:t>-</w:t>
      </w:r>
      <w:r>
        <w:rPr>
          <w:rFonts w:hint="eastAsia" w:ascii="Times New Roman" w:hAnsi="Times New Roman"/>
          <w:i w:val="0"/>
          <w:iCs w:val="0"/>
          <w:szCs w:val="18"/>
        </w:rPr>
        <w:t>3</w:t>
      </w:r>
      <w:r>
        <w:rPr>
          <w:rFonts w:ascii="Times New Roman" w:hAnsi="Times New Roman"/>
          <w:i w:val="0"/>
          <w:iCs w:val="0"/>
          <w:szCs w:val="18"/>
        </w:rPr>
        <w:t>。</w:t>
      </w:r>
      <w:bookmarkStart w:id="206" w:name="_Hlt196628402"/>
      <w:bookmarkEnd w:id="206"/>
      <w:bookmarkStart w:id="207" w:name="_Hlt196628451"/>
      <w:bookmarkEnd w:id="207"/>
    </w:p>
    <w:p>
      <w:pPr>
        <w:pStyle w:val="48"/>
        <w:ind w:left="0" w:firstLine="482" w:firstLineChars="200"/>
        <w:jc w:val="center"/>
        <w:rPr>
          <w:rFonts w:hint="eastAsia"/>
          <w:b/>
          <w:bCs/>
          <w:i w:val="0"/>
          <w:iCs w:val="0"/>
          <w:sz w:val="24"/>
          <w:szCs w:val="24"/>
        </w:rPr>
      </w:pPr>
      <w:r>
        <w:rPr>
          <w:rFonts w:hint="eastAsia"/>
          <w:b/>
          <w:bCs/>
          <w:i w:val="0"/>
          <w:iCs w:val="0"/>
          <w:sz w:val="24"/>
          <w:szCs w:val="24"/>
        </w:rPr>
        <w:t>表6-3本项目环保投资及污染防治“三同时”项目表</w:t>
      </w:r>
    </w:p>
    <w:tbl>
      <w:tblPr>
        <w:tblStyle w:val="5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283"/>
        <w:gridCol w:w="5396"/>
        <w:gridCol w:w="18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1088" w:type="pct"/>
            <w:gridSpan w:val="2"/>
            <w:noWrap w:val="0"/>
            <w:vAlign w:val="center"/>
          </w:tcPr>
          <w:p>
            <w:pPr>
              <w:jc w:val="center"/>
              <w:rPr>
                <w:i w:val="0"/>
                <w:iCs w:val="0"/>
                <w:sz w:val="21"/>
                <w:szCs w:val="21"/>
              </w:rPr>
            </w:pPr>
            <w:r>
              <w:rPr>
                <w:i w:val="0"/>
                <w:iCs w:val="0"/>
                <w:sz w:val="21"/>
                <w:szCs w:val="21"/>
              </w:rPr>
              <w:t>类别</w:t>
            </w:r>
          </w:p>
        </w:tc>
        <w:tc>
          <w:tcPr>
            <w:tcW w:w="2905" w:type="pct"/>
            <w:noWrap w:val="0"/>
            <w:vAlign w:val="center"/>
          </w:tcPr>
          <w:p>
            <w:pPr>
              <w:jc w:val="center"/>
              <w:rPr>
                <w:i w:val="0"/>
                <w:iCs w:val="0"/>
                <w:sz w:val="21"/>
                <w:szCs w:val="21"/>
              </w:rPr>
            </w:pPr>
            <w:r>
              <w:rPr>
                <w:i w:val="0"/>
                <w:iCs w:val="0"/>
                <w:sz w:val="21"/>
                <w:szCs w:val="21"/>
              </w:rPr>
              <w:t>环保措施</w:t>
            </w:r>
          </w:p>
        </w:tc>
        <w:tc>
          <w:tcPr>
            <w:tcW w:w="1005" w:type="pct"/>
            <w:noWrap w:val="0"/>
            <w:vAlign w:val="center"/>
          </w:tcPr>
          <w:p>
            <w:pPr>
              <w:jc w:val="center"/>
              <w:rPr>
                <w:i w:val="0"/>
                <w:iCs w:val="0"/>
                <w:sz w:val="21"/>
                <w:szCs w:val="21"/>
              </w:rPr>
            </w:pPr>
            <w:r>
              <w:rPr>
                <w:i w:val="0"/>
                <w:iCs w:val="0"/>
                <w:sz w:val="21"/>
                <w:szCs w:val="21"/>
              </w:rPr>
              <w:t>环保投资</w:t>
            </w:r>
          </w:p>
          <w:p>
            <w:pPr>
              <w:jc w:val="center"/>
              <w:rPr>
                <w:i w:val="0"/>
                <w:iCs w:val="0"/>
                <w:sz w:val="21"/>
                <w:szCs w:val="21"/>
              </w:rPr>
            </w:pPr>
            <w:r>
              <w:rPr>
                <w:i w:val="0"/>
                <w:iCs w:val="0"/>
                <w:sz w:val="21"/>
                <w:szCs w:val="21"/>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397" w:type="pct"/>
            <w:vMerge w:val="restart"/>
            <w:noWrap w:val="0"/>
            <w:vAlign w:val="center"/>
          </w:tcPr>
          <w:p>
            <w:pPr>
              <w:jc w:val="center"/>
              <w:rPr>
                <w:i w:val="0"/>
                <w:iCs w:val="0"/>
                <w:sz w:val="21"/>
                <w:szCs w:val="21"/>
              </w:rPr>
            </w:pPr>
            <w:bookmarkStart w:id="208" w:name="OLE_LINK1" w:colFirst="3" w:colLast="3"/>
            <w:r>
              <w:rPr>
                <w:i w:val="0"/>
                <w:iCs w:val="0"/>
                <w:sz w:val="21"/>
                <w:szCs w:val="21"/>
              </w:rPr>
              <w:t>运行期</w:t>
            </w:r>
          </w:p>
        </w:tc>
        <w:tc>
          <w:tcPr>
            <w:tcW w:w="691" w:type="pct"/>
            <w:noWrap w:val="0"/>
            <w:vAlign w:val="center"/>
          </w:tcPr>
          <w:p>
            <w:pPr>
              <w:jc w:val="center"/>
              <w:rPr>
                <w:rFonts w:hint="eastAsia"/>
                <w:i w:val="0"/>
                <w:iCs w:val="0"/>
                <w:sz w:val="21"/>
                <w:szCs w:val="21"/>
              </w:rPr>
            </w:pPr>
            <w:r>
              <w:rPr>
                <w:rFonts w:hint="eastAsia"/>
                <w:i w:val="0"/>
                <w:iCs w:val="0"/>
                <w:sz w:val="21"/>
                <w:szCs w:val="21"/>
              </w:rPr>
              <w:t>废水</w:t>
            </w:r>
          </w:p>
        </w:tc>
        <w:tc>
          <w:tcPr>
            <w:tcW w:w="2905" w:type="pct"/>
            <w:noWrap w:val="0"/>
            <w:vAlign w:val="center"/>
          </w:tcPr>
          <w:p>
            <w:pPr>
              <w:jc w:val="center"/>
              <w:rPr>
                <w:rFonts w:hint="eastAsia"/>
                <w:i w:val="0"/>
                <w:iCs w:val="0"/>
                <w:sz w:val="21"/>
                <w:szCs w:val="21"/>
              </w:rPr>
            </w:pPr>
            <w:r>
              <w:rPr>
                <w:rFonts w:hint="eastAsia"/>
                <w:i w:val="0"/>
                <w:iCs w:val="0"/>
                <w:sz w:val="21"/>
                <w:szCs w:val="21"/>
              </w:rPr>
              <w:t>污水处理站设施</w:t>
            </w:r>
          </w:p>
        </w:tc>
        <w:tc>
          <w:tcPr>
            <w:tcW w:w="1005" w:type="pct"/>
            <w:tcBorders>
              <w:bottom w:val="single" w:color="auto" w:sz="4" w:space="0"/>
            </w:tcBorders>
            <w:noWrap w:val="0"/>
            <w:vAlign w:val="center"/>
          </w:tcPr>
          <w:p>
            <w:pPr>
              <w:jc w:val="center"/>
              <w:rPr>
                <w:rFonts w:hint="default" w:eastAsia="宋体"/>
                <w:i w:val="0"/>
                <w:iCs w:val="0"/>
                <w:sz w:val="21"/>
                <w:szCs w:val="21"/>
                <w:lang w:val="en-US" w:eastAsia="zh-CN"/>
              </w:rPr>
            </w:pPr>
            <w:r>
              <w:rPr>
                <w:rFonts w:hint="eastAsia"/>
                <w:i w:val="0"/>
                <w:iCs w:val="0"/>
                <w:sz w:val="21"/>
                <w:szCs w:val="21"/>
                <w:lang w:val="en-US" w:eastAsia="zh-CN"/>
              </w:rPr>
              <w:t>690</w:t>
            </w:r>
          </w:p>
        </w:tc>
      </w:tr>
      <w:bookmarkEnd w:id="208"/>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4" w:hRule="atLeast"/>
        </w:trPr>
        <w:tc>
          <w:tcPr>
            <w:tcW w:w="397" w:type="pct"/>
            <w:vMerge w:val="continue"/>
            <w:noWrap w:val="0"/>
            <w:vAlign w:val="center"/>
          </w:tcPr>
          <w:p>
            <w:pPr>
              <w:jc w:val="center"/>
              <w:rPr>
                <w:i w:val="0"/>
                <w:iCs w:val="0"/>
                <w:sz w:val="21"/>
                <w:szCs w:val="21"/>
              </w:rPr>
            </w:pPr>
          </w:p>
        </w:tc>
        <w:tc>
          <w:tcPr>
            <w:tcW w:w="691" w:type="pct"/>
            <w:vMerge w:val="restart"/>
            <w:tcBorders>
              <w:top w:val="single" w:color="auto" w:sz="4" w:space="0"/>
            </w:tcBorders>
            <w:noWrap w:val="0"/>
            <w:vAlign w:val="center"/>
          </w:tcPr>
          <w:p>
            <w:pPr>
              <w:jc w:val="center"/>
              <w:rPr>
                <w:i w:val="0"/>
                <w:iCs w:val="0"/>
                <w:sz w:val="21"/>
                <w:szCs w:val="21"/>
              </w:rPr>
            </w:pPr>
            <w:r>
              <w:rPr>
                <w:i w:val="0"/>
                <w:iCs w:val="0"/>
                <w:sz w:val="21"/>
                <w:szCs w:val="21"/>
              </w:rPr>
              <w:t>废气</w:t>
            </w:r>
          </w:p>
        </w:tc>
        <w:tc>
          <w:tcPr>
            <w:tcW w:w="2905" w:type="pct"/>
            <w:tcBorders>
              <w:top w:val="single" w:color="auto" w:sz="4" w:space="0"/>
            </w:tcBorders>
            <w:noWrap w:val="0"/>
            <w:vAlign w:val="center"/>
          </w:tcPr>
          <w:p>
            <w:pPr>
              <w:jc w:val="center"/>
              <w:rPr>
                <w:i w:val="0"/>
                <w:iCs w:val="0"/>
                <w:sz w:val="21"/>
                <w:szCs w:val="21"/>
              </w:rPr>
            </w:pPr>
            <w:r>
              <w:rPr>
                <w:rFonts w:hint="eastAsia"/>
                <w:i w:val="0"/>
                <w:iCs w:val="0"/>
                <w:sz w:val="21"/>
                <w:szCs w:val="21"/>
              </w:rPr>
              <w:t>化学洗涤+生物滤池+活性炭吸附</w:t>
            </w:r>
          </w:p>
        </w:tc>
        <w:tc>
          <w:tcPr>
            <w:tcW w:w="1005" w:type="pct"/>
            <w:vMerge w:val="restart"/>
            <w:noWrap w:val="0"/>
            <w:vAlign w:val="center"/>
          </w:tcPr>
          <w:p>
            <w:pPr>
              <w:jc w:val="center"/>
              <w:rPr>
                <w:rFonts w:hint="default" w:eastAsia="宋体"/>
                <w:i w:val="0"/>
                <w:iCs w:val="0"/>
                <w:sz w:val="21"/>
                <w:szCs w:val="21"/>
                <w:lang w:val="en-US" w:eastAsia="zh-CN"/>
              </w:rPr>
            </w:pPr>
            <w:r>
              <w:rPr>
                <w:rFonts w:hint="eastAsia"/>
                <w:i w:val="0"/>
                <w:iCs w:val="0"/>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4" w:hRule="atLeast"/>
        </w:trPr>
        <w:tc>
          <w:tcPr>
            <w:tcW w:w="397" w:type="pct"/>
            <w:vMerge w:val="continue"/>
            <w:noWrap w:val="0"/>
            <w:vAlign w:val="center"/>
          </w:tcPr>
          <w:p>
            <w:pPr>
              <w:pStyle w:val="48"/>
              <w:ind w:left="0" w:firstLine="420" w:firstLineChars="200"/>
              <w:rPr>
                <w:i w:val="0"/>
                <w:iCs w:val="0"/>
                <w:sz w:val="21"/>
                <w:szCs w:val="21"/>
              </w:rPr>
            </w:pPr>
          </w:p>
        </w:tc>
        <w:tc>
          <w:tcPr>
            <w:tcW w:w="691" w:type="pct"/>
            <w:vMerge w:val="continue"/>
            <w:noWrap w:val="0"/>
            <w:vAlign w:val="center"/>
          </w:tcPr>
          <w:p>
            <w:pPr>
              <w:pStyle w:val="48"/>
              <w:ind w:left="0" w:firstLine="420" w:firstLineChars="200"/>
              <w:rPr>
                <w:i w:val="0"/>
                <w:iCs w:val="0"/>
                <w:sz w:val="21"/>
                <w:szCs w:val="21"/>
              </w:rPr>
            </w:pPr>
          </w:p>
        </w:tc>
        <w:tc>
          <w:tcPr>
            <w:tcW w:w="2905" w:type="pct"/>
            <w:tcBorders>
              <w:top w:val="single" w:color="auto" w:sz="4" w:space="0"/>
            </w:tcBorders>
            <w:noWrap w:val="0"/>
            <w:vAlign w:val="center"/>
          </w:tcPr>
          <w:p>
            <w:pPr>
              <w:jc w:val="center"/>
              <w:rPr>
                <w:rFonts w:hint="eastAsia"/>
                <w:i w:val="0"/>
                <w:iCs w:val="0"/>
                <w:sz w:val="21"/>
                <w:szCs w:val="21"/>
              </w:rPr>
            </w:pPr>
            <w:r>
              <w:rPr>
                <w:rFonts w:hint="eastAsia"/>
                <w:i w:val="0"/>
                <w:iCs w:val="0"/>
                <w:sz w:val="21"/>
                <w:szCs w:val="21"/>
              </w:rPr>
              <w:t>水喷淋</w:t>
            </w:r>
          </w:p>
        </w:tc>
        <w:tc>
          <w:tcPr>
            <w:tcW w:w="1005" w:type="pct"/>
            <w:vMerge w:val="continue"/>
            <w:noWrap w:val="0"/>
            <w:vAlign w:val="center"/>
          </w:tcPr>
          <w:p>
            <w:pPr>
              <w:pStyle w:val="48"/>
              <w:ind w:left="0" w:firstLine="420" w:firstLineChars="200"/>
              <w:rPr>
                <w:rFonts w:hint="eastAsia"/>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4" w:hRule="atLeast"/>
        </w:trPr>
        <w:tc>
          <w:tcPr>
            <w:tcW w:w="397" w:type="pct"/>
            <w:vMerge w:val="continue"/>
            <w:noWrap w:val="0"/>
            <w:vAlign w:val="center"/>
          </w:tcPr>
          <w:p>
            <w:pPr>
              <w:pStyle w:val="48"/>
              <w:ind w:left="0" w:firstLine="420" w:firstLineChars="200"/>
              <w:rPr>
                <w:rFonts w:hint="eastAsia"/>
                <w:i w:val="0"/>
                <w:iCs w:val="0"/>
                <w:sz w:val="21"/>
                <w:szCs w:val="21"/>
              </w:rPr>
            </w:pPr>
          </w:p>
        </w:tc>
        <w:tc>
          <w:tcPr>
            <w:tcW w:w="691" w:type="pct"/>
            <w:vMerge w:val="continue"/>
            <w:noWrap w:val="0"/>
            <w:vAlign w:val="center"/>
          </w:tcPr>
          <w:p>
            <w:pPr>
              <w:pStyle w:val="48"/>
              <w:ind w:left="0" w:firstLine="420" w:firstLineChars="200"/>
              <w:rPr>
                <w:rFonts w:hint="eastAsia"/>
                <w:i w:val="0"/>
                <w:iCs w:val="0"/>
                <w:sz w:val="21"/>
                <w:szCs w:val="21"/>
              </w:rPr>
            </w:pPr>
          </w:p>
        </w:tc>
        <w:tc>
          <w:tcPr>
            <w:tcW w:w="2905" w:type="pct"/>
            <w:tcBorders>
              <w:top w:val="single" w:color="auto" w:sz="4" w:space="0"/>
            </w:tcBorders>
            <w:noWrap w:val="0"/>
            <w:vAlign w:val="center"/>
          </w:tcPr>
          <w:p>
            <w:pPr>
              <w:jc w:val="center"/>
              <w:rPr>
                <w:rFonts w:hint="eastAsia"/>
                <w:i w:val="0"/>
                <w:iCs w:val="0"/>
                <w:sz w:val="21"/>
                <w:szCs w:val="21"/>
              </w:rPr>
            </w:pPr>
            <w:r>
              <w:rPr>
                <w:rFonts w:hint="eastAsia"/>
                <w:i w:val="0"/>
                <w:iCs w:val="0"/>
                <w:sz w:val="21"/>
                <w:szCs w:val="21"/>
              </w:rPr>
              <w:t>布袋除尘器</w:t>
            </w:r>
          </w:p>
        </w:tc>
        <w:tc>
          <w:tcPr>
            <w:tcW w:w="1005" w:type="pct"/>
            <w:vMerge w:val="continue"/>
            <w:noWrap w:val="0"/>
            <w:vAlign w:val="center"/>
          </w:tcPr>
          <w:p>
            <w:pPr>
              <w:pStyle w:val="48"/>
              <w:ind w:left="0" w:firstLine="420" w:firstLineChars="200"/>
              <w:rPr>
                <w:rFonts w:hint="eastAsia"/>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397" w:type="pct"/>
            <w:vMerge w:val="continue"/>
            <w:noWrap w:val="0"/>
            <w:vAlign w:val="center"/>
          </w:tcPr>
          <w:p>
            <w:pPr>
              <w:jc w:val="center"/>
              <w:rPr>
                <w:i w:val="0"/>
                <w:iCs w:val="0"/>
                <w:sz w:val="21"/>
                <w:szCs w:val="21"/>
              </w:rPr>
            </w:pPr>
          </w:p>
        </w:tc>
        <w:tc>
          <w:tcPr>
            <w:tcW w:w="691" w:type="pct"/>
            <w:tcBorders>
              <w:top w:val="single" w:color="auto" w:sz="4" w:space="0"/>
            </w:tcBorders>
            <w:noWrap w:val="0"/>
            <w:vAlign w:val="center"/>
          </w:tcPr>
          <w:p>
            <w:pPr>
              <w:jc w:val="center"/>
              <w:rPr>
                <w:i w:val="0"/>
                <w:iCs w:val="0"/>
                <w:sz w:val="21"/>
                <w:szCs w:val="21"/>
              </w:rPr>
            </w:pPr>
            <w:r>
              <w:rPr>
                <w:i w:val="0"/>
                <w:iCs w:val="0"/>
                <w:sz w:val="21"/>
                <w:szCs w:val="21"/>
              </w:rPr>
              <w:t>噪声</w:t>
            </w:r>
          </w:p>
        </w:tc>
        <w:tc>
          <w:tcPr>
            <w:tcW w:w="2905" w:type="pct"/>
            <w:tcBorders>
              <w:top w:val="single" w:color="auto" w:sz="4" w:space="0"/>
            </w:tcBorders>
            <w:noWrap w:val="0"/>
            <w:vAlign w:val="center"/>
          </w:tcPr>
          <w:p>
            <w:pPr>
              <w:jc w:val="center"/>
              <w:rPr>
                <w:i w:val="0"/>
                <w:iCs w:val="0"/>
                <w:sz w:val="21"/>
                <w:szCs w:val="21"/>
              </w:rPr>
            </w:pPr>
            <w:r>
              <w:rPr>
                <w:i w:val="0"/>
                <w:iCs w:val="0"/>
                <w:sz w:val="21"/>
                <w:szCs w:val="21"/>
              </w:rPr>
              <w:t>设备均采用低噪声设备，设置消声器、减振基础</w:t>
            </w:r>
          </w:p>
        </w:tc>
        <w:tc>
          <w:tcPr>
            <w:tcW w:w="1005" w:type="pct"/>
            <w:tcBorders>
              <w:top w:val="single" w:color="auto" w:sz="4" w:space="0"/>
            </w:tcBorders>
            <w:noWrap w:val="0"/>
            <w:vAlign w:val="center"/>
          </w:tcPr>
          <w:p>
            <w:pPr>
              <w:jc w:val="center"/>
              <w:rPr>
                <w:rFonts w:hint="eastAsia"/>
                <w:i w:val="0"/>
                <w:iCs w:val="0"/>
                <w:sz w:val="21"/>
                <w:szCs w:val="21"/>
              </w:rPr>
            </w:pPr>
            <w:r>
              <w:rPr>
                <w:rFonts w:hint="eastAsia"/>
                <w:i w:val="0"/>
                <w:iCs w:val="0"/>
                <w:sz w:val="21"/>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397" w:type="pct"/>
            <w:vMerge w:val="continue"/>
            <w:noWrap w:val="0"/>
            <w:vAlign w:val="center"/>
          </w:tcPr>
          <w:p>
            <w:pPr>
              <w:jc w:val="center"/>
              <w:rPr>
                <w:i w:val="0"/>
                <w:iCs w:val="0"/>
                <w:sz w:val="21"/>
                <w:szCs w:val="21"/>
              </w:rPr>
            </w:pPr>
          </w:p>
        </w:tc>
        <w:tc>
          <w:tcPr>
            <w:tcW w:w="691" w:type="pct"/>
            <w:tcBorders>
              <w:bottom w:val="single" w:color="auto" w:sz="4" w:space="0"/>
            </w:tcBorders>
            <w:noWrap w:val="0"/>
            <w:vAlign w:val="center"/>
          </w:tcPr>
          <w:p>
            <w:pPr>
              <w:jc w:val="center"/>
              <w:rPr>
                <w:i w:val="0"/>
                <w:iCs w:val="0"/>
                <w:sz w:val="21"/>
                <w:szCs w:val="21"/>
              </w:rPr>
            </w:pPr>
            <w:r>
              <w:rPr>
                <w:i w:val="0"/>
                <w:iCs w:val="0"/>
                <w:sz w:val="21"/>
                <w:szCs w:val="21"/>
              </w:rPr>
              <w:t>固体废物</w:t>
            </w:r>
          </w:p>
        </w:tc>
        <w:tc>
          <w:tcPr>
            <w:tcW w:w="2905" w:type="pct"/>
            <w:tcBorders>
              <w:bottom w:val="single" w:color="auto" w:sz="4" w:space="0"/>
            </w:tcBorders>
            <w:noWrap w:val="0"/>
            <w:vAlign w:val="center"/>
          </w:tcPr>
          <w:p>
            <w:pPr>
              <w:jc w:val="center"/>
              <w:rPr>
                <w:i w:val="0"/>
                <w:iCs w:val="0"/>
                <w:sz w:val="21"/>
                <w:szCs w:val="21"/>
              </w:rPr>
            </w:pPr>
            <w:r>
              <w:rPr>
                <w:rFonts w:hint="eastAsia"/>
                <w:i w:val="0"/>
                <w:iCs w:val="0"/>
                <w:sz w:val="21"/>
                <w:szCs w:val="21"/>
              </w:rPr>
              <w:t>收集和清运设施</w:t>
            </w:r>
          </w:p>
        </w:tc>
        <w:tc>
          <w:tcPr>
            <w:tcW w:w="1005" w:type="pct"/>
            <w:tcBorders>
              <w:bottom w:val="single" w:color="auto" w:sz="4" w:space="0"/>
            </w:tcBorders>
            <w:noWrap w:val="0"/>
            <w:vAlign w:val="center"/>
          </w:tcPr>
          <w:p>
            <w:pPr>
              <w:jc w:val="center"/>
              <w:rPr>
                <w:i w:val="0"/>
                <w:iCs w:val="0"/>
                <w:sz w:val="21"/>
                <w:szCs w:val="21"/>
              </w:rPr>
            </w:pPr>
            <w:r>
              <w:rPr>
                <w:rFonts w:hint="eastAsia"/>
                <w:i w:val="0"/>
                <w:iCs w:val="0"/>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397" w:type="pct"/>
            <w:vMerge w:val="continue"/>
            <w:noWrap w:val="0"/>
            <w:vAlign w:val="center"/>
          </w:tcPr>
          <w:p>
            <w:pPr>
              <w:jc w:val="center"/>
              <w:rPr>
                <w:i w:val="0"/>
                <w:iCs w:val="0"/>
                <w:sz w:val="21"/>
                <w:szCs w:val="21"/>
              </w:rPr>
            </w:pPr>
          </w:p>
        </w:tc>
        <w:tc>
          <w:tcPr>
            <w:tcW w:w="691" w:type="pct"/>
            <w:noWrap w:val="0"/>
            <w:vAlign w:val="center"/>
          </w:tcPr>
          <w:p>
            <w:pPr>
              <w:jc w:val="center"/>
              <w:rPr>
                <w:i w:val="0"/>
                <w:iCs w:val="0"/>
                <w:sz w:val="21"/>
                <w:szCs w:val="21"/>
              </w:rPr>
            </w:pPr>
            <w:r>
              <w:rPr>
                <w:rFonts w:hint="eastAsia"/>
                <w:i w:val="0"/>
                <w:iCs w:val="0"/>
                <w:sz w:val="21"/>
                <w:szCs w:val="21"/>
              </w:rPr>
              <w:t>地下水</w:t>
            </w:r>
          </w:p>
        </w:tc>
        <w:tc>
          <w:tcPr>
            <w:tcW w:w="2905" w:type="pct"/>
            <w:noWrap w:val="0"/>
            <w:vAlign w:val="center"/>
          </w:tcPr>
          <w:p>
            <w:pPr>
              <w:jc w:val="center"/>
              <w:rPr>
                <w:i w:val="0"/>
                <w:iCs w:val="0"/>
                <w:sz w:val="21"/>
                <w:szCs w:val="21"/>
              </w:rPr>
            </w:pPr>
            <w:r>
              <w:rPr>
                <w:rFonts w:hint="eastAsia"/>
                <w:i w:val="0"/>
                <w:iCs w:val="0"/>
                <w:sz w:val="21"/>
                <w:szCs w:val="21"/>
              </w:rPr>
              <w:t>防渗层、防腐涂层</w:t>
            </w:r>
          </w:p>
        </w:tc>
        <w:tc>
          <w:tcPr>
            <w:tcW w:w="1005" w:type="pct"/>
            <w:noWrap w:val="0"/>
            <w:vAlign w:val="center"/>
          </w:tcPr>
          <w:p>
            <w:pPr>
              <w:jc w:val="center"/>
              <w:rPr>
                <w:i w:val="0"/>
                <w:iCs w:val="0"/>
                <w:sz w:val="21"/>
                <w:szCs w:val="21"/>
              </w:rPr>
            </w:pPr>
            <w:r>
              <w:rPr>
                <w:rFonts w:hint="eastAsia"/>
                <w:i w:val="0"/>
                <w:iCs w:val="0"/>
                <w:sz w:val="21"/>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3994" w:type="pct"/>
            <w:gridSpan w:val="3"/>
            <w:noWrap w:val="0"/>
            <w:vAlign w:val="center"/>
          </w:tcPr>
          <w:p>
            <w:pPr>
              <w:jc w:val="center"/>
              <w:rPr>
                <w:i w:val="0"/>
                <w:iCs w:val="0"/>
                <w:sz w:val="21"/>
                <w:szCs w:val="21"/>
              </w:rPr>
            </w:pPr>
            <w:r>
              <w:rPr>
                <w:i w:val="0"/>
                <w:iCs w:val="0"/>
                <w:sz w:val="21"/>
                <w:szCs w:val="21"/>
              </w:rPr>
              <w:t>总计</w:t>
            </w:r>
          </w:p>
        </w:tc>
        <w:tc>
          <w:tcPr>
            <w:tcW w:w="1005" w:type="pct"/>
            <w:tcBorders>
              <w:bottom w:val="single" w:color="auto" w:sz="12" w:space="0"/>
            </w:tcBorders>
            <w:noWrap w:val="0"/>
            <w:vAlign w:val="center"/>
          </w:tcPr>
          <w:p>
            <w:pPr>
              <w:jc w:val="center"/>
              <w:rPr>
                <w:i w:val="0"/>
                <w:iCs w:val="0"/>
                <w:sz w:val="21"/>
                <w:szCs w:val="21"/>
              </w:rPr>
            </w:pPr>
            <w:r>
              <w:rPr>
                <w:rFonts w:hint="eastAsia"/>
                <w:i w:val="0"/>
                <w:iCs w:val="0"/>
                <w:sz w:val="21"/>
                <w:szCs w:val="21"/>
              </w:rPr>
              <w:t>774</w:t>
            </w:r>
          </w:p>
        </w:tc>
      </w:tr>
    </w:tbl>
    <w:p>
      <w:pPr>
        <w:spacing w:line="360" w:lineRule="auto"/>
        <w:ind w:firstLine="480" w:firstLineChars="200"/>
        <w:rPr>
          <w:i w:val="0"/>
          <w:iCs w:val="0"/>
        </w:rPr>
      </w:pPr>
      <w:bookmarkStart w:id="209" w:name="_Hlt204334903"/>
      <w:bookmarkEnd w:id="209"/>
      <w:bookmarkStart w:id="210" w:name="_Toc178436061"/>
      <w:bookmarkStart w:id="211" w:name="_Toc195769835"/>
    </w:p>
    <w:bookmarkEnd w:id="210"/>
    <w:bookmarkEnd w:id="211"/>
    <w:p>
      <w:pPr>
        <w:spacing w:line="360" w:lineRule="auto"/>
        <w:ind w:firstLine="480" w:firstLineChars="200"/>
        <w:rPr>
          <w:i w:val="0"/>
          <w:iCs w:val="0"/>
        </w:rPr>
        <w:sectPr>
          <w:pgSz w:w="11907" w:h="16840"/>
          <w:pgMar w:top="1304" w:right="1418" w:bottom="1304" w:left="1418"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3"/>
        <w:spacing w:before="120" w:after="360" w:line="360" w:lineRule="auto"/>
        <w:jc w:val="center"/>
        <w:rPr>
          <w:i w:val="0"/>
          <w:iCs w:val="0"/>
          <w:sz w:val="36"/>
        </w:rPr>
      </w:pPr>
      <w:bookmarkStart w:id="212" w:name="_Hlt195607752"/>
      <w:bookmarkEnd w:id="212"/>
      <w:bookmarkStart w:id="213" w:name="_Hlt195513672"/>
      <w:bookmarkEnd w:id="213"/>
      <w:bookmarkStart w:id="214" w:name="_Hlt196553352"/>
      <w:bookmarkEnd w:id="214"/>
      <w:bookmarkStart w:id="215" w:name="_Hlt196732015"/>
      <w:bookmarkEnd w:id="215"/>
      <w:bookmarkStart w:id="216" w:name="_Toc244569015"/>
      <w:bookmarkStart w:id="217" w:name="_Toc9947"/>
      <w:r>
        <w:rPr>
          <w:i w:val="0"/>
          <w:iCs w:val="0"/>
          <w:sz w:val="36"/>
        </w:rPr>
        <w:t>第</w:t>
      </w:r>
      <w:r>
        <w:rPr>
          <w:rFonts w:hint="eastAsia"/>
          <w:i w:val="0"/>
          <w:iCs w:val="0"/>
          <w:sz w:val="36"/>
        </w:rPr>
        <w:t>七</w:t>
      </w:r>
      <w:r>
        <w:rPr>
          <w:i w:val="0"/>
          <w:iCs w:val="0"/>
          <w:sz w:val="36"/>
        </w:rPr>
        <w:t>章</w:t>
      </w:r>
      <w:r>
        <w:rPr>
          <w:rFonts w:hint="eastAsia"/>
          <w:i w:val="0"/>
          <w:iCs w:val="0"/>
          <w:sz w:val="36"/>
        </w:rPr>
        <w:t xml:space="preserve"> </w:t>
      </w:r>
      <w:r>
        <w:rPr>
          <w:i w:val="0"/>
          <w:iCs w:val="0"/>
          <w:sz w:val="36"/>
        </w:rPr>
        <w:t>环境风险</w:t>
      </w:r>
      <w:bookmarkEnd w:id="216"/>
      <w:r>
        <w:rPr>
          <w:i w:val="0"/>
          <w:iCs w:val="0"/>
          <w:sz w:val="36"/>
        </w:rPr>
        <w:t>评价</w:t>
      </w:r>
      <w:bookmarkEnd w:id="217"/>
    </w:p>
    <w:p>
      <w:pPr>
        <w:pStyle w:val="4"/>
        <w:rPr>
          <w:rFonts w:hint="eastAsia" w:ascii="Times New Roman" w:hAnsi="Times New Roman" w:eastAsia="宋体"/>
          <w:b/>
          <w:i w:val="0"/>
          <w:iCs w:val="0"/>
          <w:sz w:val="28"/>
          <w:szCs w:val="28"/>
        </w:rPr>
      </w:pPr>
      <w:bookmarkStart w:id="218" w:name="_Hlt204334399"/>
      <w:bookmarkEnd w:id="218"/>
      <w:bookmarkStart w:id="219" w:name="_Hlt204333301"/>
      <w:bookmarkEnd w:id="219"/>
      <w:bookmarkStart w:id="220" w:name="_Toc123993287"/>
      <w:bookmarkStart w:id="221" w:name="_Toc24058"/>
      <w:bookmarkStart w:id="222" w:name="_Toc101709082"/>
      <w:bookmarkStart w:id="223" w:name="_Toc407191427"/>
      <w:bookmarkStart w:id="224" w:name="_Toc502831538"/>
      <w:bookmarkStart w:id="225" w:name="_Toc244238525"/>
      <w:r>
        <w:rPr>
          <w:rFonts w:hint="eastAsia" w:ascii="Times New Roman" w:hAnsi="Times New Roman" w:eastAsia="宋体"/>
          <w:b/>
          <w:i w:val="0"/>
          <w:iCs w:val="0"/>
          <w:sz w:val="28"/>
          <w:szCs w:val="28"/>
        </w:rPr>
        <w:t>7.1 总则</w:t>
      </w:r>
      <w:bookmarkEnd w:id="220"/>
      <w:bookmarkEnd w:id="221"/>
      <w:bookmarkEnd w:id="222"/>
    </w:p>
    <w:p>
      <w:pPr>
        <w:pStyle w:val="412"/>
        <w:adjustRightInd w:val="0"/>
        <w:snapToGrid w:val="0"/>
        <w:spacing w:beforeLines="0" w:afterLines="0"/>
        <w:jc w:val="both"/>
        <w:outlineLvl w:val="2"/>
        <w:rPr>
          <w:rFonts w:hint="eastAsia" w:ascii="Times New Roman" w:hAnsi="Times New Roman" w:cs="Times New Roman"/>
          <w:b/>
          <w:i w:val="0"/>
          <w:iCs w:val="0"/>
          <w:sz w:val="24"/>
          <w:szCs w:val="24"/>
        </w:rPr>
      </w:pPr>
      <w:bookmarkStart w:id="226" w:name="_Toc123993288"/>
      <w:r>
        <w:rPr>
          <w:rFonts w:hint="eastAsia" w:ascii="Times New Roman" w:hAnsi="Times New Roman" w:cs="Times New Roman"/>
          <w:b/>
          <w:i w:val="0"/>
          <w:iCs w:val="0"/>
          <w:sz w:val="24"/>
          <w:szCs w:val="24"/>
        </w:rPr>
        <w:t>7.1.1 评价目的</w:t>
      </w:r>
      <w:bookmarkEnd w:id="226"/>
    </w:p>
    <w:p>
      <w:pPr>
        <w:widowControl/>
        <w:spacing w:line="360" w:lineRule="auto"/>
        <w:ind w:firstLine="480" w:firstLineChars="200"/>
        <w:rPr>
          <w:i w:val="0"/>
          <w:iCs w:val="0"/>
          <w:color w:val="000000"/>
          <w:szCs w:val="20"/>
        </w:rPr>
      </w:pPr>
      <w:r>
        <w:rPr>
          <w:i w:val="0"/>
          <w:iCs w:val="0"/>
          <w:color w:val="000000"/>
          <w:szCs w:val="20"/>
        </w:rPr>
        <w:t>本项目涉及到的物料多数为具有易燃易爆、有毒有害特性的危险化学品，一旦发生事故，会对环境和人体健康造成危害，为落实《关于进一步加强环境影响评价管理防范环境风险的通知》（环发[2012]77号）、《关于切实加强风险防范严格环境影响评价管理的通知》（环发</w:t>
      </w:r>
      <w:r>
        <w:rPr>
          <w:rFonts w:hint="eastAsia"/>
          <w:i w:val="0"/>
          <w:iCs w:val="0"/>
          <w:color w:val="000000"/>
          <w:szCs w:val="20"/>
        </w:rPr>
        <w:t>[</w:t>
      </w:r>
      <w:r>
        <w:rPr>
          <w:i w:val="0"/>
          <w:iCs w:val="0"/>
          <w:color w:val="000000"/>
          <w:szCs w:val="20"/>
        </w:rPr>
        <w:t>2012</w:t>
      </w:r>
      <w:r>
        <w:rPr>
          <w:rFonts w:hint="eastAsia"/>
          <w:i w:val="0"/>
          <w:iCs w:val="0"/>
          <w:color w:val="000000"/>
          <w:szCs w:val="20"/>
        </w:rPr>
        <w:t>]</w:t>
      </w:r>
      <w:r>
        <w:rPr>
          <w:i w:val="0"/>
          <w:iCs w:val="0"/>
          <w:color w:val="000000"/>
          <w:szCs w:val="20"/>
        </w:rPr>
        <w:t>98号）等相关文件的要求，本次评价依据《建设项目环境风险评价技术导则》（HJ169-2018）采用风险识别、风险分析和后果计算等方法进行环境风险评价，提出减少风险事故应急措施及应急预案，以达到降低环境风险的目的。</w:t>
      </w:r>
    </w:p>
    <w:p>
      <w:pPr>
        <w:pStyle w:val="412"/>
        <w:adjustRightInd w:val="0"/>
        <w:snapToGrid w:val="0"/>
        <w:spacing w:beforeLines="0" w:afterLines="0"/>
        <w:jc w:val="both"/>
        <w:outlineLvl w:val="2"/>
        <w:rPr>
          <w:rFonts w:hint="eastAsia" w:ascii="Times New Roman" w:hAnsi="Times New Roman" w:cs="Times New Roman"/>
          <w:b/>
          <w:i w:val="0"/>
          <w:iCs w:val="0"/>
          <w:sz w:val="24"/>
          <w:szCs w:val="24"/>
        </w:rPr>
      </w:pPr>
      <w:bookmarkStart w:id="227" w:name="_Toc123993289"/>
      <w:r>
        <w:rPr>
          <w:rFonts w:hint="eastAsia" w:ascii="Times New Roman" w:hAnsi="Times New Roman" w:cs="Times New Roman"/>
          <w:b/>
          <w:i w:val="0"/>
          <w:iCs w:val="0"/>
          <w:sz w:val="24"/>
          <w:szCs w:val="24"/>
        </w:rPr>
        <w:t>7.1.2 评价内容</w:t>
      </w:r>
      <w:bookmarkEnd w:id="227"/>
    </w:p>
    <w:p>
      <w:pPr>
        <w:widowControl/>
        <w:spacing w:line="360" w:lineRule="auto"/>
        <w:ind w:firstLine="480" w:firstLineChars="200"/>
        <w:rPr>
          <w:i w:val="0"/>
          <w:iCs w:val="0"/>
          <w:color w:val="000000"/>
          <w:szCs w:val="20"/>
        </w:rPr>
      </w:pPr>
      <w:r>
        <w:rPr>
          <w:i w:val="0"/>
          <w:iCs w:val="0"/>
          <w:color w:val="000000"/>
          <w:szCs w:val="20"/>
        </w:rPr>
        <w:t>本项目环境风险评价包括以下内容：</w:t>
      </w:r>
    </w:p>
    <w:p>
      <w:pPr>
        <w:widowControl/>
        <w:spacing w:line="360" w:lineRule="auto"/>
        <w:ind w:firstLine="480" w:firstLineChars="200"/>
        <w:rPr>
          <w:i w:val="0"/>
          <w:iCs w:val="0"/>
          <w:color w:val="000000"/>
          <w:szCs w:val="20"/>
        </w:rPr>
      </w:pPr>
      <w:r>
        <w:rPr>
          <w:rFonts w:hint="eastAsia" w:cs="仿宋"/>
          <w:i w:val="0"/>
          <w:iCs w:val="0"/>
          <w:color w:val="000000"/>
          <w:szCs w:val="20"/>
        </w:rPr>
        <w:t>1、</w:t>
      </w:r>
      <w:r>
        <w:rPr>
          <w:i w:val="0"/>
          <w:iCs w:val="0"/>
          <w:color w:val="000000"/>
          <w:szCs w:val="20"/>
        </w:rPr>
        <w:t>从环境风险源、扩散途径、保护目标三方面识别环境风险。环境风险识别包括生产设施和危险物质的识别，有毒有害物质扩散途径的识别以及可能受影响的环境保护目标的识别。</w:t>
      </w:r>
    </w:p>
    <w:p>
      <w:pPr>
        <w:widowControl/>
        <w:spacing w:line="360" w:lineRule="auto"/>
        <w:ind w:firstLine="480" w:firstLineChars="200"/>
        <w:rPr>
          <w:i w:val="0"/>
          <w:iCs w:val="0"/>
          <w:color w:val="000000"/>
          <w:szCs w:val="20"/>
        </w:rPr>
      </w:pPr>
      <w:r>
        <w:rPr>
          <w:rFonts w:hint="eastAsia" w:cs="仿宋"/>
          <w:i w:val="0"/>
          <w:iCs w:val="0"/>
          <w:color w:val="000000"/>
          <w:szCs w:val="20"/>
        </w:rPr>
        <w:t>2、</w:t>
      </w:r>
      <w:r>
        <w:rPr>
          <w:i w:val="0"/>
          <w:iCs w:val="0"/>
          <w:color w:val="000000"/>
          <w:szCs w:val="20"/>
        </w:rPr>
        <w:t>科学开展环境风险预测。通过环境风险识别，分析生产设施可能发生的火灾、爆炸，危险物质泄漏等事故，并充分考虑伴生/次生的危险物质等，设定最大可信事故情景，从环境因素方面考虑并预测评价突发环境事件对环境的影响范围和程度。</w:t>
      </w:r>
    </w:p>
    <w:p>
      <w:pPr>
        <w:widowControl/>
        <w:spacing w:line="360" w:lineRule="auto"/>
        <w:ind w:firstLine="480" w:firstLineChars="200"/>
        <w:rPr>
          <w:i w:val="0"/>
          <w:iCs w:val="0"/>
          <w:color w:val="000000"/>
          <w:szCs w:val="20"/>
        </w:rPr>
      </w:pPr>
      <w:r>
        <w:rPr>
          <w:rFonts w:hint="eastAsia" w:cs="仿宋"/>
          <w:i w:val="0"/>
          <w:iCs w:val="0"/>
          <w:color w:val="000000"/>
          <w:szCs w:val="20"/>
        </w:rPr>
        <w:t>3、</w:t>
      </w:r>
      <w:r>
        <w:rPr>
          <w:i w:val="0"/>
          <w:iCs w:val="0"/>
          <w:color w:val="000000"/>
          <w:szCs w:val="20"/>
        </w:rPr>
        <w:t>提出合理有效的环境风险防范和应急措施。结合风险预测结论，有针对性地提出环境风险防范和应急措施，并对措施的合理性和有效性进行充分论证。</w:t>
      </w:r>
    </w:p>
    <w:p>
      <w:pPr>
        <w:pStyle w:val="412"/>
        <w:adjustRightInd w:val="0"/>
        <w:snapToGrid w:val="0"/>
        <w:spacing w:beforeLines="0" w:afterLines="0"/>
        <w:jc w:val="both"/>
        <w:outlineLvl w:val="2"/>
        <w:rPr>
          <w:rFonts w:hint="eastAsia" w:ascii="Times New Roman" w:hAnsi="Times New Roman" w:cs="Times New Roman"/>
          <w:b/>
          <w:i w:val="0"/>
          <w:iCs w:val="0"/>
          <w:sz w:val="24"/>
          <w:szCs w:val="24"/>
        </w:rPr>
      </w:pPr>
      <w:bookmarkStart w:id="228" w:name="_Toc123993290"/>
      <w:r>
        <w:rPr>
          <w:rFonts w:hint="eastAsia" w:ascii="Times New Roman" w:hAnsi="Times New Roman" w:cs="Times New Roman"/>
          <w:b/>
          <w:i w:val="0"/>
          <w:iCs w:val="0"/>
          <w:sz w:val="24"/>
          <w:szCs w:val="24"/>
        </w:rPr>
        <w:t>7.1.3 评价重点</w:t>
      </w:r>
      <w:bookmarkEnd w:id="228"/>
    </w:p>
    <w:p>
      <w:pPr>
        <w:widowControl/>
        <w:spacing w:line="360" w:lineRule="auto"/>
        <w:ind w:firstLine="480" w:firstLineChars="200"/>
        <w:rPr>
          <w:i w:val="0"/>
          <w:iCs w:val="0"/>
          <w:color w:val="000000"/>
          <w:szCs w:val="20"/>
        </w:rPr>
      </w:pPr>
      <w:r>
        <w:rPr>
          <w:i w:val="0"/>
          <w:iCs w:val="0"/>
          <w:color w:val="000000"/>
          <w:szCs w:val="20"/>
        </w:rPr>
        <w:t>针对本项目涉及的原料、产品的化学性质，结合生产设备、物料性质及其潜在的危险性，分析本项目各单元的安全监督重点部位、易发生事故环节和可能引发的事故后果及对保护目标的影响程度，并提出防范措施和对策。在</w:t>
      </w:r>
      <w:r>
        <w:rPr>
          <w:rFonts w:hint="eastAsia"/>
          <w:i w:val="0"/>
          <w:iCs w:val="0"/>
          <w:color w:val="000000"/>
          <w:szCs w:val="20"/>
        </w:rPr>
        <w:t>环境</w:t>
      </w:r>
      <w:r>
        <w:rPr>
          <w:i w:val="0"/>
          <w:iCs w:val="0"/>
          <w:color w:val="000000"/>
          <w:szCs w:val="20"/>
        </w:rPr>
        <w:t>事故风险的预防措施分析重点分析危险物质泄漏进入外环境的途径，分析采取的应急切断、阻拦措施的合理性。</w:t>
      </w:r>
    </w:p>
    <w:p>
      <w:pPr>
        <w:pStyle w:val="412"/>
        <w:adjustRightInd w:val="0"/>
        <w:snapToGrid w:val="0"/>
        <w:spacing w:beforeLines="0" w:afterLines="0"/>
        <w:jc w:val="both"/>
        <w:outlineLvl w:val="2"/>
        <w:rPr>
          <w:rFonts w:hint="eastAsia" w:ascii="Times New Roman" w:hAnsi="Times New Roman" w:cs="Times New Roman"/>
          <w:b/>
          <w:i w:val="0"/>
          <w:iCs w:val="0"/>
          <w:sz w:val="24"/>
          <w:szCs w:val="24"/>
        </w:rPr>
      </w:pPr>
      <w:bookmarkStart w:id="229" w:name="_Toc123993291"/>
      <w:r>
        <w:rPr>
          <w:rFonts w:hint="eastAsia" w:ascii="Times New Roman" w:hAnsi="Times New Roman" w:cs="Times New Roman"/>
          <w:b/>
          <w:i w:val="0"/>
          <w:iCs w:val="0"/>
          <w:sz w:val="24"/>
          <w:szCs w:val="24"/>
        </w:rPr>
        <w:t>7.1.4 环境风险潜势判断</w:t>
      </w:r>
      <w:bookmarkEnd w:id="229"/>
    </w:p>
    <w:p>
      <w:pPr>
        <w:keepNext/>
        <w:keepLines/>
        <w:widowControl/>
        <w:spacing w:line="360" w:lineRule="auto"/>
        <w:outlineLvl w:val="3"/>
        <w:rPr>
          <w:b/>
          <w:bCs/>
          <w:i w:val="0"/>
          <w:iCs w:val="0"/>
          <w:color w:val="000000"/>
          <w:kern w:val="0"/>
          <w:szCs w:val="28"/>
        </w:rPr>
      </w:pPr>
      <w:r>
        <w:rPr>
          <w:rFonts w:hint="eastAsia"/>
          <w:b/>
          <w:bCs/>
          <w:i w:val="0"/>
          <w:iCs w:val="0"/>
          <w:color w:val="000000"/>
          <w:kern w:val="0"/>
          <w:szCs w:val="28"/>
        </w:rPr>
        <w:t>7.1.4.1 危险物质及工艺系统危险性（P）分级</w:t>
      </w:r>
    </w:p>
    <w:p>
      <w:pPr>
        <w:widowControl/>
        <w:spacing w:line="360" w:lineRule="auto"/>
        <w:ind w:firstLine="480" w:firstLineChars="200"/>
        <w:rPr>
          <w:i w:val="0"/>
          <w:iCs w:val="0"/>
          <w:color w:val="000000"/>
          <w:szCs w:val="20"/>
        </w:rPr>
      </w:pPr>
      <w:r>
        <w:rPr>
          <w:i w:val="0"/>
          <w:iCs w:val="0"/>
          <w:color w:val="000000"/>
          <w:szCs w:val="20"/>
        </w:rPr>
        <w:t>根据《建设项目环境风险评价技术导则》（HJ169-2018）附录C，对危险物质及工艺系统危险性（P）进行分级计算。</w:t>
      </w:r>
    </w:p>
    <w:p>
      <w:pPr>
        <w:widowControl/>
        <w:spacing w:line="348" w:lineRule="auto"/>
        <w:ind w:firstLine="480" w:firstLineChars="200"/>
        <w:rPr>
          <w:i w:val="0"/>
          <w:iCs w:val="0"/>
          <w:color w:val="000000"/>
          <w:szCs w:val="20"/>
          <w:u w:val="single"/>
        </w:rPr>
      </w:pPr>
      <w:r>
        <w:rPr>
          <w:rFonts w:hint="eastAsia"/>
          <w:i w:val="0"/>
          <w:iCs w:val="0"/>
          <w:color w:val="000000"/>
          <w:szCs w:val="20"/>
          <w:u w:val="single"/>
        </w:rPr>
        <w:t>1、</w:t>
      </w:r>
      <w:r>
        <w:rPr>
          <w:i w:val="0"/>
          <w:iCs w:val="0"/>
          <w:color w:val="000000"/>
          <w:szCs w:val="20"/>
          <w:u w:val="single"/>
        </w:rPr>
        <w:t>危险物质数量与临界量比值（Q）</w:t>
      </w:r>
    </w:p>
    <w:p>
      <w:pPr>
        <w:widowControl/>
        <w:spacing w:line="348" w:lineRule="auto"/>
        <w:ind w:firstLine="480" w:firstLineChars="200"/>
        <w:rPr>
          <w:i w:val="0"/>
          <w:iCs w:val="0"/>
          <w:color w:val="000000"/>
          <w:szCs w:val="20"/>
          <w:u w:val="single"/>
        </w:rPr>
      </w:pPr>
      <w:r>
        <w:rPr>
          <w:i w:val="0"/>
          <w:iCs w:val="0"/>
          <w:color w:val="000000"/>
          <w:szCs w:val="20"/>
          <w:u w:val="single"/>
        </w:rPr>
        <w:t>计算所涉及的每种危险物质在厂界内的最大存在总量与其在《建设项目环境风险评价技术导则》（HJ169-2018）附录B中对应临界量的比值Q</w:t>
      </w:r>
      <w:r>
        <w:rPr>
          <w:rFonts w:hint="eastAsia"/>
          <w:i w:val="0"/>
          <w:iCs w:val="0"/>
          <w:color w:val="000000"/>
          <w:szCs w:val="20"/>
          <w:u w:val="single"/>
        </w:rPr>
        <w:t>（乙醇</w:t>
      </w:r>
      <w:r>
        <w:rPr>
          <w:i w:val="0"/>
          <w:iCs w:val="0"/>
          <w:color w:val="000000"/>
          <w:szCs w:val="20"/>
          <w:u w:val="single"/>
        </w:rPr>
        <w:t>临界量参照《</w:t>
      </w:r>
      <w:r>
        <w:rPr>
          <w:rFonts w:hint="eastAsia"/>
          <w:i w:val="0"/>
          <w:iCs w:val="0"/>
          <w:color w:val="000000"/>
          <w:szCs w:val="20"/>
          <w:u w:val="single"/>
        </w:rPr>
        <w:t>企业突发环境事件风险分级方法</w:t>
      </w:r>
      <w:r>
        <w:rPr>
          <w:i w:val="0"/>
          <w:iCs w:val="0"/>
          <w:color w:val="000000"/>
          <w:szCs w:val="20"/>
          <w:u w:val="single"/>
        </w:rPr>
        <w:t>》</w:t>
      </w:r>
      <w:r>
        <w:rPr>
          <w:rFonts w:hint="eastAsia"/>
          <w:i w:val="0"/>
          <w:iCs w:val="0"/>
          <w:color w:val="000000"/>
          <w:szCs w:val="20"/>
          <w:u w:val="single"/>
        </w:rPr>
        <w:t>（HJ941-2018）中附录A）</w:t>
      </w:r>
      <w:r>
        <w:rPr>
          <w:i w:val="0"/>
          <w:iCs w:val="0"/>
          <w:color w:val="000000"/>
          <w:szCs w:val="20"/>
          <w:u w:val="single"/>
        </w:rPr>
        <w:t>。当Q＜1时，该项目环境风险潜势为I。当Q≥1时，将Q值划分为：1≤Q＜10；（2）10≤Q＜100；（3）Q≥100。</w:t>
      </w:r>
      <w:r>
        <w:rPr>
          <w:rFonts w:hint="eastAsia"/>
          <w:i w:val="0"/>
          <w:iCs w:val="0"/>
          <w:color w:val="000000"/>
          <w:szCs w:val="20"/>
          <w:u w:val="single"/>
        </w:rPr>
        <w:t>本项目Q值判定详见下表7-1。</w:t>
      </w:r>
    </w:p>
    <w:p>
      <w:pPr>
        <w:pStyle w:val="48"/>
        <w:ind w:left="0" w:firstLine="482" w:firstLineChars="200"/>
        <w:jc w:val="center"/>
        <w:rPr>
          <w:rFonts w:hint="eastAsia"/>
          <w:b/>
          <w:bCs/>
          <w:i w:val="0"/>
          <w:iCs w:val="0"/>
          <w:sz w:val="24"/>
          <w:szCs w:val="24"/>
          <w:u w:val="single"/>
        </w:rPr>
      </w:pPr>
      <w:r>
        <w:rPr>
          <w:rFonts w:hint="eastAsia"/>
          <w:b/>
          <w:bCs/>
          <w:i w:val="0"/>
          <w:iCs w:val="0"/>
          <w:sz w:val="24"/>
          <w:szCs w:val="24"/>
          <w:u w:val="single"/>
        </w:rPr>
        <w:t>表7-1   本项目Q值确定表</w:t>
      </w:r>
    </w:p>
    <w:tbl>
      <w:tblPr>
        <w:tblStyle w:val="5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978"/>
        <w:gridCol w:w="1776"/>
        <w:gridCol w:w="2019"/>
        <w:gridCol w:w="2526"/>
        <w:gridCol w:w="182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68" w:hRule="atLeast"/>
        </w:trPr>
        <w:tc>
          <w:tcPr>
            <w:tcW w:w="536" w:type="pct"/>
            <w:noWrap w:val="0"/>
            <w:vAlign w:val="center"/>
          </w:tcPr>
          <w:p>
            <w:pPr>
              <w:pStyle w:val="317"/>
              <w:rPr>
                <w:i w:val="0"/>
                <w:iCs w:val="0"/>
                <w:sz w:val="21"/>
                <w:szCs w:val="21"/>
                <w:u w:val="single"/>
              </w:rPr>
            </w:pPr>
            <w:r>
              <w:rPr>
                <w:i w:val="0"/>
                <w:iCs w:val="0"/>
                <w:sz w:val="21"/>
                <w:szCs w:val="21"/>
                <w:u w:val="single"/>
              </w:rPr>
              <w:t>序号</w:t>
            </w:r>
          </w:p>
        </w:tc>
        <w:tc>
          <w:tcPr>
            <w:tcW w:w="973" w:type="pct"/>
            <w:noWrap w:val="0"/>
            <w:vAlign w:val="center"/>
          </w:tcPr>
          <w:p>
            <w:pPr>
              <w:pStyle w:val="317"/>
              <w:rPr>
                <w:i w:val="0"/>
                <w:iCs w:val="0"/>
                <w:sz w:val="21"/>
                <w:szCs w:val="21"/>
                <w:u w:val="single"/>
              </w:rPr>
            </w:pPr>
            <w:r>
              <w:rPr>
                <w:i w:val="0"/>
                <w:iCs w:val="0"/>
                <w:sz w:val="21"/>
                <w:szCs w:val="21"/>
                <w:u w:val="single"/>
              </w:rPr>
              <w:t>物质名称</w:t>
            </w:r>
          </w:p>
        </w:tc>
        <w:tc>
          <w:tcPr>
            <w:tcW w:w="1106" w:type="pct"/>
            <w:noWrap w:val="0"/>
            <w:vAlign w:val="center"/>
          </w:tcPr>
          <w:p>
            <w:pPr>
              <w:pStyle w:val="317"/>
              <w:rPr>
                <w:i w:val="0"/>
                <w:iCs w:val="0"/>
                <w:sz w:val="21"/>
                <w:szCs w:val="21"/>
                <w:u w:val="single"/>
              </w:rPr>
            </w:pPr>
            <w:r>
              <w:rPr>
                <w:i w:val="0"/>
                <w:iCs w:val="0"/>
                <w:sz w:val="21"/>
                <w:szCs w:val="21"/>
                <w:u w:val="single"/>
              </w:rPr>
              <w:t>临界量Qn/t</w:t>
            </w:r>
          </w:p>
        </w:tc>
        <w:tc>
          <w:tcPr>
            <w:tcW w:w="1381" w:type="pct"/>
            <w:noWrap w:val="0"/>
            <w:vAlign w:val="center"/>
          </w:tcPr>
          <w:p>
            <w:pPr>
              <w:pStyle w:val="317"/>
              <w:rPr>
                <w:i w:val="0"/>
                <w:iCs w:val="0"/>
                <w:sz w:val="21"/>
                <w:szCs w:val="21"/>
                <w:u w:val="single"/>
              </w:rPr>
            </w:pPr>
            <w:r>
              <w:rPr>
                <w:i w:val="0"/>
                <w:iCs w:val="0"/>
                <w:sz w:val="21"/>
                <w:szCs w:val="21"/>
                <w:u w:val="single"/>
              </w:rPr>
              <w:t>本项目最大储存量qn/t</w:t>
            </w:r>
          </w:p>
        </w:tc>
        <w:tc>
          <w:tcPr>
            <w:tcW w:w="1000" w:type="pct"/>
            <w:noWrap w:val="0"/>
            <w:vAlign w:val="center"/>
          </w:tcPr>
          <w:p>
            <w:pPr>
              <w:pStyle w:val="317"/>
              <w:rPr>
                <w:i w:val="0"/>
                <w:iCs w:val="0"/>
                <w:sz w:val="21"/>
                <w:szCs w:val="21"/>
                <w:u w:val="single"/>
              </w:rPr>
            </w:pPr>
            <w:r>
              <w:rPr>
                <w:i w:val="0"/>
                <w:iCs w:val="0"/>
                <w:sz w:val="21"/>
                <w:szCs w:val="21"/>
                <w:u w:val="single"/>
              </w:rPr>
              <w:t>Q值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536" w:type="pct"/>
            <w:noWrap w:val="0"/>
            <w:vAlign w:val="center"/>
          </w:tcPr>
          <w:p>
            <w:pPr>
              <w:pStyle w:val="317"/>
              <w:rPr>
                <w:i w:val="0"/>
                <w:iCs w:val="0"/>
                <w:sz w:val="21"/>
                <w:szCs w:val="21"/>
                <w:u w:val="single"/>
              </w:rPr>
            </w:pPr>
            <w:r>
              <w:rPr>
                <w:rFonts w:hint="eastAsia"/>
                <w:i w:val="0"/>
                <w:iCs w:val="0"/>
                <w:sz w:val="21"/>
                <w:szCs w:val="21"/>
                <w:u w:val="single"/>
              </w:rPr>
              <w:t>1</w:t>
            </w:r>
          </w:p>
        </w:tc>
        <w:tc>
          <w:tcPr>
            <w:tcW w:w="973" w:type="pct"/>
            <w:noWrap w:val="0"/>
            <w:vAlign w:val="center"/>
          </w:tcPr>
          <w:p>
            <w:pPr>
              <w:pStyle w:val="317"/>
              <w:rPr>
                <w:i w:val="0"/>
                <w:iCs w:val="0"/>
                <w:sz w:val="21"/>
                <w:szCs w:val="21"/>
                <w:u w:val="single"/>
              </w:rPr>
            </w:pPr>
            <w:r>
              <w:rPr>
                <w:rFonts w:hint="eastAsia"/>
                <w:i w:val="0"/>
                <w:iCs w:val="0"/>
                <w:sz w:val="21"/>
                <w:szCs w:val="21"/>
                <w:u w:val="single"/>
              </w:rPr>
              <w:t>氨水</w:t>
            </w:r>
          </w:p>
        </w:tc>
        <w:tc>
          <w:tcPr>
            <w:tcW w:w="1106" w:type="pct"/>
            <w:noWrap w:val="0"/>
            <w:vAlign w:val="center"/>
          </w:tcPr>
          <w:p>
            <w:pPr>
              <w:pStyle w:val="317"/>
              <w:rPr>
                <w:i w:val="0"/>
                <w:iCs w:val="0"/>
                <w:sz w:val="21"/>
                <w:szCs w:val="21"/>
                <w:u w:val="single"/>
              </w:rPr>
            </w:pPr>
            <w:r>
              <w:rPr>
                <w:rFonts w:hint="eastAsia"/>
                <w:i w:val="0"/>
                <w:iCs w:val="0"/>
                <w:sz w:val="21"/>
                <w:szCs w:val="21"/>
                <w:u w:val="single"/>
              </w:rPr>
              <w:t>10</w:t>
            </w:r>
          </w:p>
        </w:tc>
        <w:tc>
          <w:tcPr>
            <w:tcW w:w="1381" w:type="pct"/>
            <w:noWrap w:val="0"/>
            <w:vAlign w:val="center"/>
          </w:tcPr>
          <w:p>
            <w:pPr>
              <w:pStyle w:val="317"/>
              <w:rPr>
                <w:rFonts w:hint="default" w:eastAsia="宋体"/>
                <w:i w:val="0"/>
                <w:iCs w:val="0"/>
                <w:sz w:val="21"/>
                <w:szCs w:val="21"/>
                <w:u w:val="single"/>
                <w:lang w:val="en-US" w:eastAsia="zh-CN"/>
              </w:rPr>
            </w:pPr>
            <w:r>
              <w:rPr>
                <w:rFonts w:hint="eastAsia"/>
                <w:i w:val="0"/>
                <w:iCs w:val="0"/>
                <w:sz w:val="21"/>
                <w:szCs w:val="21"/>
                <w:u w:val="single"/>
                <w:lang w:val="en-US" w:eastAsia="zh-CN"/>
              </w:rPr>
              <w:t>17.2</w:t>
            </w:r>
          </w:p>
        </w:tc>
        <w:tc>
          <w:tcPr>
            <w:tcW w:w="1000" w:type="pct"/>
            <w:noWrap w:val="0"/>
            <w:vAlign w:val="center"/>
          </w:tcPr>
          <w:p>
            <w:pPr>
              <w:jc w:val="center"/>
              <w:rPr>
                <w:rFonts w:hint="default" w:eastAsia="宋体"/>
                <w:i w:val="0"/>
                <w:iCs w:val="0"/>
                <w:sz w:val="21"/>
                <w:szCs w:val="21"/>
                <w:u w:val="single"/>
                <w:lang w:val="en-US" w:eastAsia="zh-CN"/>
              </w:rPr>
            </w:pPr>
            <w:r>
              <w:rPr>
                <w:rFonts w:hint="eastAsia"/>
                <w:i w:val="0"/>
                <w:iCs w:val="0"/>
                <w:sz w:val="21"/>
                <w:szCs w:val="21"/>
                <w:u w:val="single"/>
                <w:lang w:val="en-US" w:eastAsia="zh-CN"/>
              </w:rPr>
              <w:t>1.72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536" w:type="pct"/>
            <w:noWrap w:val="0"/>
            <w:vAlign w:val="center"/>
          </w:tcPr>
          <w:p>
            <w:pPr>
              <w:pStyle w:val="317"/>
              <w:rPr>
                <w:i w:val="0"/>
                <w:iCs w:val="0"/>
                <w:sz w:val="21"/>
                <w:szCs w:val="21"/>
                <w:u w:val="single"/>
              </w:rPr>
            </w:pPr>
            <w:r>
              <w:rPr>
                <w:rFonts w:hint="eastAsia"/>
                <w:i w:val="0"/>
                <w:iCs w:val="0"/>
                <w:sz w:val="21"/>
                <w:szCs w:val="21"/>
                <w:u w:val="single"/>
              </w:rPr>
              <w:t>2</w:t>
            </w:r>
          </w:p>
        </w:tc>
        <w:tc>
          <w:tcPr>
            <w:tcW w:w="973" w:type="pct"/>
            <w:noWrap w:val="0"/>
            <w:vAlign w:val="center"/>
          </w:tcPr>
          <w:p>
            <w:pPr>
              <w:pStyle w:val="317"/>
              <w:rPr>
                <w:rFonts w:hint="eastAsia"/>
                <w:i w:val="0"/>
                <w:iCs w:val="0"/>
                <w:color w:val="000000"/>
                <w:sz w:val="21"/>
                <w:szCs w:val="21"/>
                <w:u w:val="single"/>
              </w:rPr>
            </w:pPr>
            <w:r>
              <w:rPr>
                <w:rFonts w:hint="eastAsia"/>
                <w:i w:val="0"/>
                <w:iCs w:val="0"/>
                <w:sz w:val="21"/>
                <w:szCs w:val="21"/>
                <w:u w:val="single"/>
              </w:rPr>
              <w:t>乙醇</w:t>
            </w:r>
          </w:p>
        </w:tc>
        <w:tc>
          <w:tcPr>
            <w:tcW w:w="1106" w:type="pct"/>
            <w:noWrap w:val="0"/>
            <w:vAlign w:val="center"/>
          </w:tcPr>
          <w:p>
            <w:pPr>
              <w:pStyle w:val="317"/>
              <w:rPr>
                <w:i w:val="0"/>
                <w:iCs w:val="0"/>
                <w:sz w:val="21"/>
                <w:szCs w:val="21"/>
                <w:u w:val="single"/>
              </w:rPr>
            </w:pPr>
            <w:r>
              <w:rPr>
                <w:rFonts w:hint="eastAsia"/>
                <w:i w:val="0"/>
                <w:iCs w:val="0"/>
                <w:sz w:val="21"/>
                <w:szCs w:val="21"/>
                <w:u w:val="single"/>
              </w:rPr>
              <w:t>500</w:t>
            </w:r>
          </w:p>
        </w:tc>
        <w:tc>
          <w:tcPr>
            <w:tcW w:w="1381" w:type="pct"/>
            <w:noWrap w:val="0"/>
            <w:vAlign w:val="center"/>
          </w:tcPr>
          <w:p>
            <w:pPr>
              <w:pStyle w:val="317"/>
              <w:rPr>
                <w:rFonts w:hint="default" w:eastAsia="宋体"/>
                <w:i w:val="0"/>
                <w:iCs w:val="0"/>
                <w:sz w:val="21"/>
                <w:szCs w:val="21"/>
                <w:u w:val="single"/>
                <w:lang w:val="en-US" w:eastAsia="zh-CN"/>
              </w:rPr>
            </w:pPr>
            <w:r>
              <w:rPr>
                <w:rFonts w:hint="eastAsia"/>
                <w:i w:val="0"/>
                <w:iCs w:val="0"/>
                <w:sz w:val="21"/>
                <w:szCs w:val="21"/>
                <w:u w:val="single"/>
                <w:lang w:val="en-US" w:eastAsia="zh-CN"/>
              </w:rPr>
              <w:t>8.6</w:t>
            </w:r>
          </w:p>
        </w:tc>
        <w:tc>
          <w:tcPr>
            <w:tcW w:w="1000" w:type="pct"/>
            <w:noWrap w:val="0"/>
            <w:vAlign w:val="center"/>
          </w:tcPr>
          <w:p>
            <w:pPr>
              <w:jc w:val="center"/>
              <w:rPr>
                <w:rFonts w:hint="default" w:eastAsia="宋体"/>
                <w:i w:val="0"/>
                <w:iCs w:val="0"/>
                <w:sz w:val="21"/>
                <w:szCs w:val="21"/>
                <w:u w:val="single"/>
                <w:lang w:val="en-US" w:eastAsia="zh-CN"/>
              </w:rPr>
            </w:pPr>
            <w:r>
              <w:rPr>
                <w:rFonts w:hint="eastAsia"/>
                <w:i w:val="0"/>
                <w:iCs w:val="0"/>
                <w:sz w:val="21"/>
                <w:szCs w:val="21"/>
                <w:u w:val="single"/>
                <w:lang w:val="en-US" w:eastAsia="zh-CN"/>
              </w:rPr>
              <w:t>0.0172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536" w:type="pct"/>
            <w:noWrap w:val="0"/>
            <w:vAlign w:val="center"/>
          </w:tcPr>
          <w:p>
            <w:pPr>
              <w:pStyle w:val="317"/>
              <w:rPr>
                <w:i w:val="0"/>
                <w:iCs w:val="0"/>
                <w:sz w:val="21"/>
                <w:szCs w:val="21"/>
                <w:u w:val="single"/>
              </w:rPr>
            </w:pPr>
            <w:r>
              <w:rPr>
                <w:rFonts w:hint="eastAsia"/>
                <w:i w:val="0"/>
                <w:iCs w:val="0"/>
                <w:sz w:val="21"/>
                <w:szCs w:val="21"/>
                <w:u w:val="single"/>
              </w:rPr>
              <w:t>3</w:t>
            </w:r>
          </w:p>
        </w:tc>
        <w:tc>
          <w:tcPr>
            <w:tcW w:w="973" w:type="pct"/>
            <w:noWrap w:val="0"/>
            <w:vAlign w:val="center"/>
          </w:tcPr>
          <w:p>
            <w:pPr>
              <w:pStyle w:val="317"/>
              <w:rPr>
                <w:rFonts w:hint="eastAsia"/>
                <w:i w:val="0"/>
                <w:iCs w:val="0"/>
                <w:color w:val="000000"/>
                <w:sz w:val="21"/>
                <w:szCs w:val="21"/>
                <w:u w:val="single"/>
              </w:rPr>
            </w:pPr>
            <w:r>
              <w:rPr>
                <w:rFonts w:hint="eastAsia"/>
                <w:i w:val="0"/>
                <w:iCs w:val="0"/>
                <w:sz w:val="21"/>
                <w:szCs w:val="21"/>
                <w:u w:val="single"/>
              </w:rPr>
              <w:t>乙醚</w:t>
            </w:r>
          </w:p>
        </w:tc>
        <w:tc>
          <w:tcPr>
            <w:tcW w:w="1106" w:type="pct"/>
            <w:noWrap w:val="0"/>
            <w:vAlign w:val="center"/>
          </w:tcPr>
          <w:p>
            <w:pPr>
              <w:pStyle w:val="317"/>
              <w:rPr>
                <w:i w:val="0"/>
                <w:iCs w:val="0"/>
                <w:sz w:val="21"/>
                <w:szCs w:val="21"/>
                <w:u w:val="single"/>
              </w:rPr>
            </w:pPr>
            <w:r>
              <w:rPr>
                <w:rFonts w:hint="eastAsia"/>
                <w:i w:val="0"/>
                <w:iCs w:val="0"/>
                <w:sz w:val="21"/>
                <w:szCs w:val="21"/>
                <w:u w:val="single"/>
              </w:rPr>
              <w:t>10</w:t>
            </w:r>
          </w:p>
        </w:tc>
        <w:tc>
          <w:tcPr>
            <w:tcW w:w="1381" w:type="pct"/>
            <w:noWrap w:val="0"/>
            <w:vAlign w:val="center"/>
          </w:tcPr>
          <w:p>
            <w:pPr>
              <w:pStyle w:val="317"/>
              <w:rPr>
                <w:rFonts w:hint="eastAsia"/>
                <w:i w:val="0"/>
                <w:iCs w:val="0"/>
                <w:sz w:val="21"/>
                <w:szCs w:val="21"/>
                <w:u w:val="single"/>
              </w:rPr>
            </w:pPr>
            <w:r>
              <w:rPr>
                <w:rFonts w:hint="eastAsia"/>
                <w:i w:val="0"/>
                <w:iCs w:val="0"/>
                <w:sz w:val="21"/>
                <w:szCs w:val="21"/>
                <w:u w:val="single"/>
              </w:rPr>
              <w:t>0.01</w:t>
            </w:r>
          </w:p>
        </w:tc>
        <w:tc>
          <w:tcPr>
            <w:tcW w:w="1000" w:type="pct"/>
            <w:noWrap w:val="0"/>
            <w:vAlign w:val="center"/>
          </w:tcPr>
          <w:p>
            <w:pPr>
              <w:jc w:val="center"/>
              <w:rPr>
                <w:rFonts w:hint="eastAsia"/>
                <w:i w:val="0"/>
                <w:iCs w:val="0"/>
                <w:sz w:val="21"/>
                <w:szCs w:val="21"/>
                <w:u w:val="single"/>
              </w:rPr>
            </w:pPr>
            <w:r>
              <w:rPr>
                <w:rFonts w:hint="eastAsia"/>
                <w:i w:val="0"/>
                <w:iCs w:val="0"/>
                <w:sz w:val="21"/>
                <w:szCs w:val="21"/>
                <w:u w:val="single"/>
              </w:rPr>
              <w:t xml:space="preserve">0.0010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536" w:type="pct"/>
            <w:noWrap w:val="0"/>
            <w:vAlign w:val="center"/>
          </w:tcPr>
          <w:p>
            <w:pPr>
              <w:pStyle w:val="317"/>
              <w:rPr>
                <w:i w:val="0"/>
                <w:iCs w:val="0"/>
                <w:sz w:val="21"/>
                <w:szCs w:val="21"/>
                <w:u w:val="single"/>
              </w:rPr>
            </w:pPr>
            <w:r>
              <w:rPr>
                <w:rFonts w:hint="eastAsia"/>
                <w:i w:val="0"/>
                <w:iCs w:val="0"/>
                <w:sz w:val="21"/>
                <w:szCs w:val="21"/>
                <w:u w:val="single"/>
              </w:rPr>
              <w:t>4</w:t>
            </w:r>
          </w:p>
        </w:tc>
        <w:tc>
          <w:tcPr>
            <w:tcW w:w="973" w:type="pct"/>
            <w:noWrap w:val="0"/>
            <w:vAlign w:val="center"/>
          </w:tcPr>
          <w:p>
            <w:pPr>
              <w:pStyle w:val="317"/>
              <w:rPr>
                <w:rFonts w:hint="eastAsia"/>
                <w:i w:val="0"/>
                <w:iCs w:val="0"/>
                <w:color w:val="000000"/>
                <w:sz w:val="21"/>
                <w:szCs w:val="21"/>
                <w:u w:val="single"/>
              </w:rPr>
            </w:pPr>
            <w:r>
              <w:rPr>
                <w:rFonts w:hint="eastAsia"/>
                <w:i w:val="0"/>
                <w:iCs w:val="0"/>
                <w:sz w:val="21"/>
                <w:szCs w:val="21"/>
                <w:u w:val="single"/>
              </w:rPr>
              <w:t>盐酸</w:t>
            </w:r>
          </w:p>
        </w:tc>
        <w:tc>
          <w:tcPr>
            <w:tcW w:w="1106" w:type="pct"/>
            <w:noWrap w:val="0"/>
            <w:vAlign w:val="center"/>
          </w:tcPr>
          <w:p>
            <w:pPr>
              <w:pStyle w:val="317"/>
              <w:rPr>
                <w:i w:val="0"/>
                <w:iCs w:val="0"/>
                <w:sz w:val="21"/>
                <w:szCs w:val="21"/>
                <w:u w:val="single"/>
              </w:rPr>
            </w:pPr>
            <w:r>
              <w:rPr>
                <w:rFonts w:hint="eastAsia"/>
                <w:i w:val="0"/>
                <w:iCs w:val="0"/>
                <w:sz w:val="21"/>
                <w:szCs w:val="21"/>
                <w:u w:val="single"/>
              </w:rPr>
              <w:t>7.5</w:t>
            </w:r>
          </w:p>
        </w:tc>
        <w:tc>
          <w:tcPr>
            <w:tcW w:w="1381" w:type="pct"/>
            <w:noWrap w:val="0"/>
            <w:vAlign w:val="center"/>
          </w:tcPr>
          <w:p>
            <w:pPr>
              <w:pStyle w:val="317"/>
              <w:rPr>
                <w:rFonts w:hint="eastAsia"/>
                <w:i w:val="0"/>
                <w:iCs w:val="0"/>
                <w:sz w:val="21"/>
                <w:szCs w:val="21"/>
                <w:u w:val="single"/>
              </w:rPr>
            </w:pPr>
            <w:r>
              <w:rPr>
                <w:rFonts w:hint="eastAsia"/>
                <w:i w:val="0"/>
                <w:iCs w:val="0"/>
                <w:sz w:val="21"/>
                <w:szCs w:val="21"/>
                <w:u w:val="single"/>
              </w:rPr>
              <w:t>0.005</w:t>
            </w:r>
          </w:p>
        </w:tc>
        <w:tc>
          <w:tcPr>
            <w:tcW w:w="1000" w:type="pct"/>
            <w:noWrap w:val="0"/>
            <w:vAlign w:val="center"/>
          </w:tcPr>
          <w:p>
            <w:pPr>
              <w:jc w:val="center"/>
              <w:rPr>
                <w:rFonts w:hint="eastAsia"/>
                <w:i w:val="0"/>
                <w:iCs w:val="0"/>
                <w:sz w:val="21"/>
                <w:szCs w:val="21"/>
                <w:u w:val="single"/>
              </w:rPr>
            </w:pPr>
            <w:r>
              <w:rPr>
                <w:rFonts w:hint="eastAsia"/>
                <w:i w:val="0"/>
                <w:iCs w:val="0"/>
                <w:sz w:val="21"/>
                <w:szCs w:val="21"/>
                <w:u w:val="single"/>
              </w:rPr>
              <w:t xml:space="preserve">0.0007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536" w:type="pct"/>
            <w:noWrap w:val="0"/>
            <w:vAlign w:val="center"/>
          </w:tcPr>
          <w:p>
            <w:pPr>
              <w:pStyle w:val="317"/>
              <w:rPr>
                <w:i w:val="0"/>
                <w:iCs w:val="0"/>
                <w:sz w:val="21"/>
                <w:szCs w:val="21"/>
                <w:u w:val="single"/>
              </w:rPr>
            </w:pPr>
            <w:r>
              <w:rPr>
                <w:rFonts w:hint="eastAsia"/>
                <w:i w:val="0"/>
                <w:iCs w:val="0"/>
                <w:sz w:val="21"/>
                <w:szCs w:val="21"/>
                <w:u w:val="single"/>
              </w:rPr>
              <w:t>5</w:t>
            </w:r>
          </w:p>
        </w:tc>
        <w:tc>
          <w:tcPr>
            <w:tcW w:w="973" w:type="pct"/>
            <w:noWrap w:val="0"/>
            <w:vAlign w:val="center"/>
          </w:tcPr>
          <w:p>
            <w:pPr>
              <w:pStyle w:val="317"/>
              <w:rPr>
                <w:rFonts w:hint="eastAsia"/>
                <w:i w:val="0"/>
                <w:iCs w:val="0"/>
                <w:color w:val="000000"/>
                <w:sz w:val="21"/>
                <w:szCs w:val="21"/>
                <w:u w:val="single"/>
              </w:rPr>
            </w:pPr>
            <w:r>
              <w:rPr>
                <w:rFonts w:hint="eastAsia"/>
                <w:i w:val="0"/>
                <w:iCs w:val="0"/>
                <w:sz w:val="21"/>
                <w:szCs w:val="21"/>
                <w:u w:val="single"/>
              </w:rPr>
              <w:t>硫酸</w:t>
            </w:r>
          </w:p>
        </w:tc>
        <w:tc>
          <w:tcPr>
            <w:tcW w:w="1106" w:type="pct"/>
            <w:noWrap w:val="0"/>
            <w:vAlign w:val="center"/>
          </w:tcPr>
          <w:p>
            <w:pPr>
              <w:pStyle w:val="317"/>
              <w:rPr>
                <w:i w:val="0"/>
                <w:iCs w:val="0"/>
                <w:sz w:val="21"/>
                <w:szCs w:val="21"/>
                <w:u w:val="single"/>
              </w:rPr>
            </w:pPr>
            <w:r>
              <w:rPr>
                <w:rFonts w:hint="eastAsia"/>
                <w:i w:val="0"/>
                <w:iCs w:val="0"/>
                <w:sz w:val="21"/>
                <w:szCs w:val="21"/>
                <w:u w:val="single"/>
              </w:rPr>
              <w:t>10</w:t>
            </w:r>
          </w:p>
        </w:tc>
        <w:tc>
          <w:tcPr>
            <w:tcW w:w="1381" w:type="pct"/>
            <w:noWrap w:val="0"/>
            <w:vAlign w:val="center"/>
          </w:tcPr>
          <w:p>
            <w:pPr>
              <w:pStyle w:val="317"/>
              <w:rPr>
                <w:rFonts w:hint="eastAsia"/>
                <w:i w:val="0"/>
                <w:iCs w:val="0"/>
                <w:sz w:val="21"/>
                <w:szCs w:val="21"/>
                <w:u w:val="single"/>
              </w:rPr>
            </w:pPr>
            <w:r>
              <w:rPr>
                <w:rFonts w:hint="eastAsia"/>
                <w:i w:val="0"/>
                <w:iCs w:val="0"/>
                <w:sz w:val="21"/>
                <w:szCs w:val="21"/>
                <w:u w:val="single"/>
              </w:rPr>
              <w:t>0.005</w:t>
            </w:r>
          </w:p>
        </w:tc>
        <w:tc>
          <w:tcPr>
            <w:tcW w:w="1000" w:type="pct"/>
            <w:noWrap w:val="0"/>
            <w:vAlign w:val="center"/>
          </w:tcPr>
          <w:p>
            <w:pPr>
              <w:jc w:val="center"/>
              <w:rPr>
                <w:rFonts w:hint="eastAsia"/>
                <w:i w:val="0"/>
                <w:iCs w:val="0"/>
                <w:sz w:val="21"/>
                <w:szCs w:val="21"/>
                <w:u w:val="single"/>
              </w:rPr>
            </w:pPr>
            <w:r>
              <w:rPr>
                <w:rFonts w:hint="eastAsia"/>
                <w:i w:val="0"/>
                <w:iCs w:val="0"/>
                <w:sz w:val="21"/>
                <w:szCs w:val="21"/>
                <w:u w:val="single"/>
              </w:rPr>
              <w:t xml:space="preserve">0.0005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536" w:type="pct"/>
            <w:noWrap w:val="0"/>
            <w:vAlign w:val="center"/>
          </w:tcPr>
          <w:p>
            <w:pPr>
              <w:pStyle w:val="317"/>
              <w:rPr>
                <w:i w:val="0"/>
                <w:iCs w:val="0"/>
                <w:sz w:val="21"/>
                <w:szCs w:val="21"/>
                <w:u w:val="single"/>
              </w:rPr>
            </w:pPr>
            <w:r>
              <w:rPr>
                <w:rFonts w:hint="eastAsia"/>
                <w:i w:val="0"/>
                <w:iCs w:val="0"/>
                <w:sz w:val="21"/>
                <w:szCs w:val="21"/>
                <w:u w:val="single"/>
              </w:rPr>
              <w:t>6</w:t>
            </w:r>
          </w:p>
        </w:tc>
        <w:tc>
          <w:tcPr>
            <w:tcW w:w="973" w:type="pct"/>
            <w:noWrap w:val="0"/>
            <w:vAlign w:val="center"/>
          </w:tcPr>
          <w:p>
            <w:pPr>
              <w:jc w:val="center"/>
              <w:rPr>
                <w:rFonts w:hint="eastAsia"/>
                <w:i w:val="0"/>
                <w:iCs w:val="0"/>
                <w:color w:val="000000"/>
                <w:sz w:val="21"/>
                <w:szCs w:val="21"/>
                <w:u w:val="single"/>
              </w:rPr>
            </w:pPr>
            <w:r>
              <w:rPr>
                <w:rFonts w:hint="eastAsia"/>
                <w:i w:val="0"/>
                <w:iCs w:val="0"/>
                <w:sz w:val="21"/>
                <w:szCs w:val="21"/>
                <w:u w:val="single"/>
              </w:rPr>
              <w:t>三氯甲烷</w:t>
            </w:r>
          </w:p>
        </w:tc>
        <w:tc>
          <w:tcPr>
            <w:tcW w:w="1106" w:type="pct"/>
            <w:noWrap w:val="0"/>
            <w:vAlign w:val="center"/>
          </w:tcPr>
          <w:p>
            <w:pPr>
              <w:pStyle w:val="317"/>
              <w:rPr>
                <w:i w:val="0"/>
                <w:iCs w:val="0"/>
                <w:sz w:val="21"/>
                <w:szCs w:val="21"/>
                <w:u w:val="single"/>
              </w:rPr>
            </w:pPr>
            <w:r>
              <w:rPr>
                <w:rFonts w:hint="eastAsia"/>
                <w:i w:val="0"/>
                <w:iCs w:val="0"/>
                <w:sz w:val="21"/>
                <w:szCs w:val="21"/>
                <w:u w:val="single"/>
              </w:rPr>
              <w:t>10</w:t>
            </w:r>
          </w:p>
        </w:tc>
        <w:tc>
          <w:tcPr>
            <w:tcW w:w="1381" w:type="pct"/>
            <w:noWrap w:val="0"/>
            <w:vAlign w:val="center"/>
          </w:tcPr>
          <w:p>
            <w:pPr>
              <w:jc w:val="center"/>
              <w:rPr>
                <w:rFonts w:hint="eastAsia"/>
                <w:i w:val="0"/>
                <w:iCs w:val="0"/>
                <w:sz w:val="21"/>
                <w:szCs w:val="21"/>
                <w:u w:val="single"/>
              </w:rPr>
            </w:pPr>
            <w:r>
              <w:rPr>
                <w:rFonts w:hint="eastAsia"/>
                <w:i w:val="0"/>
                <w:iCs w:val="0"/>
                <w:sz w:val="21"/>
                <w:szCs w:val="21"/>
                <w:u w:val="single"/>
              </w:rPr>
              <w:t>0.01</w:t>
            </w:r>
          </w:p>
        </w:tc>
        <w:tc>
          <w:tcPr>
            <w:tcW w:w="1000" w:type="pct"/>
            <w:noWrap w:val="0"/>
            <w:vAlign w:val="center"/>
          </w:tcPr>
          <w:p>
            <w:pPr>
              <w:jc w:val="center"/>
              <w:rPr>
                <w:rFonts w:hint="eastAsia"/>
                <w:i w:val="0"/>
                <w:iCs w:val="0"/>
                <w:sz w:val="21"/>
                <w:szCs w:val="21"/>
                <w:u w:val="single"/>
              </w:rPr>
            </w:pPr>
            <w:r>
              <w:rPr>
                <w:rFonts w:hint="eastAsia"/>
                <w:i w:val="0"/>
                <w:iCs w:val="0"/>
                <w:sz w:val="21"/>
                <w:szCs w:val="21"/>
                <w:u w:val="single"/>
              </w:rPr>
              <w:t xml:space="preserve">0.0010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536" w:type="pct"/>
            <w:noWrap w:val="0"/>
            <w:vAlign w:val="center"/>
          </w:tcPr>
          <w:p>
            <w:pPr>
              <w:pStyle w:val="317"/>
              <w:rPr>
                <w:i w:val="0"/>
                <w:iCs w:val="0"/>
                <w:sz w:val="21"/>
                <w:szCs w:val="21"/>
                <w:u w:val="single"/>
              </w:rPr>
            </w:pPr>
            <w:r>
              <w:rPr>
                <w:rFonts w:hint="eastAsia"/>
                <w:i w:val="0"/>
                <w:iCs w:val="0"/>
                <w:sz w:val="21"/>
                <w:szCs w:val="21"/>
                <w:u w:val="single"/>
              </w:rPr>
              <w:t>7</w:t>
            </w:r>
          </w:p>
        </w:tc>
        <w:tc>
          <w:tcPr>
            <w:tcW w:w="973" w:type="pct"/>
            <w:noWrap w:val="0"/>
            <w:vAlign w:val="center"/>
          </w:tcPr>
          <w:p>
            <w:pPr>
              <w:jc w:val="center"/>
              <w:rPr>
                <w:rFonts w:hint="eastAsia"/>
                <w:i w:val="0"/>
                <w:iCs w:val="0"/>
                <w:color w:val="000000"/>
                <w:sz w:val="21"/>
                <w:szCs w:val="21"/>
                <w:u w:val="single"/>
              </w:rPr>
            </w:pPr>
            <w:r>
              <w:rPr>
                <w:rFonts w:hint="eastAsia"/>
                <w:i w:val="0"/>
                <w:iCs w:val="0"/>
                <w:sz w:val="21"/>
                <w:szCs w:val="21"/>
                <w:u w:val="single"/>
              </w:rPr>
              <w:t>甲苯</w:t>
            </w:r>
          </w:p>
        </w:tc>
        <w:tc>
          <w:tcPr>
            <w:tcW w:w="1106" w:type="pct"/>
            <w:noWrap w:val="0"/>
            <w:vAlign w:val="center"/>
          </w:tcPr>
          <w:p>
            <w:pPr>
              <w:pStyle w:val="317"/>
              <w:rPr>
                <w:i w:val="0"/>
                <w:iCs w:val="0"/>
                <w:sz w:val="21"/>
                <w:szCs w:val="21"/>
                <w:u w:val="single"/>
              </w:rPr>
            </w:pPr>
            <w:r>
              <w:rPr>
                <w:rFonts w:hint="eastAsia"/>
                <w:i w:val="0"/>
                <w:iCs w:val="0"/>
                <w:sz w:val="21"/>
                <w:szCs w:val="21"/>
                <w:u w:val="single"/>
              </w:rPr>
              <w:t>10</w:t>
            </w:r>
          </w:p>
        </w:tc>
        <w:tc>
          <w:tcPr>
            <w:tcW w:w="1381" w:type="pct"/>
            <w:noWrap w:val="0"/>
            <w:vAlign w:val="center"/>
          </w:tcPr>
          <w:p>
            <w:pPr>
              <w:jc w:val="center"/>
              <w:rPr>
                <w:rFonts w:hint="eastAsia"/>
                <w:i w:val="0"/>
                <w:iCs w:val="0"/>
                <w:sz w:val="21"/>
                <w:szCs w:val="21"/>
                <w:u w:val="single"/>
              </w:rPr>
            </w:pPr>
            <w:r>
              <w:rPr>
                <w:rFonts w:hint="eastAsia"/>
                <w:i w:val="0"/>
                <w:iCs w:val="0"/>
                <w:sz w:val="21"/>
                <w:szCs w:val="21"/>
                <w:u w:val="single"/>
              </w:rPr>
              <w:t>0.001</w:t>
            </w:r>
          </w:p>
        </w:tc>
        <w:tc>
          <w:tcPr>
            <w:tcW w:w="1000" w:type="pct"/>
            <w:noWrap w:val="0"/>
            <w:vAlign w:val="center"/>
          </w:tcPr>
          <w:p>
            <w:pPr>
              <w:jc w:val="center"/>
              <w:rPr>
                <w:rFonts w:hint="eastAsia"/>
                <w:i w:val="0"/>
                <w:iCs w:val="0"/>
                <w:sz w:val="21"/>
                <w:szCs w:val="21"/>
                <w:u w:val="single"/>
              </w:rPr>
            </w:pPr>
            <w:r>
              <w:rPr>
                <w:rFonts w:hint="eastAsia"/>
                <w:i w:val="0"/>
                <w:iCs w:val="0"/>
                <w:sz w:val="21"/>
                <w:szCs w:val="21"/>
                <w:u w:val="single"/>
              </w:rPr>
              <w:t xml:space="preserve">0.0001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536" w:type="pct"/>
            <w:noWrap w:val="0"/>
            <w:vAlign w:val="center"/>
          </w:tcPr>
          <w:p>
            <w:pPr>
              <w:pStyle w:val="317"/>
              <w:rPr>
                <w:i w:val="0"/>
                <w:iCs w:val="0"/>
                <w:sz w:val="21"/>
                <w:szCs w:val="21"/>
                <w:u w:val="single"/>
              </w:rPr>
            </w:pPr>
            <w:r>
              <w:rPr>
                <w:rFonts w:hint="eastAsia"/>
                <w:i w:val="0"/>
                <w:iCs w:val="0"/>
                <w:sz w:val="21"/>
                <w:szCs w:val="21"/>
                <w:u w:val="single"/>
              </w:rPr>
              <w:t>8</w:t>
            </w:r>
          </w:p>
        </w:tc>
        <w:tc>
          <w:tcPr>
            <w:tcW w:w="973" w:type="pct"/>
            <w:noWrap w:val="0"/>
            <w:vAlign w:val="center"/>
          </w:tcPr>
          <w:p>
            <w:pPr>
              <w:jc w:val="center"/>
              <w:rPr>
                <w:rFonts w:hint="eastAsia"/>
                <w:i w:val="0"/>
                <w:iCs w:val="0"/>
                <w:color w:val="000000"/>
                <w:sz w:val="21"/>
                <w:szCs w:val="21"/>
                <w:u w:val="single"/>
              </w:rPr>
            </w:pPr>
            <w:r>
              <w:rPr>
                <w:rFonts w:hint="eastAsia"/>
                <w:i w:val="0"/>
                <w:iCs w:val="0"/>
                <w:sz w:val="21"/>
                <w:szCs w:val="21"/>
                <w:u w:val="single"/>
              </w:rPr>
              <w:t>丙酮</w:t>
            </w:r>
          </w:p>
        </w:tc>
        <w:tc>
          <w:tcPr>
            <w:tcW w:w="1106" w:type="pct"/>
            <w:noWrap w:val="0"/>
            <w:vAlign w:val="center"/>
          </w:tcPr>
          <w:p>
            <w:pPr>
              <w:pStyle w:val="317"/>
              <w:rPr>
                <w:i w:val="0"/>
                <w:iCs w:val="0"/>
                <w:sz w:val="21"/>
                <w:szCs w:val="21"/>
                <w:u w:val="single"/>
              </w:rPr>
            </w:pPr>
            <w:r>
              <w:rPr>
                <w:rFonts w:hint="eastAsia"/>
                <w:i w:val="0"/>
                <w:iCs w:val="0"/>
                <w:sz w:val="21"/>
                <w:szCs w:val="21"/>
                <w:u w:val="single"/>
              </w:rPr>
              <w:t>10</w:t>
            </w:r>
          </w:p>
        </w:tc>
        <w:tc>
          <w:tcPr>
            <w:tcW w:w="1381" w:type="pct"/>
            <w:noWrap w:val="0"/>
            <w:vAlign w:val="center"/>
          </w:tcPr>
          <w:p>
            <w:pPr>
              <w:jc w:val="center"/>
              <w:rPr>
                <w:rFonts w:hint="eastAsia"/>
                <w:i w:val="0"/>
                <w:iCs w:val="0"/>
                <w:sz w:val="21"/>
                <w:szCs w:val="21"/>
                <w:u w:val="single"/>
              </w:rPr>
            </w:pPr>
            <w:r>
              <w:rPr>
                <w:rFonts w:hint="eastAsia"/>
                <w:i w:val="0"/>
                <w:iCs w:val="0"/>
                <w:sz w:val="21"/>
                <w:szCs w:val="21"/>
                <w:u w:val="single"/>
              </w:rPr>
              <w:t>0.01</w:t>
            </w:r>
          </w:p>
        </w:tc>
        <w:tc>
          <w:tcPr>
            <w:tcW w:w="1000" w:type="pct"/>
            <w:noWrap w:val="0"/>
            <w:vAlign w:val="center"/>
          </w:tcPr>
          <w:p>
            <w:pPr>
              <w:jc w:val="center"/>
              <w:rPr>
                <w:rFonts w:hint="eastAsia"/>
                <w:i w:val="0"/>
                <w:iCs w:val="0"/>
                <w:sz w:val="21"/>
                <w:szCs w:val="21"/>
                <w:u w:val="single"/>
              </w:rPr>
            </w:pPr>
            <w:r>
              <w:rPr>
                <w:rFonts w:hint="eastAsia"/>
                <w:i w:val="0"/>
                <w:iCs w:val="0"/>
                <w:sz w:val="21"/>
                <w:szCs w:val="21"/>
                <w:u w:val="single"/>
              </w:rPr>
              <w:t xml:space="preserve">0.0010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536" w:type="pct"/>
            <w:noWrap w:val="0"/>
            <w:vAlign w:val="center"/>
          </w:tcPr>
          <w:p>
            <w:pPr>
              <w:pStyle w:val="317"/>
              <w:rPr>
                <w:i w:val="0"/>
                <w:iCs w:val="0"/>
                <w:sz w:val="21"/>
                <w:szCs w:val="21"/>
                <w:u w:val="single"/>
              </w:rPr>
            </w:pPr>
            <w:r>
              <w:rPr>
                <w:rFonts w:hint="eastAsia"/>
                <w:i w:val="0"/>
                <w:iCs w:val="0"/>
                <w:sz w:val="21"/>
                <w:szCs w:val="21"/>
                <w:u w:val="single"/>
              </w:rPr>
              <w:t>9</w:t>
            </w:r>
          </w:p>
        </w:tc>
        <w:tc>
          <w:tcPr>
            <w:tcW w:w="973" w:type="pct"/>
            <w:noWrap w:val="0"/>
            <w:vAlign w:val="center"/>
          </w:tcPr>
          <w:p>
            <w:pPr>
              <w:jc w:val="center"/>
              <w:rPr>
                <w:rFonts w:hint="eastAsia"/>
                <w:i w:val="0"/>
                <w:iCs w:val="0"/>
                <w:color w:val="000000"/>
                <w:sz w:val="21"/>
                <w:szCs w:val="21"/>
                <w:u w:val="single"/>
              </w:rPr>
            </w:pPr>
            <w:r>
              <w:rPr>
                <w:rFonts w:hint="eastAsia"/>
                <w:i w:val="0"/>
                <w:iCs w:val="0"/>
                <w:sz w:val="21"/>
                <w:szCs w:val="21"/>
                <w:u w:val="single"/>
              </w:rPr>
              <w:t>硝酸</w:t>
            </w:r>
          </w:p>
        </w:tc>
        <w:tc>
          <w:tcPr>
            <w:tcW w:w="1106" w:type="pct"/>
            <w:noWrap w:val="0"/>
            <w:vAlign w:val="center"/>
          </w:tcPr>
          <w:p>
            <w:pPr>
              <w:pStyle w:val="317"/>
              <w:rPr>
                <w:i w:val="0"/>
                <w:iCs w:val="0"/>
                <w:sz w:val="21"/>
                <w:szCs w:val="21"/>
                <w:u w:val="single"/>
              </w:rPr>
            </w:pPr>
            <w:r>
              <w:rPr>
                <w:rFonts w:hint="eastAsia"/>
                <w:i w:val="0"/>
                <w:iCs w:val="0"/>
                <w:sz w:val="21"/>
                <w:szCs w:val="21"/>
                <w:u w:val="single"/>
              </w:rPr>
              <w:t>7.5</w:t>
            </w:r>
          </w:p>
        </w:tc>
        <w:tc>
          <w:tcPr>
            <w:tcW w:w="1381" w:type="pct"/>
            <w:noWrap w:val="0"/>
            <w:vAlign w:val="center"/>
          </w:tcPr>
          <w:p>
            <w:pPr>
              <w:jc w:val="center"/>
              <w:rPr>
                <w:rFonts w:hint="eastAsia"/>
                <w:i w:val="0"/>
                <w:iCs w:val="0"/>
                <w:sz w:val="21"/>
                <w:szCs w:val="21"/>
                <w:u w:val="single"/>
              </w:rPr>
            </w:pPr>
            <w:r>
              <w:rPr>
                <w:rFonts w:hint="eastAsia"/>
                <w:i w:val="0"/>
                <w:iCs w:val="0"/>
                <w:color w:val="000000"/>
                <w:sz w:val="21"/>
                <w:szCs w:val="21"/>
                <w:u w:val="single"/>
              </w:rPr>
              <w:t>0.005</w:t>
            </w:r>
          </w:p>
        </w:tc>
        <w:tc>
          <w:tcPr>
            <w:tcW w:w="1000" w:type="pct"/>
            <w:noWrap w:val="0"/>
            <w:vAlign w:val="center"/>
          </w:tcPr>
          <w:p>
            <w:pPr>
              <w:jc w:val="center"/>
              <w:rPr>
                <w:rFonts w:hint="eastAsia"/>
                <w:i w:val="0"/>
                <w:iCs w:val="0"/>
                <w:sz w:val="21"/>
                <w:szCs w:val="21"/>
                <w:u w:val="single"/>
              </w:rPr>
            </w:pPr>
            <w:r>
              <w:rPr>
                <w:rFonts w:hint="eastAsia"/>
                <w:i w:val="0"/>
                <w:iCs w:val="0"/>
                <w:sz w:val="21"/>
                <w:szCs w:val="21"/>
                <w:u w:val="single"/>
              </w:rPr>
              <w:t xml:space="preserve">0.0007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3999" w:type="pct"/>
            <w:gridSpan w:val="4"/>
            <w:noWrap w:val="0"/>
            <w:vAlign w:val="center"/>
          </w:tcPr>
          <w:p>
            <w:pPr>
              <w:pStyle w:val="317"/>
              <w:rPr>
                <w:i w:val="0"/>
                <w:iCs w:val="0"/>
                <w:color w:val="FF0000"/>
                <w:kern w:val="21"/>
                <w:sz w:val="21"/>
                <w:szCs w:val="21"/>
                <w:u w:val="single"/>
              </w:rPr>
            </w:pPr>
            <w:r>
              <w:rPr>
                <w:i w:val="0"/>
                <w:iCs w:val="0"/>
                <w:kern w:val="21"/>
                <w:sz w:val="21"/>
                <w:szCs w:val="21"/>
                <w:u w:val="single"/>
              </w:rPr>
              <w:t>项目Q值∑</w:t>
            </w:r>
          </w:p>
        </w:tc>
        <w:tc>
          <w:tcPr>
            <w:tcW w:w="1000" w:type="pct"/>
            <w:noWrap w:val="0"/>
            <w:vAlign w:val="center"/>
          </w:tcPr>
          <w:p>
            <w:pPr>
              <w:jc w:val="center"/>
              <w:rPr>
                <w:rFonts w:hint="default" w:eastAsia="宋体"/>
                <w:i w:val="0"/>
                <w:iCs w:val="0"/>
                <w:sz w:val="21"/>
                <w:szCs w:val="21"/>
                <w:u w:val="single"/>
                <w:lang w:val="en-US" w:eastAsia="zh-CN"/>
              </w:rPr>
            </w:pPr>
            <w:r>
              <w:rPr>
                <w:rFonts w:hint="eastAsia"/>
                <w:i w:val="0"/>
                <w:iCs w:val="0"/>
                <w:sz w:val="21"/>
                <w:szCs w:val="21"/>
                <w:u w:val="single"/>
                <w:lang w:val="en-US" w:eastAsia="zh-CN"/>
              </w:rPr>
              <w:t>1.7422</w:t>
            </w:r>
          </w:p>
        </w:tc>
      </w:tr>
    </w:tbl>
    <w:p>
      <w:pPr>
        <w:widowControl/>
        <w:spacing w:before="120" w:beforeLines="50" w:line="348" w:lineRule="auto"/>
        <w:ind w:firstLine="480" w:firstLineChars="200"/>
        <w:rPr>
          <w:i w:val="0"/>
          <w:iCs w:val="0"/>
          <w:color w:val="000000"/>
          <w:szCs w:val="20"/>
          <w:u w:val="single"/>
        </w:rPr>
      </w:pPr>
      <w:r>
        <w:rPr>
          <w:rFonts w:hint="eastAsia"/>
          <w:i w:val="0"/>
          <w:iCs w:val="0"/>
          <w:color w:val="000000"/>
          <w:szCs w:val="20"/>
          <w:u w:val="single"/>
        </w:rPr>
        <w:t>通过计算，本项目Q值为</w:t>
      </w:r>
      <w:r>
        <w:rPr>
          <w:rFonts w:hint="eastAsia"/>
          <w:i w:val="0"/>
          <w:iCs w:val="0"/>
          <w:color w:val="000000"/>
          <w:szCs w:val="20"/>
          <w:u w:val="single"/>
          <w:lang w:val="en-US" w:eastAsia="zh-CN"/>
        </w:rPr>
        <w:t>1.7422</w:t>
      </w:r>
      <w:r>
        <w:rPr>
          <w:rFonts w:hint="eastAsia"/>
          <w:i w:val="0"/>
          <w:iCs w:val="0"/>
          <w:color w:val="000000"/>
          <w:szCs w:val="20"/>
          <w:u w:val="single"/>
        </w:rPr>
        <w:t>＞1。</w:t>
      </w:r>
    </w:p>
    <w:p>
      <w:pPr>
        <w:widowControl/>
        <w:spacing w:line="348" w:lineRule="auto"/>
        <w:ind w:firstLine="480" w:firstLineChars="200"/>
        <w:rPr>
          <w:rFonts w:hint="eastAsia"/>
          <w:i w:val="0"/>
          <w:iCs w:val="0"/>
          <w:color w:val="000000"/>
          <w:szCs w:val="20"/>
          <w:u w:val="single"/>
        </w:rPr>
      </w:pPr>
      <w:r>
        <w:rPr>
          <w:rFonts w:hint="eastAsia"/>
          <w:i w:val="0"/>
          <w:iCs w:val="0"/>
          <w:color w:val="000000"/>
          <w:szCs w:val="20"/>
          <w:u w:val="single"/>
        </w:rPr>
        <w:t>2、行业及生产工艺（M）</w:t>
      </w:r>
    </w:p>
    <w:p>
      <w:pPr>
        <w:pStyle w:val="90"/>
        <w:adjustRightInd/>
        <w:spacing w:line="360" w:lineRule="auto"/>
        <w:ind w:firstLine="480" w:firstLineChars="200"/>
        <w:rPr>
          <w:rFonts w:hint="eastAsia"/>
          <w:i w:val="0"/>
          <w:iCs w:val="0"/>
          <w:color w:val="auto"/>
          <w:u w:val="single"/>
          <w:lang w:val="zh-CN"/>
        </w:rPr>
      </w:pPr>
      <w:r>
        <w:rPr>
          <w:rFonts w:hint="eastAsia"/>
          <w:i w:val="0"/>
          <w:iCs w:val="0"/>
          <w:color w:val="auto"/>
          <w:u w:val="single"/>
          <w:lang w:val="zh-CN"/>
        </w:rPr>
        <w:t>参照《建设项目环境风险评价技术导则》（HJ169-2018）附录C评估本项目生产工艺情况。具有多套工艺单元的项目，对每套工艺单元分别评分并求和。将M值划分为（1）M&gt;20；（2）10&lt;M≤20；（3）5&lt;M≤10；（4）M≤5，分别以M1、M2、M3和M4。</w:t>
      </w:r>
    </w:p>
    <w:tbl>
      <w:tblPr>
        <w:tblStyle w:val="58"/>
        <w:tblpPr w:leftFromText="180" w:rightFromText="180" w:vertAnchor="text" w:horzAnchor="page" w:tblpX="1715" w:tblpY="312"/>
        <w:tblOverlap w:val="never"/>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1142"/>
        <w:gridCol w:w="5542"/>
        <w:gridCol w:w="1220"/>
        <w:gridCol w:w="12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626" w:type="pct"/>
            <w:noWrap w:val="0"/>
            <w:vAlign w:val="center"/>
          </w:tcPr>
          <w:p>
            <w:pPr>
              <w:pStyle w:val="317"/>
              <w:rPr>
                <w:i w:val="0"/>
                <w:iCs w:val="0"/>
                <w:sz w:val="21"/>
                <w:szCs w:val="21"/>
                <w:u w:val="single"/>
              </w:rPr>
            </w:pPr>
            <w:r>
              <w:rPr>
                <w:i w:val="0"/>
                <w:iCs w:val="0"/>
                <w:sz w:val="21"/>
                <w:szCs w:val="21"/>
                <w:u w:val="single"/>
              </w:rPr>
              <w:t>行业</w:t>
            </w:r>
          </w:p>
        </w:tc>
        <w:tc>
          <w:tcPr>
            <w:tcW w:w="3036" w:type="pct"/>
            <w:noWrap w:val="0"/>
            <w:vAlign w:val="center"/>
          </w:tcPr>
          <w:p>
            <w:pPr>
              <w:pStyle w:val="317"/>
              <w:rPr>
                <w:i w:val="0"/>
                <w:iCs w:val="0"/>
                <w:sz w:val="21"/>
                <w:szCs w:val="21"/>
                <w:u w:val="single"/>
              </w:rPr>
            </w:pPr>
            <w:r>
              <w:rPr>
                <w:i w:val="0"/>
                <w:iCs w:val="0"/>
                <w:sz w:val="21"/>
                <w:szCs w:val="21"/>
                <w:u w:val="single"/>
              </w:rPr>
              <w:t>评估依据</w:t>
            </w:r>
          </w:p>
        </w:tc>
        <w:tc>
          <w:tcPr>
            <w:tcW w:w="668" w:type="pct"/>
            <w:noWrap w:val="0"/>
            <w:vAlign w:val="center"/>
          </w:tcPr>
          <w:p>
            <w:pPr>
              <w:pStyle w:val="317"/>
              <w:rPr>
                <w:i w:val="0"/>
                <w:iCs w:val="0"/>
                <w:sz w:val="21"/>
                <w:szCs w:val="21"/>
                <w:u w:val="single"/>
              </w:rPr>
            </w:pPr>
            <w:r>
              <w:rPr>
                <w:i w:val="0"/>
                <w:iCs w:val="0"/>
                <w:sz w:val="21"/>
                <w:szCs w:val="21"/>
                <w:u w:val="single"/>
              </w:rPr>
              <w:t>分值</w:t>
            </w:r>
          </w:p>
        </w:tc>
        <w:tc>
          <w:tcPr>
            <w:tcW w:w="668" w:type="pct"/>
            <w:noWrap w:val="0"/>
            <w:vAlign w:val="center"/>
          </w:tcPr>
          <w:p>
            <w:pPr>
              <w:pStyle w:val="317"/>
              <w:rPr>
                <w:rFonts w:hint="eastAsia"/>
                <w:i w:val="0"/>
                <w:iCs w:val="0"/>
                <w:sz w:val="21"/>
                <w:szCs w:val="21"/>
                <w:u w:val="single"/>
              </w:rPr>
            </w:pPr>
            <w:r>
              <w:rPr>
                <w:rFonts w:hint="eastAsia"/>
                <w:i w:val="0"/>
                <w:iCs w:val="0"/>
                <w:sz w:val="21"/>
                <w:szCs w:val="21"/>
                <w:u w:val="single"/>
              </w:rPr>
              <w:t>得分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626" w:type="pct"/>
            <w:vMerge w:val="restart"/>
            <w:noWrap w:val="0"/>
            <w:vAlign w:val="center"/>
          </w:tcPr>
          <w:p>
            <w:pPr>
              <w:pStyle w:val="317"/>
              <w:rPr>
                <w:i w:val="0"/>
                <w:iCs w:val="0"/>
                <w:sz w:val="21"/>
                <w:szCs w:val="21"/>
                <w:u w:val="single"/>
              </w:rPr>
            </w:pPr>
            <w:r>
              <w:rPr>
                <w:i w:val="0"/>
                <w:iCs w:val="0"/>
                <w:sz w:val="21"/>
                <w:szCs w:val="21"/>
                <w:u w:val="single"/>
              </w:rPr>
              <w:t>石化、化工、医药、轻工、化纤有色冶炼等</w:t>
            </w:r>
          </w:p>
        </w:tc>
        <w:tc>
          <w:tcPr>
            <w:tcW w:w="3036" w:type="pct"/>
            <w:noWrap w:val="0"/>
            <w:vAlign w:val="center"/>
          </w:tcPr>
          <w:p>
            <w:pPr>
              <w:pStyle w:val="317"/>
              <w:rPr>
                <w:i w:val="0"/>
                <w:iCs w:val="0"/>
                <w:sz w:val="21"/>
                <w:szCs w:val="21"/>
                <w:u w:val="single"/>
              </w:rPr>
            </w:pPr>
            <w:r>
              <w:rPr>
                <w:i w:val="0"/>
                <w:iCs w:val="0"/>
                <w:sz w:val="21"/>
                <w:szCs w:val="21"/>
                <w:u w:val="single"/>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668" w:type="pct"/>
            <w:noWrap w:val="0"/>
            <w:vAlign w:val="center"/>
          </w:tcPr>
          <w:p>
            <w:pPr>
              <w:pStyle w:val="317"/>
              <w:rPr>
                <w:i w:val="0"/>
                <w:iCs w:val="0"/>
                <w:sz w:val="21"/>
                <w:szCs w:val="21"/>
                <w:u w:val="single"/>
              </w:rPr>
            </w:pPr>
            <w:r>
              <w:rPr>
                <w:i w:val="0"/>
                <w:iCs w:val="0"/>
                <w:sz w:val="21"/>
                <w:szCs w:val="21"/>
                <w:u w:val="single"/>
              </w:rPr>
              <w:t>10/套</w:t>
            </w:r>
          </w:p>
        </w:tc>
        <w:tc>
          <w:tcPr>
            <w:tcW w:w="668" w:type="pct"/>
            <w:noWrap w:val="0"/>
            <w:vAlign w:val="center"/>
          </w:tcPr>
          <w:p>
            <w:pPr>
              <w:pStyle w:val="317"/>
              <w:rPr>
                <w:i w:val="0"/>
                <w:iCs w:val="0"/>
                <w:sz w:val="21"/>
                <w:szCs w:val="21"/>
                <w:u w:val="single"/>
              </w:rPr>
            </w:pPr>
            <w:r>
              <w:rPr>
                <w:rFonts w:hint="eastAsia"/>
                <w:i w:val="0"/>
                <w:iCs w:val="0"/>
                <w:sz w:val="21"/>
                <w:szCs w:val="21"/>
                <w:u w:val="single"/>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626" w:type="pct"/>
            <w:vMerge w:val="continue"/>
            <w:noWrap w:val="0"/>
            <w:vAlign w:val="center"/>
          </w:tcPr>
          <w:p>
            <w:pPr>
              <w:pStyle w:val="317"/>
              <w:rPr>
                <w:i w:val="0"/>
                <w:iCs w:val="0"/>
                <w:sz w:val="21"/>
                <w:szCs w:val="21"/>
                <w:u w:val="single"/>
              </w:rPr>
            </w:pPr>
          </w:p>
        </w:tc>
        <w:tc>
          <w:tcPr>
            <w:tcW w:w="3036" w:type="pct"/>
            <w:noWrap w:val="0"/>
            <w:vAlign w:val="center"/>
          </w:tcPr>
          <w:p>
            <w:pPr>
              <w:pStyle w:val="317"/>
              <w:rPr>
                <w:i w:val="0"/>
                <w:iCs w:val="0"/>
                <w:sz w:val="21"/>
                <w:szCs w:val="21"/>
                <w:u w:val="single"/>
              </w:rPr>
            </w:pPr>
            <w:r>
              <w:rPr>
                <w:i w:val="0"/>
                <w:iCs w:val="0"/>
                <w:sz w:val="21"/>
                <w:szCs w:val="21"/>
                <w:u w:val="single"/>
              </w:rPr>
              <w:t>无机酸制酸工艺、焦化工艺</w:t>
            </w:r>
          </w:p>
        </w:tc>
        <w:tc>
          <w:tcPr>
            <w:tcW w:w="668" w:type="pct"/>
            <w:noWrap w:val="0"/>
            <w:vAlign w:val="center"/>
          </w:tcPr>
          <w:p>
            <w:pPr>
              <w:pStyle w:val="317"/>
              <w:rPr>
                <w:i w:val="0"/>
                <w:iCs w:val="0"/>
                <w:sz w:val="21"/>
                <w:szCs w:val="21"/>
                <w:u w:val="single"/>
              </w:rPr>
            </w:pPr>
            <w:r>
              <w:rPr>
                <w:i w:val="0"/>
                <w:iCs w:val="0"/>
                <w:sz w:val="21"/>
                <w:szCs w:val="21"/>
                <w:u w:val="single"/>
              </w:rPr>
              <w:t>5/套</w:t>
            </w:r>
          </w:p>
        </w:tc>
        <w:tc>
          <w:tcPr>
            <w:tcW w:w="668" w:type="pct"/>
            <w:noWrap w:val="0"/>
            <w:vAlign w:val="center"/>
          </w:tcPr>
          <w:p>
            <w:pPr>
              <w:pStyle w:val="317"/>
              <w:rPr>
                <w:rFonts w:hint="eastAsia"/>
                <w:i w:val="0"/>
                <w:iCs w:val="0"/>
                <w:sz w:val="21"/>
                <w:szCs w:val="21"/>
                <w:u w:val="single"/>
              </w:rPr>
            </w:pPr>
            <w:r>
              <w:rPr>
                <w:rFonts w:hint="eastAsia"/>
                <w:i w:val="0"/>
                <w:iCs w:val="0"/>
                <w:sz w:val="21"/>
                <w:szCs w:val="21"/>
                <w:u w:val="single"/>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626" w:type="pct"/>
            <w:vMerge w:val="continue"/>
            <w:noWrap w:val="0"/>
            <w:vAlign w:val="center"/>
          </w:tcPr>
          <w:p>
            <w:pPr>
              <w:pStyle w:val="317"/>
              <w:rPr>
                <w:i w:val="0"/>
                <w:iCs w:val="0"/>
                <w:sz w:val="21"/>
                <w:szCs w:val="21"/>
                <w:u w:val="single"/>
              </w:rPr>
            </w:pPr>
          </w:p>
        </w:tc>
        <w:tc>
          <w:tcPr>
            <w:tcW w:w="3036" w:type="pct"/>
            <w:noWrap w:val="0"/>
            <w:vAlign w:val="center"/>
          </w:tcPr>
          <w:p>
            <w:pPr>
              <w:pStyle w:val="317"/>
              <w:rPr>
                <w:i w:val="0"/>
                <w:iCs w:val="0"/>
                <w:sz w:val="21"/>
                <w:szCs w:val="21"/>
                <w:u w:val="single"/>
              </w:rPr>
            </w:pPr>
            <w:r>
              <w:rPr>
                <w:i w:val="0"/>
                <w:iCs w:val="0"/>
                <w:sz w:val="21"/>
                <w:szCs w:val="21"/>
                <w:u w:val="single"/>
              </w:rPr>
              <w:t>其他高温或高压，且涉及危险物质的工艺过程a、危险物质贮存罐区</w:t>
            </w:r>
          </w:p>
        </w:tc>
        <w:tc>
          <w:tcPr>
            <w:tcW w:w="668" w:type="pct"/>
            <w:noWrap w:val="0"/>
            <w:vAlign w:val="center"/>
          </w:tcPr>
          <w:p>
            <w:pPr>
              <w:pStyle w:val="317"/>
              <w:rPr>
                <w:i w:val="0"/>
                <w:iCs w:val="0"/>
                <w:sz w:val="21"/>
                <w:szCs w:val="21"/>
                <w:u w:val="single"/>
              </w:rPr>
            </w:pPr>
            <w:r>
              <w:rPr>
                <w:i w:val="0"/>
                <w:iCs w:val="0"/>
                <w:sz w:val="21"/>
                <w:szCs w:val="21"/>
                <w:u w:val="single"/>
              </w:rPr>
              <w:t>5/套（罐区）</w:t>
            </w:r>
          </w:p>
        </w:tc>
        <w:tc>
          <w:tcPr>
            <w:tcW w:w="668" w:type="pct"/>
            <w:noWrap w:val="0"/>
            <w:vAlign w:val="center"/>
          </w:tcPr>
          <w:p>
            <w:pPr>
              <w:pStyle w:val="317"/>
              <w:rPr>
                <w:i w:val="0"/>
                <w:iCs w:val="0"/>
                <w:sz w:val="21"/>
                <w:szCs w:val="21"/>
                <w:u w:val="single"/>
              </w:rPr>
            </w:pPr>
            <w:r>
              <w:rPr>
                <w:rFonts w:hint="eastAsia"/>
                <w:i w:val="0"/>
                <w:iCs w:val="0"/>
                <w:sz w:val="21"/>
                <w:szCs w:val="21"/>
                <w:u w:val="single"/>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626" w:type="pct"/>
            <w:noWrap w:val="0"/>
            <w:vAlign w:val="center"/>
          </w:tcPr>
          <w:p>
            <w:pPr>
              <w:pStyle w:val="317"/>
              <w:rPr>
                <w:i w:val="0"/>
                <w:iCs w:val="0"/>
                <w:sz w:val="21"/>
                <w:szCs w:val="21"/>
                <w:u w:val="single"/>
              </w:rPr>
            </w:pPr>
            <w:r>
              <w:rPr>
                <w:i w:val="0"/>
                <w:iCs w:val="0"/>
                <w:sz w:val="21"/>
                <w:szCs w:val="21"/>
                <w:u w:val="single"/>
              </w:rPr>
              <w:t>管道、港口/</w:t>
            </w:r>
          </w:p>
          <w:p>
            <w:pPr>
              <w:pStyle w:val="317"/>
              <w:rPr>
                <w:i w:val="0"/>
                <w:iCs w:val="0"/>
                <w:sz w:val="21"/>
                <w:szCs w:val="21"/>
                <w:u w:val="single"/>
              </w:rPr>
            </w:pPr>
            <w:r>
              <w:rPr>
                <w:i w:val="0"/>
                <w:iCs w:val="0"/>
                <w:sz w:val="21"/>
                <w:szCs w:val="21"/>
                <w:u w:val="single"/>
              </w:rPr>
              <w:t>码头等</w:t>
            </w:r>
          </w:p>
        </w:tc>
        <w:tc>
          <w:tcPr>
            <w:tcW w:w="3036" w:type="pct"/>
            <w:noWrap w:val="0"/>
            <w:vAlign w:val="center"/>
          </w:tcPr>
          <w:p>
            <w:pPr>
              <w:pStyle w:val="317"/>
              <w:rPr>
                <w:i w:val="0"/>
                <w:iCs w:val="0"/>
                <w:sz w:val="21"/>
                <w:szCs w:val="21"/>
                <w:u w:val="single"/>
              </w:rPr>
            </w:pPr>
            <w:r>
              <w:rPr>
                <w:i w:val="0"/>
                <w:iCs w:val="0"/>
                <w:sz w:val="21"/>
                <w:szCs w:val="21"/>
                <w:u w:val="single"/>
              </w:rPr>
              <w:t>涉及危险物质管道运输项目、港口/码头等</w:t>
            </w:r>
          </w:p>
        </w:tc>
        <w:tc>
          <w:tcPr>
            <w:tcW w:w="668" w:type="pct"/>
            <w:noWrap w:val="0"/>
            <w:vAlign w:val="center"/>
          </w:tcPr>
          <w:p>
            <w:pPr>
              <w:pStyle w:val="317"/>
              <w:rPr>
                <w:i w:val="0"/>
                <w:iCs w:val="0"/>
                <w:sz w:val="21"/>
                <w:szCs w:val="21"/>
                <w:u w:val="single"/>
              </w:rPr>
            </w:pPr>
            <w:r>
              <w:rPr>
                <w:i w:val="0"/>
                <w:iCs w:val="0"/>
                <w:sz w:val="21"/>
                <w:szCs w:val="21"/>
                <w:u w:val="single"/>
              </w:rPr>
              <w:t>10</w:t>
            </w:r>
          </w:p>
        </w:tc>
        <w:tc>
          <w:tcPr>
            <w:tcW w:w="668" w:type="pct"/>
            <w:noWrap w:val="0"/>
            <w:vAlign w:val="center"/>
          </w:tcPr>
          <w:p>
            <w:pPr>
              <w:pStyle w:val="317"/>
              <w:rPr>
                <w:rFonts w:hint="eastAsia"/>
                <w:i w:val="0"/>
                <w:iCs w:val="0"/>
                <w:sz w:val="21"/>
                <w:szCs w:val="21"/>
                <w:u w:val="single"/>
              </w:rPr>
            </w:pPr>
            <w:r>
              <w:rPr>
                <w:rFonts w:hint="eastAsia"/>
                <w:i w:val="0"/>
                <w:iCs w:val="0"/>
                <w:sz w:val="21"/>
                <w:szCs w:val="21"/>
                <w:u w:val="single"/>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626" w:type="pct"/>
            <w:noWrap w:val="0"/>
            <w:vAlign w:val="center"/>
          </w:tcPr>
          <w:p>
            <w:pPr>
              <w:pStyle w:val="317"/>
              <w:rPr>
                <w:i w:val="0"/>
                <w:iCs w:val="0"/>
                <w:sz w:val="21"/>
                <w:szCs w:val="21"/>
                <w:u w:val="single"/>
              </w:rPr>
            </w:pPr>
            <w:r>
              <w:rPr>
                <w:i w:val="0"/>
                <w:iCs w:val="0"/>
                <w:sz w:val="21"/>
                <w:szCs w:val="21"/>
                <w:u w:val="single"/>
              </w:rPr>
              <w:t>石油天然气</w:t>
            </w:r>
          </w:p>
        </w:tc>
        <w:tc>
          <w:tcPr>
            <w:tcW w:w="3036" w:type="pct"/>
            <w:noWrap w:val="0"/>
            <w:vAlign w:val="center"/>
          </w:tcPr>
          <w:p>
            <w:pPr>
              <w:pStyle w:val="317"/>
              <w:rPr>
                <w:i w:val="0"/>
                <w:iCs w:val="0"/>
                <w:sz w:val="21"/>
                <w:szCs w:val="21"/>
                <w:u w:val="single"/>
              </w:rPr>
            </w:pPr>
            <w:r>
              <w:rPr>
                <w:i w:val="0"/>
                <w:iCs w:val="0"/>
                <w:sz w:val="21"/>
                <w:szCs w:val="21"/>
                <w:u w:val="single"/>
              </w:rPr>
              <w:t>石油、天然气、页岩气开采（含净化），气库（不含加气站的气库），油库（不含加气站的油库）、油气管线b（不含城镇燃气管线）</w:t>
            </w:r>
          </w:p>
        </w:tc>
        <w:tc>
          <w:tcPr>
            <w:tcW w:w="668" w:type="pct"/>
            <w:noWrap w:val="0"/>
            <w:vAlign w:val="center"/>
          </w:tcPr>
          <w:p>
            <w:pPr>
              <w:pStyle w:val="317"/>
              <w:rPr>
                <w:i w:val="0"/>
                <w:iCs w:val="0"/>
                <w:sz w:val="21"/>
                <w:szCs w:val="21"/>
                <w:u w:val="single"/>
              </w:rPr>
            </w:pPr>
            <w:r>
              <w:rPr>
                <w:i w:val="0"/>
                <w:iCs w:val="0"/>
                <w:sz w:val="21"/>
                <w:szCs w:val="21"/>
                <w:u w:val="single"/>
              </w:rPr>
              <w:t>10</w:t>
            </w:r>
          </w:p>
        </w:tc>
        <w:tc>
          <w:tcPr>
            <w:tcW w:w="668" w:type="pct"/>
            <w:noWrap w:val="0"/>
            <w:vAlign w:val="center"/>
          </w:tcPr>
          <w:p>
            <w:pPr>
              <w:pStyle w:val="317"/>
              <w:rPr>
                <w:rFonts w:hint="eastAsia"/>
                <w:i w:val="0"/>
                <w:iCs w:val="0"/>
                <w:sz w:val="21"/>
                <w:szCs w:val="21"/>
                <w:u w:val="single"/>
              </w:rPr>
            </w:pPr>
            <w:r>
              <w:rPr>
                <w:rFonts w:hint="eastAsia"/>
                <w:i w:val="0"/>
                <w:iCs w:val="0"/>
                <w:sz w:val="21"/>
                <w:szCs w:val="21"/>
                <w:u w:val="single"/>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626" w:type="pct"/>
            <w:noWrap w:val="0"/>
            <w:vAlign w:val="center"/>
          </w:tcPr>
          <w:p>
            <w:pPr>
              <w:pStyle w:val="317"/>
              <w:rPr>
                <w:i w:val="0"/>
                <w:iCs w:val="0"/>
                <w:sz w:val="21"/>
                <w:szCs w:val="21"/>
                <w:u w:val="single"/>
              </w:rPr>
            </w:pPr>
            <w:r>
              <w:rPr>
                <w:i w:val="0"/>
                <w:iCs w:val="0"/>
                <w:sz w:val="21"/>
                <w:szCs w:val="21"/>
                <w:u w:val="single"/>
              </w:rPr>
              <w:t>其它</w:t>
            </w:r>
          </w:p>
        </w:tc>
        <w:tc>
          <w:tcPr>
            <w:tcW w:w="3036" w:type="pct"/>
            <w:noWrap w:val="0"/>
            <w:vAlign w:val="center"/>
          </w:tcPr>
          <w:p>
            <w:pPr>
              <w:pStyle w:val="317"/>
              <w:rPr>
                <w:i w:val="0"/>
                <w:iCs w:val="0"/>
                <w:sz w:val="21"/>
                <w:szCs w:val="21"/>
                <w:u w:val="single"/>
              </w:rPr>
            </w:pPr>
            <w:r>
              <w:rPr>
                <w:b/>
                <w:bCs/>
                <w:i w:val="0"/>
                <w:iCs w:val="0"/>
                <w:sz w:val="21"/>
                <w:szCs w:val="21"/>
                <w:u w:val="single"/>
              </w:rPr>
              <w:t>涉及危险物质使用、贮存的项目</w:t>
            </w:r>
          </w:p>
        </w:tc>
        <w:tc>
          <w:tcPr>
            <w:tcW w:w="668" w:type="pct"/>
            <w:noWrap w:val="0"/>
            <w:vAlign w:val="center"/>
          </w:tcPr>
          <w:p>
            <w:pPr>
              <w:pStyle w:val="317"/>
              <w:rPr>
                <w:i w:val="0"/>
                <w:iCs w:val="0"/>
                <w:sz w:val="21"/>
                <w:szCs w:val="21"/>
                <w:u w:val="single"/>
              </w:rPr>
            </w:pPr>
            <w:r>
              <w:rPr>
                <w:i w:val="0"/>
                <w:iCs w:val="0"/>
                <w:sz w:val="21"/>
                <w:szCs w:val="21"/>
                <w:u w:val="single"/>
              </w:rPr>
              <w:t>5</w:t>
            </w:r>
          </w:p>
        </w:tc>
        <w:tc>
          <w:tcPr>
            <w:tcW w:w="668" w:type="pct"/>
            <w:noWrap w:val="0"/>
            <w:vAlign w:val="center"/>
          </w:tcPr>
          <w:p>
            <w:pPr>
              <w:pStyle w:val="317"/>
              <w:rPr>
                <w:rFonts w:hint="eastAsia"/>
                <w:i w:val="0"/>
                <w:iCs w:val="0"/>
                <w:sz w:val="21"/>
                <w:szCs w:val="21"/>
                <w:u w:val="single"/>
              </w:rPr>
            </w:pPr>
            <w:r>
              <w:rPr>
                <w:rFonts w:hint="eastAsia"/>
                <w:i w:val="0"/>
                <w:iCs w:val="0"/>
                <w:sz w:val="21"/>
                <w:szCs w:val="21"/>
                <w:u w:val="single"/>
              </w:rPr>
              <w:t>5</w:t>
            </w:r>
          </w:p>
        </w:tc>
      </w:tr>
    </w:tbl>
    <w:p>
      <w:pPr>
        <w:pStyle w:val="48"/>
        <w:ind w:left="0" w:firstLine="482" w:firstLineChars="200"/>
        <w:jc w:val="center"/>
        <w:rPr>
          <w:rFonts w:hint="eastAsia"/>
          <w:b/>
          <w:bCs/>
          <w:i w:val="0"/>
          <w:iCs w:val="0"/>
          <w:sz w:val="24"/>
          <w:szCs w:val="24"/>
          <w:u w:val="single"/>
        </w:rPr>
      </w:pPr>
      <w:r>
        <w:rPr>
          <w:rFonts w:hint="eastAsia"/>
          <w:b/>
          <w:bCs/>
          <w:i w:val="0"/>
          <w:iCs w:val="0"/>
          <w:sz w:val="24"/>
          <w:szCs w:val="24"/>
          <w:u w:val="single"/>
        </w:rPr>
        <w:t>表7-2项目行业及生产工艺过程评估</w:t>
      </w:r>
    </w:p>
    <w:p>
      <w:pPr>
        <w:spacing w:line="360" w:lineRule="auto"/>
        <w:jc w:val="left"/>
        <w:rPr>
          <w:b/>
          <w:i w:val="0"/>
          <w:iCs w:val="0"/>
          <w:kern w:val="21"/>
          <w:sz w:val="21"/>
          <w:szCs w:val="21"/>
          <w:u w:val="single"/>
        </w:rPr>
      </w:pPr>
      <w:r>
        <w:rPr>
          <w:b/>
          <w:i w:val="0"/>
          <w:iCs w:val="0"/>
          <w:kern w:val="21"/>
          <w:sz w:val="21"/>
          <w:szCs w:val="21"/>
          <w:u w:val="single"/>
        </w:rPr>
        <w:t>注：a高温指工艺温度≥300℃，高压指压力容器的设计压力（P）≥10.0 MPa；b长输管道运输项目应按站场、管线分段进行评价。</w:t>
      </w:r>
    </w:p>
    <w:p>
      <w:pPr>
        <w:pStyle w:val="90"/>
        <w:adjustRightInd/>
        <w:spacing w:line="360" w:lineRule="auto"/>
        <w:ind w:firstLine="480" w:firstLineChars="200"/>
        <w:rPr>
          <w:rFonts w:hint="eastAsia"/>
          <w:i w:val="0"/>
          <w:iCs w:val="0"/>
          <w:color w:val="auto"/>
          <w:u w:val="single"/>
          <w:lang w:val="zh-CN"/>
        </w:rPr>
      </w:pPr>
      <w:r>
        <w:rPr>
          <w:rFonts w:hint="eastAsia"/>
          <w:i w:val="0"/>
          <w:iCs w:val="0"/>
          <w:color w:val="auto"/>
          <w:u w:val="single"/>
          <w:lang w:val="zh-CN"/>
        </w:rPr>
        <w:t>本项目主要生产饲料添加剂，不属于“石化、化工、医药、轻工、化纤有色冶炼等行业，且不涉及危险物质的工业过程a、危险物质贮存罐区”，5/套（罐区），根据工艺可知，本项目工艺不属于高温、高压，由于本项目含有氨水储罐及乙醇储罐，因此属于危险物质贮存罐区，本项目罐区涉及为</w:t>
      </w:r>
      <w:r>
        <w:rPr>
          <w:rFonts w:hint="eastAsia"/>
          <w:i w:val="0"/>
          <w:iCs w:val="0"/>
          <w:color w:val="auto"/>
          <w:u w:val="single"/>
        </w:rPr>
        <w:t>1</w:t>
      </w:r>
      <w:r>
        <w:rPr>
          <w:rFonts w:hint="eastAsia"/>
          <w:i w:val="0"/>
          <w:iCs w:val="0"/>
          <w:color w:val="auto"/>
          <w:u w:val="single"/>
          <w:lang w:val="zh-CN"/>
        </w:rPr>
        <w:t>套，M分值为</w:t>
      </w:r>
      <w:r>
        <w:rPr>
          <w:rFonts w:hint="eastAsia"/>
          <w:i w:val="0"/>
          <w:iCs w:val="0"/>
          <w:color w:val="auto"/>
          <w:u w:val="single"/>
        </w:rPr>
        <w:t>5</w:t>
      </w:r>
      <w:r>
        <w:rPr>
          <w:rFonts w:hint="eastAsia"/>
          <w:i w:val="0"/>
          <w:iCs w:val="0"/>
          <w:color w:val="auto"/>
          <w:u w:val="single"/>
          <w:lang w:val="zh-CN"/>
        </w:rPr>
        <w:t>，即行业及生产工艺风险值为M</w:t>
      </w:r>
      <w:r>
        <w:rPr>
          <w:rFonts w:hint="eastAsia"/>
          <w:i w:val="0"/>
          <w:iCs w:val="0"/>
          <w:color w:val="auto"/>
          <w:u w:val="single"/>
        </w:rPr>
        <w:t>4</w:t>
      </w:r>
      <w:r>
        <w:rPr>
          <w:rFonts w:hint="eastAsia"/>
          <w:i w:val="0"/>
          <w:iCs w:val="0"/>
          <w:color w:val="auto"/>
          <w:u w:val="single"/>
          <w:lang w:val="zh-CN"/>
        </w:rPr>
        <w:t>。</w:t>
      </w:r>
    </w:p>
    <w:p>
      <w:pPr>
        <w:widowControl/>
        <w:spacing w:line="348" w:lineRule="auto"/>
        <w:ind w:firstLine="480" w:firstLineChars="200"/>
        <w:rPr>
          <w:rFonts w:hint="eastAsia"/>
          <w:i w:val="0"/>
          <w:iCs w:val="0"/>
          <w:color w:val="000000"/>
          <w:szCs w:val="20"/>
          <w:u w:val="single"/>
        </w:rPr>
      </w:pPr>
      <w:r>
        <w:rPr>
          <w:rFonts w:hint="eastAsia"/>
          <w:i w:val="0"/>
          <w:iCs w:val="0"/>
          <w:color w:val="000000"/>
          <w:szCs w:val="20"/>
          <w:u w:val="single"/>
        </w:rPr>
        <w:t>3、危险物质及工艺系统危险性（P）分级</w:t>
      </w:r>
    </w:p>
    <w:p>
      <w:pPr>
        <w:pStyle w:val="90"/>
        <w:adjustRightInd/>
        <w:spacing w:line="360" w:lineRule="auto"/>
        <w:ind w:firstLine="480" w:firstLineChars="200"/>
        <w:rPr>
          <w:rFonts w:hint="eastAsia"/>
          <w:i w:val="0"/>
          <w:iCs w:val="0"/>
          <w:color w:val="auto"/>
          <w:u w:val="single"/>
          <w:lang w:val="zh-CN"/>
        </w:rPr>
      </w:pPr>
      <w:r>
        <w:rPr>
          <w:rFonts w:hint="eastAsia"/>
          <w:i w:val="0"/>
          <w:iCs w:val="0"/>
          <w:color w:val="auto"/>
          <w:u w:val="single"/>
          <w:lang w:val="zh-CN"/>
        </w:rPr>
        <w:t>根据危险物质数量与临界量比值（Q）和行业及生产工艺（M），按照《建设项目环境风险评价技术导则》（HJ169-2018）附录C表C.2确定危险物质及工艺系统危险性等级（P），分别以P1、P2、P3、P4表示。</w:t>
      </w:r>
    </w:p>
    <w:p>
      <w:pPr>
        <w:pStyle w:val="48"/>
        <w:ind w:left="0" w:firstLine="482" w:firstLineChars="200"/>
        <w:jc w:val="center"/>
        <w:rPr>
          <w:rFonts w:hint="eastAsia"/>
          <w:b/>
          <w:bCs/>
          <w:i w:val="0"/>
          <w:iCs w:val="0"/>
          <w:sz w:val="24"/>
          <w:szCs w:val="24"/>
          <w:u w:val="single"/>
        </w:rPr>
      </w:pPr>
      <w:r>
        <w:rPr>
          <w:rFonts w:hint="eastAsia"/>
          <w:b/>
          <w:bCs/>
          <w:i w:val="0"/>
          <w:iCs w:val="0"/>
          <w:sz w:val="24"/>
          <w:szCs w:val="24"/>
          <w:u w:val="single"/>
        </w:rPr>
        <w:t>表7-3 本项目危险物质及工艺系统危险性等级判断</w:t>
      </w:r>
    </w:p>
    <w:tbl>
      <w:tblPr>
        <w:tblStyle w:val="58"/>
        <w:tblW w:w="499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3364"/>
        <w:gridCol w:w="1438"/>
        <w:gridCol w:w="1439"/>
        <w:gridCol w:w="1439"/>
        <w:gridCol w:w="144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843" w:type="pct"/>
            <w:vMerge w:val="restart"/>
            <w:noWrap w:val="0"/>
            <w:vAlign w:val="center"/>
          </w:tcPr>
          <w:p>
            <w:pPr>
              <w:pStyle w:val="317"/>
              <w:rPr>
                <w:i w:val="0"/>
                <w:iCs w:val="0"/>
                <w:sz w:val="21"/>
                <w:szCs w:val="21"/>
                <w:u w:val="single"/>
              </w:rPr>
            </w:pPr>
            <w:r>
              <w:rPr>
                <w:i w:val="0"/>
                <w:iCs w:val="0"/>
                <w:sz w:val="21"/>
                <w:szCs w:val="21"/>
                <w:u w:val="single"/>
              </w:rPr>
              <w:t>危险物质数量与临界量比值（Q）</w:t>
            </w:r>
          </w:p>
        </w:tc>
        <w:tc>
          <w:tcPr>
            <w:tcW w:w="3156" w:type="pct"/>
            <w:gridSpan w:val="4"/>
            <w:noWrap w:val="0"/>
            <w:vAlign w:val="center"/>
          </w:tcPr>
          <w:p>
            <w:pPr>
              <w:pStyle w:val="317"/>
              <w:rPr>
                <w:i w:val="0"/>
                <w:iCs w:val="0"/>
                <w:sz w:val="21"/>
                <w:szCs w:val="21"/>
                <w:u w:val="single"/>
              </w:rPr>
            </w:pPr>
            <w:r>
              <w:rPr>
                <w:i w:val="0"/>
                <w:iCs w:val="0"/>
                <w:sz w:val="21"/>
                <w:szCs w:val="21"/>
                <w:u w:val="single"/>
              </w:rPr>
              <w:t>行业及生产工艺（M）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843" w:type="pct"/>
            <w:vMerge w:val="continue"/>
            <w:noWrap w:val="0"/>
            <w:vAlign w:val="center"/>
          </w:tcPr>
          <w:p>
            <w:pPr>
              <w:pStyle w:val="317"/>
              <w:rPr>
                <w:i w:val="0"/>
                <w:iCs w:val="0"/>
                <w:sz w:val="21"/>
                <w:szCs w:val="21"/>
                <w:u w:val="single"/>
              </w:rPr>
            </w:pPr>
          </w:p>
        </w:tc>
        <w:tc>
          <w:tcPr>
            <w:tcW w:w="788" w:type="pct"/>
            <w:noWrap w:val="0"/>
            <w:vAlign w:val="center"/>
          </w:tcPr>
          <w:p>
            <w:pPr>
              <w:pStyle w:val="317"/>
              <w:rPr>
                <w:i w:val="0"/>
                <w:iCs w:val="0"/>
                <w:sz w:val="21"/>
                <w:szCs w:val="21"/>
                <w:u w:val="single"/>
              </w:rPr>
            </w:pPr>
            <w:r>
              <w:rPr>
                <w:i w:val="0"/>
                <w:iCs w:val="0"/>
                <w:sz w:val="21"/>
                <w:szCs w:val="21"/>
                <w:u w:val="single"/>
              </w:rPr>
              <w:t>M1</w:t>
            </w:r>
          </w:p>
        </w:tc>
        <w:tc>
          <w:tcPr>
            <w:tcW w:w="788" w:type="pct"/>
            <w:noWrap w:val="0"/>
            <w:vAlign w:val="center"/>
          </w:tcPr>
          <w:p>
            <w:pPr>
              <w:pStyle w:val="317"/>
              <w:rPr>
                <w:i w:val="0"/>
                <w:iCs w:val="0"/>
                <w:sz w:val="21"/>
                <w:szCs w:val="21"/>
                <w:u w:val="single"/>
              </w:rPr>
            </w:pPr>
            <w:r>
              <w:rPr>
                <w:i w:val="0"/>
                <w:iCs w:val="0"/>
                <w:sz w:val="21"/>
                <w:szCs w:val="21"/>
                <w:u w:val="single"/>
              </w:rPr>
              <w:t>M2</w:t>
            </w:r>
          </w:p>
        </w:tc>
        <w:tc>
          <w:tcPr>
            <w:tcW w:w="788" w:type="pct"/>
            <w:noWrap w:val="0"/>
            <w:vAlign w:val="center"/>
          </w:tcPr>
          <w:p>
            <w:pPr>
              <w:pStyle w:val="317"/>
              <w:rPr>
                <w:i w:val="0"/>
                <w:iCs w:val="0"/>
                <w:sz w:val="21"/>
                <w:szCs w:val="21"/>
                <w:u w:val="single"/>
              </w:rPr>
            </w:pPr>
            <w:r>
              <w:rPr>
                <w:i w:val="0"/>
                <w:iCs w:val="0"/>
                <w:sz w:val="21"/>
                <w:szCs w:val="21"/>
                <w:u w:val="single"/>
              </w:rPr>
              <w:t>M3</w:t>
            </w:r>
          </w:p>
        </w:tc>
        <w:tc>
          <w:tcPr>
            <w:tcW w:w="790" w:type="pct"/>
            <w:noWrap w:val="0"/>
            <w:vAlign w:val="center"/>
          </w:tcPr>
          <w:p>
            <w:pPr>
              <w:pStyle w:val="317"/>
              <w:rPr>
                <w:i w:val="0"/>
                <w:iCs w:val="0"/>
                <w:sz w:val="21"/>
                <w:szCs w:val="21"/>
                <w:u w:val="single"/>
              </w:rPr>
            </w:pPr>
            <w:r>
              <w:rPr>
                <w:i w:val="0"/>
                <w:iCs w:val="0"/>
                <w:sz w:val="21"/>
                <w:szCs w:val="21"/>
                <w:u w:val="single"/>
              </w:rPr>
              <w:t>M4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11" w:hRule="atLeast"/>
        </w:trPr>
        <w:tc>
          <w:tcPr>
            <w:tcW w:w="1843" w:type="pct"/>
            <w:noWrap w:val="0"/>
            <w:vAlign w:val="center"/>
          </w:tcPr>
          <w:p>
            <w:pPr>
              <w:pStyle w:val="317"/>
              <w:rPr>
                <w:i w:val="0"/>
                <w:iCs w:val="0"/>
                <w:sz w:val="21"/>
                <w:szCs w:val="21"/>
                <w:u w:val="single"/>
              </w:rPr>
            </w:pPr>
            <w:r>
              <w:rPr>
                <w:i w:val="0"/>
                <w:iCs w:val="0"/>
                <w:sz w:val="21"/>
                <w:szCs w:val="21"/>
                <w:u w:val="single"/>
              </w:rPr>
              <w:t>Q≥100</w:t>
            </w:r>
          </w:p>
        </w:tc>
        <w:tc>
          <w:tcPr>
            <w:tcW w:w="788" w:type="pct"/>
            <w:noWrap w:val="0"/>
            <w:vAlign w:val="center"/>
          </w:tcPr>
          <w:p>
            <w:pPr>
              <w:pStyle w:val="317"/>
              <w:rPr>
                <w:b/>
                <w:bCs/>
                <w:i w:val="0"/>
                <w:iCs w:val="0"/>
                <w:sz w:val="21"/>
                <w:szCs w:val="21"/>
                <w:u w:val="single"/>
              </w:rPr>
            </w:pPr>
            <w:r>
              <w:rPr>
                <w:i w:val="0"/>
                <w:iCs w:val="0"/>
                <w:sz w:val="21"/>
                <w:szCs w:val="21"/>
                <w:u w:val="single"/>
              </w:rPr>
              <w:t>P1</w:t>
            </w:r>
          </w:p>
        </w:tc>
        <w:tc>
          <w:tcPr>
            <w:tcW w:w="788" w:type="pct"/>
            <w:noWrap w:val="0"/>
            <w:vAlign w:val="center"/>
          </w:tcPr>
          <w:p>
            <w:pPr>
              <w:pStyle w:val="317"/>
              <w:rPr>
                <w:i w:val="0"/>
                <w:iCs w:val="0"/>
                <w:sz w:val="21"/>
                <w:szCs w:val="21"/>
                <w:u w:val="single"/>
              </w:rPr>
            </w:pPr>
            <w:r>
              <w:rPr>
                <w:i w:val="0"/>
                <w:iCs w:val="0"/>
                <w:sz w:val="21"/>
                <w:szCs w:val="21"/>
                <w:u w:val="single"/>
              </w:rPr>
              <w:t>P1</w:t>
            </w:r>
          </w:p>
        </w:tc>
        <w:tc>
          <w:tcPr>
            <w:tcW w:w="788" w:type="pct"/>
            <w:noWrap w:val="0"/>
            <w:vAlign w:val="center"/>
          </w:tcPr>
          <w:p>
            <w:pPr>
              <w:pStyle w:val="317"/>
              <w:rPr>
                <w:i w:val="0"/>
                <w:iCs w:val="0"/>
                <w:sz w:val="21"/>
                <w:szCs w:val="21"/>
                <w:u w:val="single"/>
              </w:rPr>
            </w:pPr>
            <w:r>
              <w:rPr>
                <w:i w:val="0"/>
                <w:iCs w:val="0"/>
                <w:sz w:val="21"/>
                <w:szCs w:val="21"/>
                <w:u w:val="single"/>
              </w:rPr>
              <w:t>P2</w:t>
            </w:r>
          </w:p>
        </w:tc>
        <w:tc>
          <w:tcPr>
            <w:tcW w:w="790" w:type="pct"/>
            <w:noWrap w:val="0"/>
            <w:vAlign w:val="center"/>
          </w:tcPr>
          <w:p>
            <w:pPr>
              <w:pStyle w:val="317"/>
              <w:rPr>
                <w:i w:val="0"/>
                <w:iCs w:val="0"/>
                <w:sz w:val="21"/>
                <w:szCs w:val="21"/>
                <w:u w:val="single"/>
              </w:rPr>
            </w:pPr>
            <w:r>
              <w:rPr>
                <w:i w:val="0"/>
                <w:iCs w:val="0"/>
                <w:sz w:val="21"/>
                <w:szCs w:val="21"/>
                <w:u w:val="single"/>
              </w:rPr>
              <w:t>P3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843" w:type="pct"/>
            <w:noWrap w:val="0"/>
            <w:vAlign w:val="center"/>
          </w:tcPr>
          <w:p>
            <w:pPr>
              <w:pStyle w:val="317"/>
              <w:rPr>
                <w:i w:val="0"/>
                <w:iCs w:val="0"/>
                <w:sz w:val="21"/>
                <w:szCs w:val="21"/>
                <w:u w:val="single"/>
              </w:rPr>
            </w:pPr>
            <w:r>
              <w:rPr>
                <w:i w:val="0"/>
                <w:iCs w:val="0"/>
                <w:sz w:val="21"/>
                <w:szCs w:val="21"/>
                <w:u w:val="single"/>
              </w:rPr>
              <w:t>10≤Q＜100</w:t>
            </w:r>
          </w:p>
        </w:tc>
        <w:tc>
          <w:tcPr>
            <w:tcW w:w="788" w:type="pct"/>
            <w:noWrap w:val="0"/>
            <w:vAlign w:val="center"/>
          </w:tcPr>
          <w:p>
            <w:pPr>
              <w:pStyle w:val="317"/>
              <w:rPr>
                <w:i w:val="0"/>
                <w:iCs w:val="0"/>
                <w:sz w:val="21"/>
                <w:szCs w:val="21"/>
                <w:u w:val="single"/>
              </w:rPr>
            </w:pPr>
            <w:r>
              <w:rPr>
                <w:i w:val="0"/>
                <w:iCs w:val="0"/>
                <w:sz w:val="21"/>
                <w:szCs w:val="21"/>
                <w:u w:val="single"/>
              </w:rPr>
              <w:t>P1</w:t>
            </w:r>
          </w:p>
        </w:tc>
        <w:tc>
          <w:tcPr>
            <w:tcW w:w="788" w:type="pct"/>
            <w:noWrap w:val="0"/>
            <w:vAlign w:val="center"/>
          </w:tcPr>
          <w:p>
            <w:pPr>
              <w:pStyle w:val="317"/>
              <w:rPr>
                <w:i w:val="0"/>
                <w:iCs w:val="0"/>
                <w:sz w:val="21"/>
                <w:szCs w:val="21"/>
                <w:u w:val="single"/>
              </w:rPr>
            </w:pPr>
            <w:r>
              <w:rPr>
                <w:i w:val="0"/>
                <w:iCs w:val="0"/>
                <w:sz w:val="21"/>
                <w:szCs w:val="21"/>
                <w:u w:val="single"/>
              </w:rPr>
              <w:t>P2</w:t>
            </w:r>
          </w:p>
        </w:tc>
        <w:tc>
          <w:tcPr>
            <w:tcW w:w="788" w:type="pct"/>
            <w:noWrap w:val="0"/>
            <w:vAlign w:val="center"/>
          </w:tcPr>
          <w:p>
            <w:pPr>
              <w:pStyle w:val="317"/>
              <w:rPr>
                <w:i w:val="0"/>
                <w:iCs w:val="0"/>
                <w:sz w:val="21"/>
                <w:szCs w:val="21"/>
                <w:u w:val="single"/>
              </w:rPr>
            </w:pPr>
            <w:r>
              <w:rPr>
                <w:i w:val="0"/>
                <w:iCs w:val="0"/>
                <w:sz w:val="21"/>
                <w:szCs w:val="21"/>
                <w:u w:val="single"/>
              </w:rPr>
              <w:t>P3</w:t>
            </w:r>
          </w:p>
        </w:tc>
        <w:tc>
          <w:tcPr>
            <w:tcW w:w="790" w:type="pct"/>
            <w:noWrap w:val="0"/>
            <w:vAlign w:val="center"/>
          </w:tcPr>
          <w:p>
            <w:pPr>
              <w:pStyle w:val="317"/>
              <w:rPr>
                <w:i w:val="0"/>
                <w:iCs w:val="0"/>
                <w:sz w:val="21"/>
                <w:szCs w:val="21"/>
                <w:u w:val="single"/>
              </w:rPr>
            </w:pPr>
            <w:r>
              <w:rPr>
                <w:i w:val="0"/>
                <w:iCs w:val="0"/>
                <w:sz w:val="21"/>
                <w:szCs w:val="21"/>
                <w:u w:val="single"/>
              </w:rPr>
              <w:t>P4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843" w:type="pct"/>
            <w:noWrap w:val="0"/>
            <w:vAlign w:val="center"/>
          </w:tcPr>
          <w:p>
            <w:pPr>
              <w:pStyle w:val="317"/>
              <w:rPr>
                <w:i w:val="0"/>
                <w:iCs w:val="0"/>
                <w:sz w:val="21"/>
                <w:szCs w:val="21"/>
                <w:u w:val="single"/>
              </w:rPr>
            </w:pPr>
            <w:r>
              <w:rPr>
                <w:i w:val="0"/>
                <w:iCs w:val="0"/>
                <w:sz w:val="21"/>
                <w:szCs w:val="21"/>
                <w:u w:val="single"/>
              </w:rPr>
              <w:t>1≤Q＜10</w:t>
            </w:r>
          </w:p>
        </w:tc>
        <w:tc>
          <w:tcPr>
            <w:tcW w:w="788" w:type="pct"/>
            <w:noWrap w:val="0"/>
            <w:vAlign w:val="center"/>
          </w:tcPr>
          <w:p>
            <w:pPr>
              <w:pStyle w:val="317"/>
              <w:rPr>
                <w:i w:val="0"/>
                <w:iCs w:val="0"/>
                <w:sz w:val="21"/>
                <w:szCs w:val="21"/>
                <w:u w:val="single"/>
              </w:rPr>
            </w:pPr>
            <w:r>
              <w:rPr>
                <w:i w:val="0"/>
                <w:iCs w:val="0"/>
                <w:sz w:val="21"/>
                <w:szCs w:val="21"/>
                <w:u w:val="single"/>
              </w:rPr>
              <w:t>P2</w:t>
            </w:r>
          </w:p>
        </w:tc>
        <w:tc>
          <w:tcPr>
            <w:tcW w:w="788" w:type="pct"/>
            <w:noWrap w:val="0"/>
            <w:vAlign w:val="center"/>
          </w:tcPr>
          <w:p>
            <w:pPr>
              <w:pStyle w:val="317"/>
              <w:rPr>
                <w:i w:val="0"/>
                <w:iCs w:val="0"/>
                <w:sz w:val="21"/>
                <w:szCs w:val="21"/>
                <w:u w:val="single"/>
              </w:rPr>
            </w:pPr>
            <w:r>
              <w:rPr>
                <w:i w:val="0"/>
                <w:iCs w:val="0"/>
                <w:sz w:val="21"/>
                <w:szCs w:val="21"/>
                <w:u w:val="single"/>
              </w:rPr>
              <w:t>P3</w:t>
            </w:r>
          </w:p>
        </w:tc>
        <w:tc>
          <w:tcPr>
            <w:tcW w:w="788" w:type="pct"/>
            <w:noWrap w:val="0"/>
            <w:vAlign w:val="center"/>
          </w:tcPr>
          <w:p>
            <w:pPr>
              <w:pStyle w:val="317"/>
              <w:rPr>
                <w:i w:val="0"/>
                <w:iCs w:val="0"/>
                <w:sz w:val="21"/>
                <w:szCs w:val="21"/>
                <w:u w:val="single"/>
              </w:rPr>
            </w:pPr>
            <w:r>
              <w:rPr>
                <w:i w:val="0"/>
                <w:iCs w:val="0"/>
                <w:sz w:val="21"/>
                <w:szCs w:val="21"/>
                <w:u w:val="single"/>
              </w:rPr>
              <w:t>P4</w:t>
            </w:r>
          </w:p>
        </w:tc>
        <w:tc>
          <w:tcPr>
            <w:tcW w:w="790" w:type="pct"/>
            <w:noWrap w:val="0"/>
            <w:vAlign w:val="center"/>
          </w:tcPr>
          <w:p>
            <w:pPr>
              <w:pStyle w:val="317"/>
              <w:rPr>
                <w:i w:val="0"/>
                <w:iCs w:val="0"/>
                <w:sz w:val="21"/>
                <w:szCs w:val="21"/>
                <w:u w:val="single"/>
              </w:rPr>
            </w:pPr>
            <w:r>
              <w:rPr>
                <w:b/>
                <w:bCs/>
                <w:i w:val="0"/>
                <w:iCs w:val="0"/>
                <w:sz w:val="21"/>
                <w:szCs w:val="21"/>
                <w:u w:val="single"/>
              </w:rPr>
              <w:t>P4</w:t>
            </w:r>
          </w:p>
        </w:tc>
      </w:tr>
    </w:tbl>
    <w:p>
      <w:pPr>
        <w:pStyle w:val="6"/>
        <w:spacing w:line="360" w:lineRule="auto"/>
        <w:ind w:firstLine="480"/>
        <w:rPr>
          <w:i w:val="0"/>
          <w:iCs w:val="0"/>
          <w:u w:val="single"/>
        </w:rPr>
      </w:pPr>
      <w:r>
        <w:rPr>
          <w:rFonts w:hint="eastAsia"/>
          <w:i w:val="0"/>
          <w:iCs w:val="0"/>
          <w:u w:val="single"/>
        </w:rPr>
        <w:t>本项目危险物质数量与临界量比值Q=</w:t>
      </w:r>
      <w:r>
        <w:rPr>
          <w:rFonts w:hint="eastAsia"/>
          <w:i w:val="0"/>
          <w:iCs w:val="0"/>
          <w:u w:val="single"/>
          <w:lang w:val="en-US" w:eastAsia="zh-CN"/>
        </w:rPr>
        <w:t>1.7422</w:t>
      </w:r>
      <w:r>
        <w:rPr>
          <w:rFonts w:hint="eastAsia"/>
          <w:i w:val="0"/>
          <w:iCs w:val="0"/>
          <w:u w:val="single"/>
        </w:rPr>
        <w:t>，</w:t>
      </w:r>
      <w:r>
        <w:rPr>
          <w:i w:val="0"/>
          <w:iCs w:val="0"/>
          <w:u w:val="single"/>
        </w:rPr>
        <w:t>1≤Q＜10</w:t>
      </w:r>
      <w:r>
        <w:rPr>
          <w:rFonts w:hint="eastAsia"/>
          <w:i w:val="0"/>
          <w:iCs w:val="0"/>
          <w:u w:val="single"/>
        </w:rPr>
        <w:t>，行业及生产工艺M为M4，因此本项目危险物质及工艺系统危险性分级为P4。</w:t>
      </w:r>
    </w:p>
    <w:p>
      <w:pPr>
        <w:keepNext/>
        <w:keepLines/>
        <w:widowControl/>
        <w:spacing w:line="360" w:lineRule="auto"/>
        <w:outlineLvl w:val="3"/>
        <w:rPr>
          <w:b/>
          <w:bCs/>
          <w:i w:val="0"/>
          <w:iCs w:val="0"/>
          <w:color w:val="000000"/>
          <w:kern w:val="0"/>
          <w:szCs w:val="28"/>
          <w:u w:val="single"/>
        </w:rPr>
      </w:pPr>
      <w:r>
        <w:rPr>
          <w:rFonts w:hint="eastAsia"/>
          <w:b/>
          <w:bCs/>
          <w:i w:val="0"/>
          <w:iCs w:val="0"/>
          <w:color w:val="000000"/>
          <w:kern w:val="0"/>
          <w:szCs w:val="28"/>
          <w:u w:val="single"/>
        </w:rPr>
        <w:t xml:space="preserve">7.1.4.2 </w:t>
      </w:r>
      <w:r>
        <w:rPr>
          <w:b/>
          <w:bCs/>
          <w:i w:val="0"/>
          <w:iCs w:val="0"/>
          <w:color w:val="000000"/>
          <w:kern w:val="0"/>
          <w:szCs w:val="28"/>
          <w:u w:val="single"/>
        </w:rPr>
        <w:t>环境敏感程度（E）的分级</w:t>
      </w:r>
    </w:p>
    <w:p>
      <w:pPr>
        <w:widowControl/>
        <w:spacing w:line="360" w:lineRule="auto"/>
        <w:ind w:firstLine="480" w:firstLineChars="200"/>
        <w:rPr>
          <w:i w:val="0"/>
          <w:iCs w:val="0"/>
          <w:color w:val="000000"/>
          <w:szCs w:val="20"/>
          <w:u w:val="single"/>
        </w:rPr>
      </w:pPr>
      <w:r>
        <w:rPr>
          <w:i w:val="0"/>
          <w:iCs w:val="0"/>
          <w:color w:val="000000"/>
          <w:szCs w:val="20"/>
          <w:u w:val="single"/>
        </w:rPr>
        <w:t>根据《建设项目环境风险评价技术导则》（HJ169-2018）附录D，对环境敏感程度（E）进行分级计算。</w:t>
      </w:r>
    </w:p>
    <w:p>
      <w:pPr>
        <w:pStyle w:val="6"/>
        <w:spacing w:line="360" w:lineRule="auto"/>
        <w:ind w:firstLine="480"/>
        <w:rPr>
          <w:i w:val="0"/>
          <w:iCs w:val="0"/>
          <w:u w:val="single"/>
        </w:rPr>
      </w:pPr>
      <w:r>
        <w:rPr>
          <w:rFonts w:hint="eastAsia"/>
          <w:i w:val="0"/>
          <w:iCs w:val="0"/>
          <w:u w:val="single"/>
        </w:rPr>
        <w:t>1、</w:t>
      </w:r>
      <w:r>
        <w:rPr>
          <w:i w:val="0"/>
          <w:iCs w:val="0"/>
          <w:u w:val="single"/>
        </w:rPr>
        <w:t>大气环境</w:t>
      </w:r>
    </w:p>
    <w:p>
      <w:pPr>
        <w:pStyle w:val="6"/>
        <w:spacing w:line="360" w:lineRule="auto"/>
        <w:ind w:firstLine="480"/>
        <w:rPr>
          <w:i w:val="0"/>
          <w:iCs w:val="0"/>
          <w:u w:val="single"/>
        </w:rPr>
      </w:pPr>
      <w:r>
        <w:rPr>
          <w:i w:val="0"/>
          <w:iCs w:val="0"/>
          <w:u w:val="single"/>
        </w:rPr>
        <w:t>依据环境敏感目标环境敏感性及人口密度划分环境风险受体的敏感性，共分为三种类型，E1为环境高度敏感区，E2为环境中度敏感区，E3为环境低度敏感区，分级原则见下表。</w:t>
      </w:r>
    </w:p>
    <w:p>
      <w:pPr>
        <w:pStyle w:val="48"/>
        <w:ind w:left="0" w:firstLine="482" w:firstLineChars="200"/>
        <w:jc w:val="center"/>
        <w:rPr>
          <w:rFonts w:hint="eastAsia"/>
          <w:b/>
          <w:bCs/>
          <w:i w:val="0"/>
          <w:iCs w:val="0"/>
          <w:sz w:val="24"/>
          <w:szCs w:val="24"/>
          <w:u w:val="single"/>
        </w:rPr>
      </w:pPr>
      <w:r>
        <w:rPr>
          <w:rFonts w:hint="eastAsia"/>
          <w:b/>
          <w:bCs/>
          <w:i w:val="0"/>
          <w:iCs w:val="0"/>
          <w:sz w:val="24"/>
          <w:szCs w:val="24"/>
          <w:u w:val="single"/>
        </w:rPr>
        <w:t>表7-4大气环境敏感程度分级</w:t>
      </w:r>
    </w:p>
    <w:tbl>
      <w:tblPr>
        <w:tblStyle w:val="58"/>
        <w:tblW w:w="8844"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548"/>
        <w:gridCol w:w="829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8" w:type="dxa"/>
            <w:noWrap w:val="0"/>
            <w:vAlign w:val="center"/>
          </w:tcPr>
          <w:p>
            <w:pPr>
              <w:pStyle w:val="317"/>
              <w:rPr>
                <w:i w:val="0"/>
                <w:iCs w:val="0"/>
                <w:sz w:val="21"/>
                <w:szCs w:val="21"/>
                <w:u w:val="single"/>
              </w:rPr>
            </w:pPr>
            <w:r>
              <w:rPr>
                <w:i w:val="0"/>
                <w:iCs w:val="0"/>
                <w:sz w:val="21"/>
                <w:szCs w:val="21"/>
                <w:u w:val="single"/>
              </w:rPr>
              <w:t>分级</w:t>
            </w:r>
          </w:p>
        </w:tc>
        <w:tc>
          <w:tcPr>
            <w:tcW w:w="8296" w:type="dxa"/>
            <w:noWrap w:val="0"/>
            <w:vAlign w:val="center"/>
          </w:tcPr>
          <w:p>
            <w:pPr>
              <w:pStyle w:val="317"/>
              <w:rPr>
                <w:i w:val="0"/>
                <w:iCs w:val="0"/>
                <w:sz w:val="21"/>
                <w:szCs w:val="21"/>
                <w:u w:val="single"/>
              </w:rPr>
            </w:pPr>
            <w:r>
              <w:rPr>
                <w:i w:val="0"/>
                <w:iCs w:val="0"/>
                <w:sz w:val="21"/>
                <w:szCs w:val="21"/>
                <w:u w:val="single"/>
              </w:rPr>
              <w:t>大气环境敏感性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8" w:type="dxa"/>
            <w:noWrap w:val="0"/>
            <w:vAlign w:val="center"/>
          </w:tcPr>
          <w:p>
            <w:pPr>
              <w:pStyle w:val="317"/>
              <w:rPr>
                <w:rFonts w:eastAsia="Times New Roman"/>
                <w:i w:val="0"/>
                <w:iCs w:val="0"/>
                <w:sz w:val="21"/>
                <w:szCs w:val="21"/>
                <w:u w:val="single"/>
              </w:rPr>
            </w:pPr>
            <w:r>
              <w:rPr>
                <w:i w:val="0"/>
                <w:iCs w:val="0"/>
                <w:sz w:val="21"/>
                <w:szCs w:val="21"/>
                <w:u w:val="single"/>
              </w:rPr>
              <w:t>E1</w:t>
            </w:r>
          </w:p>
        </w:tc>
        <w:tc>
          <w:tcPr>
            <w:tcW w:w="8296" w:type="dxa"/>
            <w:noWrap w:val="0"/>
            <w:vAlign w:val="center"/>
          </w:tcPr>
          <w:p>
            <w:pPr>
              <w:pStyle w:val="317"/>
              <w:rPr>
                <w:i w:val="0"/>
                <w:iCs w:val="0"/>
                <w:sz w:val="21"/>
                <w:szCs w:val="21"/>
                <w:u w:val="single"/>
              </w:rPr>
            </w:pPr>
            <w:r>
              <w:rPr>
                <w:i w:val="0"/>
                <w:iCs w:val="0"/>
                <w:sz w:val="21"/>
                <w:szCs w:val="21"/>
                <w:u w:val="single"/>
              </w:rPr>
              <w:t>周边</w:t>
            </w:r>
            <w:r>
              <w:rPr>
                <w:rFonts w:eastAsia="Times New Roman"/>
                <w:i w:val="0"/>
                <w:iCs w:val="0"/>
                <w:sz w:val="21"/>
                <w:szCs w:val="21"/>
                <w:u w:val="single"/>
              </w:rPr>
              <w:t>5 km</w:t>
            </w:r>
            <w:r>
              <w:rPr>
                <w:i w:val="0"/>
                <w:iCs w:val="0"/>
                <w:sz w:val="21"/>
                <w:szCs w:val="21"/>
                <w:u w:val="single"/>
              </w:rPr>
              <w:t>范围内居住区、医疗卫生、文化教育、科研、行政办公等机构人口总数大于</w:t>
            </w:r>
            <w:r>
              <w:rPr>
                <w:rFonts w:eastAsia="Times New Roman"/>
                <w:i w:val="0"/>
                <w:iCs w:val="0"/>
                <w:sz w:val="21"/>
                <w:szCs w:val="21"/>
                <w:u w:val="single"/>
              </w:rPr>
              <w:t>5</w:t>
            </w:r>
            <w:r>
              <w:rPr>
                <w:i w:val="0"/>
                <w:iCs w:val="0"/>
                <w:sz w:val="21"/>
                <w:szCs w:val="21"/>
                <w:u w:val="single"/>
              </w:rPr>
              <w:t>万人，或其他需要特殊保护区域；或周边</w:t>
            </w:r>
            <w:r>
              <w:rPr>
                <w:rFonts w:eastAsia="Times New Roman"/>
                <w:i w:val="0"/>
                <w:iCs w:val="0"/>
                <w:sz w:val="21"/>
                <w:szCs w:val="21"/>
                <w:u w:val="single"/>
              </w:rPr>
              <w:t>500 m</w:t>
            </w:r>
            <w:r>
              <w:rPr>
                <w:i w:val="0"/>
                <w:iCs w:val="0"/>
                <w:sz w:val="21"/>
                <w:szCs w:val="21"/>
                <w:u w:val="single"/>
              </w:rPr>
              <w:t>范围内人口总数大于</w:t>
            </w:r>
            <w:r>
              <w:rPr>
                <w:rFonts w:eastAsia="Times New Roman"/>
                <w:i w:val="0"/>
                <w:iCs w:val="0"/>
                <w:sz w:val="21"/>
                <w:szCs w:val="21"/>
                <w:u w:val="single"/>
              </w:rPr>
              <w:t>1000</w:t>
            </w:r>
            <w:r>
              <w:rPr>
                <w:i w:val="0"/>
                <w:iCs w:val="0"/>
                <w:sz w:val="21"/>
                <w:szCs w:val="21"/>
                <w:u w:val="single"/>
              </w:rPr>
              <w:t>人；油气、化学品输送管线管段周边</w:t>
            </w:r>
            <w:r>
              <w:rPr>
                <w:rFonts w:eastAsia="Times New Roman"/>
                <w:i w:val="0"/>
                <w:iCs w:val="0"/>
                <w:sz w:val="21"/>
                <w:szCs w:val="21"/>
                <w:u w:val="single"/>
              </w:rPr>
              <w:t>200 m</w:t>
            </w:r>
            <w:r>
              <w:rPr>
                <w:i w:val="0"/>
                <w:iCs w:val="0"/>
                <w:sz w:val="21"/>
                <w:szCs w:val="21"/>
                <w:u w:val="single"/>
              </w:rPr>
              <w:t>范围内，每千米管段人口数大于</w:t>
            </w:r>
            <w:r>
              <w:rPr>
                <w:rFonts w:eastAsia="Times New Roman"/>
                <w:i w:val="0"/>
                <w:iCs w:val="0"/>
                <w:sz w:val="21"/>
                <w:szCs w:val="21"/>
                <w:u w:val="single"/>
              </w:rPr>
              <w:t>200</w:t>
            </w:r>
            <w:r>
              <w:rPr>
                <w:i w:val="0"/>
                <w:iCs w:val="0"/>
                <w:sz w:val="21"/>
                <w:szCs w:val="21"/>
                <w:u w:val="single"/>
              </w:rPr>
              <w:t>人</w:t>
            </w:r>
            <w:r>
              <w:rPr>
                <w:rFonts w:hint="eastAsia"/>
                <w:i w:val="0"/>
                <w:iCs w:val="0"/>
                <w:sz w:val="21"/>
                <w:szCs w:val="21"/>
                <w:u w:val="singl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8" w:type="dxa"/>
            <w:noWrap w:val="0"/>
            <w:vAlign w:val="center"/>
          </w:tcPr>
          <w:p>
            <w:pPr>
              <w:pStyle w:val="317"/>
              <w:rPr>
                <w:rFonts w:eastAsia="Times New Roman"/>
                <w:i w:val="0"/>
                <w:iCs w:val="0"/>
                <w:sz w:val="21"/>
                <w:szCs w:val="21"/>
                <w:u w:val="single"/>
              </w:rPr>
            </w:pPr>
            <w:r>
              <w:rPr>
                <w:i w:val="0"/>
                <w:iCs w:val="0"/>
                <w:sz w:val="21"/>
                <w:szCs w:val="21"/>
                <w:u w:val="single"/>
              </w:rPr>
              <w:t>E2</w:t>
            </w:r>
          </w:p>
        </w:tc>
        <w:tc>
          <w:tcPr>
            <w:tcW w:w="8296" w:type="dxa"/>
            <w:noWrap w:val="0"/>
            <w:vAlign w:val="center"/>
          </w:tcPr>
          <w:p>
            <w:pPr>
              <w:pStyle w:val="317"/>
              <w:rPr>
                <w:i w:val="0"/>
                <w:iCs w:val="0"/>
                <w:sz w:val="21"/>
                <w:szCs w:val="21"/>
                <w:u w:val="single"/>
              </w:rPr>
            </w:pPr>
            <w:r>
              <w:rPr>
                <w:i w:val="0"/>
                <w:iCs w:val="0"/>
                <w:sz w:val="21"/>
                <w:szCs w:val="21"/>
                <w:u w:val="single"/>
              </w:rPr>
              <w:t>周边</w:t>
            </w:r>
            <w:r>
              <w:rPr>
                <w:rFonts w:eastAsia="Times New Roman"/>
                <w:i w:val="0"/>
                <w:iCs w:val="0"/>
                <w:sz w:val="21"/>
                <w:szCs w:val="21"/>
                <w:u w:val="single"/>
              </w:rPr>
              <w:t>5 km</w:t>
            </w:r>
            <w:r>
              <w:rPr>
                <w:i w:val="0"/>
                <w:iCs w:val="0"/>
                <w:sz w:val="21"/>
                <w:szCs w:val="21"/>
                <w:u w:val="single"/>
              </w:rPr>
              <w:t>范围内居住区、医疗卫生、文化教育、科研、行政办公等机构人口总数大于</w:t>
            </w:r>
            <w:r>
              <w:rPr>
                <w:rFonts w:eastAsia="Times New Roman"/>
                <w:i w:val="0"/>
                <w:iCs w:val="0"/>
                <w:sz w:val="21"/>
                <w:szCs w:val="21"/>
                <w:u w:val="single"/>
              </w:rPr>
              <w:t>1</w:t>
            </w:r>
            <w:r>
              <w:rPr>
                <w:i w:val="0"/>
                <w:iCs w:val="0"/>
                <w:sz w:val="21"/>
                <w:szCs w:val="21"/>
                <w:u w:val="single"/>
              </w:rPr>
              <w:t>万人，小于</w:t>
            </w:r>
            <w:r>
              <w:rPr>
                <w:rFonts w:eastAsia="Times New Roman"/>
                <w:i w:val="0"/>
                <w:iCs w:val="0"/>
                <w:sz w:val="21"/>
                <w:szCs w:val="21"/>
                <w:u w:val="single"/>
              </w:rPr>
              <w:t>5</w:t>
            </w:r>
            <w:r>
              <w:rPr>
                <w:i w:val="0"/>
                <w:iCs w:val="0"/>
                <w:sz w:val="21"/>
                <w:szCs w:val="21"/>
                <w:u w:val="single"/>
              </w:rPr>
              <w:t>万人；或周边</w:t>
            </w:r>
            <w:r>
              <w:rPr>
                <w:rFonts w:eastAsia="Times New Roman"/>
                <w:i w:val="0"/>
                <w:iCs w:val="0"/>
                <w:sz w:val="21"/>
                <w:szCs w:val="21"/>
                <w:u w:val="single"/>
              </w:rPr>
              <w:t>500 m</w:t>
            </w:r>
            <w:r>
              <w:rPr>
                <w:i w:val="0"/>
                <w:iCs w:val="0"/>
                <w:sz w:val="21"/>
                <w:szCs w:val="21"/>
                <w:u w:val="single"/>
              </w:rPr>
              <w:t>范围内人口总数大于</w:t>
            </w:r>
            <w:r>
              <w:rPr>
                <w:rFonts w:eastAsia="Times New Roman"/>
                <w:i w:val="0"/>
                <w:iCs w:val="0"/>
                <w:sz w:val="21"/>
                <w:szCs w:val="21"/>
                <w:u w:val="single"/>
              </w:rPr>
              <w:t>500</w:t>
            </w:r>
            <w:r>
              <w:rPr>
                <w:i w:val="0"/>
                <w:iCs w:val="0"/>
                <w:sz w:val="21"/>
                <w:szCs w:val="21"/>
                <w:u w:val="single"/>
              </w:rPr>
              <w:t>人，小于</w:t>
            </w:r>
            <w:r>
              <w:rPr>
                <w:rFonts w:eastAsia="Times New Roman"/>
                <w:i w:val="0"/>
                <w:iCs w:val="0"/>
                <w:sz w:val="21"/>
                <w:szCs w:val="21"/>
                <w:u w:val="single"/>
              </w:rPr>
              <w:t>1000</w:t>
            </w:r>
            <w:r>
              <w:rPr>
                <w:i w:val="0"/>
                <w:iCs w:val="0"/>
                <w:sz w:val="21"/>
                <w:szCs w:val="21"/>
                <w:u w:val="single"/>
              </w:rPr>
              <w:t>人；油气、化学品输送管线管段周边</w:t>
            </w:r>
            <w:r>
              <w:rPr>
                <w:rFonts w:eastAsia="Times New Roman"/>
                <w:i w:val="0"/>
                <w:iCs w:val="0"/>
                <w:sz w:val="21"/>
                <w:szCs w:val="21"/>
                <w:u w:val="single"/>
              </w:rPr>
              <w:t>200 m</w:t>
            </w:r>
            <w:r>
              <w:rPr>
                <w:i w:val="0"/>
                <w:iCs w:val="0"/>
                <w:sz w:val="21"/>
                <w:szCs w:val="21"/>
                <w:u w:val="single"/>
              </w:rPr>
              <w:t>范围内，每千米管段人口数大于</w:t>
            </w:r>
            <w:r>
              <w:rPr>
                <w:rFonts w:eastAsia="Times New Roman"/>
                <w:i w:val="0"/>
                <w:iCs w:val="0"/>
                <w:sz w:val="21"/>
                <w:szCs w:val="21"/>
                <w:u w:val="single"/>
              </w:rPr>
              <w:t>100</w:t>
            </w:r>
            <w:r>
              <w:rPr>
                <w:i w:val="0"/>
                <w:iCs w:val="0"/>
                <w:sz w:val="21"/>
                <w:szCs w:val="21"/>
                <w:u w:val="single"/>
              </w:rPr>
              <w:t>人，小于</w:t>
            </w:r>
            <w:r>
              <w:rPr>
                <w:rFonts w:eastAsia="Times New Roman"/>
                <w:i w:val="0"/>
                <w:iCs w:val="0"/>
                <w:sz w:val="21"/>
                <w:szCs w:val="21"/>
                <w:u w:val="single"/>
              </w:rPr>
              <w:t>200</w:t>
            </w:r>
            <w:r>
              <w:rPr>
                <w:i w:val="0"/>
                <w:iCs w:val="0"/>
                <w:sz w:val="21"/>
                <w:szCs w:val="21"/>
                <w:u w:val="single"/>
              </w:rPr>
              <w:t>人</w:t>
            </w:r>
            <w:r>
              <w:rPr>
                <w:rFonts w:hint="eastAsia"/>
                <w:i w:val="0"/>
                <w:iCs w:val="0"/>
                <w:sz w:val="21"/>
                <w:szCs w:val="21"/>
                <w:u w:val="singl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8" w:type="dxa"/>
            <w:noWrap w:val="0"/>
            <w:vAlign w:val="center"/>
          </w:tcPr>
          <w:p>
            <w:pPr>
              <w:pStyle w:val="317"/>
              <w:rPr>
                <w:rFonts w:eastAsia="Times New Roman"/>
                <w:i w:val="0"/>
                <w:iCs w:val="0"/>
                <w:sz w:val="21"/>
                <w:szCs w:val="21"/>
                <w:u w:val="single"/>
              </w:rPr>
            </w:pPr>
            <w:r>
              <w:rPr>
                <w:i w:val="0"/>
                <w:iCs w:val="0"/>
                <w:sz w:val="21"/>
                <w:szCs w:val="21"/>
                <w:u w:val="single"/>
              </w:rPr>
              <w:t>E3</w:t>
            </w:r>
          </w:p>
        </w:tc>
        <w:tc>
          <w:tcPr>
            <w:tcW w:w="8296" w:type="dxa"/>
            <w:noWrap w:val="0"/>
            <w:vAlign w:val="center"/>
          </w:tcPr>
          <w:p>
            <w:pPr>
              <w:pStyle w:val="317"/>
              <w:rPr>
                <w:i w:val="0"/>
                <w:iCs w:val="0"/>
                <w:sz w:val="21"/>
                <w:szCs w:val="21"/>
                <w:u w:val="single"/>
              </w:rPr>
            </w:pPr>
            <w:r>
              <w:rPr>
                <w:i w:val="0"/>
                <w:iCs w:val="0"/>
                <w:sz w:val="21"/>
                <w:szCs w:val="21"/>
                <w:u w:val="single"/>
              </w:rPr>
              <w:t>周边</w:t>
            </w:r>
            <w:r>
              <w:rPr>
                <w:rFonts w:eastAsia="Times New Roman"/>
                <w:i w:val="0"/>
                <w:iCs w:val="0"/>
                <w:sz w:val="21"/>
                <w:szCs w:val="21"/>
                <w:u w:val="single"/>
              </w:rPr>
              <w:t>5 km</w:t>
            </w:r>
            <w:r>
              <w:rPr>
                <w:i w:val="0"/>
                <w:iCs w:val="0"/>
                <w:sz w:val="21"/>
                <w:szCs w:val="21"/>
                <w:u w:val="single"/>
              </w:rPr>
              <w:t>范围内居住区、医疗卫生、文化教育、科研、行政办公等机构人口总数小于</w:t>
            </w:r>
            <w:r>
              <w:rPr>
                <w:rFonts w:eastAsia="Times New Roman"/>
                <w:i w:val="0"/>
                <w:iCs w:val="0"/>
                <w:sz w:val="21"/>
                <w:szCs w:val="21"/>
                <w:u w:val="single"/>
              </w:rPr>
              <w:t>1</w:t>
            </w:r>
            <w:r>
              <w:rPr>
                <w:i w:val="0"/>
                <w:iCs w:val="0"/>
                <w:sz w:val="21"/>
                <w:szCs w:val="21"/>
                <w:u w:val="single"/>
              </w:rPr>
              <w:t>万人；或周边</w:t>
            </w:r>
            <w:r>
              <w:rPr>
                <w:rFonts w:eastAsia="Times New Roman"/>
                <w:i w:val="0"/>
                <w:iCs w:val="0"/>
                <w:sz w:val="21"/>
                <w:szCs w:val="21"/>
                <w:u w:val="single"/>
              </w:rPr>
              <w:t>500 m</w:t>
            </w:r>
            <w:r>
              <w:rPr>
                <w:i w:val="0"/>
                <w:iCs w:val="0"/>
                <w:sz w:val="21"/>
                <w:szCs w:val="21"/>
                <w:u w:val="single"/>
              </w:rPr>
              <w:t>范围内人口总数小于</w:t>
            </w:r>
            <w:r>
              <w:rPr>
                <w:rFonts w:eastAsia="Times New Roman"/>
                <w:i w:val="0"/>
                <w:iCs w:val="0"/>
                <w:sz w:val="21"/>
                <w:szCs w:val="21"/>
                <w:u w:val="single"/>
              </w:rPr>
              <w:t>500</w:t>
            </w:r>
            <w:r>
              <w:rPr>
                <w:i w:val="0"/>
                <w:iCs w:val="0"/>
                <w:sz w:val="21"/>
                <w:szCs w:val="21"/>
                <w:u w:val="single"/>
              </w:rPr>
              <w:t>人；油气、化学品输送管线管段周边</w:t>
            </w:r>
            <w:r>
              <w:rPr>
                <w:rFonts w:eastAsia="Times New Roman"/>
                <w:i w:val="0"/>
                <w:iCs w:val="0"/>
                <w:sz w:val="21"/>
                <w:szCs w:val="21"/>
                <w:u w:val="single"/>
              </w:rPr>
              <w:t>200 m</w:t>
            </w:r>
            <w:r>
              <w:rPr>
                <w:i w:val="0"/>
                <w:iCs w:val="0"/>
                <w:sz w:val="21"/>
                <w:szCs w:val="21"/>
                <w:u w:val="single"/>
              </w:rPr>
              <w:t>范围内，每千米管段人口数小于</w:t>
            </w:r>
            <w:r>
              <w:rPr>
                <w:rFonts w:eastAsia="Times New Roman"/>
                <w:i w:val="0"/>
                <w:iCs w:val="0"/>
                <w:sz w:val="21"/>
                <w:szCs w:val="21"/>
                <w:u w:val="single"/>
              </w:rPr>
              <w:t>100</w:t>
            </w:r>
            <w:r>
              <w:rPr>
                <w:i w:val="0"/>
                <w:iCs w:val="0"/>
                <w:sz w:val="21"/>
                <w:szCs w:val="21"/>
                <w:u w:val="single"/>
              </w:rPr>
              <w:t>人</w:t>
            </w:r>
            <w:r>
              <w:rPr>
                <w:rFonts w:hint="eastAsia"/>
                <w:i w:val="0"/>
                <w:iCs w:val="0"/>
                <w:sz w:val="21"/>
                <w:szCs w:val="21"/>
                <w:u w:val="single"/>
              </w:rPr>
              <w:t>。</w:t>
            </w:r>
          </w:p>
        </w:tc>
      </w:tr>
    </w:tbl>
    <w:p>
      <w:pPr>
        <w:pStyle w:val="6"/>
        <w:spacing w:line="360" w:lineRule="auto"/>
        <w:ind w:firstLine="480"/>
        <w:rPr>
          <w:i w:val="0"/>
          <w:iCs w:val="0"/>
          <w:u w:val="single"/>
        </w:rPr>
      </w:pPr>
      <w:bookmarkStart w:id="230" w:name="6.2.1.2_地表水环境"/>
      <w:bookmarkEnd w:id="230"/>
      <w:r>
        <w:rPr>
          <w:rFonts w:hint="eastAsia"/>
          <w:i w:val="0"/>
          <w:iCs w:val="0"/>
          <w:u w:val="single"/>
        </w:rPr>
        <w:t>本项目周边5km范围内居民区、医疗卫生、文化教育、科研等机构，行政办公机构总人数大于5万人，由上表可知，项目大气环境敏感程度为环境低度敏感区（E1）。</w:t>
      </w:r>
    </w:p>
    <w:p>
      <w:pPr>
        <w:pStyle w:val="6"/>
        <w:spacing w:line="360" w:lineRule="auto"/>
        <w:ind w:firstLine="480"/>
        <w:rPr>
          <w:i w:val="0"/>
          <w:iCs w:val="0"/>
          <w:u w:val="single"/>
        </w:rPr>
      </w:pPr>
      <w:r>
        <w:rPr>
          <w:rFonts w:hint="eastAsia"/>
          <w:i w:val="0"/>
          <w:iCs w:val="0"/>
          <w:u w:val="single"/>
        </w:rPr>
        <w:t>2、</w:t>
      </w:r>
      <w:r>
        <w:rPr>
          <w:i w:val="0"/>
          <w:iCs w:val="0"/>
          <w:u w:val="single"/>
        </w:rPr>
        <w:t>地表水环境</w:t>
      </w:r>
    </w:p>
    <w:p>
      <w:pPr>
        <w:pStyle w:val="6"/>
        <w:spacing w:line="360" w:lineRule="auto"/>
        <w:ind w:firstLine="480"/>
        <w:rPr>
          <w:rFonts w:hint="eastAsia"/>
          <w:i w:val="0"/>
          <w:iCs w:val="0"/>
          <w:u w:val="single"/>
        </w:rPr>
      </w:pPr>
      <w:r>
        <w:rPr>
          <w:rFonts w:hint="eastAsia"/>
          <w:i w:val="0"/>
          <w:iCs w:val="0"/>
          <w:u w:val="single"/>
        </w:rPr>
        <w:t>依据事故情况下危险物质泄漏到水体的排放点受纳地表水体功能敏感性，与下游环境敏感目标情况，共分为三种类型，E1为环境高度敏感区，E2为环境中度敏感区，E3为环境低度敏感区，分级原则见下表。</w:t>
      </w:r>
    </w:p>
    <w:p>
      <w:pPr>
        <w:pStyle w:val="6"/>
        <w:spacing w:line="360" w:lineRule="auto"/>
        <w:ind w:firstLine="480"/>
        <w:rPr>
          <w:rFonts w:hint="eastAsia"/>
          <w:i w:val="0"/>
          <w:iCs w:val="0"/>
          <w:u w:val="single"/>
        </w:rPr>
      </w:pPr>
      <w:r>
        <w:rPr>
          <w:rFonts w:hint="eastAsia"/>
          <w:i w:val="0"/>
          <w:iCs w:val="0"/>
          <w:u w:val="single"/>
        </w:rPr>
        <w:t>本项目区域地表水系为浑江，为</w:t>
      </w:r>
      <w:r>
        <w:rPr>
          <w:rFonts w:hint="eastAsia"/>
          <w:i w:val="0"/>
          <w:iCs w:val="0"/>
          <w:u w:val="single"/>
          <w:lang w:val="zh-CN"/>
        </w:rPr>
        <w:fldChar w:fldCharType="begin"/>
      </w:r>
      <w:r>
        <w:rPr>
          <w:rFonts w:hint="eastAsia"/>
          <w:i w:val="0"/>
          <w:iCs w:val="0"/>
          <w:u w:val="single"/>
          <w:lang w:val="zh-CN"/>
        </w:rPr>
        <w:instrText xml:space="preserve"> = 3 \* ROMAN \* MERGEFORMAT </w:instrText>
      </w:r>
      <w:r>
        <w:rPr>
          <w:rFonts w:hint="eastAsia"/>
          <w:i w:val="0"/>
          <w:iCs w:val="0"/>
          <w:u w:val="single"/>
          <w:lang w:val="zh-CN"/>
        </w:rPr>
        <w:fldChar w:fldCharType="separate"/>
      </w:r>
      <w:r>
        <w:rPr>
          <w:rFonts w:hint="eastAsia"/>
          <w:i w:val="0"/>
          <w:iCs w:val="0"/>
          <w:u w:val="single"/>
        </w:rPr>
        <w:t>III</w:t>
      </w:r>
      <w:r>
        <w:rPr>
          <w:rFonts w:hint="eastAsia"/>
          <w:i w:val="0"/>
          <w:iCs w:val="0"/>
          <w:u w:val="single"/>
          <w:lang w:val="zh-CN"/>
        </w:rPr>
        <w:fldChar w:fldCharType="end"/>
      </w:r>
      <w:r>
        <w:rPr>
          <w:rFonts w:hint="eastAsia"/>
          <w:i w:val="0"/>
          <w:iCs w:val="0"/>
          <w:u w:val="single"/>
        </w:rPr>
        <w:t>类水体。本项目产生的食堂废水由油水分离器处理后与生活污水、生产废水经厂内污水管道收集，经过厂内污水处理站采用“水解+UASB+A/O”工艺处理，处理后废水达到《污水综合排放标准》GB8978-1996表2三级标准排放限值及园区污水处理厂进水指标后排入污水管网内，进入园区污水处理厂处理后排放。根据地表水功能敏感性分区判断，地表水功能敏感性为低敏感（F3）。同时区域地表水系无重要水生生物的自然产卵场及索饵场、越冬场和洄游通道；红树林、珊瑚礁等湿地生态系统、水产养殖区、天然渔场、风景游览区以及具有重要经济价值的水生生物生存区域等敏感保护目标，因此环境敏感目标分级为S3。</w:t>
      </w:r>
    </w:p>
    <w:p>
      <w:pPr>
        <w:pStyle w:val="6"/>
        <w:spacing w:line="360" w:lineRule="auto"/>
        <w:ind w:firstLine="480"/>
        <w:rPr>
          <w:i w:val="0"/>
          <w:iCs w:val="0"/>
          <w:u w:val="single"/>
        </w:rPr>
      </w:pPr>
      <w:r>
        <w:rPr>
          <w:rFonts w:hint="eastAsia"/>
          <w:i w:val="0"/>
          <w:iCs w:val="0"/>
          <w:u w:val="single"/>
        </w:rPr>
        <w:t>根据地表水环境敏感程度分级原则，本项目地表水环境敏感程度为E3。</w:t>
      </w:r>
    </w:p>
    <w:p>
      <w:pPr>
        <w:pStyle w:val="48"/>
        <w:ind w:left="0" w:firstLine="482" w:firstLineChars="200"/>
        <w:jc w:val="center"/>
        <w:rPr>
          <w:rFonts w:hint="eastAsia"/>
          <w:b/>
          <w:bCs/>
          <w:i w:val="0"/>
          <w:iCs w:val="0"/>
          <w:sz w:val="24"/>
          <w:szCs w:val="24"/>
          <w:u w:val="single"/>
        </w:rPr>
      </w:pPr>
      <w:r>
        <w:rPr>
          <w:rFonts w:hint="eastAsia"/>
          <w:b/>
          <w:bCs/>
          <w:i w:val="0"/>
          <w:iCs w:val="0"/>
          <w:sz w:val="24"/>
          <w:szCs w:val="24"/>
          <w:u w:val="single"/>
        </w:rPr>
        <w:t>表7-5地表水环境敏感程度分级</w:t>
      </w:r>
    </w:p>
    <w:tbl>
      <w:tblPr>
        <w:tblStyle w:val="5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2704"/>
        <w:gridCol w:w="2054"/>
        <w:gridCol w:w="2256"/>
        <w:gridCol w:w="211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81" w:type="pct"/>
            <w:vMerge w:val="restart"/>
            <w:noWrap w:val="0"/>
            <w:vAlign w:val="center"/>
          </w:tcPr>
          <w:p>
            <w:pPr>
              <w:pStyle w:val="317"/>
              <w:rPr>
                <w:i w:val="0"/>
                <w:iCs w:val="0"/>
                <w:sz w:val="21"/>
                <w:szCs w:val="21"/>
                <w:u w:val="single"/>
              </w:rPr>
            </w:pPr>
            <w:r>
              <w:rPr>
                <w:i w:val="0"/>
                <w:iCs w:val="0"/>
                <w:sz w:val="21"/>
                <w:szCs w:val="21"/>
                <w:u w:val="single"/>
              </w:rPr>
              <w:t>环境敏感目标</w:t>
            </w:r>
          </w:p>
        </w:tc>
        <w:tc>
          <w:tcPr>
            <w:tcW w:w="3519" w:type="pct"/>
            <w:gridSpan w:val="3"/>
            <w:noWrap w:val="0"/>
            <w:vAlign w:val="center"/>
          </w:tcPr>
          <w:p>
            <w:pPr>
              <w:pStyle w:val="317"/>
              <w:rPr>
                <w:i w:val="0"/>
                <w:iCs w:val="0"/>
                <w:sz w:val="21"/>
                <w:szCs w:val="21"/>
                <w:u w:val="single"/>
              </w:rPr>
            </w:pPr>
            <w:r>
              <w:rPr>
                <w:i w:val="0"/>
                <w:iCs w:val="0"/>
                <w:sz w:val="21"/>
                <w:szCs w:val="21"/>
                <w:u w:val="single"/>
              </w:rPr>
              <w:t>地表水功能敏感性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81" w:type="pct"/>
            <w:vMerge w:val="continue"/>
            <w:noWrap w:val="0"/>
            <w:vAlign w:val="center"/>
          </w:tcPr>
          <w:p>
            <w:pPr>
              <w:pStyle w:val="317"/>
              <w:rPr>
                <w:i w:val="0"/>
                <w:iCs w:val="0"/>
                <w:sz w:val="21"/>
                <w:szCs w:val="21"/>
                <w:u w:val="single"/>
              </w:rPr>
            </w:pPr>
          </w:p>
        </w:tc>
        <w:tc>
          <w:tcPr>
            <w:tcW w:w="1125" w:type="pct"/>
            <w:noWrap w:val="0"/>
            <w:vAlign w:val="center"/>
          </w:tcPr>
          <w:p>
            <w:pPr>
              <w:pStyle w:val="317"/>
              <w:rPr>
                <w:rFonts w:eastAsia="Times New Roman"/>
                <w:i w:val="0"/>
                <w:iCs w:val="0"/>
                <w:sz w:val="21"/>
                <w:szCs w:val="21"/>
                <w:u w:val="single"/>
              </w:rPr>
            </w:pPr>
            <w:r>
              <w:rPr>
                <w:i w:val="0"/>
                <w:iCs w:val="0"/>
                <w:sz w:val="21"/>
                <w:szCs w:val="21"/>
                <w:u w:val="single"/>
              </w:rPr>
              <w:t>F1</w:t>
            </w:r>
          </w:p>
        </w:tc>
        <w:tc>
          <w:tcPr>
            <w:tcW w:w="1236" w:type="pct"/>
            <w:noWrap w:val="0"/>
            <w:vAlign w:val="center"/>
          </w:tcPr>
          <w:p>
            <w:pPr>
              <w:pStyle w:val="317"/>
              <w:rPr>
                <w:rFonts w:eastAsia="Times New Roman"/>
                <w:i w:val="0"/>
                <w:iCs w:val="0"/>
                <w:sz w:val="21"/>
                <w:szCs w:val="21"/>
                <w:u w:val="single"/>
              </w:rPr>
            </w:pPr>
            <w:r>
              <w:rPr>
                <w:i w:val="0"/>
                <w:iCs w:val="0"/>
                <w:sz w:val="21"/>
                <w:szCs w:val="21"/>
                <w:u w:val="single"/>
              </w:rPr>
              <w:t>F2</w:t>
            </w:r>
          </w:p>
        </w:tc>
        <w:tc>
          <w:tcPr>
            <w:tcW w:w="1158" w:type="pct"/>
            <w:noWrap w:val="0"/>
            <w:vAlign w:val="center"/>
          </w:tcPr>
          <w:p>
            <w:pPr>
              <w:pStyle w:val="317"/>
              <w:rPr>
                <w:rFonts w:eastAsia="Times New Roman"/>
                <w:i w:val="0"/>
                <w:iCs w:val="0"/>
                <w:sz w:val="21"/>
                <w:szCs w:val="21"/>
                <w:u w:val="single"/>
              </w:rPr>
            </w:pPr>
            <w:r>
              <w:rPr>
                <w:i w:val="0"/>
                <w:iCs w:val="0"/>
                <w:sz w:val="21"/>
                <w:szCs w:val="21"/>
                <w:u w:val="single"/>
              </w:rPr>
              <w:t>F3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81" w:type="pct"/>
            <w:noWrap w:val="0"/>
            <w:vAlign w:val="center"/>
          </w:tcPr>
          <w:p>
            <w:pPr>
              <w:pStyle w:val="317"/>
              <w:rPr>
                <w:rFonts w:eastAsia="Times New Roman"/>
                <w:i w:val="0"/>
                <w:iCs w:val="0"/>
                <w:sz w:val="21"/>
                <w:szCs w:val="21"/>
                <w:u w:val="single"/>
              </w:rPr>
            </w:pPr>
            <w:r>
              <w:rPr>
                <w:i w:val="0"/>
                <w:iCs w:val="0"/>
                <w:sz w:val="21"/>
                <w:szCs w:val="21"/>
                <w:u w:val="single"/>
              </w:rPr>
              <w:t>S1</w:t>
            </w:r>
          </w:p>
        </w:tc>
        <w:tc>
          <w:tcPr>
            <w:tcW w:w="1125" w:type="pct"/>
            <w:noWrap w:val="0"/>
            <w:vAlign w:val="center"/>
          </w:tcPr>
          <w:p>
            <w:pPr>
              <w:pStyle w:val="317"/>
              <w:rPr>
                <w:rFonts w:eastAsia="Times New Roman"/>
                <w:i w:val="0"/>
                <w:iCs w:val="0"/>
                <w:sz w:val="21"/>
                <w:szCs w:val="21"/>
                <w:u w:val="single"/>
              </w:rPr>
            </w:pPr>
            <w:r>
              <w:rPr>
                <w:i w:val="0"/>
                <w:iCs w:val="0"/>
                <w:sz w:val="21"/>
                <w:szCs w:val="21"/>
                <w:u w:val="single"/>
              </w:rPr>
              <w:t>E1</w:t>
            </w:r>
          </w:p>
        </w:tc>
        <w:tc>
          <w:tcPr>
            <w:tcW w:w="1236" w:type="pct"/>
            <w:noWrap w:val="0"/>
            <w:vAlign w:val="center"/>
          </w:tcPr>
          <w:p>
            <w:pPr>
              <w:pStyle w:val="317"/>
              <w:rPr>
                <w:rFonts w:eastAsia="Times New Roman"/>
                <w:i w:val="0"/>
                <w:iCs w:val="0"/>
                <w:sz w:val="21"/>
                <w:szCs w:val="21"/>
                <w:u w:val="single"/>
              </w:rPr>
            </w:pPr>
            <w:r>
              <w:rPr>
                <w:i w:val="0"/>
                <w:iCs w:val="0"/>
                <w:sz w:val="21"/>
                <w:szCs w:val="21"/>
                <w:u w:val="single"/>
              </w:rPr>
              <w:t>E1</w:t>
            </w:r>
          </w:p>
        </w:tc>
        <w:tc>
          <w:tcPr>
            <w:tcW w:w="1158" w:type="pct"/>
            <w:noWrap w:val="0"/>
            <w:vAlign w:val="center"/>
          </w:tcPr>
          <w:p>
            <w:pPr>
              <w:pStyle w:val="317"/>
              <w:rPr>
                <w:rFonts w:eastAsia="Times New Roman"/>
                <w:i w:val="0"/>
                <w:iCs w:val="0"/>
                <w:sz w:val="21"/>
                <w:szCs w:val="21"/>
                <w:u w:val="single"/>
              </w:rPr>
            </w:pPr>
            <w:r>
              <w:rPr>
                <w:i w:val="0"/>
                <w:iCs w:val="0"/>
                <w:sz w:val="21"/>
                <w:szCs w:val="21"/>
                <w:u w:val="single"/>
              </w:rPr>
              <w:t>E2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81" w:type="pct"/>
            <w:noWrap w:val="0"/>
            <w:vAlign w:val="center"/>
          </w:tcPr>
          <w:p>
            <w:pPr>
              <w:pStyle w:val="317"/>
              <w:rPr>
                <w:rFonts w:eastAsia="Times New Roman"/>
                <w:i w:val="0"/>
                <w:iCs w:val="0"/>
                <w:sz w:val="21"/>
                <w:szCs w:val="21"/>
                <w:u w:val="single"/>
              </w:rPr>
            </w:pPr>
            <w:r>
              <w:rPr>
                <w:i w:val="0"/>
                <w:iCs w:val="0"/>
                <w:sz w:val="21"/>
                <w:szCs w:val="21"/>
                <w:u w:val="single"/>
              </w:rPr>
              <w:t>S2</w:t>
            </w:r>
          </w:p>
        </w:tc>
        <w:tc>
          <w:tcPr>
            <w:tcW w:w="1125" w:type="pct"/>
            <w:noWrap w:val="0"/>
            <w:vAlign w:val="center"/>
          </w:tcPr>
          <w:p>
            <w:pPr>
              <w:pStyle w:val="317"/>
              <w:rPr>
                <w:rFonts w:eastAsia="Times New Roman"/>
                <w:i w:val="0"/>
                <w:iCs w:val="0"/>
                <w:sz w:val="21"/>
                <w:szCs w:val="21"/>
                <w:u w:val="single"/>
              </w:rPr>
            </w:pPr>
            <w:r>
              <w:rPr>
                <w:i w:val="0"/>
                <w:iCs w:val="0"/>
                <w:sz w:val="21"/>
                <w:szCs w:val="21"/>
                <w:u w:val="single"/>
              </w:rPr>
              <w:t>E1</w:t>
            </w:r>
          </w:p>
        </w:tc>
        <w:tc>
          <w:tcPr>
            <w:tcW w:w="1236" w:type="pct"/>
            <w:noWrap w:val="0"/>
            <w:vAlign w:val="center"/>
          </w:tcPr>
          <w:p>
            <w:pPr>
              <w:pStyle w:val="317"/>
              <w:rPr>
                <w:rFonts w:eastAsia="Times New Roman"/>
                <w:i w:val="0"/>
                <w:iCs w:val="0"/>
                <w:sz w:val="21"/>
                <w:szCs w:val="21"/>
                <w:u w:val="single"/>
              </w:rPr>
            </w:pPr>
            <w:r>
              <w:rPr>
                <w:i w:val="0"/>
                <w:iCs w:val="0"/>
                <w:sz w:val="21"/>
                <w:szCs w:val="21"/>
                <w:u w:val="single"/>
              </w:rPr>
              <w:t>E2</w:t>
            </w:r>
          </w:p>
        </w:tc>
        <w:tc>
          <w:tcPr>
            <w:tcW w:w="1158" w:type="pct"/>
            <w:noWrap w:val="0"/>
            <w:vAlign w:val="center"/>
          </w:tcPr>
          <w:p>
            <w:pPr>
              <w:pStyle w:val="317"/>
              <w:rPr>
                <w:rFonts w:eastAsia="Times New Roman"/>
                <w:i w:val="0"/>
                <w:iCs w:val="0"/>
                <w:sz w:val="21"/>
                <w:szCs w:val="21"/>
                <w:u w:val="single"/>
              </w:rPr>
            </w:pPr>
            <w:r>
              <w:rPr>
                <w:i w:val="0"/>
                <w:iCs w:val="0"/>
                <w:sz w:val="21"/>
                <w:szCs w:val="21"/>
                <w:u w:val="single"/>
              </w:rPr>
              <w:t>E3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81" w:type="pct"/>
            <w:noWrap w:val="0"/>
            <w:vAlign w:val="center"/>
          </w:tcPr>
          <w:p>
            <w:pPr>
              <w:pStyle w:val="317"/>
              <w:rPr>
                <w:rFonts w:eastAsia="Times New Roman"/>
                <w:i w:val="0"/>
                <w:iCs w:val="0"/>
                <w:sz w:val="21"/>
                <w:szCs w:val="21"/>
                <w:u w:val="single"/>
              </w:rPr>
            </w:pPr>
            <w:r>
              <w:rPr>
                <w:i w:val="0"/>
                <w:iCs w:val="0"/>
                <w:sz w:val="21"/>
                <w:szCs w:val="21"/>
                <w:u w:val="single"/>
              </w:rPr>
              <w:t>S3</w:t>
            </w:r>
          </w:p>
        </w:tc>
        <w:tc>
          <w:tcPr>
            <w:tcW w:w="1125" w:type="pct"/>
            <w:noWrap w:val="0"/>
            <w:vAlign w:val="center"/>
          </w:tcPr>
          <w:p>
            <w:pPr>
              <w:pStyle w:val="317"/>
              <w:rPr>
                <w:rFonts w:eastAsia="Times New Roman"/>
                <w:i w:val="0"/>
                <w:iCs w:val="0"/>
                <w:sz w:val="21"/>
                <w:szCs w:val="21"/>
                <w:u w:val="single"/>
              </w:rPr>
            </w:pPr>
            <w:r>
              <w:rPr>
                <w:i w:val="0"/>
                <w:iCs w:val="0"/>
                <w:sz w:val="21"/>
                <w:szCs w:val="21"/>
                <w:u w:val="single"/>
              </w:rPr>
              <w:t>E1</w:t>
            </w:r>
          </w:p>
        </w:tc>
        <w:tc>
          <w:tcPr>
            <w:tcW w:w="1236" w:type="pct"/>
            <w:noWrap w:val="0"/>
            <w:vAlign w:val="center"/>
          </w:tcPr>
          <w:p>
            <w:pPr>
              <w:pStyle w:val="317"/>
              <w:rPr>
                <w:rFonts w:eastAsia="Times New Roman"/>
                <w:i w:val="0"/>
                <w:iCs w:val="0"/>
                <w:sz w:val="21"/>
                <w:szCs w:val="21"/>
                <w:u w:val="single"/>
              </w:rPr>
            </w:pPr>
            <w:r>
              <w:rPr>
                <w:i w:val="0"/>
                <w:iCs w:val="0"/>
                <w:sz w:val="21"/>
                <w:szCs w:val="21"/>
                <w:u w:val="single"/>
              </w:rPr>
              <w:t>E2</w:t>
            </w:r>
          </w:p>
        </w:tc>
        <w:tc>
          <w:tcPr>
            <w:tcW w:w="1158" w:type="pct"/>
            <w:noWrap w:val="0"/>
            <w:vAlign w:val="center"/>
          </w:tcPr>
          <w:p>
            <w:pPr>
              <w:pStyle w:val="317"/>
              <w:rPr>
                <w:rFonts w:eastAsia="Times New Roman"/>
                <w:i w:val="0"/>
                <w:iCs w:val="0"/>
                <w:sz w:val="21"/>
                <w:szCs w:val="21"/>
                <w:u w:val="single"/>
              </w:rPr>
            </w:pPr>
            <w:r>
              <w:rPr>
                <w:b/>
                <w:bCs/>
                <w:i w:val="0"/>
                <w:iCs w:val="0"/>
                <w:sz w:val="21"/>
                <w:szCs w:val="21"/>
                <w:u w:val="single"/>
              </w:rPr>
              <w:t>E3</w:t>
            </w:r>
          </w:p>
        </w:tc>
      </w:tr>
    </w:tbl>
    <w:p>
      <w:pPr>
        <w:pStyle w:val="413"/>
        <w:numPr>
          <w:ilvl w:val="4"/>
          <w:numId w:val="0"/>
        </w:numPr>
        <w:spacing w:line="240" w:lineRule="auto"/>
        <w:rPr>
          <w:i w:val="0"/>
          <w:iCs w:val="0"/>
          <w:u w:val="single"/>
        </w:rPr>
      </w:pPr>
      <w:r>
        <w:rPr>
          <w:rFonts w:hint="eastAsia"/>
          <w:i w:val="0"/>
          <w:iCs w:val="0"/>
          <w:u w:val="single"/>
        </w:rPr>
        <w:t>表7-6</w:t>
      </w:r>
      <w:r>
        <w:rPr>
          <w:i w:val="0"/>
          <w:iCs w:val="0"/>
          <w:u w:val="single"/>
        </w:rPr>
        <w:t>地表水功能敏感性分区</w:t>
      </w:r>
    </w:p>
    <w:tbl>
      <w:tblPr>
        <w:tblStyle w:val="5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1245"/>
        <w:gridCol w:w="788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682" w:type="pct"/>
            <w:noWrap w:val="0"/>
            <w:vAlign w:val="center"/>
          </w:tcPr>
          <w:p>
            <w:pPr>
              <w:pStyle w:val="317"/>
              <w:rPr>
                <w:i w:val="0"/>
                <w:iCs w:val="0"/>
                <w:sz w:val="21"/>
                <w:szCs w:val="21"/>
                <w:u w:val="single"/>
              </w:rPr>
            </w:pPr>
            <w:r>
              <w:rPr>
                <w:i w:val="0"/>
                <w:iCs w:val="0"/>
                <w:sz w:val="21"/>
                <w:szCs w:val="21"/>
                <w:u w:val="single"/>
              </w:rPr>
              <w:t>敏感性</w:t>
            </w:r>
          </w:p>
        </w:tc>
        <w:tc>
          <w:tcPr>
            <w:tcW w:w="4318" w:type="pct"/>
            <w:noWrap w:val="0"/>
            <w:vAlign w:val="center"/>
          </w:tcPr>
          <w:p>
            <w:pPr>
              <w:pStyle w:val="317"/>
              <w:rPr>
                <w:i w:val="0"/>
                <w:iCs w:val="0"/>
                <w:sz w:val="21"/>
                <w:szCs w:val="21"/>
                <w:u w:val="single"/>
              </w:rPr>
            </w:pPr>
            <w:r>
              <w:rPr>
                <w:i w:val="0"/>
                <w:iCs w:val="0"/>
                <w:sz w:val="21"/>
                <w:szCs w:val="21"/>
                <w:u w:val="single"/>
              </w:rPr>
              <w:t>地表水环境敏感特征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682" w:type="pct"/>
            <w:noWrap w:val="0"/>
            <w:vAlign w:val="center"/>
          </w:tcPr>
          <w:p>
            <w:pPr>
              <w:pStyle w:val="317"/>
              <w:rPr>
                <w:i w:val="0"/>
                <w:iCs w:val="0"/>
                <w:sz w:val="21"/>
                <w:szCs w:val="21"/>
                <w:u w:val="single"/>
              </w:rPr>
            </w:pPr>
            <w:r>
              <w:rPr>
                <w:i w:val="0"/>
                <w:iCs w:val="0"/>
                <w:sz w:val="21"/>
                <w:szCs w:val="21"/>
                <w:u w:val="single"/>
              </w:rPr>
              <w:t>敏感F1</w:t>
            </w:r>
          </w:p>
        </w:tc>
        <w:tc>
          <w:tcPr>
            <w:tcW w:w="4318" w:type="pct"/>
            <w:noWrap w:val="0"/>
            <w:vAlign w:val="center"/>
          </w:tcPr>
          <w:p>
            <w:pPr>
              <w:pStyle w:val="317"/>
              <w:jc w:val="both"/>
              <w:rPr>
                <w:i w:val="0"/>
                <w:iCs w:val="0"/>
                <w:sz w:val="21"/>
                <w:szCs w:val="21"/>
                <w:u w:val="single"/>
              </w:rPr>
            </w:pPr>
            <w:r>
              <w:rPr>
                <w:i w:val="0"/>
                <w:iCs w:val="0"/>
                <w:sz w:val="21"/>
                <w:szCs w:val="21"/>
                <w:u w:val="single"/>
              </w:rPr>
              <w:t>排放点进入地表水水域环境功能为</w:t>
            </w:r>
            <w:r>
              <w:rPr>
                <w:rFonts w:hint="eastAsia" w:ascii="宋体" w:hAnsi="宋体"/>
                <w:i w:val="0"/>
                <w:iCs w:val="0"/>
                <w:sz w:val="21"/>
                <w:szCs w:val="21"/>
                <w:u w:val="single"/>
              </w:rPr>
              <w:t>Ⅱ</w:t>
            </w:r>
            <w:r>
              <w:rPr>
                <w:i w:val="0"/>
                <w:iCs w:val="0"/>
                <w:sz w:val="21"/>
                <w:szCs w:val="21"/>
                <w:u w:val="single"/>
              </w:rPr>
              <w:t>类及以上，或海水水质分类第一类；或以发生事故时，危险物质泄漏到水体的排放点算起，排放进入受纳河流最大流速时，24 h流经范围内涉跨国界的</w:t>
            </w:r>
            <w:r>
              <w:rPr>
                <w:rFonts w:hint="eastAsia"/>
                <w:i w:val="0"/>
                <w:iCs w:val="0"/>
                <w:sz w:val="21"/>
                <w:szCs w:val="21"/>
                <w:u w:val="singl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682" w:type="pct"/>
            <w:noWrap w:val="0"/>
            <w:vAlign w:val="center"/>
          </w:tcPr>
          <w:p>
            <w:pPr>
              <w:pStyle w:val="317"/>
              <w:rPr>
                <w:i w:val="0"/>
                <w:iCs w:val="0"/>
                <w:sz w:val="21"/>
                <w:szCs w:val="21"/>
                <w:u w:val="single"/>
              </w:rPr>
            </w:pPr>
            <w:r>
              <w:rPr>
                <w:i w:val="0"/>
                <w:iCs w:val="0"/>
                <w:sz w:val="21"/>
                <w:szCs w:val="21"/>
                <w:u w:val="single"/>
              </w:rPr>
              <w:t>较敏感F2</w:t>
            </w:r>
          </w:p>
        </w:tc>
        <w:tc>
          <w:tcPr>
            <w:tcW w:w="4318" w:type="pct"/>
            <w:noWrap w:val="0"/>
            <w:vAlign w:val="center"/>
          </w:tcPr>
          <w:p>
            <w:pPr>
              <w:pStyle w:val="317"/>
              <w:jc w:val="both"/>
              <w:rPr>
                <w:i w:val="0"/>
                <w:iCs w:val="0"/>
                <w:sz w:val="21"/>
                <w:szCs w:val="21"/>
                <w:u w:val="single"/>
              </w:rPr>
            </w:pPr>
            <w:r>
              <w:rPr>
                <w:i w:val="0"/>
                <w:iCs w:val="0"/>
                <w:sz w:val="21"/>
                <w:szCs w:val="21"/>
                <w:u w:val="single"/>
              </w:rPr>
              <w:t>排放点进入地表水水域环境功能为</w:t>
            </w:r>
            <w:r>
              <w:rPr>
                <w:rFonts w:hint="eastAsia" w:ascii="宋体" w:hAnsi="宋体"/>
                <w:i w:val="0"/>
                <w:iCs w:val="0"/>
                <w:sz w:val="21"/>
                <w:szCs w:val="21"/>
                <w:u w:val="single"/>
              </w:rPr>
              <w:t>Ⅲ</w:t>
            </w:r>
            <w:r>
              <w:rPr>
                <w:i w:val="0"/>
                <w:iCs w:val="0"/>
                <w:sz w:val="21"/>
                <w:szCs w:val="21"/>
                <w:u w:val="single"/>
              </w:rPr>
              <w:t>类，或海水水质分类第二类；或以发生事故时，危险物质泄漏到水体的排放点算起，排放进入受纳河流最大流速时，24 h流经范围内涉跨省界的</w:t>
            </w:r>
            <w:r>
              <w:rPr>
                <w:rFonts w:hint="eastAsia"/>
                <w:i w:val="0"/>
                <w:iCs w:val="0"/>
                <w:sz w:val="21"/>
                <w:szCs w:val="21"/>
                <w:u w:val="singl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682" w:type="pct"/>
            <w:noWrap w:val="0"/>
            <w:vAlign w:val="center"/>
          </w:tcPr>
          <w:p>
            <w:pPr>
              <w:pStyle w:val="317"/>
              <w:rPr>
                <w:i w:val="0"/>
                <w:iCs w:val="0"/>
                <w:sz w:val="21"/>
                <w:szCs w:val="21"/>
                <w:u w:val="single"/>
              </w:rPr>
            </w:pPr>
            <w:r>
              <w:rPr>
                <w:i w:val="0"/>
                <w:iCs w:val="0"/>
                <w:sz w:val="21"/>
                <w:szCs w:val="21"/>
                <w:u w:val="single"/>
              </w:rPr>
              <w:t>低敏感F3</w:t>
            </w:r>
          </w:p>
        </w:tc>
        <w:tc>
          <w:tcPr>
            <w:tcW w:w="4318" w:type="pct"/>
            <w:noWrap w:val="0"/>
            <w:vAlign w:val="center"/>
          </w:tcPr>
          <w:p>
            <w:pPr>
              <w:pStyle w:val="317"/>
              <w:jc w:val="both"/>
              <w:rPr>
                <w:i w:val="0"/>
                <w:iCs w:val="0"/>
                <w:sz w:val="21"/>
                <w:szCs w:val="21"/>
                <w:u w:val="single"/>
              </w:rPr>
            </w:pPr>
            <w:r>
              <w:rPr>
                <w:i w:val="0"/>
                <w:iCs w:val="0"/>
                <w:sz w:val="21"/>
                <w:szCs w:val="21"/>
                <w:u w:val="single"/>
              </w:rPr>
              <w:t>上述地区之外的其他地区</w:t>
            </w:r>
          </w:p>
        </w:tc>
      </w:tr>
    </w:tbl>
    <w:p>
      <w:pPr>
        <w:pStyle w:val="48"/>
        <w:ind w:left="0" w:firstLine="482" w:firstLineChars="200"/>
        <w:jc w:val="center"/>
        <w:rPr>
          <w:rFonts w:hint="eastAsia"/>
          <w:b/>
          <w:bCs/>
          <w:i w:val="0"/>
          <w:iCs w:val="0"/>
          <w:sz w:val="24"/>
          <w:szCs w:val="24"/>
          <w:u w:val="single"/>
          <w:lang w:val="zh-CN"/>
        </w:rPr>
      </w:pPr>
      <w:r>
        <w:rPr>
          <w:rFonts w:hint="eastAsia"/>
          <w:b/>
          <w:bCs/>
          <w:i w:val="0"/>
          <w:iCs w:val="0"/>
          <w:sz w:val="24"/>
          <w:szCs w:val="24"/>
          <w:u w:val="single"/>
        </w:rPr>
        <w:t>表7-7环境敏感目标分级</w:t>
      </w:r>
    </w:p>
    <w:tbl>
      <w:tblPr>
        <w:tblStyle w:val="5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612"/>
        <w:gridCol w:w="851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35" w:type="pct"/>
            <w:noWrap w:val="0"/>
            <w:vAlign w:val="center"/>
          </w:tcPr>
          <w:p>
            <w:pPr>
              <w:pStyle w:val="317"/>
              <w:rPr>
                <w:i w:val="0"/>
                <w:iCs w:val="0"/>
                <w:sz w:val="21"/>
                <w:szCs w:val="21"/>
                <w:u w:val="single"/>
              </w:rPr>
            </w:pPr>
            <w:r>
              <w:rPr>
                <w:i w:val="0"/>
                <w:iCs w:val="0"/>
                <w:sz w:val="21"/>
                <w:szCs w:val="21"/>
                <w:u w:val="single"/>
              </w:rPr>
              <w:t>分级</w:t>
            </w:r>
          </w:p>
        </w:tc>
        <w:tc>
          <w:tcPr>
            <w:tcW w:w="4665" w:type="pct"/>
            <w:noWrap w:val="0"/>
            <w:vAlign w:val="center"/>
          </w:tcPr>
          <w:p>
            <w:pPr>
              <w:pStyle w:val="317"/>
              <w:rPr>
                <w:i w:val="0"/>
                <w:iCs w:val="0"/>
                <w:sz w:val="21"/>
                <w:szCs w:val="21"/>
                <w:u w:val="single"/>
              </w:rPr>
            </w:pPr>
            <w:r>
              <w:rPr>
                <w:i w:val="0"/>
                <w:iCs w:val="0"/>
                <w:sz w:val="21"/>
                <w:szCs w:val="21"/>
                <w:u w:val="single"/>
              </w:rPr>
              <w:t>环境敏感目标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35" w:type="pct"/>
            <w:noWrap w:val="0"/>
            <w:vAlign w:val="center"/>
          </w:tcPr>
          <w:p>
            <w:pPr>
              <w:pStyle w:val="317"/>
              <w:rPr>
                <w:i w:val="0"/>
                <w:iCs w:val="0"/>
                <w:sz w:val="21"/>
                <w:szCs w:val="21"/>
                <w:u w:val="single"/>
              </w:rPr>
            </w:pPr>
            <w:r>
              <w:rPr>
                <w:i w:val="0"/>
                <w:iCs w:val="0"/>
                <w:sz w:val="21"/>
                <w:szCs w:val="21"/>
                <w:u w:val="single"/>
              </w:rPr>
              <w:t>S1</w:t>
            </w:r>
          </w:p>
        </w:tc>
        <w:tc>
          <w:tcPr>
            <w:tcW w:w="4665" w:type="pct"/>
            <w:noWrap w:val="0"/>
            <w:vAlign w:val="center"/>
          </w:tcPr>
          <w:p>
            <w:pPr>
              <w:pStyle w:val="317"/>
              <w:jc w:val="both"/>
              <w:rPr>
                <w:i w:val="0"/>
                <w:iCs w:val="0"/>
                <w:sz w:val="21"/>
                <w:szCs w:val="21"/>
                <w:u w:val="single"/>
              </w:rPr>
            </w:pPr>
            <w:r>
              <w:rPr>
                <w:i w:val="0"/>
                <w:iCs w:val="0"/>
                <w:sz w:val="21"/>
                <w:szCs w:val="21"/>
                <w:u w:val="single"/>
              </w:rPr>
              <w:t>发生事故时，危险物质泄漏到内陆水体的排放点下游（顺水流向）10 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r>
              <w:rPr>
                <w:rFonts w:hint="eastAsia"/>
                <w:i w:val="0"/>
                <w:iCs w:val="0"/>
                <w:sz w:val="21"/>
                <w:szCs w:val="21"/>
                <w:u w:val="singl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35" w:type="pct"/>
            <w:noWrap w:val="0"/>
            <w:vAlign w:val="center"/>
          </w:tcPr>
          <w:p>
            <w:pPr>
              <w:pStyle w:val="317"/>
              <w:rPr>
                <w:i w:val="0"/>
                <w:iCs w:val="0"/>
                <w:sz w:val="21"/>
                <w:szCs w:val="21"/>
                <w:u w:val="single"/>
              </w:rPr>
            </w:pPr>
            <w:r>
              <w:rPr>
                <w:i w:val="0"/>
                <w:iCs w:val="0"/>
                <w:sz w:val="21"/>
                <w:szCs w:val="21"/>
                <w:u w:val="single"/>
              </w:rPr>
              <w:t>S2</w:t>
            </w:r>
          </w:p>
        </w:tc>
        <w:tc>
          <w:tcPr>
            <w:tcW w:w="4665" w:type="pct"/>
            <w:noWrap w:val="0"/>
            <w:vAlign w:val="center"/>
          </w:tcPr>
          <w:p>
            <w:pPr>
              <w:pStyle w:val="317"/>
              <w:jc w:val="both"/>
              <w:rPr>
                <w:i w:val="0"/>
                <w:iCs w:val="0"/>
                <w:sz w:val="21"/>
                <w:szCs w:val="21"/>
                <w:u w:val="single"/>
              </w:rPr>
            </w:pPr>
            <w:r>
              <w:rPr>
                <w:i w:val="0"/>
                <w:iCs w:val="0"/>
                <w:sz w:val="21"/>
                <w:szCs w:val="21"/>
                <w:u w:val="single"/>
              </w:rPr>
              <w:t>发生事故时，危险物质泄漏到内陆水体的排放点下游（顺水流向）10 km范围内、近岸海域一个潮周期水质点可能达到的最大水平距离的两倍范围内，有如下一类或多类环境风险受体的：水产养殖区；天然渔场；森林公园；地质公园；海滨风景游览区；具有重要经济价值的海洋生物生存区域</w:t>
            </w:r>
            <w:r>
              <w:rPr>
                <w:rFonts w:hint="eastAsia"/>
                <w:i w:val="0"/>
                <w:iCs w:val="0"/>
                <w:sz w:val="21"/>
                <w:szCs w:val="21"/>
                <w:u w:val="singl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335" w:type="pct"/>
            <w:noWrap w:val="0"/>
            <w:vAlign w:val="center"/>
          </w:tcPr>
          <w:p>
            <w:pPr>
              <w:pStyle w:val="317"/>
              <w:rPr>
                <w:i w:val="0"/>
                <w:iCs w:val="0"/>
                <w:sz w:val="21"/>
                <w:szCs w:val="21"/>
                <w:u w:val="single"/>
              </w:rPr>
            </w:pPr>
            <w:r>
              <w:rPr>
                <w:i w:val="0"/>
                <w:iCs w:val="0"/>
                <w:sz w:val="21"/>
                <w:szCs w:val="21"/>
                <w:u w:val="single"/>
              </w:rPr>
              <w:t>S3</w:t>
            </w:r>
          </w:p>
        </w:tc>
        <w:tc>
          <w:tcPr>
            <w:tcW w:w="4665" w:type="pct"/>
            <w:noWrap w:val="0"/>
            <w:vAlign w:val="center"/>
          </w:tcPr>
          <w:p>
            <w:pPr>
              <w:pStyle w:val="317"/>
              <w:jc w:val="both"/>
              <w:rPr>
                <w:i w:val="0"/>
                <w:iCs w:val="0"/>
                <w:sz w:val="21"/>
                <w:szCs w:val="21"/>
                <w:u w:val="single"/>
              </w:rPr>
            </w:pPr>
            <w:r>
              <w:rPr>
                <w:i w:val="0"/>
                <w:iCs w:val="0"/>
                <w:sz w:val="21"/>
                <w:szCs w:val="21"/>
                <w:u w:val="single"/>
              </w:rPr>
              <w:t>排放点下游（顺水流向）10 km范围、近岸海域一个潮周期水质点可能达到的最大水平距离的两倍范围内无上述类型1和类型2包括的敏感保护目标</w:t>
            </w:r>
            <w:r>
              <w:rPr>
                <w:rFonts w:hint="eastAsia"/>
                <w:i w:val="0"/>
                <w:iCs w:val="0"/>
                <w:sz w:val="21"/>
                <w:szCs w:val="21"/>
                <w:u w:val="single"/>
              </w:rPr>
              <w:t>。</w:t>
            </w:r>
          </w:p>
        </w:tc>
      </w:tr>
    </w:tbl>
    <w:p>
      <w:pPr>
        <w:pStyle w:val="6"/>
        <w:spacing w:line="360" w:lineRule="auto"/>
        <w:ind w:firstLine="480"/>
        <w:rPr>
          <w:i w:val="0"/>
          <w:iCs w:val="0"/>
          <w:u w:val="single"/>
          <w:lang w:val="zh-CN"/>
        </w:rPr>
      </w:pPr>
      <w:r>
        <w:rPr>
          <w:rFonts w:hint="eastAsia"/>
          <w:i w:val="0"/>
          <w:iCs w:val="0"/>
          <w:u w:val="single"/>
        </w:rPr>
        <w:t>3、</w:t>
      </w:r>
      <w:r>
        <w:rPr>
          <w:i w:val="0"/>
          <w:iCs w:val="0"/>
          <w:u w:val="single"/>
          <w:lang w:val="zh-CN"/>
        </w:rPr>
        <w:t>地下水环境</w:t>
      </w:r>
    </w:p>
    <w:p>
      <w:pPr>
        <w:pStyle w:val="6"/>
        <w:spacing w:line="360" w:lineRule="auto"/>
        <w:ind w:firstLine="480"/>
        <w:rPr>
          <w:i w:val="0"/>
          <w:iCs w:val="0"/>
          <w:u w:val="single"/>
          <w:lang w:val="zh-CN"/>
        </w:rPr>
      </w:pPr>
      <w:r>
        <w:rPr>
          <w:i w:val="0"/>
          <w:iCs w:val="0"/>
          <w:u w:val="single"/>
          <w:lang w:val="zh-CN"/>
        </w:rPr>
        <w:t>《建设项目环境风险评价技术导则》（HJ169-2018）附录D中地下水环境敏感程度分级，项目地下水评价范围内不涉及集中式饮用水水源（包括已建成的在用、备用、应急水源，在建和规划的饮用水水源）准保护区；除集中式饮用水水源以外的国家或地方政府设定的与地下水环境相关的其他保护区，如热水、矿泉水、温泉等特殊地下水资源保护区；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Pr>
          <w:rFonts w:hint="eastAsia"/>
          <w:i w:val="0"/>
          <w:iCs w:val="0"/>
          <w:u w:val="single"/>
          <w:lang w:val="zh-CN"/>
        </w:rPr>
        <w:t>本项目所在没在环境敏感区，</w:t>
      </w:r>
      <w:r>
        <w:rPr>
          <w:i w:val="0"/>
          <w:iCs w:val="0"/>
          <w:u w:val="single"/>
          <w:lang w:val="zh-CN"/>
        </w:rPr>
        <w:t>因此地下水功能敏感性为G3。</w:t>
      </w:r>
    </w:p>
    <w:p>
      <w:pPr>
        <w:pStyle w:val="6"/>
        <w:spacing w:line="360" w:lineRule="auto"/>
        <w:ind w:firstLine="480"/>
        <w:rPr>
          <w:i w:val="0"/>
          <w:iCs w:val="0"/>
          <w:u w:val="single"/>
          <w:lang w:val="zh-CN"/>
        </w:rPr>
      </w:pPr>
      <w:r>
        <w:rPr>
          <w:rFonts w:hint="eastAsia"/>
          <w:i w:val="0"/>
          <w:iCs w:val="0"/>
          <w:u w:val="single"/>
          <w:lang w:val="zh-CN"/>
        </w:rPr>
        <w:t>同时根据对项目地水文地质条件分析，本项目所在地包气带岩土由粉质黏土、中粗砂及卵石组成，主要为粉质黏土，因此采用粉质黏土的渗透系数，为1.16×10</w:t>
      </w:r>
      <w:r>
        <w:rPr>
          <w:rFonts w:hint="eastAsia"/>
          <w:i w:val="0"/>
          <w:iCs w:val="0"/>
          <w:u w:val="single"/>
          <w:vertAlign w:val="superscript"/>
          <w:lang w:val="zh-CN"/>
        </w:rPr>
        <w:t>-4</w:t>
      </w:r>
      <w:r>
        <w:rPr>
          <w:rFonts w:hint="eastAsia"/>
          <w:i w:val="0"/>
          <w:iCs w:val="0"/>
          <w:u w:val="single"/>
          <w:lang w:val="zh-CN"/>
        </w:rPr>
        <w:t>cm/s~2.89×10</w:t>
      </w:r>
      <w:r>
        <w:rPr>
          <w:rFonts w:hint="eastAsia"/>
          <w:i w:val="0"/>
          <w:iCs w:val="0"/>
          <w:u w:val="single"/>
          <w:vertAlign w:val="superscript"/>
          <w:lang w:val="zh-CN"/>
        </w:rPr>
        <w:t>-4</w:t>
      </w:r>
      <w:r>
        <w:rPr>
          <w:rFonts w:hint="eastAsia"/>
          <w:i w:val="0"/>
          <w:iCs w:val="0"/>
          <w:u w:val="single"/>
          <w:lang w:val="zh-CN"/>
        </w:rPr>
        <w:t>cm/s，Mb取值为7~12m，因此地下水环境功能敏感性为D2。</w:t>
      </w:r>
    </w:p>
    <w:p>
      <w:pPr>
        <w:pStyle w:val="6"/>
        <w:spacing w:line="360" w:lineRule="auto"/>
        <w:ind w:firstLine="480"/>
        <w:rPr>
          <w:bCs/>
          <w:i w:val="0"/>
          <w:iCs w:val="0"/>
          <w:kern w:val="21"/>
          <w:u w:val="single"/>
          <w:lang w:val="zh-CN"/>
        </w:rPr>
      </w:pPr>
      <w:r>
        <w:rPr>
          <w:rFonts w:hint="eastAsia"/>
          <w:i w:val="0"/>
          <w:iCs w:val="0"/>
          <w:u w:val="single"/>
          <w:lang w:val="zh-CN"/>
        </w:rPr>
        <w:t>根据《建设项目环境风险评价技术导则》（HJ169-2018）附录D中地下水环境敏感程度分级，本项目地下水环境敏感程度为E3。</w:t>
      </w:r>
    </w:p>
    <w:p>
      <w:pPr>
        <w:pStyle w:val="413"/>
        <w:numPr>
          <w:ilvl w:val="4"/>
          <w:numId w:val="0"/>
        </w:numPr>
        <w:spacing w:line="240" w:lineRule="auto"/>
        <w:rPr>
          <w:i w:val="0"/>
          <w:iCs w:val="0"/>
          <w:u w:val="single"/>
        </w:rPr>
      </w:pPr>
      <w:r>
        <w:rPr>
          <w:rFonts w:hint="eastAsia"/>
          <w:i w:val="0"/>
          <w:iCs w:val="0"/>
          <w:u w:val="single"/>
        </w:rPr>
        <w:t>表7-8</w:t>
      </w:r>
      <w:r>
        <w:rPr>
          <w:i w:val="0"/>
          <w:iCs w:val="0"/>
          <w:u w:val="single"/>
        </w:rPr>
        <w:t>地下水环境敏感程度分级</w:t>
      </w:r>
    </w:p>
    <w:tbl>
      <w:tblPr>
        <w:tblStyle w:val="58"/>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270"/>
        <w:gridCol w:w="2270"/>
        <w:gridCol w:w="2264"/>
        <w:gridCol w:w="226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51" w:type="pct"/>
            <w:vMerge w:val="restart"/>
            <w:noWrap w:val="0"/>
            <w:vAlign w:val="center"/>
          </w:tcPr>
          <w:p>
            <w:pPr>
              <w:pStyle w:val="394"/>
              <w:jc w:val="center"/>
              <w:rPr>
                <w:i w:val="0"/>
                <w:iCs w:val="0"/>
                <w:kern w:val="21"/>
                <w:sz w:val="21"/>
                <w:szCs w:val="21"/>
                <w:u w:val="single"/>
              </w:rPr>
            </w:pPr>
            <w:r>
              <w:rPr>
                <w:i w:val="0"/>
                <w:iCs w:val="0"/>
                <w:kern w:val="21"/>
                <w:sz w:val="21"/>
                <w:szCs w:val="21"/>
                <w:u w:val="single"/>
              </w:rPr>
              <w:t>环境敏感目标</w:t>
            </w:r>
          </w:p>
        </w:tc>
        <w:tc>
          <w:tcPr>
            <w:tcW w:w="3749" w:type="pct"/>
            <w:gridSpan w:val="3"/>
            <w:noWrap w:val="0"/>
            <w:vAlign w:val="center"/>
          </w:tcPr>
          <w:p>
            <w:pPr>
              <w:pStyle w:val="394"/>
              <w:jc w:val="center"/>
              <w:rPr>
                <w:i w:val="0"/>
                <w:iCs w:val="0"/>
                <w:kern w:val="21"/>
                <w:sz w:val="21"/>
                <w:szCs w:val="21"/>
                <w:u w:val="single"/>
              </w:rPr>
            </w:pPr>
            <w:r>
              <w:rPr>
                <w:i w:val="0"/>
                <w:iCs w:val="0"/>
                <w:kern w:val="21"/>
                <w:sz w:val="21"/>
                <w:szCs w:val="21"/>
                <w:u w:val="single"/>
              </w:rPr>
              <w:t>地下水功能敏感性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51" w:type="pct"/>
            <w:vMerge w:val="continue"/>
            <w:noWrap w:val="0"/>
            <w:vAlign w:val="center"/>
          </w:tcPr>
          <w:p>
            <w:pPr>
              <w:jc w:val="center"/>
              <w:rPr>
                <w:i w:val="0"/>
                <w:iCs w:val="0"/>
                <w:kern w:val="21"/>
                <w:szCs w:val="21"/>
                <w:u w:val="single"/>
              </w:rPr>
            </w:pPr>
          </w:p>
        </w:tc>
        <w:tc>
          <w:tcPr>
            <w:tcW w:w="1251" w:type="pct"/>
            <w:noWrap w:val="0"/>
            <w:vAlign w:val="center"/>
          </w:tcPr>
          <w:p>
            <w:pPr>
              <w:pStyle w:val="394"/>
              <w:jc w:val="center"/>
              <w:rPr>
                <w:i w:val="0"/>
                <w:iCs w:val="0"/>
                <w:kern w:val="21"/>
                <w:sz w:val="21"/>
                <w:szCs w:val="21"/>
                <w:u w:val="single"/>
              </w:rPr>
            </w:pPr>
            <w:r>
              <w:rPr>
                <w:i w:val="0"/>
                <w:iCs w:val="0"/>
                <w:kern w:val="21"/>
                <w:sz w:val="21"/>
                <w:szCs w:val="21"/>
                <w:u w:val="single"/>
              </w:rPr>
              <w:t>G1</w:t>
            </w:r>
          </w:p>
        </w:tc>
        <w:tc>
          <w:tcPr>
            <w:tcW w:w="1248" w:type="pct"/>
            <w:noWrap w:val="0"/>
            <w:vAlign w:val="center"/>
          </w:tcPr>
          <w:p>
            <w:pPr>
              <w:pStyle w:val="394"/>
              <w:jc w:val="center"/>
              <w:rPr>
                <w:i w:val="0"/>
                <w:iCs w:val="0"/>
                <w:kern w:val="21"/>
                <w:sz w:val="21"/>
                <w:szCs w:val="21"/>
                <w:u w:val="single"/>
              </w:rPr>
            </w:pPr>
            <w:r>
              <w:rPr>
                <w:i w:val="0"/>
                <w:iCs w:val="0"/>
                <w:kern w:val="21"/>
                <w:sz w:val="21"/>
                <w:szCs w:val="21"/>
                <w:u w:val="single"/>
              </w:rPr>
              <w:t>G2</w:t>
            </w:r>
          </w:p>
        </w:tc>
        <w:tc>
          <w:tcPr>
            <w:tcW w:w="1251" w:type="pct"/>
            <w:noWrap w:val="0"/>
            <w:vAlign w:val="center"/>
          </w:tcPr>
          <w:p>
            <w:pPr>
              <w:pStyle w:val="394"/>
              <w:jc w:val="center"/>
              <w:rPr>
                <w:i w:val="0"/>
                <w:iCs w:val="0"/>
                <w:kern w:val="21"/>
                <w:sz w:val="21"/>
                <w:szCs w:val="21"/>
                <w:u w:val="single"/>
              </w:rPr>
            </w:pPr>
            <w:r>
              <w:rPr>
                <w:i w:val="0"/>
                <w:iCs w:val="0"/>
                <w:kern w:val="21"/>
                <w:sz w:val="21"/>
                <w:szCs w:val="21"/>
                <w:u w:val="single"/>
              </w:rPr>
              <w:t>G3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51" w:type="pct"/>
            <w:noWrap w:val="0"/>
            <w:vAlign w:val="center"/>
          </w:tcPr>
          <w:p>
            <w:pPr>
              <w:pStyle w:val="394"/>
              <w:jc w:val="center"/>
              <w:rPr>
                <w:i w:val="0"/>
                <w:iCs w:val="0"/>
                <w:kern w:val="21"/>
                <w:sz w:val="21"/>
                <w:szCs w:val="21"/>
                <w:u w:val="single"/>
              </w:rPr>
            </w:pPr>
            <w:r>
              <w:rPr>
                <w:i w:val="0"/>
                <w:iCs w:val="0"/>
                <w:kern w:val="21"/>
                <w:sz w:val="21"/>
                <w:szCs w:val="21"/>
                <w:u w:val="single"/>
              </w:rPr>
              <w:t>D1</w:t>
            </w:r>
          </w:p>
        </w:tc>
        <w:tc>
          <w:tcPr>
            <w:tcW w:w="1251" w:type="pct"/>
            <w:noWrap w:val="0"/>
            <w:vAlign w:val="center"/>
          </w:tcPr>
          <w:p>
            <w:pPr>
              <w:pStyle w:val="394"/>
              <w:jc w:val="center"/>
              <w:rPr>
                <w:i w:val="0"/>
                <w:iCs w:val="0"/>
                <w:kern w:val="21"/>
                <w:sz w:val="21"/>
                <w:szCs w:val="21"/>
                <w:u w:val="single"/>
              </w:rPr>
            </w:pPr>
            <w:r>
              <w:rPr>
                <w:i w:val="0"/>
                <w:iCs w:val="0"/>
                <w:kern w:val="21"/>
                <w:sz w:val="21"/>
                <w:szCs w:val="21"/>
                <w:u w:val="single"/>
              </w:rPr>
              <w:t>E1</w:t>
            </w:r>
          </w:p>
        </w:tc>
        <w:tc>
          <w:tcPr>
            <w:tcW w:w="1248" w:type="pct"/>
            <w:noWrap w:val="0"/>
            <w:vAlign w:val="center"/>
          </w:tcPr>
          <w:p>
            <w:pPr>
              <w:pStyle w:val="394"/>
              <w:jc w:val="center"/>
              <w:rPr>
                <w:i w:val="0"/>
                <w:iCs w:val="0"/>
                <w:kern w:val="21"/>
                <w:sz w:val="21"/>
                <w:szCs w:val="21"/>
                <w:u w:val="single"/>
              </w:rPr>
            </w:pPr>
            <w:r>
              <w:rPr>
                <w:i w:val="0"/>
                <w:iCs w:val="0"/>
                <w:kern w:val="21"/>
                <w:sz w:val="21"/>
                <w:szCs w:val="21"/>
                <w:u w:val="single"/>
              </w:rPr>
              <w:t>E1</w:t>
            </w:r>
          </w:p>
        </w:tc>
        <w:tc>
          <w:tcPr>
            <w:tcW w:w="1251" w:type="pct"/>
            <w:noWrap w:val="0"/>
            <w:vAlign w:val="center"/>
          </w:tcPr>
          <w:p>
            <w:pPr>
              <w:pStyle w:val="394"/>
              <w:jc w:val="center"/>
              <w:rPr>
                <w:i w:val="0"/>
                <w:iCs w:val="0"/>
                <w:kern w:val="21"/>
                <w:sz w:val="21"/>
                <w:szCs w:val="21"/>
                <w:u w:val="single"/>
              </w:rPr>
            </w:pPr>
            <w:r>
              <w:rPr>
                <w:i w:val="0"/>
                <w:iCs w:val="0"/>
                <w:kern w:val="21"/>
                <w:sz w:val="21"/>
                <w:szCs w:val="21"/>
                <w:u w:val="single"/>
              </w:rPr>
              <w:t>E2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51" w:type="pct"/>
            <w:noWrap w:val="0"/>
            <w:vAlign w:val="center"/>
          </w:tcPr>
          <w:p>
            <w:pPr>
              <w:pStyle w:val="394"/>
              <w:jc w:val="center"/>
              <w:rPr>
                <w:i w:val="0"/>
                <w:iCs w:val="0"/>
                <w:kern w:val="21"/>
                <w:sz w:val="21"/>
                <w:szCs w:val="21"/>
                <w:u w:val="single"/>
              </w:rPr>
            </w:pPr>
            <w:r>
              <w:rPr>
                <w:i w:val="0"/>
                <w:iCs w:val="0"/>
                <w:kern w:val="21"/>
                <w:sz w:val="21"/>
                <w:szCs w:val="21"/>
                <w:u w:val="single"/>
              </w:rPr>
              <w:t>D2</w:t>
            </w:r>
          </w:p>
        </w:tc>
        <w:tc>
          <w:tcPr>
            <w:tcW w:w="1251" w:type="pct"/>
            <w:noWrap w:val="0"/>
            <w:vAlign w:val="center"/>
          </w:tcPr>
          <w:p>
            <w:pPr>
              <w:pStyle w:val="394"/>
              <w:jc w:val="center"/>
              <w:rPr>
                <w:i w:val="0"/>
                <w:iCs w:val="0"/>
                <w:kern w:val="21"/>
                <w:sz w:val="21"/>
                <w:szCs w:val="21"/>
                <w:u w:val="single"/>
              </w:rPr>
            </w:pPr>
            <w:r>
              <w:rPr>
                <w:i w:val="0"/>
                <w:iCs w:val="0"/>
                <w:kern w:val="21"/>
                <w:sz w:val="21"/>
                <w:szCs w:val="21"/>
                <w:u w:val="single"/>
              </w:rPr>
              <w:t>E1</w:t>
            </w:r>
          </w:p>
        </w:tc>
        <w:tc>
          <w:tcPr>
            <w:tcW w:w="1248" w:type="pct"/>
            <w:noWrap w:val="0"/>
            <w:vAlign w:val="center"/>
          </w:tcPr>
          <w:p>
            <w:pPr>
              <w:pStyle w:val="394"/>
              <w:jc w:val="center"/>
              <w:rPr>
                <w:i w:val="0"/>
                <w:iCs w:val="0"/>
                <w:kern w:val="21"/>
                <w:sz w:val="21"/>
                <w:szCs w:val="21"/>
                <w:u w:val="single"/>
              </w:rPr>
            </w:pPr>
            <w:r>
              <w:rPr>
                <w:i w:val="0"/>
                <w:iCs w:val="0"/>
                <w:kern w:val="21"/>
                <w:sz w:val="21"/>
                <w:szCs w:val="21"/>
                <w:u w:val="single"/>
              </w:rPr>
              <w:t>E2</w:t>
            </w:r>
          </w:p>
        </w:tc>
        <w:tc>
          <w:tcPr>
            <w:tcW w:w="1251" w:type="pct"/>
            <w:noWrap w:val="0"/>
            <w:vAlign w:val="center"/>
          </w:tcPr>
          <w:p>
            <w:pPr>
              <w:pStyle w:val="394"/>
              <w:jc w:val="center"/>
              <w:rPr>
                <w:i w:val="0"/>
                <w:iCs w:val="0"/>
                <w:kern w:val="21"/>
                <w:sz w:val="21"/>
                <w:szCs w:val="21"/>
                <w:u w:val="single"/>
              </w:rPr>
            </w:pPr>
            <w:r>
              <w:rPr>
                <w:b/>
                <w:bCs/>
                <w:i w:val="0"/>
                <w:iCs w:val="0"/>
                <w:kern w:val="21"/>
                <w:sz w:val="21"/>
                <w:szCs w:val="21"/>
                <w:u w:val="single"/>
              </w:rPr>
              <w:t>E3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51" w:type="pct"/>
            <w:noWrap w:val="0"/>
            <w:vAlign w:val="center"/>
          </w:tcPr>
          <w:p>
            <w:pPr>
              <w:pStyle w:val="394"/>
              <w:jc w:val="center"/>
              <w:rPr>
                <w:i w:val="0"/>
                <w:iCs w:val="0"/>
                <w:kern w:val="21"/>
                <w:sz w:val="21"/>
                <w:szCs w:val="21"/>
                <w:u w:val="single"/>
              </w:rPr>
            </w:pPr>
            <w:r>
              <w:rPr>
                <w:i w:val="0"/>
                <w:iCs w:val="0"/>
                <w:kern w:val="21"/>
                <w:sz w:val="21"/>
                <w:szCs w:val="21"/>
                <w:u w:val="single"/>
              </w:rPr>
              <w:t>D3</w:t>
            </w:r>
          </w:p>
        </w:tc>
        <w:tc>
          <w:tcPr>
            <w:tcW w:w="1251" w:type="pct"/>
            <w:noWrap w:val="0"/>
            <w:vAlign w:val="center"/>
          </w:tcPr>
          <w:p>
            <w:pPr>
              <w:pStyle w:val="394"/>
              <w:jc w:val="center"/>
              <w:rPr>
                <w:i w:val="0"/>
                <w:iCs w:val="0"/>
                <w:kern w:val="21"/>
                <w:sz w:val="21"/>
                <w:szCs w:val="21"/>
                <w:u w:val="single"/>
              </w:rPr>
            </w:pPr>
            <w:r>
              <w:rPr>
                <w:i w:val="0"/>
                <w:iCs w:val="0"/>
                <w:kern w:val="21"/>
                <w:sz w:val="21"/>
                <w:szCs w:val="21"/>
                <w:u w:val="single"/>
              </w:rPr>
              <w:t>E1</w:t>
            </w:r>
          </w:p>
        </w:tc>
        <w:tc>
          <w:tcPr>
            <w:tcW w:w="1248" w:type="pct"/>
            <w:noWrap w:val="0"/>
            <w:vAlign w:val="center"/>
          </w:tcPr>
          <w:p>
            <w:pPr>
              <w:pStyle w:val="394"/>
              <w:jc w:val="center"/>
              <w:rPr>
                <w:i w:val="0"/>
                <w:iCs w:val="0"/>
                <w:kern w:val="21"/>
                <w:sz w:val="21"/>
                <w:szCs w:val="21"/>
                <w:u w:val="single"/>
              </w:rPr>
            </w:pPr>
            <w:r>
              <w:rPr>
                <w:i w:val="0"/>
                <w:iCs w:val="0"/>
                <w:kern w:val="21"/>
                <w:sz w:val="21"/>
                <w:szCs w:val="21"/>
                <w:u w:val="single"/>
              </w:rPr>
              <w:t>E3</w:t>
            </w:r>
          </w:p>
        </w:tc>
        <w:tc>
          <w:tcPr>
            <w:tcW w:w="1251" w:type="pct"/>
            <w:noWrap w:val="0"/>
            <w:vAlign w:val="center"/>
          </w:tcPr>
          <w:p>
            <w:pPr>
              <w:pStyle w:val="394"/>
              <w:jc w:val="center"/>
              <w:rPr>
                <w:i w:val="0"/>
                <w:iCs w:val="0"/>
                <w:kern w:val="21"/>
                <w:sz w:val="21"/>
                <w:szCs w:val="21"/>
                <w:u w:val="single"/>
              </w:rPr>
            </w:pPr>
            <w:r>
              <w:rPr>
                <w:i w:val="0"/>
                <w:iCs w:val="0"/>
                <w:kern w:val="21"/>
                <w:sz w:val="21"/>
                <w:szCs w:val="21"/>
                <w:u w:val="single"/>
              </w:rPr>
              <w:t>E3</w:t>
            </w:r>
          </w:p>
        </w:tc>
      </w:tr>
    </w:tbl>
    <w:p>
      <w:pPr>
        <w:pStyle w:val="413"/>
        <w:numPr>
          <w:ilvl w:val="4"/>
          <w:numId w:val="0"/>
        </w:numPr>
        <w:spacing w:line="240" w:lineRule="auto"/>
        <w:rPr>
          <w:i w:val="0"/>
          <w:iCs w:val="0"/>
          <w:u w:val="single"/>
        </w:rPr>
      </w:pPr>
      <w:r>
        <w:rPr>
          <w:rFonts w:hint="eastAsia"/>
          <w:i w:val="0"/>
          <w:iCs w:val="0"/>
          <w:u w:val="single"/>
        </w:rPr>
        <w:t>表7-9</w:t>
      </w:r>
      <w:r>
        <w:rPr>
          <w:i w:val="0"/>
          <w:iCs w:val="0"/>
          <w:u w:val="single"/>
        </w:rPr>
        <w:t>地下水功能敏感性分区</w:t>
      </w:r>
    </w:p>
    <w:tbl>
      <w:tblPr>
        <w:tblStyle w:val="58"/>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47"/>
        <w:gridCol w:w="802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77" w:type="pct"/>
            <w:noWrap w:val="0"/>
            <w:vAlign w:val="center"/>
          </w:tcPr>
          <w:p>
            <w:pPr>
              <w:pStyle w:val="394"/>
              <w:jc w:val="center"/>
              <w:rPr>
                <w:i w:val="0"/>
                <w:iCs w:val="0"/>
                <w:kern w:val="21"/>
                <w:sz w:val="21"/>
                <w:szCs w:val="21"/>
                <w:u w:val="single"/>
              </w:rPr>
            </w:pPr>
            <w:r>
              <w:rPr>
                <w:i w:val="0"/>
                <w:iCs w:val="0"/>
                <w:kern w:val="21"/>
                <w:sz w:val="21"/>
                <w:szCs w:val="21"/>
                <w:u w:val="single"/>
              </w:rPr>
              <w:t>敏感性</w:t>
            </w:r>
          </w:p>
        </w:tc>
        <w:tc>
          <w:tcPr>
            <w:tcW w:w="4423" w:type="pct"/>
            <w:noWrap w:val="0"/>
            <w:vAlign w:val="center"/>
          </w:tcPr>
          <w:p>
            <w:pPr>
              <w:pStyle w:val="394"/>
              <w:jc w:val="center"/>
              <w:rPr>
                <w:i w:val="0"/>
                <w:iCs w:val="0"/>
                <w:kern w:val="21"/>
                <w:sz w:val="21"/>
                <w:szCs w:val="21"/>
                <w:u w:val="single"/>
              </w:rPr>
            </w:pPr>
            <w:r>
              <w:rPr>
                <w:i w:val="0"/>
                <w:iCs w:val="0"/>
                <w:kern w:val="21"/>
                <w:sz w:val="21"/>
                <w:szCs w:val="21"/>
                <w:u w:val="single"/>
              </w:rPr>
              <w:t>地表水环境敏感特征</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77" w:type="pct"/>
            <w:noWrap w:val="0"/>
            <w:vAlign w:val="center"/>
          </w:tcPr>
          <w:p>
            <w:pPr>
              <w:pStyle w:val="394"/>
              <w:jc w:val="center"/>
              <w:rPr>
                <w:i w:val="0"/>
                <w:iCs w:val="0"/>
                <w:kern w:val="21"/>
                <w:sz w:val="21"/>
                <w:szCs w:val="21"/>
                <w:u w:val="single"/>
              </w:rPr>
            </w:pPr>
            <w:r>
              <w:rPr>
                <w:i w:val="0"/>
                <w:iCs w:val="0"/>
                <w:kern w:val="21"/>
                <w:sz w:val="21"/>
                <w:szCs w:val="21"/>
                <w:u w:val="single"/>
              </w:rPr>
              <w:t>敏感G1</w:t>
            </w:r>
          </w:p>
        </w:tc>
        <w:tc>
          <w:tcPr>
            <w:tcW w:w="4423" w:type="pct"/>
            <w:noWrap w:val="0"/>
            <w:vAlign w:val="center"/>
          </w:tcPr>
          <w:p>
            <w:pPr>
              <w:pStyle w:val="394"/>
              <w:jc w:val="both"/>
              <w:rPr>
                <w:i w:val="0"/>
                <w:iCs w:val="0"/>
                <w:kern w:val="21"/>
                <w:sz w:val="21"/>
                <w:szCs w:val="21"/>
                <w:u w:val="single"/>
              </w:rPr>
            </w:pPr>
            <w:r>
              <w:rPr>
                <w:i w:val="0"/>
                <w:iCs w:val="0"/>
                <w:kern w:val="21"/>
                <w:sz w:val="21"/>
                <w:szCs w:val="21"/>
                <w:u w:val="single"/>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77" w:type="pct"/>
            <w:noWrap w:val="0"/>
            <w:vAlign w:val="center"/>
          </w:tcPr>
          <w:p>
            <w:pPr>
              <w:pStyle w:val="394"/>
              <w:jc w:val="center"/>
              <w:rPr>
                <w:i w:val="0"/>
                <w:iCs w:val="0"/>
                <w:kern w:val="21"/>
                <w:sz w:val="21"/>
                <w:szCs w:val="21"/>
                <w:u w:val="single"/>
              </w:rPr>
            </w:pPr>
            <w:r>
              <w:rPr>
                <w:i w:val="0"/>
                <w:iCs w:val="0"/>
                <w:kern w:val="21"/>
                <w:sz w:val="21"/>
                <w:szCs w:val="21"/>
                <w:u w:val="single"/>
              </w:rPr>
              <w:t>较敏感G2</w:t>
            </w:r>
          </w:p>
        </w:tc>
        <w:tc>
          <w:tcPr>
            <w:tcW w:w="4423" w:type="pct"/>
            <w:noWrap w:val="0"/>
            <w:vAlign w:val="center"/>
          </w:tcPr>
          <w:p>
            <w:pPr>
              <w:pStyle w:val="394"/>
              <w:jc w:val="both"/>
              <w:rPr>
                <w:i w:val="0"/>
                <w:iCs w:val="0"/>
                <w:kern w:val="21"/>
                <w:sz w:val="21"/>
                <w:szCs w:val="21"/>
                <w:u w:val="single"/>
              </w:rPr>
            </w:pPr>
            <w:r>
              <w:rPr>
                <w:i w:val="0"/>
                <w:iCs w:val="0"/>
                <w:kern w:val="21"/>
                <w:sz w:val="21"/>
                <w:szCs w:val="21"/>
                <w:u w:val="single"/>
              </w:rPr>
              <w:t>集中式饮用水水源（包括已建成的在用、备用、应急水源，在建和规划的饮用水水源）准保护区以外的补给径流区；未规定准保护区的集中式饮用水水源，其保护区以外的补给径流区；分散式饮用水水源地；特殊地下水资源（如热水、矿泉水、温泉等）保护区以外的分布区等其他未列入上述敏感分级的环境敏感区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77" w:type="pct"/>
            <w:noWrap w:val="0"/>
            <w:vAlign w:val="center"/>
          </w:tcPr>
          <w:p>
            <w:pPr>
              <w:pStyle w:val="394"/>
              <w:jc w:val="center"/>
              <w:rPr>
                <w:i w:val="0"/>
                <w:iCs w:val="0"/>
                <w:kern w:val="21"/>
                <w:sz w:val="21"/>
                <w:szCs w:val="21"/>
                <w:u w:val="single"/>
              </w:rPr>
            </w:pPr>
            <w:r>
              <w:rPr>
                <w:i w:val="0"/>
                <w:iCs w:val="0"/>
                <w:kern w:val="21"/>
                <w:sz w:val="21"/>
                <w:szCs w:val="21"/>
                <w:u w:val="single"/>
              </w:rPr>
              <w:t>不敏感G3</w:t>
            </w:r>
          </w:p>
        </w:tc>
        <w:tc>
          <w:tcPr>
            <w:tcW w:w="4423" w:type="pct"/>
            <w:noWrap w:val="0"/>
            <w:vAlign w:val="center"/>
          </w:tcPr>
          <w:p>
            <w:pPr>
              <w:pStyle w:val="394"/>
              <w:jc w:val="both"/>
              <w:rPr>
                <w:i w:val="0"/>
                <w:iCs w:val="0"/>
                <w:kern w:val="21"/>
                <w:sz w:val="21"/>
                <w:szCs w:val="21"/>
                <w:u w:val="single"/>
              </w:rPr>
            </w:pPr>
            <w:r>
              <w:rPr>
                <w:i w:val="0"/>
                <w:iCs w:val="0"/>
                <w:kern w:val="21"/>
                <w:sz w:val="21"/>
                <w:szCs w:val="21"/>
                <w:u w:val="single"/>
              </w:rPr>
              <w:t>上述地区之外的其他地区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000" w:type="pct"/>
            <w:gridSpan w:val="2"/>
            <w:noWrap w:val="0"/>
            <w:vAlign w:val="center"/>
          </w:tcPr>
          <w:p>
            <w:pPr>
              <w:pStyle w:val="394"/>
              <w:jc w:val="both"/>
              <w:rPr>
                <w:i w:val="0"/>
                <w:iCs w:val="0"/>
                <w:kern w:val="21"/>
                <w:sz w:val="21"/>
                <w:szCs w:val="21"/>
                <w:u w:val="single"/>
              </w:rPr>
            </w:pPr>
            <w:r>
              <w:rPr>
                <w:i w:val="0"/>
                <w:iCs w:val="0"/>
                <w:kern w:val="21"/>
                <w:sz w:val="21"/>
                <w:szCs w:val="21"/>
                <w:u w:val="single"/>
              </w:rPr>
              <w:t>a “环境敏感区”是指《建设项目环境影响评价分类管理名录》中所界定的涉及地下水的环境敏感区</w:t>
            </w:r>
          </w:p>
        </w:tc>
      </w:tr>
    </w:tbl>
    <w:p>
      <w:pPr>
        <w:pStyle w:val="413"/>
        <w:numPr>
          <w:ilvl w:val="4"/>
          <w:numId w:val="0"/>
        </w:numPr>
        <w:spacing w:line="240" w:lineRule="auto"/>
        <w:rPr>
          <w:i w:val="0"/>
          <w:iCs w:val="0"/>
          <w:u w:val="single"/>
        </w:rPr>
      </w:pPr>
      <w:r>
        <w:rPr>
          <w:rFonts w:hint="eastAsia"/>
          <w:i w:val="0"/>
          <w:iCs w:val="0"/>
          <w:u w:val="single"/>
        </w:rPr>
        <w:t>表7-10</w:t>
      </w:r>
      <w:r>
        <w:rPr>
          <w:i w:val="0"/>
          <w:iCs w:val="0"/>
          <w:u w:val="single"/>
        </w:rPr>
        <w:t>包气带防污性能分级</w:t>
      </w:r>
    </w:p>
    <w:tbl>
      <w:tblPr>
        <w:tblStyle w:val="58"/>
        <w:tblW w:w="5000" w:type="pct"/>
        <w:tblInd w:w="0" w:type="dxa"/>
        <w:tblLayout w:type="autofit"/>
        <w:tblCellMar>
          <w:top w:w="0" w:type="dxa"/>
          <w:left w:w="0" w:type="dxa"/>
          <w:bottom w:w="0" w:type="dxa"/>
          <w:right w:w="0" w:type="dxa"/>
        </w:tblCellMar>
      </w:tblPr>
      <w:tblGrid>
        <w:gridCol w:w="1047"/>
        <w:gridCol w:w="8025"/>
      </w:tblGrid>
      <w:tr>
        <w:tblPrEx>
          <w:tblCellMar>
            <w:top w:w="0" w:type="dxa"/>
            <w:left w:w="0" w:type="dxa"/>
            <w:bottom w:w="0" w:type="dxa"/>
            <w:right w:w="0" w:type="dxa"/>
          </w:tblCellMar>
        </w:tblPrEx>
        <w:trPr>
          <w:trHeight w:val="23" w:hRule="atLeast"/>
        </w:trPr>
        <w:tc>
          <w:tcPr>
            <w:tcW w:w="577" w:type="pct"/>
            <w:tcBorders>
              <w:top w:val="single" w:color="000000" w:sz="12" w:space="0"/>
              <w:left w:val="nil"/>
              <w:bottom w:val="single" w:color="000000" w:sz="4" w:space="0"/>
              <w:right w:val="single" w:color="000000" w:sz="4" w:space="0"/>
            </w:tcBorders>
            <w:noWrap w:val="0"/>
            <w:vAlign w:val="center"/>
          </w:tcPr>
          <w:p>
            <w:pPr>
              <w:pStyle w:val="394"/>
              <w:jc w:val="center"/>
              <w:rPr>
                <w:i w:val="0"/>
                <w:iCs w:val="0"/>
                <w:kern w:val="21"/>
                <w:sz w:val="21"/>
                <w:szCs w:val="21"/>
                <w:u w:val="single"/>
              </w:rPr>
            </w:pPr>
            <w:r>
              <w:rPr>
                <w:i w:val="0"/>
                <w:iCs w:val="0"/>
                <w:kern w:val="21"/>
                <w:sz w:val="21"/>
                <w:szCs w:val="21"/>
                <w:u w:val="single"/>
              </w:rPr>
              <w:t>分级</w:t>
            </w:r>
          </w:p>
        </w:tc>
        <w:tc>
          <w:tcPr>
            <w:tcW w:w="4423" w:type="pct"/>
            <w:tcBorders>
              <w:top w:val="single" w:color="000000" w:sz="12" w:space="0"/>
              <w:left w:val="single" w:color="000000" w:sz="4" w:space="0"/>
              <w:bottom w:val="single" w:color="000000" w:sz="4" w:space="0"/>
              <w:right w:val="nil"/>
            </w:tcBorders>
            <w:noWrap w:val="0"/>
            <w:vAlign w:val="center"/>
          </w:tcPr>
          <w:p>
            <w:pPr>
              <w:pStyle w:val="394"/>
              <w:jc w:val="both"/>
              <w:rPr>
                <w:i w:val="0"/>
                <w:iCs w:val="0"/>
                <w:kern w:val="21"/>
                <w:sz w:val="21"/>
                <w:szCs w:val="21"/>
                <w:u w:val="single"/>
              </w:rPr>
            </w:pPr>
            <w:r>
              <w:rPr>
                <w:i w:val="0"/>
                <w:iCs w:val="0"/>
                <w:kern w:val="21"/>
                <w:sz w:val="21"/>
                <w:szCs w:val="21"/>
                <w:u w:val="single"/>
              </w:rPr>
              <w:t>包气带岩土的渗透性能</w:t>
            </w:r>
          </w:p>
        </w:tc>
      </w:tr>
      <w:tr>
        <w:tblPrEx>
          <w:tblCellMar>
            <w:top w:w="0" w:type="dxa"/>
            <w:left w:w="0" w:type="dxa"/>
            <w:bottom w:w="0" w:type="dxa"/>
            <w:right w:w="0" w:type="dxa"/>
          </w:tblCellMar>
        </w:tblPrEx>
        <w:trPr>
          <w:trHeight w:val="23" w:hRule="atLeast"/>
        </w:trPr>
        <w:tc>
          <w:tcPr>
            <w:tcW w:w="577" w:type="pct"/>
            <w:tcBorders>
              <w:top w:val="single" w:color="000000" w:sz="4" w:space="0"/>
              <w:left w:val="nil"/>
              <w:bottom w:val="single" w:color="000000" w:sz="4" w:space="0"/>
              <w:right w:val="single" w:color="000000" w:sz="4" w:space="0"/>
            </w:tcBorders>
            <w:noWrap w:val="0"/>
            <w:vAlign w:val="center"/>
          </w:tcPr>
          <w:p>
            <w:pPr>
              <w:pStyle w:val="394"/>
              <w:jc w:val="center"/>
              <w:rPr>
                <w:i w:val="0"/>
                <w:iCs w:val="0"/>
                <w:kern w:val="21"/>
                <w:sz w:val="21"/>
                <w:szCs w:val="21"/>
                <w:u w:val="single"/>
              </w:rPr>
            </w:pPr>
            <w:r>
              <w:rPr>
                <w:i w:val="0"/>
                <w:iCs w:val="0"/>
                <w:kern w:val="21"/>
                <w:sz w:val="21"/>
                <w:szCs w:val="21"/>
                <w:u w:val="single"/>
              </w:rPr>
              <w:t>D3</w:t>
            </w:r>
          </w:p>
        </w:tc>
        <w:tc>
          <w:tcPr>
            <w:tcW w:w="4423" w:type="pct"/>
            <w:tcBorders>
              <w:top w:val="single" w:color="000000" w:sz="4" w:space="0"/>
              <w:left w:val="single" w:color="000000" w:sz="4" w:space="0"/>
              <w:bottom w:val="single" w:color="000000" w:sz="4" w:space="0"/>
              <w:right w:val="nil"/>
            </w:tcBorders>
            <w:noWrap w:val="0"/>
            <w:vAlign w:val="center"/>
          </w:tcPr>
          <w:p>
            <w:pPr>
              <w:pStyle w:val="394"/>
              <w:jc w:val="both"/>
              <w:rPr>
                <w:i w:val="0"/>
                <w:iCs w:val="0"/>
                <w:kern w:val="21"/>
                <w:sz w:val="21"/>
                <w:szCs w:val="21"/>
                <w:u w:val="single"/>
              </w:rPr>
            </w:pPr>
            <w:r>
              <w:rPr>
                <w:i w:val="0"/>
                <w:iCs w:val="0"/>
                <w:kern w:val="21"/>
                <w:sz w:val="21"/>
                <w:szCs w:val="21"/>
                <w:u w:val="single"/>
              </w:rPr>
              <w:t>Mb≥1.0m，K≤1.0×10</w:t>
            </w:r>
            <w:r>
              <w:rPr>
                <w:i w:val="0"/>
                <w:iCs w:val="0"/>
                <w:kern w:val="21"/>
                <w:sz w:val="21"/>
                <w:szCs w:val="21"/>
                <w:u w:val="single"/>
                <w:vertAlign w:val="superscript"/>
              </w:rPr>
              <w:t>-6</w:t>
            </w:r>
            <w:r>
              <w:rPr>
                <w:i w:val="0"/>
                <w:iCs w:val="0"/>
                <w:kern w:val="21"/>
                <w:sz w:val="21"/>
                <w:szCs w:val="21"/>
                <w:u w:val="single"/>
              </w:rPr>
              <w:t>cm/s，且分布连续、稳定</w:t>
            </w:r>
          </w:p>
        </w:tc>
      </w:tr>
      <w:tr>
        <w:tblPrEx>
          <w:tblCellMar>
            <w:top w:w="0" w:type="dxa"/>
            <w:left w:w="0" w:type="dxa"/>
            <w:bottom w:w="0" w:type="dxa"/>
            <w:right w:w="0" w:type="dxa"/>
          </w:tblCellMar>
        </w:tblPrEx>
        <w:trPr>
          <w:trHeight w:val="23" w:hRule="atLeast"/>
        </w:trPr>
        <w:tc>
          <w:tcPr>
            <w:tcW w:w="577" w:type="pct"/>
            <w:tcBorders>
              <w:top w:val="single" w:color="000000" w:sz="4" w:space="0"/>
              <w:left w:val="nil"/>
              <w:bottom w:val="single" w:color="000000" w:sz="4" w:space="0"/>
              <w:right w:val="single" w:color="000000" w:sz="4" w:space="0"/>
            </w:tcBorders>
            <w:noWrap w:val="0"/>
            <w:vAlign w:val="center"/>
          </w:tcPr>
          <w:p>
            <w:pPr>
              <w:pStyle w:val="394"/>
              <w:jc w:val="center"/>
              <w:rPr>
                <w:i w:val="0"/>
                <w:iCs w:val="0"/>
                <w:kern w:val="21"/>
                <w:sz w:val="21"/>
                <w:szCs w:val="21"/>
                <w:u w:val="single"/>
              </w:rPr>
            </w:pPr>
            <w:r>
              <w:rPr>
                <w:i w:val="0"/>
                <w:iCs w:val="0"/>
                <w:kern w:val="21"/>
                <w:sz w:val="21"/>
                <w:szCs w:val="21"/>
                <w:u w:val="single"/>
              </w:rPr>
              <w:t>D2</w:t>
            </w:r>
          </w:p>
        </w:tc>
        <w:tc>
          <w:tcPr>
            <w:tcW w:w="4423" w:type="pct"/>
            <w:tcBorders>
              <w:top w:val="single" w:color="000000" w:sz="4" w:space="0"/>
              <w:left w:val="single" w:color="000000" w:sz="4" w:space="0"/>
              <w:bottom w:val="single" w:color="000000" w:sz="4" w:space="0"/>
              <w:right w:val="nil"/>
            </w:tcBorders>
            <w:noWrap w:val="0"/>
            <w:vAlign w:val="center"/>
          </w:tcPr>
          <w:p>
            <w:pPr>
              <w:pStyle w:val="394"/>
              <w:jc w:val="both"/>
              <w:rPr>
                <w:i w:val="0"/>
                <w:iCs w:val="0"/>
                <w:kern w:val="21"/>
                <w:sz w:val="21"/>
                <w:szCs w:val="21"/>
                <w:u w:val="single"/>
              </w:rPr>
            </w:pPr>
            <w:r>
              <w:rPr>
                <w:i w:val="0"/>
                <w:iCs w:val="0"/>
                <w:kern w:val="21"/>
                <w:sz w:val="21"/>
                <w:szCs w:val="21"/>
                <w:u w:val="single"/>
              </w:rPr>
              <w:t>0.5m≤Mb≤1.0m，K≤1.0×10</w:t>
            </w:r>
            <w:r>
              <w:rPr>
                <w:i w:val="0"/>
                <w:iCs w:val="0"/>
                <w:kern w:val="21"/>
                <w:sz w:val="21"/>
                <w:szCs w:val="21"/>
                <w:u w:val="single"/>
                <w:vertAlign w:val="superscript"/>
              </w:rPr>
              <w:t>-6</w:t>
            </w:r>
            <w:r>
              <w:rPr>
                <w:i w:val="0"/>
                <w:iCs w:val="0"/>
                <w:kern w:val="21"/>
                <w:sz w:val="21"/>
                <w:szCs w:val="21"/>
                <w:u w:val="single"/>
              </w:rPr>
              <w:t>cm/s，且分布连续、稳定Mb≥1.0m，1.0×10</w:t>
            </w:r>
            <w:r>
              <w:rPr>
                <w:i w:val="0"/>
                <w:iCs w:val="0"/>
                <w:kern w:val="21"/>
                <w:sz w:val="21"/>
                <w:szCs w:val="21"/>
                <w:u w:val="single"/>
                <w:vertAlign w:val="superscript"/>
              </w:rPr>
              <w:t>-6</w:t>
            </w:r>
            <w:r>
              <w:rPr>
                <w:i w:val="0"/>
                <w:iCs w:val="0"/>
                <w:kern w:val="21"/>
                <w:sz w:val="21"/>
                <w:szCs w:val="21"/>
                <w:u w:val="single"/>
              </w:rPr>
              <w:t>cm/s&lt;K≤1.0×10</w:t>
            </w:r>
            <w:r>
              <w:rPr>
                <w:i w:val="0"/>
                <w:iCs w:val="0"/>
                <w:kern w:val="21"/>
                <w:sz w:val="21"/>
                <w:szCs w:val="21"/>
                <w:u w:val="single"/>
                <w:vertAlign w:val="superscript"/>
              </w:rPr>
              <w:t>-4</w:t>
            </w:r>
            <w:r>
              <w:rPr>
                <w:i w:val="0"/>
                <w:iCs w:val="0"/>
                <w:kern w:val="21"/>
                <w:sz w:val="21"/>
                <w:szCs w:val="21"/>
                <w:u w:val="single"/>
              </w:rPr>
              <w:t>cm/s，且分布连续、稳定</w:t>
            </w:r>
          </w:p>
        </w:tc>
      </w:tr>
      <w:tr>
        <w:tblPrEx>
          <w:tblCellMar>
            <w:top w:w="0" w:type="dxa"/>
            <w:left w:w="0" w:type="dxa"/>
            <w:bottom w:w="0" w:type="dxa"/>
            <w:right w:w="0" w:type="dxa"/>
          </w:tblCellMar>
        </w:tblPrEx>
        <w:trPr>
          <w:trHeight w:val="23" w:hRule="atLeast"/>
        </w:trPr>
        <w:tc>
          <w:tcPr>
            <w:tcW w:w="577" w:type="pct"/>
            <w:tcBorders>
              <w:top w:val="single" w:color="000000" w:sz="4" w:space="0"/>
              <w:left w:val="nil"/>
              <w:bottom w:val="single" w:color="000000" w:sz="4" w:space="0"/>
              <w:right w:val="single" w:color="000000" w:sz="4" w:space="0"/>
            </w:tcBorders>
            <w:noWrap w:val="0"/>
            <w:vAlign w:val="center"/>
          </w:tcPr>
          <w:p>
            <w:pPr>
              <w:pStyle w:val="394"/>
              <w:jc w:val="center"/>
              <w:rPr>
                <w:i w:val="0"/>
                <w:iCs w:val="0"/>
                <w:kern w:val="21"/>
                <w:sz w:val="21"/>
                <w:szCs w:val="21"/>
                <w:u w:val="single"/>
              </w:rPr>
            </w:pPr>
            <w:r>
              <w:rPr>
                <w:i w:val="0"/>
                <w:iCs w:val="0"/>
                <w:kern w:val="21"/>
                <w:sz w:val="21"/>
                <w:szCs w:val="21"/>
                <w:u w:val="single"/>
              </w:rPr>
              <w:t>D1</w:t>
            </w:r>
          </w:p>
        </w:tc>
        <w:tc>
          <w:tcPr>
            <w:tcW w:w="4423" w:type="pct"/>
            <w:tcBorders>
              <w:top w:val="single" w:color="000000" w:sz="4" w:space="0"/>
              <w:left w:val="single" w:color="000000" w:sz="4" w:space="0"/>
              <w:bottom w:val="single" w:color="000000" w:sz="4" w:space="0"/>
              <w:right w:val="nil"/>
            </w:tcBorders>
            <w:noWrap w:val="0"/>
            <w:vAlign w:val="center"/>
          </w:tcPr>
          <w:p>
            <w:pPr>
              <w:pStyle w:val="394"/>
              <w:jc w:val="both"/>
              <w:rPr>
                <w:i w:val="0"/>
                <w:iCs w:val="0"/>
                <w:kern w:val="21"/>
                <w:sz w:val="21"/>
                <w:szCs w:val="21"/>
                <w:u w:val="single"/>
              </w:rPr>
            </w:pPr>
            <w:r>
              <w:rPr>
                <w:i w:val="0"/>
                <w:iCs w:val="0"/>
                <w:kern w:val="21"/>
                <w:sz w:val="21"/>
                <w:szCs w:val="21"/>
                <w:u w:val="single"/>
              </w:rPr>
              <w:t>岩（土）层不满足上述“D2”和“D3”条件</w:t>
            </w:r>
          </w:p>
        </w:tc>
      </w:tr>
      <w:tr>
        <w:tblPrEx>
          <w:tblCellMar>
            <w:top w:w="0" w:type="dxa"/>
            <w:left w:w="0" w:type="dxa"/>
            <w:bottom w:w="0" w:type="dxa"/>
            <w:right w:w="0" w:type="dxa"/>
          </w:tblCellMar>
        </w:tblPrEx>
        <w:trPr>
          <w:trHeight w:val="23" w:hRule="atLeast"/>
        </w:trPr>
        <w:tc>
          <w:tcPr>
            <w:tcW w:w="5000" w:type="pct"/>
            <w:gridSpan w:val="2"/>
            <w:tcBorders>
              <w:top w:val="single" w:color="000000" w:sz="4" w:space="0"/>
              <w:left w:val="nil"/>
              <w:bottom w:val="single" w:color="000000" w:sz="12" w:space="0"/>
              <w:right w:val="nil"/>
            </w:tcBorders>
            <w:noWrap w:val="0"/>
            <w:vAlign w:val="center"/>
          </w:tcPr>
          <w:p>
            <w:pPr>
              <w:pStyle w:val="394"/>
              <w:jc w:val="center"/>
              <w:rPr>
                <w:i w:val="0"/>
                <w:iCs w:val="0"/>
                <w:kern w:val="21"/>
                <w:sz w:val="21"/>
                <w:szCs w:val="21"/>
                <w:u w:val="single"/>
              </w:rPr>
            </w:pPr>
            <w:r>
              <w:rPr>
                <w:rFonts w:eastAsia="Times New Roman"/>
                <w:i w:val="0"/>
                <w:iCs w:val="0"/>
                <w:kern w:val="21"/>
                <w:sz w:val="21"/>
                <w:szCs w:val="21"/>
                <w:u w:val="single"/>
              </w:rPr>
              <w:t>Mb:</w:t>
            </w:r>
            <w:r>
              <w:rPr>
                <w:i w:val="0"/>
                <w:iCs w:val="0"/>
                <w:kern w:val="21"/>
                <w:sz w:val="21"/>
                <w:szCs w:val="21"/>
                <w:u w:val="single"/>
              </w:rPr>
              <w:t>岩土层单层厚度。</w:t>
            </w:r>
            <w:r>
              <w:rPr>
                <w:rFonts w:eastAsia="Times New Roman"/>
                <w:i w:val="0"/>
                <w:iCs w:val="0"/>
                <w:kern w:val="21"/>
                <w:sz w:val="21"/>
                <w:szCs w:val="21"/>
                <w:u w:val="single"/>
              </w:rPr>
              <w:t>K</w:t>
            </w:r>
            <w:r>
              <w:rPr>
                <w:i w:val="0"/>
                <w:iCs w:val="0"/>
                <w:kern w:val="21"/>
                <w:sz w:val="21"/>
                <w:szCs w:val="21"/>
                <w:u w:val="single"/>
              </w:rPr>
              <w:t>：渗透系数。</w:t>
            </w:r>
          </w:p>
        </w:tc>
      </w:tr>
    </w:tbl>
    <w:p>
      <w:pPr>
        <w:pStyle w:val="6"/>
        <w:ind w:firstLine="480"/>
        <w:rPr>
          <w:i w:val="0"/>
          <w:iCs w:val="0"/>
          <w:u w:val="single"/>
          <w:lang w:val="zh-CN"/>
        </w:rPr>
      </w:pPr>
      <w:bookmarkStart w:id="231" w:name="6.2.1.4_E值的判定"/>
      <w:bookmarkEnd w:id="231"/>
      <w:r>
        <w:rPr>
          <w:rFonts w:hint="eastAsia"/>
          <w:i w:val="0"/>
          <w:iCs w:val="0"/>
          <w:u w:val="single"/>
        </w:rPr>
        <w:t>4、</w:t>
      </w:r>
      <w:r>
        <w:rPr>
          <w:i w:val="0"/>
          <w:iCs w:val="0"/>
          <w:u w:val="single"/>
          <w:lang w:val="zh-CN"/>
        </w:rPr>
        <w:t>E值的判定</w:t>
      </w:r>
    </w:p>
    <w:p>
      <w:pPr>
        <w:pStyle w:val="6"/>
        <w:ind w:firstLine="480"/>
        <w:rPr>
          <w:i w:val="0"/>
          <w:iCs w:val="0"/>
          <w:u w:val="single"/>
          <w:lang w:val="zh-CN"/>
        </w:rPr>
      </w:pPr>
      <w:r>
        <w:rPr>
          <w:i w:val="0"/>
          <w:iCs w:val="0"/>
          <w:u w:val="single"/>
          <w:lang w:val="zh-CN"/>
        </w:rPr>
        <w:t>根据《建设项目环境风险评价技术导则》（HJ169-2018）附录D，本项目环境敏感程度均为E</w:t>
      </w:r>
      <w:r>
        <w:rPr>
          <w:rFonts w:hint="eastAsia"/>
          <w:i w:val="0"/>
          <w:iCs w:val="0"/>
          <w:u w:val="single"/>
        </w:rPr>
        <w:t>1</w:t>
      </w:r>
      <w:r>
        <w:rPr>
          <w:rFonts w:hint="eastAsia"/>
          <w:i w:val="0"/>
          <w:iCs w:val="0"/>
          <w:u w:val="single"/>
          <w:lang w:val="zh-CN"/>
        </w:rPr>
        <w:t>，</w:t>
      </w:r>
      <w:r>
        <w:rPr>
          <w:i w:val="0"/>
          <w:iCs w:val="0"/>
          <w:u w:val="single"/>
          <w:lang w:val="zh-CN"/>
        </w:rPr>
        <w:t>地表水、地下水环境敏感程度均为E3。故本项目确定环境敏感程度（E）为E</w:t>
      </w:r>
      <w:r>
        <w:rPr>
          <w:rFonts w:hint="eastAsia"/>
          <w:i w:val="0"/>
          <w:iCs w:val="0"/>
          <w:u w:val="single"/>
        </w:rPr>
        <w:t>1</w:t>
      </w:r>
      <w:r>
        <w:rPr>
          <w:rFonts w:hint="eastAsia"/>
          <w:i w:val="0"/>
          <w:iCs w:val="0"/>
          <w:u w:val="single"/>
          <w:lang w:val="zh-CN"/>
        </w:rPr>
        <w:t>。</w:t>
      </w:r>
    </w:p>
    <w:p>
      <w:pPr>
        <w:keepNext/>
        <w:keepLines/>
        <w:widowControl/>
        <w:spacing w:line="360" w:lineRule="auto"/>
        <w:outlineLvl w:val="3"/>
        <w:rPr>
          <w:b/>
          <w:bCs/>
          <w:i w:val="0"/>
          <w:iCs w:val="0"/>
          <w:color w:val="000000"/>
          <w:kern w:val="0"/>
          <w:szCs w:val="28"/>
          <w:u w:val="single"/>
        </w:rPr>
      </w:pPr>
      <w:r>
        <w:rPr>
          <w:rFonts w:hint="eastAsia"/>
          <w:b/>
          <w:bCs/>
          <w:i w:val="0"/>
          <w:iCs w:val="0"/>
          <w:color w:val="000000"/>
          <w:kern w:val="0"/>
          <w:szCs w:val="28"/>
          <w:u w:val="single"/>
        </w:rPr>
        <w:t>7.1.4.3 项目环境风险潜势判断</w:t>
      </w:r>
    </w:p>
    <w:p>
      <w:pPr>
        <w:widowControl/>
        <w:spacing w:line="360" w:lineRule="auto"/>
        <w:ind w:firstLine="480" w:firstLineChars="200"/>
        <w:rPr>
          <w:i w:val="0"/>
          <w:iCs w:val="0"/>
          <w:color w:val="000000"/>
          <w:szCs w:val="20"/>
          <w:u w:val="single"/>
        </w:rPr>
      </w:pPr>
      <w:r>
        <w:rPr>
          <w:i w:val="0"/>
          <w:iCs w:val="0"/>
          <w:color w:val="000000"/>
          <w:szCs w:val="20"/>
          <w:u w:val="single"/>
        </w:rPr>
        <w:t>建设项目环境风险潜势划分为I、II、III、IV/IV</w:t>
      </w:r>
      <w:r>
        <w:rPr>
          <w:i w:val="0"/>
          <w:iCs w:val="0"/>
          <w:color w:val="000000"/>
          <w:szCs w:val="20"/>
          <w:u w:val="single"/>
          <w:vertAlign w:val="superscript"/>
        </w:rPr>
        <w:t>+</w:t>
      </w:r>
      <w:r>
        <w:rPr>
          <w:i w:val="0"/>
          <w:iCs w:val="0"/>
          <w:color w:val="000000"/>
          <w:szCs w:val="20"/>
          <w:u w:val="single"/>
        </w:rPr>
        <w:t>级。</w:t>
      </w:r>
    </w:p>
    <w:p>
      <w:pPr>
        <w:widowControl/>
        <w:spacing w:line="360" w:lineRule="auto"/>
        <w:ind w:firstLine="480" w:firstLineChars="200"/>
        <w:rPr>
          <w:i w:val="0"/>
          <w:iCs w:val="0"/>
          <w:color w:val="000000"/>
          <w:szCs w:val="20"/>
          <w:u w:val="single"/>
        </w:rPr>
      </w:pPr>
      <w:r>
        <w:rPr>
          <w:i w:val="0"/>
          <w:iCs w:val="0"/>
          <w:color w:val="000000"/>
          <w:szCs w:val="20"/>
          <w:u w:val="single"/>
        </w:rPr>
        <w:t>根据建设项目涉及的物质和工艺系统的危险性及其所在地的环境敏感程度，结合事故情形下环境影响途径，对建设项目潜在环境危害程度进行概化分析，按照表</w:t>
      </w:r>
      <w:r>
        <w:rPr>
          <w:rFonts w:hint="eastAsia"/>
          <w:i w:val="0"/>
          <w:iCs w:val="0"/>
          <w:color w:val="000000"/>
          <w:szCs w:val="20"/>
          <w:u w:val="single"/>
        </w:rPr>
        <w:t>7-1</w:t>
      </w:r>
      <w:r>
        <w:rPr>
          <w:i w:val="0"/>
          <w:iCs w:val="0"/>
          <w:color w:val="000000"/>
          <w:szCs w:val="20"/>
          <w:u w:val="single"/>
        </w:rPr>
        <w:t>1确定环境风险潜势。</w:t>
      </w:r>
    </w:p>
    <w:p>
      <w:pPr>
        <w:pStyle w:val="413"/>
        <w:numPr>
          <w:ilvl w:val="4"/>
          <w:numId w:val="0"/>
        </w:numPr>
        <w:spacing w:line="240" w:lineRule="auto"/>
        <w:rPr>
          <w:rFonts w:hint="eastAsia"/>
          <w:i w:val="0"/>
          <w:iCs w:val="0"/>
          <w:u w:val="single"/>
        </w:rPr>
      </w:pPr>
      <w:r>
        <w:rPr>
          <w:rFonts w:hint="eastAsia"/>
          <w:i w:val="0"/>
          <w:iCs w:val="0"/>
          <w:u w:val="single"/>
        </w:rPr>
        <w:t>表7-11   建设项目环境风险潜势划分</w:t>
      </w:r>
    </w:p>
    <w:tbl>
      <w:tblPr>
        <w:tblStyle w:val="58"/>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1701"/>
        <w:gridCol w:w="1654"/>
        <w:gridCol w:w="1635"/>
        <w:gridCol w:w="15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2" w:type="dxa"/>
            <w:vMerge w:val="restart"/>
            <w:noWrap w:val="0"/>
            <w:vAlign w:val="center"/>
          </w:tcPr>
          <w:p>
            <w:pPr>
              <w:jc w:val="center"/>
              <w:rPr>
                <w:b/>
                <w:i w:val="0"/>
                <w:iCs w:val="0"/>
                <w:snapToGrid w:val="0"/>
                <w:color w:val="000000"/>
                <w:sz w:val="21"/>
                <w:szCs w:val="21"/>
                <w:u w:val="single"/>
              </w:rPr>
            </w:pPr>
            <w:r>
              <w:rPr>
                <w:rFonts w:hint="eastAsia"/>
                <w:b/>
                <w:i w:val="0"/>
                <w:iCs w:val="0"/>
                <w:snapToGrid w:val="0"/>
                <w:color w:val="000000"/>
                <w:sz w:val="21"/>
                <w:szCs w:val="21"/>
                <w:u w:val="single"/>
              </w:rPr>
              <w:t>环境敏感程度（E）</w:t>
            </w:r>
          </w:p>
        </w:tc>
        <w:tc>
          <w:tcPr>
            <w:tcW w:w="6519" w:type="dxa"/>
            <w:gridSpan w:val="4"/>
            <w:noWrap w:val="0"/>
            <w:vAlign w:val="center"/>
          </w:tcPr>
          <w:p>
            <w:pPr>
              <w:jc w:val="center"/>
              <w:rPr>
                <w:b/>
                <w:i w:val="0"/>
                <w:iCs w:val="0"/>
                <w:snapToGrid w:val="0"/>
                <w:color w:val="000000"/>
                <w:sz w:val="21"/>
                <w:szCs w:val="21"/>
                <w:u w:val="single"/>
              </w:rPr>
            </w:pPr>
            <w:r>
              <w:rPr>
                <w:rFonts w:hint="eastAsia"/>
                <w:b/>
                <w:i w:val="0"/>
                <w:iCs w:val="0"/>
                <w:snapToGrid w:val="0"/>
                <w:color w:val="000000"/>
                <w:sz w:val="21"/>
                <w:szCs w:val="21"/>
                <w:u w:val="single"/>
              </w:rPr>
              <w:t>危险物质及工艺系统危险性（P）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2" w:type="dxa"/>
            <w:vMerge w:val="continue"/>
            <w:noWrap w:val="0"/>
            <w:vAlign w:val="center"/>
          </w:tcPr>
          <w:p>
            <w:pPr>
              <w:jc w:val="center"/>
              <w:rPr>
                <w:b/>
                <w:i w:val="0"/>
                <w:iCs w:val="0"/>
                <w:snapToGrid w:val="0"/>
                <w:color w:val="000000"/>
                <w:sz w:val="21"/>
                <w:szCs w:val="21"/>
                <w:u w:val="single"/>
              </w:rPr>
            </w:pPr>
          </w:p>
        </w:tc>
        <w:tc>
          <w:tcPr>
            <w:tcW w:w="1701" w:type="dxa"/>
            <w:noWrap w:val="0"/>
            <w:vAlign w:val="center"/>
          </w:tcPr>
          <w:p>
            <w:pPr>
              <w:jc w:val="center"/>
              <w:rPr>
                <w:b/>
                <w:i w:val="0"/>
                <w:iCs w:val="0"/>
                <w:snapToGrid w:val="0"/>
                <w:color w:val="000000"/>
                <w:sz w:val="21"/>
                <w:szCs w:val="21"/>
                <w:u w:val="single"/>
              </w:rPr>
            </w:pPr>
            <w:r>
              <w:rPr>
                <w:rFonts w:hint="eastAsia"/>
                <w:b/>
                <w:i w:val="0"/>
                <w:iCs w:val="0"/>
                <w:snapToGrid w:val="0"/>
                <w:color w:val="000000"/>
                <w:sz w:val="21"/>
                <w:szCs w:val="21"/>
                <w:u w:val="single"/>
              </w:rPr>
              <w:t>极高危害（P1）</w:t>
            </w:r>
          </w:p>
        </w:tc>
        <w:tc>
          <w:tcPr>
            <w:tcW w:w="1654" w:type="dxa"/>
            <w:noWrap w:val="0"/>
            <w:vAlign w:val="center"/>
          </w:tcPr>
          <w:p>
            <w:pPr>
              <w:jc w:val="center"/>
              <w:rPr>
                <w:b/>
                <w:i w:val="0"/>
                <w:iCs w:val="0"/>
                <w:snapToGrid w:val="0"/>
                <w:color w:val="000000"/>
                <w:sz w:val="21"/>
                <w:szCs w:val="21"/>
                <w:u w:val="single"/>
              </w:rPr>
            </w:pPr>
            <w:r>
              <w:rPr>
                <w:rFonts w:hint="eastAsia"/>
                <w:b/>
                <w:i w:val="0"/>
                <w:iCs w:val="0"/>
                <w:snapToGrid w:val="0"/>
                <w:color w:val="000000"/>
                <w:sz w:val="21"/>
                <w:szCs w:val="21"/>
                <w:u w:val="single"/>
              </w:rPr>
              <w:t>高度危害（P2）</w:t>
            </w:r>
          </w:p>
        </w:tc>
        <w:tc>
          <w:tcPr>
            <w:tcW w:w="1635" w:type="dxa"/>
            <w:noWrap w:val="0"/>
            <w:vAlign w:val="center"/>
          </w:tcPr>
          <w:p>
            <w:pPr>
              <w:jc w:val="center"/>
              <w:rPr>
                <w:b/>
                <w:i w:val="0"/>
                <w:iCs w:val="0"/>
                <w:snapToGrid w:val="0"/>
                <w:color w:val="000000"/>
                <w:sz w:val="21"/>
                <w:szCs w:val="21"/>
                <w:u w:val="single"/>
              </w:rPr>
            </w:pPr>
            <w:r>
              <w:rPr>
                <w:rFonts w:hint="eastAsia"/>
                <w:b/>
                <w:i w:val="0"/>
                <w:iCs w:val="0"/>
                <w:snapToGrid w:val="0"/>
                <w:color w:val="000000"/>
                <w:sz w:val="21"/>
                <w:szCs w:val="21"/>
                <w:u w:val="single"/>
              </w:rPr>
              <w:t>中度危害（P3）</w:t>
            </w:r>
          </w:p>
        </w:tc>
        <w:tc>
          <w:tcPr>
            <w:tcW w:w="1529" w:type="dxa"/>
            <w:noWrap w:val="0"/>
            <w:vAlign w:val="center"/>
          </w:tcPr>
          <w:p>
            <w:pPr>
              <w:jc w:val="center"/>
              <w:rPr>
                <w:b/>
                <w:i w:val="0"/>
                <w:iCs w:val="0"/>
                <w:snapToGrid w:val="0"/>
                <w:color w:val="000000"/>
                <w:sz w:val="21"/>
                <w:szCs w:val="21"/>
                <w:u w:val="single"/>
              </w:rPr>
            </w:pPr>
            <w:r>
              <w:rPr>
                <w:rFonts w:hint="eastAsia"/>
                <w:b/>
                <w:i w:val="0"/>
                <w:iCs w:val="0"/>
                <w:snapToGrid w:val="0"/>
                <w:color w:val="000000"/>
                <w:sz w:val="21"/>
                <w:szCs w:val="21"/>
                <w:u w:val="single"/>
              </w:rPr>
              <w:t>轻度危害（P4）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2" w:type="dxa"/>
            <w:noWrap w:val="0"/>
            <w:vAlign w:val="center"/>
          </w:tcPr>
          <w:p>
            <w:pPr>
              <w:jc w:val="center"/>
              <w:rPr>
                <w:i w:val="0"/>
                <w:iCs w:val="0"/>
                <w:snapToGrid w:val="0"/>
                <w:color w:val="000000"/>
                <w:sz w:val="21"/>
                <w:szCs w:val="21"/>
                <w:u w:val="single"/>
              </w:rPr>
            </w:pPr>
            <w:r>
              <w:rPr>
                <w:rFonts w:hint="eastAsia"/>
                <w:i w:val="0"/>
                <w:iCs w:val="0"/>
                <w:snapToGrid w:val="0"/>
                <w:color w:val="000000"/>
                <w:sz w:val="21"/>
                <w:szCs w:val="21"/>
                <w:u w:val="single"/>
              </w:rPr>
              <w:t>环境高度敏感区（E1）</w:t>
            </w:r>
          </w:p>
        </w:tc>
        <w:tc>
          <w:tcPr>
            <w:tcW w:w="1701" w:type="dxa"/>
            <w:noWrap w:val="0"/>
            <w:vAlign w:val="center"/>
          </w:tcPr>
          <w:p>
            <w:pPr>
              <w:jc w:val="center"/>
              <w:rPr>
                <w:i w:val="0"/>
                <w:iCs w:val="0"/>
                <w:snapToGrid w:val="0"/>
                <w:color w:val="000000"/>
                <w:sz w:val="21"/>
                <w:szCs w:val="21"/>
                <w:u w:val="single"/>
              </w:rPr>
            </w:pPr>
            <w:r>
              <w:rPr>
                <w:i w:val="0"/>
                <w:iCs w:val="0"/>
                <w:snapToGrid w:val="0"/>
                <w:color w:val="000000"/>
                <w:sz w:val="21"/>
                <w:szCs w:val="21"/>
                <w:u w:val="single"/>
              </w:rPr>
              <w:t>Ⅳ</w:t>
            </w:r>
            <w:r>
              <w:rPr>
                <w:i w:val="0"/>
                <w:iCs w:val="0"/>
                <w:snapToGrid w:val="0"/>
                <w:color w:val="000000"/>
                <w:sz w:val="21"/>
                <w:szCs w:val="21"/>
                <w:u w:val="single"/>
                <w:vertAlign w:val="superscript"/>
              </w:rPr>
              <w:t>+</w:t>
            </w:r>
          </w:p>
        </w:tc>
        <w:tc>
          <w:tcPr>
            <w:tcW w:w="1654" w:type="dxa"/>
            <w:noWrap w:val="0"/>
            <w:vAlign w:val="center"/>
          </w:tcPr>
          <w:p>
            <w:pPr>
              <w:jc w:val="center"/>
              <w:rPr>
                <w:i w:val="0"/>
                <w:iCs w:val="0"/>
                <w:snapToGrid w:val="0"/>
                <w:color w:val="000000"/>
                <w:sz w:val="21"/>
                <w:szCs w:val="21"/>
                <w:u w:val="single"/>
              </w:rPr>
            </w:pPr>
            <w:r>
              <w:rPr>
                <w:i w:val="0"/>
                <w:iCs w:val="0"/>
                <w:snapToGrid w:val="0"/>
                <w:color w:val="000000"/>
                <w:sz w:val="21"/>
                <w:szCs w:val="21"/>
                <w:u w:val="single"/>
              </w:rPr>
              <w:t>Ⅳ</w:t>
            </w:r>
          </w:p>
        </w:tc>
        <w:tc>
          <w:tcPr>
            <w:tcW w:w="1635" w:type="dxa"/>
            <w:noWrap w:val="0"/>
            <w:vAlign w:val="center"/>
          </w:tcPr>
          <w:p>
            <w:pPr>
              <w:jc w:val="center"/>
              <w:rPr>
                <w:i w:val="0"/>
                <w:iCs w:val="0"/>
                <w:snapToGrid w:val="0"/>
                <w:color w:val="000000"/>
                <w:sz w:val="21"/>
                <w:szCs w:val="21"/>
                <w:u w:val="single"/>
              </w:rPr>
            </w:pPr>
            <w:r>
              <w:rPr>
                <w:i w:val="0"/>
                <w:iCs w:val="0"/>
                <w:snapToGrid w:val="0"/>
                <w:color w:val="000000"/>
                <w:sz w:val="21"/>
                <w:szCs w:val="21"/>
                <w:u w:val="single"/>
              </w:rPr>
              <w:t>Ⅲ</w:t>
            </w:r>
          </w:p>
        </w:tc>
        <w:tc>
          <w:tcPr>
            <w:tcW w:w="1529" w:type="dxa"/>
            <w:noWrap w:val="0"/>
            <w:vAlign w:val="center"/>
          </w:tcPr>
          <w:p>
            <w:pPr>
              <w:jc w:val="center"/>
              <w:rPr>
                <w:i w:val="0"/>
                <w:iCs w:val="0"/>
                <w:snapToGrid w:val="0"/>
                <w:color w:val="000000"/>
                <w:sz w:val="21"/>
                <w:szCs w:val="21"/>
                <w:u w:val="single"/>
              </w:rPr>
            </w:pPr>
            <w:r>
              <w:rPr>
                <w:i w:val="0"/>
                <w:iCs w:val="0"/>
                <w:snapToGrid w:val="0"/>
                <w:color w:val="000000"/>
                <w:sz w:val="21"/>
                <w:szCs w:val="21"/>
                <w:u w:val="single"/>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2" w:type="dxa"/>
            <w:noWrap w:val="0"/>
            <w:vAlign w:val="center"/>
          </w:tcPr>
          <w:p>
            <w:pPr>
              <w:jc w:val="center"/>
              <w:rPr>
                <w:i w:val="0"/>
                <w:iCs w:val="0"/>
                <w:snapToGrid w:val="0"/>
                <w:color w:val="000000"/>
                <w:sz w:val="21"/>
                <w:szCs w:val="21"/>
                <w:u w:val="single"/>
              </w:rPr>
            </w:pPr>
            <w:r>
              <w:rPr>
                <w:rFonts w:hint="eastAsia"/>
                <w:i w:val="0"/>
                <w:iCs w:val="0"/>
                <w:snapToGrid w:val="0"/>
                <w:color w:val="000000"/>
                <w:sz w:val="21"/>
                <w:szCs w:val="21"/>
                <w:u w:val="single"/>
              </w:rPr>
              <w:t>环境中度敏感区（E2）</w:t>
            </w:r>
          </w:p>
        </w:tc>
        <w:tc>
          <w:tcPr>
            <w:tcW w:w="1701" w:type="dxa"/>
            <w:noWrap w:val="0"/>
            <w:vAlign w:val="center"/>
          </w:tcPr>
          <w:p>
            <w:pPr>
              <w:jc w:val="center"/>
              <w:rPr>
                <w:i w:val="0"/>
                <w:iCs w:val="0"/>
                <w:snapToGrid w:val="0"/>
                <w:color w:val="000000"/>
                <w:sz w:val="21"/>
                <w:szCs w:val="21"/>
                <w:u w:val="single"/>
              </w:rPr>
            </w:pPr>
            <w:r>
              <w:rPr>
                <w:i w:val="0"/>
                <w:iCs w:val="0"/>
                <w:snapToGrid w:val="0"/>
                <w:color w:val="000000"/>
                <w:sz w:val="21"/>
                <w:szCs w:val="21"/>
                <w:u w:val="single"/>
              </w:rPr>
              <w:t>Ⅳ</w:t>
            </w:r>
          </w:p>
        </w:tc>
        <w:tc>
          <w:tcPr>
            <w:tcW w:w="1654" w:type="dxa"/>
            <w:noWrap w:val="0"/>
            <w:vAlign w:val="center"/>
          </w:tcPr>
          <w:p>
            <w:pPr>
              <w:jc w:val="center"/>
              <w:rPr>
                <w:i w:val="0"/>
                <w:iCs w:val="0"/>
                <w:snapToGrid w:val="0"/>
                <w:color w:val="000000"/>
                <w:sz w:val="21"/>
                <w:szCs w:val="21"/>
                <w:u w:val="single"/>
              </w:rPr>
            </w:pPr>
            <w:r>
              <w:rPr>
                <w:i w:val="0"/>
                <w:iCs w:val="0"/>
                <w:snapToGrid w:val="0"/>
                <w:color w:val="000000"/>
                <w:sz w:val="21"/>
                <w:szCs w:val="21"/>
                <w:u w:val="single"/>
              </w:rPr>
              <w:t>Ⅲ</w:t>
            </w:r>
          </w:p>
        </w:tc>
        <w:tc>
          <w:tcPr>
            <w:tcW w:w="1635" w:type="dxa"/>
            <w:noWrap w:val="0"/>
            <w:vAlign w:val="center"/>
          </w:tcPr>
          <w:p>
            <w:pPr>
              <w:jc w:val="center"/>
              <w:rPr>
                <w:i w:val="0"/>
                <w:iCs w:val="0"/>
                <w:snapToGrid w:val="0"/>
                <w:color w:val="000000"/>
                <w:sz w:val="21"/>
                <w:szCs w:val="21"/>
                <w:u w:val="single"/>
              </w:rPr>
            </w:pPr>
            <w:r>
              <w:rPr>
                <w:i w:val="0"/>
                <w:iCs w:val="0"/>
                <w:snapToGrid w:val="0"/>
                <w:color w:val="000000"/>
                <w:sz w:val="21"/>
                <w:szCs w:val="21"/>
                <w:u w:val="single"/>
              </w:rPr>
              <w:t>Ⅲ</w:t>
            </w:r>
          </w:p>
        </w:tc>
        <w:tc>
          <w:tcPr>
            <w:tcW w:w="1529" w:type="dxa"/>
            <w:noWrap w:val="0"/>
            <w:vAlign w:val="center"/>
          </w:tcPr>
          <w:p>
            <w:pPr>
              <w:jc w:val="center"/>
              <w:rPr>
                <w:i w:val="0"/>
                <w:iCs w:val="0"/>
                <w:snapToGrid w:val="0"/>
                <w:color w:val="000000"/>
                <w:sz w:val="21"/>
                <w:szCs w:val="21"/>
                <w:u w:val="single"/>
              </w:rPr>
            </w:pPr>
            <w:r>
              <w:rPr>
                <w:i w:val="0"/>
                <w:iCs w:val="0"/>
                <w:snapToGrid w:val="0"/>
                <w:color w:val="000000"/>
                <w:sz w:val="21"/>
                <w:szCs w:val="21"/>
                <w:u w:val="single"/>
              </w:rPr>
              <w:t>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2" w:type="dxa"/>
            <w:noWrap w:val="0"/>
            <w:vAlign w:val="center"/>
          </w:tcPr>
          <w:p>
            <w:pPr>
              <w:jc w:val="center"/>
              <w:rPr>
                <w:i w:val="0"/>
                <w:iCs w:val="0"/>
                <w:snapToGrid w:val="0"/>
                <w:color w:val="000000"/>
                <w:sz w:val="21"/>
                <w:szCs w:val="21"/>
                <w:u w:val="single"/>
              </w:rPr>
            </w:pPr>
            <w:r>
              <w:rPr>
                <w:rFonts w:hint="eastAsia"/>
                <w:i w:val="0"/>
                <w:iCs w:val="0"/>
                <w:snapToGrid w:val="0"/>
                <w:color w:val="000000"/>
                <w:sz w:val="21"/>
                <w:szCs w:val="21"/>
                <w:u w:val="single"/>
              </w:rPr>
              <w:t>环境低度敏感区（E3）</w:t>
            </w:r>
          </w:p>
        </w:tc>
        <w:tc>
          <w:tcPr>
            <w:tcW w:w="1701" w:type="dxa"/>
            <w:noWrap w:val="0"/>
            <w:vAlign w:val="center"/>
          </w:tcPr>
          <w:p>
            <w:pPr>
              <w:jc w:val="center"/>
              <w:rPr>
                <w:i w:val="0"/>
                <w:iCs w:val="0"/>
                <w:snapToGrid w:val="0"/>
                <w:color w:val="000000"/>
                <w:sz w:val="21"/>
                <w:szCs w:val="21"/>
                <w:u w:val="single"/>
              </w:rPr>
            </w:pPr>
            <w:r>
              <w:rPr>
                <w:i w:val="0"/>
                <w:iCs w:val="0"/>
                <w:snapToGrid w:val="0"/>
                <w:color w:val="000000"/>
                <w:sz w:val="21"/>
                <w:szCs w:val="21"/>
                <w:u w:val="single"/>
              </w:rPr>
              <w:t>Ⅲ</w:t>
            </w:r>
          </w:p>
        </w:tc>
        <w:tc>
          <w:tcPr>
            <w:tcW w:w="1654" w:type="dxa"/>
            <w:noWrap w:val="0"/>
            <w:vAlign w:val="center"/>
          </w:tcPr>
          <w:p>
            <w:pPr>
              <w:jc w:val="center"/>
              <w:rPr>
                <w:i w:val="0"/>
                <w:iCs w:val="0"/>
                <w:snapToGrid w:val="0"/>
                <w:color w:val="000000"/>
                <w:sz w:val="21"/>
                <w:szCs w:val="21"/>
                <w:u w:val="single"/>
              </w:rPr>
            </w:pPr>
            <w:r>
              <w:rPr>
                <w:i w:val="0"/>
                <w:iCs w:val="0"/>
                <w:snapToGrid w:val="0"/>
                <w:color w:val="000000"/>
                <w:sz w:val="21"/>
                <w:szCs w:val="21"/>
                <w:u w:val="single"/>
              </w:rPr>
              <w:t>Ⅲ</w:t>
            </w:r>
          </w:p>
        </w:tc>
        <w:tc>
          <w:tcPr>
            <w:tcW w:w="1635" w:type="dxa"/>
            <w:noWrap w:val="0"/>
            <w:vAlign w:val="center"/>
          </w:tcPr>
          <w:p>
            <w:pPr>
              <w:jc w:val="center"/>
              <w:rPr>
                <w:i w:val="0"/>
                <w:iCs w:val="0"/>
                <w:snapToGrid w:val="0"/>
                <w:color w:val="000000"/>
                <w:sz w:val="21"/>
                <w:szCs w:val="21"/>
                <w:u w:val="single"/>
              </w:rPr>
            </w:pPr>
            <w:r>
              <w:rPr>
                <w:i w:val="0"/>
                <w:iCs w:val="0"/>
                <w:snapToGrid w:val="0"/>
                <w:color w:val="000000"/>
                <w:sz w:val="21"/>
                <w:szCs w:val="21"/>
                <w:u w:val="single"/>
              </w:rPr>
              <w:t>Ⅱ</w:t>
            </w:r>
          </w:p>
        </w:tc>
        <w:tc>
          <w:tcPr>
            <w:tcW w:w="1529" w:type="dxa"/>
            <w:noWrap w:val="0"/>
            <w:vAlign w:val="center"/>
          </w:tcPr>
          <w:p>
            <w:pPr>
              <w:jc w:val="center"/>
              <w:rPr>
                <w:i w:val="0"/>
                <w:iCs w:val="0"/>
                <w:snapToGrid w:val="0"/>
                <w:color w:val="000000"/>
                <w:sz w:val="21"/>
                <w:szCs w:val="21"/>
                <w:u w:val="single"/>
              </w:rPr>
            </w:pPr>
            <w:r>
              <w:rPr>
                <w:i w:val="0"/>
                <w:iCs w:val="0"/>
                <w:snapToGrid w:val="0"/>
                <w:color w:val="000000"/>
                <w:sz w:val="21"/>
                <w:szCs w:val="21"/>
                <w:u w:val="single"/>
              </w:rPr>
              <w:t>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71" w:type="dxa"/>
            <w:gridSpan w:val="5"/>
            <w:noWrap w:val="0"/>
            <w:vAlign w:val="center"/>
          </w:tcPr>
          <w:p>
            <w:pPr>
              <w:jc w:val="left"/>
              <w:rPr>
                <w:i w:val="0"/>
                <w:iCs w:val="0"/>
                <w:snapToGrid w:val="0"/>
                <w:color w:val="000000"/>
                <w:sz w:val="21"/>
                <w:szCs w:val="21"/>
                <w:u w:val="single"/>
              </w:rPr>
            </w:pPr>
            <w:r>
              <w:rPr>
                <w:rFonts w:hint="eastAsia"/>
                <w:i w:val="0"/>
                <w:iCs w:val="0"/>
                <w:snapToGrid w:val="0"/>
                <w:color w:val="000000"/>
                <w:sz w:val="21"/>
                <w:szCs w:val="21"/>
                <w:u w:val="single"/>
              </w:rPr>
              <w:t>注：Ⅳ</w:t>
            </w:r>
            <w:r>
              <w:rPr>
                <w:rFonts w:hint="eastAsia"/>
                <w:i w:val="0"/>
                <w:iCs w:val="0"/>
                <w:snapToGrid w:val="0"/>
                <w:color w:val="000000"/>
                <w:sz w:val="21"/>
                <w:szCs w:val="21"/>
                <w:u w:val="single"/>
                <w:vertAlign w:val="superscript"/>
              </w:rPr>
              <w:t>+</w:t>
            </w:r>
            <w:r>
              <w:rPr>
                <w:rFonts w:hint="eastAsia"/>
                <w:i w:val="0"/>
                <w:iCs w:val="0"/>
                <w:snapToGrid w:val="0"/>
                <w:color w:val="000000"/>
                <w:sz w:val="21"/>
                <w:szCs w:val="21"/>
                <w:u w:val="single"/>
              </w:rPr>
              <w:t>为极高环境风险</w:t>
            </w:r>
          </w:p>
        </w:tc>
      </w:tr>
    </w:tbl>
    <w:p>
      <w:pPr>
        <w:widowControl/>
        <w:spacing w:before="120" w:beforeLines="50" w:line="360" w:lineRule="auto"/>
        <w:ind w:firstLine="480" w:firstLineChars="200"/>
        <w:rPr>
          <w:rFonts w:hint="eastAsia"/>
          <w:i w:val="0"/>
          <w:iCs w:val="0"/>
          <w:color w:val="000000"/>
          <w:szCs w:val="20"/>
          <w:u w:val="single"/>
        </w:rPr>
      </w:pPr>
      <w:r>
        <w:rPr>
          <w:i w:val="0"/>
          <w:iCs w:val="0"/>
          <w:color w:val="000000"/>
          <w:szCs w:val="20"/>
          <w:u w:val="single"/>
        </w:rPr>
        <w:t>根据以上计算过程可以得出，本项目危险物质及工艺系统危险性（P）分级为P</w:t>
      </w:r>
      <w:r>
        <w:rPr>
          <w:rFonts w:hint="eastAsia"/>
          <w:i w:val="0"/>
          <w:iCs w:val="0"/>
          <w:color w:val="000000"/>
          <w:szCs w:val="20"/>
          <w:u w:val="single"/>
        </w:rPr>
        <w:t>4，</w:t>
      </w:r>
      <w:r>
        <w:rPr>
          <w:i w:val="0"/>
          <w:iCs w:val="0"/>
          <w:color w:val="000000"/>
          <w:szCs w:val="20"/>
          <w:u w:val="single"/>
        </w:rPr>
        <w:t>大气环境敏感程度分级为E</w:t>
      </w:r>
      <w:r>
        <w:rPr>
          <w:rFonts w:hint="eastAsia"/>
          <w:i w:val="0"/>
          <w:iCs w:val="0"/>
          <w:color w:val="000000"/>
          <w:szCs w:val="20"/>
          <w:u w:val="single"/>
        </w:rPr>
        <w:t>1</w:t>
      </w:r>
      <w:r>
        <w:rPr>
          <w:i w:val="0"/>
          <w:iCs w:val="0"/>
          <w:color w:val="000000"/>
          <w:szCs w:val="20"/>
          <w:u w:val="single"/>
        </w:rPr>
        <w:t>，因此本项目的大气环境风险潜势为</w:t>
      </w:r>
      <w:r>
        <w:rPr>
          <w:rFonts w:hint="eastAsia"/>
          <w:i w:val="0"/>
          <w:iCs w:val="0"/>
          <w:color w:val="000000"/>
          <w:szCs w:val="20"/>
          <w:u w:val="single"/>
        </w:rPr>
        <w:t>III</w:t>
      </w:r>
      <w:r>
        <w:rPr>
          <w:i w:val="0"/>
          <w:iCs w:val="0"/>
          <w:color w:val="000000"/>
          <w:szCs w:val="20"/>
          <w:u w:val="single"/>
        </w:rPr>
        <w:t>；地表水环境敏感程度分级为E</w:t>
      </w:r>
      <w:r>
        <w:rPr>
          <w:rFonts w:hint="eastAsia"/>
          <w:i w:val="0"/>
          <w:iCs w:val="0"/>
          <w:color w:val="000000"/>
          <w:szCs w:val="20"/>
          <w:u w:val="single"/>
        </w:rPr>
        <w:t>3</w:t>
      </w:r>
      <w:r>
        <w:rPr>
          <w:i w:val="0"/>
          <w:iCs w:val="0"/>
          <w:color w:val="000000"/>
          <w:szCs w:val="20"/>
          <w:u w:val="single"/>
        </w:rPr>
        <w:t>，因此本项目的</w:t>
      </w:r>
      <w:r>
        <w:rPr>
          <w:rFonts w:hint="eastAsia"/>
          <w:i w:val="0"/>
          <w:iCs w:val="0"/>
          <w:color w:val="000000"/>
          <w:szCs w:val="20"/>
          <w:u w:val="single"/>
        </w:rPr>
        <w:t>地表水环境风险潜势为</w:t>
      </w:r>
      <w:r>
        <w:rPr>
          <w:i w:val="0"/>
          <w:iCs w:val="0"/>
          <w:color w:val="000000"/>
          <w:szCs w:val="20"/>
          <w:u w:val="single"/>
        </w:rPr>
        <w:t>I</w:t>
      </w:r>
      <w:r>
        <w:rPr>
          <w:rFonts w:hint="eastAsia"/>
          <w:i w:val="0"/>
          <w:iCs w:val="0"/>
          <w:color w:val="000000"/>
          <w:szCs w:val="20"/>
          <w:u w:val="single"/>
        </w:rPr>
        <w:t>；地下水环境敏感程度分级为E3，因此本项目的地下水环境风险潜势为</w:t>
      </w:r>
      <w:r>
        <w:rPr>
          <w:i w:val="0"/>
          <w:iCs w:val="0"/>
          <w:color w:val="000000"/>
          <w:szCs w:val="20"/>
          <w:u w:val="single"/>
        </w:rPr>
        <w:t>I</w:t>
      </w:r>
      <w:r>
        <w:rPr>
          <w:rFonts w:hint="eastAsia"/>
          <w:i w:val="0"/>
          <w:iCs w:val="0"/>
          <w:color w:val="000000"/>
          <w:szCs w:val="20"/>
          <w:u w:val="single"/>
        </w:rPr>
        <w:t>。</w:t>
      </w:r>
    </w:p>
    <w:p>
      <w:pPr>
        <w:keepNext/>
        <w:keepLines/>
        <w:widowControl/>
        <w:spacing w:line="360" w:lineRule="auto"/>
        <w:outlineLvl w:val="2"/>
        <w:rPr>
          <w:b/>
          <w:bCs/>
          <w:i w:val="0"/>
          <w:iCs w:val="0"/>
          <w:color w:val="000000"/>
          <w:szCs w:val="32"/>
          <w:u w:val="single"/>
        </w:rPr>
      </w:pPr>
      <w:bookmarkStart w:id="232" w:name="_Toc123993292"/>
      <w:r>
        <w:rPr>
          <w:rFonts w:hint="eastAsia"/>
          <w:b/>
          <w:bCs/>
          <w:i w:val="0"/>
          <w:iCs w:val="0"/>
          <w:color w:val="000000"/>
          <w:szCs w:val="32"/>
          <w:u w:val="single"/>
        </w:rPr>
        <w:t>7.1.5 评价工作等级</w:t>
      </w:r>
      <w:bookmarkEnd w:id="232"/>
    </w:p>
    <w:p>
      <w:pPr>
        <w:pStyle w:val="24"/>
        <w:spacing w:before="120" w:beforeLines="50" w:line="360" w:lineRule="auto"/>
        <w:ind w:firstLine="480" w:firstLineChars="200"/>
        <w:jc w:val="both"/>
        <w:rPr>
          <w:b/>
          <w:bCs/>
          <w:i w:val="0"/>
          <w:iCs w:val="0"/>
          <w:color w:val="000000"/>
          <w:szCs w:val="32"/>
          <w:u w:val="single"/>
        </w:rPr>
      </w:pPr>
      <w:r>
        <w:rPr>
          <w:rFonts w:hint="eastAsia" w:ascii="宋体" w:hAnsi="宋体"/>
          <w:i w:val="0"/>
          <w:iCs w:val="0"/>
          <w:color w:val="000000"/>
          <w:u w:val="single"/>
        </w:rPr>
        <w:t>根据前文判定，本项目风险评价等级为二级。</w:t>
      </w:r>
    </w:p>
    <w:p>
      <w:pPr>
        <w:keepNext/>
        <w:keepLines/>
        <w:widowControl/>
        <w:spacing w:before="120" w:beforeLines="50" w:line="360" w:lineRule="auto"/>
        <w:outlineLvl w:val="2"/>
        <w:rPr>
          <w:b/>
          <w:bCs/>
          <w:i w:val="0"/>
          <w:iCs w:val="0"/>
          <w:color w:val="000000"/>
          <w:szCs w:val="32"/>
        </w:rPr>
      </w:pPr>
      <w:bookmarkStart w:id="233" w:name="_Toc123993293"/>
      <w:r>
        <w:rPr>
          <w:rFonts w:hint="eastAsia"/>
          <w:b/>
          <w:bCs/>
          <w:i w:val="0"/>
          <w:iCs w:val="0"/>
          <w:color w:val="000000"/>
          <w:szCs w:val="32"/>
        </w:rPr>
        <w:t>7.1.6 风险评价范围</w:t>
      </w:r>
      <w:bookmarkEnd w:id="233"/>
    </w:p>
    <w:p>
      <w:pPr>
        <w:widowControl/>
        <w:spacing w:line="360" w:lineRule="auto"/>
        <w:ind w:firstLine="480" w:firstLineChars="200"/>
        <w:rPr>
          <w:rFonts w:hint="eastAsia"/>
          <w:i w:val="0"/>
          <w:iCs w:val="0"/>
          <w:color w:val="000000"/>
          <w:szCs w:val="20"/>
        </w:rPr>
      </w:pPr>
      <w:r>
        <w:rPr>
          <w:rFonts w:hint="eastAsia"/>
          <w:i w:val="0"/>
          <w:iCs w:val="0"/>
          <w:color w:val="000000"/>
          <w:szCs w:val="20"/>
        </w:rPr>
        <w:t>根据预测结果，结合项目风险评价等级，确定项目风险评价范围为距离项目区边界5km范围</w:t>
      </w:r>
      <w:bookmarkStart w:id="234" w:name="_Toc123993294"/>
      <w:r>
        <w:rPr>
          <w:rFonts w:hint="eastAsia"/>
          <w:i w:val="0"/>
          <w:iCs w:val="0"/>
          <w:color w:val="000000"/>
          <w:szCs w:val="20"/>
        </w:rPr>
        <w:t>。</w:t>
      </w:r>
    </w:p>
    <w:p>
      <w:pPr>
        <w:keepNext/>
        <w:keepLines/>
        <w:widowControl/>
        <w:spacing w:before="120" w:beforeLines="50" w:line="360" w:lineRule="auto"/>
        <w:outlineLvl w:val="2"/>
        <w:rPr>
          <w:b/>
          <w:bCs/>
          <w:i w:val="0"/>
          <w:iCs w:val="0"/>
          <w:color w:val="000000"/>
          <w:szCs w:val="32"/>
        </w:rPr>
      </w:pPr>
      <w:r>
        <w:rPr>
          <w:rFonts w:hint="eastAsia"/>
          <w:b/>
          <w:bCs/>
          <w:i w:val="0"/>
          <w:iCs w:val="0"/>
          <w:color w:val="000000"/>
          <w:szCs w:val="32"/>
        </w:rPr>
        <w:t>7.1.7 评价标准</w:t>
      </w:r>
      <w:bookmarkEnd w:id="234"/>
    </w:p>
    <w:p>
      <w:pPr>
        <w:widowControl/>
        <w:spacing w:line="360" w:lineRule="auto"/>
        <w:ind w:firstLine="480" w:firstLineChars="200"/>
        <w:rPr>
          <w:i w:val="0"/>
          <w:iCs w:val="0"/>
          <w:color w:val="000000"/>
          <w:szCs w:val="20"/>
        </w:rPr>
      </w:pPr>
      <w:r>
        <w:rPr>
          <w:i w:val="0"/>
          <w:iCs w:val="0"/>
          <w:color w:val="000000"/>
          <w:szCs w:val="20"/>
        </w:rPr>
        <w:t>根据《建设项目环境风险评价技术导则》（HJ169-2018），对本项目涉及的主要危险物质进行识别，筛选出对项目周边环境敏感点影响较为敏感的因子及其预测评价指标，详见表</w:t>
      </w:r>
      <w:r>
        <w:rPr>
          <w:rFonts w:hint="eastAsia"/>
          <w:i w:val="0"/>
          <w:iCs w:val="0"/>
          <w:color w:val="000000"/>
          <w:szCs w:val="20"/>
        </w:rPr>
        <w:t>7-12</w:t>
      </w:r>
      <w:r>
        <w:rPr>
          <w:i w:val="0"/>
          <w:iCs w:val="0"/>
          <w:color w:val="000000"/>
          <w:szCs w:val="20"/>
        </w:rPr>
        <w:t>。</w:t>
      </w:r>
    </w:p>
    <w:p>
      <w:pPr>
        <w:pStyle w:val="413"/>
        <w:numPr>
          <w:ilvl w:val="4"/>
          <w:numId w:val="0"/>
        </w:numPr>
        <w:spacing w:line="240" w:lineRule="auto"/>
        <w:rPr>
          <w:rFonts w:hint="eastAsia"/>
          <w:i w:val="0"/>
          <w:iCs w:val="0"/>
        </w:rPr>
      </w:pPr>
      <w:r>
        <w:rPr>
          <w:rFonts w:hint="eastAsia"/>
          <w:i w:val="0"/>
          <w:iCs w:val="0"/>
        </w:rPr>
        <w:t>表7-12  本项目主要危险物质及其预测评价指标   单位：mg/m</w:t>
      </w:r>
      <w:r>
        <w:rPr>
          <w:rFonts w:hint="eastAsia"/>
          <w:i w:val="0"/>
          <w:iCs w:val="0"/>
          <w:vertAlign w:val="superscript"/>
        </w:rPr>
        <w:t>3</w:t>
      </w:r>
    </w:p>
    <w:tbl>
      <w:tblPr>
        <w:tblStyle w:val="58"/>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23"/>
        <w:gridCol w:w="3024"/>
        <w:gridCol w:w="30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23" w:type="dxa"/>
            <w:noWrap w:val="0"/>
            <w:vAlign w:val="center"/>
          </w:tcPr>
          <w:p>
            <w:pPr>
              <w:widowControl/>
              <w:jc w:val="center"/>
              <w:rPr>
                <w:b/>
                <w:bCs/>
                <w:i w:val="0"/>
                <w:iCs w:val="0"/>
                <w:color w:val="000000"/>
                <w:sz w:val="21"/>
                <w:szCs w:val="21"/>
              </w:rPr>
            </w:pPr>
            <w:r>
              <w:rPr>
                <w:rFonts w:hint="eastAsia"/>
                <w:b/>
                <w:bCs/>
                <w:i w:val="0"/>
                <w:iCs w:val="0"/>
                <w:color w:val="000000"/>
                <w:sz w:val="21"/>
                <w:szCs w:val="21"/>
              </w:rPr>
              <w:t>名称</w:t>
            </w:r>
          </w:p>
        </w:tc>
        <w:tc>
          <w:tcPr>
            <w:tcW w:w="3024" w:type="dxa"/>
            <w:noWrap w:val="0"/>
            <w:vAlign w:val="center"/>
          </w:tcPr>
          <w:p>
            <w:pPr>
              <w:widowControl/>
              <w:jc w:val="center"/>
              <w:rPr>
                <w:b/>
                <w:bCs/>
                <w:i w:val="0"/>
                <w:iCs w:val="0"/>
                <w:color w:val="000000"/>
                <w:sz w:val="21"/>
                <w:szCs w:val="21"/>
              </w:rPr>
            </w:pPr>
            <w:r>
              <w:rPr>
                <w:rFonts w:hint="eastAsia"/>
                <w:b/>
                <w:bCs/>
                <w:i w:val="0"/>
                <w:iCs w:val="0"/>
                <w:color w:val="000000"/>
                <w:sz w:val="21"/>
                <w:szCs w:val="21"/>
              </w:rPr>
              <w:t>毒性终点浓度-1</w:t>
            </w:r>
          </w:p>
        </w:tc>
        <w:tc>
          <w:tcPr>
            <w:tcW w:w="3024" w:type="dxa"/>
            <w:noWrap w:val="0"/>
            <w:vAlign w:val="center"/>
          </w:tcPr>
          <w:p>
            <w:pPr>
              <w:widowControl/>
              <w:jc w:val="center"/>
              <w:rPr>
                <w:b/>
                <w:bCs/>
                <w:i w:val="0"/>
                <w:iCs w:val="0"/>
                <w:color w:val="000000"/>
                <w:sz w:val="21"/>
                <w:szCs w:val="21"/>
              </w:rPr>
            </w:pPr>
            <w:r>
              <w:rPr>
                <w:rFonts w:hint="eastAsia"/>
                <w:b/>
                <w:bCs/>
                <w:i w:val="0"/>
                <w:iCs w:val="0"/>
                <w:color w:val="000000"/>
                <w:sz w:val="21"/>
                <w:szCs w:val="21"/>
              </w:rPr>
              <w:t>毒性终点浓度-2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23" w:type="dxa"/>
            <w:noWrap w:val="0"/>
            <w:vAlign w:val="center"/>
          </w:tcPr>
          <w:p>
            <w:pPr>
              <w:widowControl/>
              <w:jc w:val="center"/>
              <w:rPr>
                <w:i w:val="0"/>
                <w:iCs w:val="0"/>
                <w:color w:val="000000"/>
                <w:sz w:val="21"/>
                <w:szCs w:val="21"/>
              </w:rPr>
            </w:pPr>
            <w:r>
              <w:rPr>
                <w:rFonts w:hint="eastAsia"/>
                <w:i w:val="0"/>
                <w:iCs w:val="0"/>
                <w:color w:val="000000"/>
                <w:sz w:val="21"/>
                <w:szCs w:val="21"/>
              </w:rPr>
              <w:t>氨</w:t>
            </w:r>
          </w:p>
        </w:tc>
        <w:tc>
          <w:tcPr>
            <w:tcW w:w="3024" w:type="dxa"/>
            <w:noWrap w:val="0"/>
            <w:vAlign w:val="center"/>
          </w:tcPr>
          <w:p>
            <w:pPr>
              <w:widowControl/>
              <w:jc w:val="center"/>
              <w:rPr>
                <w:i w:val="0"/>
                <w:iCs w:val="0"/>
                <w:color w:val="000000"/>
                <w:sz w:val="21"/>
                <w:szCs w:val="21"/>
              </w:rPr>
            </w:pPr>
            <w:r>
              <w:rPr>
                <w:rFonts w:hint="eastAsia"/>
                <w:i w:val="0"/>
                <w:iCs w:val="0"/>
                <w:color w:val="000000"/>
                <w:sz w:val="21"/>
                <w:szCs w:val="21"/>
              </w:rPr>
              <w:t>770</w:t>
            </w:r>
          </w:p>
        </w:tc>
        <w:tc>
          <w:tcPr>
            <w:tcW w:w="3024" w:type="dxa"/>
            <w:noWrap w:val="0"/>
            <w:vAlign w:val="center"/>
          </w:tcPr>
          <w:p>
            <w:pPr>
              <w:widowControl/>
              <w:jc w:val="center"/>
              <w:rPr>
                <w:i w:val="0"/>
                <w:iCs w:val="0"/>
                <w:color w:val="000000"/>
                <w:sz w:val="21"/>
                <w:szCs w:val="21"/>
              </w:rPr>
            </w:pPr>
            <w:r>
              <w:rPr>
                <w:rFonts w:hint="eastAsia"/>
                <w:i w:val="0"/>
                <w:iCs w:val="0"/>
                <w:color w:val="000000"/>
                <w:sz w:val="21"/>
                <w:szCs w:val="21"/>
              </w:rPr>
              <w:t>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9071" w:type="dxa"/>
            <w:gridSpan w:val="3"/>
            <w:noWrap w:val="0"/>
            <w:vAlign w:val="center"/>
          </w:tcPr>
          <w:p>
            <w:pPr>
              <w:widowControl/>
              <w:rPr>
                <w:i w:val="0"/>
                <w:iCs w:val="0"/>
                <w:color w:val="000000"/>
                <w:sz w:val="21"/>
                <w:szCs w:val="21"/>
              </w:rPr>
            </w:pPr>
            <w:r>
              <w:rPr>
                <w:i w:val="0"/>
                <w:iCs w:val="0"/>
                <w:color w:val="000000"/>
                <w:sz w:val="21"/>
                <w:szCs w:val="21"/>
              </w:rPr>
              <w:t>注：根据《建设项目环境风险评价技术导则》（HJ169-2018），大气毒性终点浓度值分为1、2级。其中1级为当大气中危险物质浓度低于该限值时，绝大多数人员暴露1h不会对生命造成威胁，当超过该限值时，有可能对人群造成生命威胁；2级为当大气中危险物质浓度低于该限值时，暴露1h一般不会对人体造成不可逆的伤害，出现的症状一般不会损伤该个体采取有效防护措施的能力。</w:t>
            </w:r>
          </w:p>
        </w:tc>
      </w:tr>
    </w:tbl>
    <w:p>
      <w:pPr>
        <w:pStyle w:val="415"/>
        <w:spacing w:before="120" w:after="120"/>
        <w:rPr>
          <w:i w:val="0"/>
          <w:iCs w:val="0"/>
          <w:color w:val="000000"/>
        </w:rPr>
      </w:pPr>
      <w:bookmarkStart w:id="235" w:name="_Toc123993295"/>
      <w:bookmarkStart w:id="236" w:name="_Toc101709083"/>
      <w:bookmarkStart w:id="237" w:name="_Toc23668"/>
      <w:r>
        <w:rPr>
          <w:rFonts w:hint="eastAsia"/>
          <w:i w:val="0"/>
          <w:iCs w:val="0"/>
          <w:color w:val="000000"/>
        </w:rPr>
        <w:t>7.2 风险识别</w:t>
      </w:r>
      <w:bookmarkEnd w:id="235"/>
      <w:bookmarkEnd w:id="236"/>
      <w:bookmarkEnd w:id="237"/>
    </w:p>
    <w:p>
      <w:pPr>
        <w:pStyle w:val="417"/>
        <w:spacing w:before="120" w:after="120"/>
        <w:rPr>
          <w:i w:val="0"/>
          <w:iCs w:val="0"/>
          <w:color w:val="000000"/>
        </w:rPr>
      </w:pPr>
      <w:bookmarkStart w:id="238" w:name="_Toc123993296"/>
      <w:r>
        <w:rPr>
          <w:rFonts w:hint="eastAsia"/>
          <w:i w:val="0"/>
          <w:iCs w:val="0"/>
          <w:color w:val="000000"/>
        </w:rPr>
        <w:t>7.2.1 风险识别范围及类型</w:t>
      </w:r>
      <w:bookmarkEnd w:id="238"/>
    </w:p>
    <w:p>
      <w:pPr>
        <w:widowControl/>
        <w:spacing w:line="360" w:lineRule="auto"/>
        <w:ind w:firstLine="480" w:firstLineChars="200"/>
        <w:rPr>
          <w:i w:val="0"/>
          <w:iCs w:val="0"/>
          <w:color w:val="000000"/>
          <w:szCs w:val="20"/>
        </w:rPr>
      </w:pPr>
      <w:r>
        <w:rPr>
          <w:i w:val="0"/>
          <w:iCs w:val="0"/>
          <w:color w:val="000000"/>
          <w:szCs w:val="20"/>
        </w:rPr>
        <w:t>风险识别范围包括生产过程所涉及的物质危险性识别和生产设施风险识别。</w:t>
      </w:r>
    </w:p>
    <w:p>
      <w:pPr>
        <w:widowControl/>
        <w:spacing w:line="360" w:lineRule="auto"/>
        <w:ind w:firstLine="480" w:firstLineChars="200"/>
        <w:rPr>
          <w:i w:val="0"/>
          <w:iCs w:val="0"/>
          <w:color w:val="000000"/>
          <w:szCs w:val="20"/>
        </w:rPr>
      </w:pPr>
      <w:r>
        <w:rPr>
          <w:i w:val="0"/>
          <w:iCs w:val="0"/>
          <w:color w:val="000000"/>
          <w:szCs w:val="20"/>
        </w:rPr>
        <w:t>物质危险性识别范围：主要原材料及辅助材料、燃料、中间产品、最终产品以及生产过程排放的</w:t>
      </w:r>
      <w:r>
        <w:rPr>
          <w:rFonts w:hint="eastAsia" w:cs="宋体"/>
          <w:i w:val="0"/>
          <w:iCs w:val="0"/>
          <w:color w:val="000000"/>
          <w:szCs w:val="20"/>
        </w:rPr>
        <w:t>“三废”污</w:t>
      </w:r>
      <w:r>
        <w:rPr>
          <w:i w:val="0"/>
          <w:iCs w:val="0"/>
          <w:color w:val="000000"/>
          <w:szCs w:val="20"/>
        </w:rPr>
        <w:t>染物等。</w:t>
      </w:r>
    </w:p>
    <w:p>
      <w:pPr>
        <w:widowControl/>
        <w:spacing w:line="360" w:lineRule="auto"/>
        <w:ind w:firstLine="480" w:firstLineChars="200"/>
        <w:rPr>
          <w:i w:val="0"/>
          <w:iCs w:val="0"/>
          <w:color w:val="000000"/>
          <w:szCs w:val="20"/>
        </w:rPr>
      </w:pPr>
      <w:r>
        <w:rPr>
          <w:i w:val="0"/>
          <w:iCs w:val="0"/>
          <w:color w:val="000000"/>
          <w:szCs w:val="20"/>
        </w:rPr>
        <w:t>生产设施风险识别范围：主要生产装置、储运工程、公用工程、环保工程设施及辅助生产设施等。</w:t>
      </w:r>
    </w:p>
    <w:p>
      <w:pPr>
        <w:widowControl/>
        <w:spacing w:line="360" w:lineRule="auto"/>
        <w:ind w:firstLine="480" w:firstLineChars="200"/>
        <w:rPr>
          <w:i w:val="0"/>
          <w:iCs w:val="0"/>
          <w:color w:val="000000"/>
          <w:szCs w:val="20"/>
        </w:rPr>
      </w:pPr>
      <w:r>
        <w:rPr>
          <w:i w:val="0"/>
          <w:iCs w:val="0"/>
          <w:color w:val="000000"/>
          <w:szCs w:val="20"/>
        </w:rPr>
        <w:t>根据本项目的特点和有毒有害物质释放起因，事故风险类型分为火灾、爆炸和有毒有害物质泄漏三种。</w:t>
      </w:r>
    </w:p>
    <w:p>
      <w:pPr>
        <w:keepNext/>
        <w:keepLines/>
        <w:widowControl/>
        <w:spacing w:line="360" w:lineRule="auto"/>
        <w:outlineLvl w:val="2"/>
        <w:rPr>
          <w:b/>
          <w:i w:val="0"/>
          <w:iCs w:val="0"/>
          <w:color w:val="000000"/>
        </w:rPr>
      </w:pPr>
      <w:bookmarkStart w:id="239" w:name="_Toc123993297"/>
      <w:r>
        <w:rPr>
          <w:rFonts w:hint="eastAsia"/>
          <w:b/>
          <w:i w:val="0"/>
          <w:iCs w:val="0"/>
          <w:color w:val="000000"/>
        </w:rPr>
        <w:t>7.2.2 危险物质识别</w:t>
      </w:r>
      <w:bookmarkEnd w:id="239"/>
    </w:p>
    <w:p>
      <w:pPr>
        <w:pStyle w:val="6"/>
        <w:ind w:firstLine="480"/>
        <w:rPr>
          <w:rFonts w:hint="eastAsia"/>
          <w:i w:val="0"/>
          <w:iCs w:val="0"/>
        </w:rPr>
      </w:pPr>
      <w:r>
        <w:rPr>
          <w:rFonts w:hint="eastAsia"/>
          <w:i w:val="0"/>
          <w:iCs w:val="0"/>
        </w:rPr>
        <w:t>1、险物质分布</w:t>
      </w:r>
    </w:p>
    <w:p>
      <w:pPr>
        <w:widowControl/>
        <w:spacing w:line="360" w:lineRule="auto"/>
        <w:ind w:firstLine="480" w:firstLineChars="200"/>
        <w:rPr>
          <w:i w:val="0"/>
          <w:iCs w:val="0"/>
          <w:color w:val="000000"/>
          <w:szCs w:val="20"/>
        </w:rPr>
      </w:pPr>
      <w:r>
        <w:rPr>
          <w:i w:val="0"/>
          <w:iCs w:val="0"/>
          <w:color w:val="000000"/>
          <w:szCs w:val="20"/>
        </w:rPr>
        <w:t>本项目涉及的主要危险物质情况见表</w:t>
      </w:r>
      <w:r>
        <w:rPr>
          <w:rFonts w:hint="eastAsia"/>
          <w:i w:val="0"/>
          <w:iCs w:val="0"/>
          <w:color w:val="000000"/>
          <w:szCs w:val="20"/>
        </w:rPr>
        <w:t>7-13</w:t>
      </w:r>
      <w:r>
        <w:rPr>
          <w:i w:val="0"/>
          <w:iCs w:val="0"/>
          <w:color w:val="000000"/>
          <w:szCs w:val="20"/>
        </w:rPr>
        <w:t>。</w:t>
      </w:r>
    </w:p>
    <w:p>
      <w:pPr>
        <w:pStyle w:val="413"/>
        <w:numPr>
          <w:ilvl w:val="4"/>
          <w:numId w:val="0"/>
        </w:numPr>
        <w:spacing w:line="240" w:lineRule="auto"/>
        <w:rPr>
          <w:rFonts w:hint="eastAsia"/>
          <w:i w:val="0"/>
          <w:iCs w:val="0"/>
        </w:rPr>
      </w:pPr>
      <w:r>
        <w:rPr>
          <w:rFonts w:hint="eastAsia"/>
          <w:i w:val="0"/>
          <w:iCs w:val="0"/>
        </w:rPr>
        <w:t>表7-13   本工程工艺装置及储运设施涉及主要危险物质情况表</w:t>
      </w:r>
    </w:p>
    <w:tbl>
      <w:tblPr>
        <w:tblStyle w:val="58"/>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2277"/>
        <w:gridCol w:w="52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9" w:type="dxa"/>
            <w:noWrap w:val="0"/>
            <w:vAlign w:val="center"/>
          </w:tcPr>
          <w:p>
            <w:pPr>
              <w:widowControl/>
              <w:jc w:val="center"/>
              <w:rPr>
                <w:b/>
                <w:bCs/>
                <w:i w:val="0"/>
                <w:iCs w:val="0"/>
                <w:color w:val="000000"/>
                <w:sz w:val="21"/>
                <w:szCs w:val="21"/>
              </w:rPr>
            </w:pPr>
            <w:r>
              <w:rPr>
                <w:rFonts w:hint="eastAsia"/>
                <w:b/>
                <w:bCs/>
                <w:i w:val="0"/>
                <w:iCs w:val="0"/>
                <w:color w:val="000000"/>
                <w:sz w:val="21"/>
                <w:szCs w:val="21"/>
              </w:rPr>
              <w:t>序号</w:t>
            </w:r>
          </w:p>
        </w:tc>
        <w:tc>
          <w:tcPr>
            <w:tcW w:w="2277" w:type="dxa"/>
            <w:noWrap w:val="0"/>
            <w:vAlign w:val="center"/>
          </w:tcPr>
          <w:p>
            <w:pPr>
              <w:widowControl/>
              <w:jc w:val="center"/>
              <w:rPr>
                <w:b/>
                <w:bCs/>
                <w:i w:val="0"/>
                <w:iCs w:val="0"/>
                <w:color w:val="000000"/>
                <w:sz w:val="21"/>
                <w:szCs w:val="21"/>
              </w:rPr>
            </w:pPr>
            <w:r>
              <w:rPr>
                <w:rFonts w:hint="eastAsia"/>
                <w:b/>
                <w:bCs/>
                <w:i w:val="0"/>
                <w:iCs w:val="0"/>
                <w:color w:val="000000"/>
                <w:sz w:val="21"/>
                <w:szCs w:val="21"/>
              </w:rPr>
              <w:t>单元名称</w:t>
            </w:r>
          </w:p>
        </w:tc>
        <w:tc>
          <w:tcPr>
            <w:tcW w:w="5265" w:type="dxa"/>
            <w:noWrap w:val="0"/>
            <w:vAlign w:val="center"/>
          </w:tcPr>
          <w:p>
            <w:pPr>
              <w:widowControl/>
              <w:jc w:val="center"/>
              <w:rPr>
                <w:b/>
                <w:bCs/>
                <w:i w:val="0"/>
                <w:iCs w:val="0"/>
                <w:color w:val="000000"/>
                <w:sz w:val="21"/>
                <w:szCs w:val="21"/>
              </w:rPr>
            </w:pPr>
            <w:r>
              <w:rPr>
                <w:rFonts w:hint="eastAsia"/>
                <w:b/>
                <w:bCs/>
                <w:i w:val="0"/>
                <w:iCs w:val="0"/>
                <w:color w:val="000000"/>
                <w:sz w:val="21"/>
                <w:szCs w:val="21"/>
              </w:rPr>
              <w:t>主要危险物质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9" w:type="dxa"/>
            <w:noWrap w:val="0"/>
            <w:vAlign w:val="center"/>
          </w:tcPr>
          <w:p>
            <w:pPr>
              <w:widowControl/>
              <w:jc w:val="center"/>
              <w:rPr>
                <w:rFonts w:hint="eastAsia"/>
                <w:i w:val="0"/>
                <w:iCs w:val="0"/>
                <w:color w:val="000000"/>
                <w:sz w:val="21"/>
                <w:szCs w:val="21"/>
              </w:rPr>
            </w:pPr>
            <w:r>
              <w:rPr>
                <w:rFonts w:hint="eastAsia"/>
                <w:i w:val="0"/>
                <w:iCs w:val="0"/>
                <w:color w:val="000000"/>
                <w:sz w:val="21"/>
                <w:szCs w:val="21"/>
              </w:rPr>
              <w:t>一</w:t>
            </w:r>
          </w:p>
        </w:tc>
        <w:tc>
          <w:tcPr>
            <w:tcW w:w="2277" w:type="dxa"/>
            <w:noWrap w:val="0"/>
            <w:vAlign w:val="center"/>
          </w:tcPr>
          <w:p>
            <w:pPr>
              <w:widowControl/>
              <w:jc w:val="center"/>
              <w:rPr>
                <w:i w:val="0"/>
                <w:iCs w:val="0"/>
                <w:color w:val="000000"/>
                <w:sz w:val="21"/>
                <w:szCs w:val="21"/>
              </w:rPr>
            </w:pPr>
            <w:r>
              <w:rPr>
                <w:rFonts w:hint="eastAsia"/>
                <w:i w:val="0"/>
                <w:iCs w:val="0"/>
                <w:color w:val="000000"/>
                <w:sz w:val="21"/>
                <w:szCs w:val="21"/>
              </w:rPr>
              <w:t>储存单元</w:t>
            </w:r>
          </w:p>
        </w:tc>
        <w:tc>
          <w:tcPr>
            <w:tcW w:w="5265" w:type="dxa"/>
            <w:noWrap w:val="0"/>
            <w:vAlign w:val="center"/>
          </w:tcPr>
          <w:p>
            <w:pPr>
              <w:widowControl/>
              <w:jc w:val="center"/>
              <w:rPr>
                <w:i w:val="0"/>
                <w:iCs w:val="0"/>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9" w:type="dxa"/>
            <w:noWrap w:val="0"/>
            <w:vAlign w:val="center"/>
          </w:tcPr>
          <w:p>
            <w:pPr>
              <w:widowControl/>
              <w:jc w:val="center"/>
              <w:rPr>
                <w:rFonts w:hint="eastAsia"/>
                <w:i w:val="0"/>
                <w:iCs w:val="0"/>
                <w:color w:val="000000"/>
                <w:sz w:val="21"/>
                <w:szCs w:val="21"/>
              </w:rPr>
            </w:pPr>
            <w:r>
              <w:rPr>
                <w:rFonts w:hint="eastAsia"/>
                <w:i w:val="0"/>
                <w:iCs w:val="0"/>
                <w:color w:val="000000"/>
                <w:sz w:val="21"/>
                <w:szCs w:val="21"/>
              </w:rPr>
              <w:t>1</w:t>
            </w:r>
          </w:p>
        </w:tc>
        <w:tc>
          <w:tcPr>
            <w:tcW w:w="2277" w:type="dxa"/>
            <w:noWrap w:val="0"/>
            <w:vAlign w:val="center"/>
          </w:tcPr>
          <w:p>
            <w:pPr>
              <w:widowControl/>
              <w:jc w:val="center"/>
              <w:rPr>
                <w:i w:val="0"/>
                <w:iCs w:val="0"/>
                <w:color w:val="000000"/>
                <w:sz w:val="21"/>
                <w:szCs w:val="21"/>
              </w:rPr>
            </w:pPr>
            <w:r>
              <w:rPr>
                <w:rFonts w:hint="eastAsia"/>
                <w:i w:val="0"/>
                <w:iCs w:val="0"/>
                <w:color w:val="000000"/>
                <w:sz w:val="21"/>
                <w:szCs w:val="21"/>
              </w:rPr>
              <w:t>氨水储罐</w:t>
            </w:r>
          </w:p>
        </w:tc>
        <w:tc>
          <w:tcPr>
            <w:tcW w:w="5265" w:type="dxa"/>
            <w:noWrap w:val="0"/>
            <w:vAlign w:val="center"/>
          </w:tcPr>
          <w:p>
            <w:pPr>
              <w:widowControl/>
              <w:jc w:val="center"/>
              <w:rPr>
                <w:i w:val="0"/>
                <w:iCs w:val="0"/>
                <w:color w:val="000000"/>
                <w:sz w:val="21"/>
                <w:szCs w:val="21"/>
              </w:rPr>
            </w:pPr>
            <w:r>
              <w:rPr>
                <w:rFonts w:hint="eastAsia"/>
                <w:i w:val="0"/>
                <w:iCs w:val="0"/>
                <w:color w:val="000000"/>
                <w:sz w:val="21"/>
                <w:szCs w:val="21"/>
              </w:rPr>
              <w:t>氨水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9" w:type="dxa"/>
            <w:noWrap w:val="0"/>
            <w:vAlign w:val="center"/>
          </w:tcPr>
          <w:p>
            <w:pPr>
              <w:widowControl/>
              <w:jc w:val="center"/>
              <w:rPr>
                <w:i w:val="0"/>
                <w:iCs w:val="0"/>
                <w:color w:val="000000"/>
                <w:sz w:val="21"/>
                <w:szCs w:val="21"/>
              </w:rPr>
            </w:pPr>
            <w:r>
              <w:rPr>
                <w:rFonts w:hint="eastAsia"/>
                <w:i w:val="0"/>
                <w:iCs w:val="0"/>
                <w:color w:val="000000"/>
                <w:sz w:val="21"/>
                <w:szCs w:val="21"/>
              </w:rPr>
              <w:t>2</w:t>
            </w:r>
          </w:p>
        </w:tc>
        <w:tc>
          <w:tcPr>
            <w:tcW w:w="2277" w:type="dxa"/>
            <w:noWrap w:val="0"/>
            <w:vAlign w:val="center"/>
          </w:tcPr>
          <w:p>
            <w:pPr>
              <w:widowControl/>
              <w:jc w:val="center"/>
              <w:rPr>
                <w:rFonts w:hint="eastAsia"/>
                <w:i w:val="0"/>
                <w:iCs w:val="0"/>
                <w:color w:val="000000"/>
                <w:sz w:val="21"/>
                <w:szCs w:val="21"/>
              </w:rPr>
            </w:pPr>
            <w:r>
              <w:rPr>
                <w:rFonts w:hint="eastAsia"/>
                <w:i w:val="0"/>
                <w:iCs w:val="0"/>
                <w:color w:val="000000"/>
                <w:sz w:val="21"/>
                <w:szCs w:val="21"/>
              </w:rPr>
              <w:t>乙醇储罐</w:t>
            </w:r>
          </w:p>
        </w:tc>
        <w:tc>
          <w:tcPr>
            <w:tcW w:w="5265" w:type="dxa"/>
            <w:noWrap w:val="0"/>
            <w:vAlign w:val="center"/>
          </w:tcPr>
          <w:p>
            <w:pPr>
              <w:widowControl/>
              <w:jc w:val="center"/>
              <w:rPr>
                <w:rFonts w:hint="eastAsia"/>
                <w:i w:val="0"/>
                <w:iCs w:val="0"/>
                <w:color w:val="000000"/>
                <w:sz w:val="21"/>
                <w:szCs w:val="21"/>
              </w:rPr>
            </w:pPr>
            <w:r>
              <w:rPr>
                <w:rFonts w:hint="eastAsia"/>
                <w:i w:val="0"/>
                <w:iCs w:val="0"/>
                <w:color w:val="000000"/>
                <w:sz w:val="21"/>
                <w:szCs w:val="21"/>
              </w:rPr>
              <w:t>乙醇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9" w:type="dxa"/>
            <w:noWrap w:val="0"/>
            <w:vAlign w:val="center"/>
          </w:tcPr>
          <w:p>
            <w:pPr>
              <w:widowControl/>
              <w:jc w:val="center"/>
              <w:rPr>
                <w:rFonts w:hint="eastAsia"/>
                <w:i w:val="0"/>
                <w:iCs w:val="0"/>
                <w:color w:val="000000"/>
                <w:sz w:val="21"/>
                <w:szCs w:val="21"/>
              </w:rPr>
            </w:pPr>
            <w:r>
              <w:rPr>
                <w:rFonts w:hint="eastAsia"/>
                <w:i w:val="0"/>
                <w:iCs w:val="0"/>
                <w:color w:val="000000"/>
                <w:sz w:val="21"/>
                <w:szCs w:val="21"/>
              </w:rPr>
              <w:t>二</w:t>
            </w:r>
          </w:p>
        </w:tc>
        <w:tc>
          <w:tcPr>
            <w:tcW w:w="2277" w:type="dxa"/>
            <w:noWrap w:val="0"/>
            <w:vAlign w:val="center"/>
          </w:tcPr>
          <w:p>
            <w:pPr>
              <w:widowControl/>
              <w:jc w:val="center"/>
              <w:rPr>
                <w:i w:val="0"/>
                <w:iCs w:val="0"/>
                <w:color w:val="000000"/>
                <w:sz w:val="21"/>
                <w:szCs w:val="21"/>
              </w:rPr>
            </w:pPr>
            <w:r>
              <w:rPr>
                <w:rFonts w:hint="eastAsia"/>
                <w:i w:val="0"/>
                <w:iCs w:val="0"/>
                <w:color w:val="000000"/>
                <w:sz w:val="21"/>
                <w:szCs w:val="21"/>
              </w:rPr>
              <w:t>公用单元</w:t>
            </w:r>
          </w:p>
        </w:tc>
        <w:tc>
          <w:tcPr>
            <w:tcW w:w="5265" w:type="dxa"/>
            <w:noWrap w:val="0"/>
            <w:vAlign w:val="center"/>
          </w:tcPr>
          <w:p>
            <w:pPr>
              <w:widowControl/>
              <w:jc w:val="center"/>
              <w:rPr>
                <w:i w:val="0"/>
                <w:iCs w:val="0"/>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9" w:type="dxa"/>
            <w:noWrap w:val="0"/>
            <w:vAlign w:val="center"/>
          </w:tcPr>
          <w:p>
            <w:pPr>
              <w:widowControl/>
              <w:jc w:val="center"/>
              <w:rPr>
                <w:i w:val="0"/>
                <w:iCs w:val="0"/>
                <w:color w:val="000000"/>
                <w:sz w:val="21"/>
                <w:szCs w:val="21"/>
              </w:rPr>
            </w:pPr>
            <w:r>
              <w:rPr>
                <w:rFonts w:hint="eastAsia"/>
                <w:i w:val="0"/>
                <w:iCs w:val="0"/>
                <w:color w:val="000000"/>
                <w:sz w:val="21"/>
                <w:szCs w:val="21"/>
              </w:rPr>
              <w:t>1</w:t>
            </w:r>
          </w:p>
        </w:tc>
        <w:tc>
          <w:tcPr>
            <w:tcW w:w="2277" w:type="dxa"/>
            <w:noWrap w:val="0"/>
            <w:vAlign w:val="center"/>
          </w:tcPr>
          <w:p>
            <w:pPr>
              <w:widowControl/>
              <w:jc w:val="center"/>
              <w:rPr>
                <w:rFonts w:hint="eastAsia"/>
                <w:i w:val="0"/>
                <w:iCs w:val="0"/>
                <w:color w:val="000000"/>
                <w:sz w:val="21"/>
                <w:szCs w:val="21"/>
              </w:rPr>
            </w:pPr>
            <w:r>
              <w:rPr>
                <w:rFonts w:hint="eastAsia"/>
                <w:i w:val="0"/>
                <w:iCs w:val="0"/>
                <w:color w:val="000000"/>
                <w:sz w:val="21"/>
                <w:szCs w:val="21"/>
              </w:rPr>
              <w:t>危品库</w:t>
            </w:r>
          </w:p>
        </w:tc>
        <w:tc>
          <w:tcPr>
            <w:tcW w:w="5265" w:type="dxa"/>
            <w:noWrap w:val="0"/>
            <w:vAlign w:val="center"/>
          </w:tcPr>
          <w:p>
            <w:pPr>
              <w:widowControl/>
              <w:jc w:val="center"/>
              <w:rPr>
                <w:rFonts w:hint="eastAsia"/>
                <w:i w:val="0"/>
                <w:iCs w:val="0"/>
                <w:color w:val="000000"/>
                <w:sz w:val="21"/>
                <w:szCs w:val="21"/>
              </w:rPr>
            </w:pPr>
            <w:r>
              <w:rPr>
                <w:rFonts w:hint="eastAsia"/>
                <w:i w:val="0"/>
                <w:iCs w:val="0"/>
                <w:color w:val="000000"/>
                <w:sz w:val="21"/>
                <w:szCs w:val="21"/>
              </w:rPr>
              <w:t>乙醚、盐酸、硫酸、三氯甲烷、甲苯、丙酮、</w:t>
            </w:r>
          </w:p>
          <w:p>
            <w:pPr>
              <w:widowControl/>
              <w:jc w:val="center"/>
              <w:rPr>
                <w:i w:val="0"/>
                <w:iCs w:val="0"/>
                <w:color w:val="000000"/>
                <w:sz w:val="21"/>
                <w:szCs w:val="21"/>
              </w:rPr>
            </w:pPr>
            <w:r>
              <w:rPr>
                <w:rFonts w:hint="eastAsia"/>
                <w:i w:val="0"/>
                <w:iCs w:val="0"/>
                <w:color w:val="000000"/>
                <w:sz w:val="21"/>
                <w:szCs w:val="21"/>
              </w:rPr>
              <w:t>硝酸</w:t>
            </w:r>
          </w:p>
        </w:tc>
      </w:tr>
    </w:tbl>
    <w:p>
      <w:pPr>
        <w:pStyle w:val="6"/>
        <w:ind w:firstLine="480"/>
        <w:rPr>
          <w:rFonts w:hint="eastAsia"/>
          <w:i w:val="0"/>
          <w:iCs w:val="0"/>
        </w:rPr>
      </w:pPr>
      <w:r>
        <w:rPr>
          <w:rFonts w:hint="eastAsia"/>
          <w:i w:val="0"/>
          <w:iCs w:val="0"/>
        </w:rPr>
        <w:t>2、危险物质特性</w:t>
      </w:r>
    </w:p>
    <w:p>
      <w:pPr>
        <w:widowControl/>
        <w:spacing w:line="360" w:lineRule="auto"/>
        <w:ind w:firstLine="480" w:firstLineChars="200"/>
        <w:rPr>
          <w:i w:val="0"/>
          <w:iCs w:val="0"/>
          <w:color w:val="000000"/>
          <w:szCs w:val="20"/>
        </w:rPr>
      </w:pPr>
      <w:r>
        <w:rPr>
          <w:i w:val="0"/>
          <w:iCs w:val="0"/>
          <w:color w:val="000000"/>
          <w:szCs w:val="20"/>
        </w:rPr>
        <w:t>本项目原料、辅助材料涉及到的物料部分为易燃易爆、有毒有害物质。根据《危险化学品目录（20</w:t>
      </w:r>
      <w:r>
        <w:rPr>
          <w:rFonts w:hint="eastAsia"/>
          <w:i w:val="0"/>
          <w:iCs w:val="0"/>
          <w:color w:val="000000"/>
          <w:szCs w:val="20"/>
        </w:rPr>
        <w:t>22调整版</w:t>
      </w:r>
      <w:r>
        <w:rPr>
          <w:i w:val="0"/>
          <w:iCs w:val="0"/>
          <w:color w:val="000000"/>
          <w:szCs w:val="20"/>
        </w:rPr>
        <w:t>）》，氨、</w:t>
      </w:r>
      <w:r>
        <w:rPr>
          <w:rFonts w:hint="eastAsia"/>
          <w:i w:val="0"/>
          <w:iCs w:val="0"/>
          <w:color w:val="000000"/>
          <w:szCs w:val="20"/>
        </w:rPr>
        <w:t>盐酸、硫酸、乙醚</w:t>
      </w:r>
      <w:r>
        <w:rPr>
          <w:i w:val="0"/>
          <w:iCs w:val="0"/>
          <w:color w:val="000000"/>
          <w:szCs w:val="20"/>
        </w:rPr>
        <w:t>等物质被列入《危险化学品目录（20</w:t>
      </w:r>
      <w:r>
        <w:rPr>
          <w:rFonts w:hint="eastAsia"/>
          <w:i w:val="0"/>
          <w:iCs w:val="0"/>
          <w:color w:val="000000"/>
          <w:szCs w:val="20"/>
        </w:rPr>
        <w:t>22调整版</w:t>
      </w:r>
      <w:r>
        <w:rPr>
          <w:i w:val="0"/>
          <w:iCs w:val="0"/>
          <w:color w:val="000000"/>
          <w:szCs w:val="20"/>
        </w:rPr>
        <w:t>）》。</w:t>
      </w:r>
    </w:p>
    <w:p>
      <w:pPr>
        <w:widowControl/>
        <w:spacing w:line="360" w:lineRule="auto"/>
        <w:ind w:firstLine="480" w:firstLineChars="200"/>
        <w:rPr>
          <w:i w:val="0"/>
          <w:iCs w:val="0"/>
          <w:color w:val="000000"/>
          <w:szCs w:val="20"/>
        </w:rPr>
      </w:pPr>
      <w:r>
        <w:rPr>
          <w:i w:val="0"/>
          <w:iCs w:val="0"/>
          <w:color w:val="000000"/>
          <w:szCs w:val="20"/>
        </w:rPr>
        <w:t>本项目所涉及主要易燃、易爆物质火灾危险性详见表</w:t>
      </w:r>
      <w:r>
        <w:rPr>
          <w:rFonts w:hint="eastAsia"/>
          <w:i w:val="0"/>
          <w:iCs w:val="0"/>
          <w:color w:val="000000"/>
          <w:szCs w:val="20"/>
        </w:rPr>
        <w:t>7-14</w:t>
      </w:r>
      <w:r>
        <w:rPr>
          <w:i w:val="0"/>
          <w:iCs w:val="0"/>
          <w:color w:val="000000"/>
          <w:szCs w:val="20"/>
        </w:rPr>
        <w:t>。识别出对项目周边环境敏感点影响较为敏感的有毒、有害物质及其毒理特性见</w:t>
      </w:r>
      <w:r>
        <w:rPr>
          <w:rFonts w:hint="eastAsia"/>
          <w:i w:val="0"/>
          <w:iCs w:val="0"/>
          <w:color w:val="000000"/>
          <w:szCs w:val="20"/>
        </w:rPr>
        <w:t>下</w:t>
      </w:r>
      <w:r>
        <w:rPr>
          <w:i w:val="0"/>
          <w:iCs w:val="0"/>
          <w:color w:val="000000"/>
          <w:szCs w:val="20"/>
        </w:rPr>
        <w:t>表</w:t>
      </w:r>
      <w:r>
        <w:rPr>
          <w:rFonts w:hint="eastAsia"/>
          <w:i w:val="0"/>
          <w:iCs w:val="0"/>
          <w:color w:val="000000"/>
          <w:szCs w:val="20"/>
        </w:rPr>
        <w:t>7-15</w:t>
      </w:r>
      <w:r>
        <w:rPr>
          <w:i w:val="0"/>
          <w:iCs w:val="0"/>
          <w:color w:val="000000"/>
          <w:szCs w:val="20"/>
        </w:rPr>
        <w:t>。</w:t>
      </w:r>
    </w:p>
    <w:p>
      <w:pPr>
        <w:pStyle w:val="413"/>
        <w:numPr>
          <w:ilvl w:val="4"/>
          <w:numId w:val="0"/>
        </w:numPr>
        <w:spacing w:line="240" w:lineRule="auto"/>
        <w:rPr>
          <w:rFonts w:hint="eastAsia"/>
          <w:i w:val="0"/>
          <w:iCs w:val="0"/>
        </w:rPr>
      </w:pPr>
      <w:r>
        <w:rPr>
          <w:rFonts w:hint="eastAsia"/>
          <w:i w:val="0"/>
          <w:iCs w:val="0"/>
        </w:rPr>
        <w:t>表5-14   项目涉及的主要易燃、易爆物料的特性分析</w:t>
      </w:r>
    </w:p>
    <w:tbl>
      <w:tblPr>
        <w:tblStyle w:val="5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56"/>
        <w:gridCol w:w="1856"/>
        <w:gridCol w:w="1858"/>
        <w:gridCol w:w="1856"/>
        <w:gridCol w:w="18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9" w:type="pct"/>
            <w:noWrap w:val="0"/>
            <w:vAlign w:val="center"/>
          </w:tcPr>
          <w:p>
            <w:pPr>
              <w:widowControl/>
              <w:jc w:val="center"/>
              <w:rPr>
                <w:b/>
                <w:bCs/>
                <w:i w:val="0"/>
                <w:iCs w:val="0"/>
                <w:color w:val="000000"/>
                <w:sz w:val="21"/>
                <w:szCs w:val="21"/>
              </w:rPr>
            </w:pPr>
            <w:r>
              <w:rPr>
                <w:rFonts w:hint="eastAsia"/>
                <w:b/>
                <w:bCs/>
                <w:i w:val="0"/>
                <w:iCs w:val="0"/>
                <w:color w:val="000000"/>
                <w:sz w:val="21"/>
                <w:szCs w:val="21"/>
              </w:rPr>
              <w:t>序号</w:t>
            </w:r>
          </w:p>
        </w:tc>
        <w:tc>
          <w:tcPr>
            <w:tcW w:w="999" w:type="pct"/>
            <w:noWrap w:val="0"/>
            <w:vAlign w:val="center"/>
          </w:tcPr>
          <w:p>
            <w:pPr>
              <w:widowControl/>
              <w:jc w:val="center"/>
              <w:rPr>
                <w:b/>
                <w:bCs/>
                <w:i w:val="0"/>
                <w:iCs w:val="0"/>
                <w:color w:val="000000"/>
                <w:sz w:val="21"/>
                <w:szCs w:val="21"/>
              </w:rPr>
            </w:pPr>
            <w:r>
              <w:rPr>
                <w:rFonts w:hint="eastAsia"/>
                <w:b/>
                <w:bCs/>
                <w:i w:val="0"/>
                <w:iCs w:val="0"/>
                <w:color w:val="000000"/>
                <w:sz w:val="21"/>
                <w:szCs w:val="21"/>
              </w:rPr>
              <w:t>介质名称</w:t>
            </w:r>
          </w:p>
        </w:tc>
        <w:tc>
          <w:tcPr>
            <w:tcW w:w="1000" w:type="pct"/>
            <w:noWrap w:val="0"/>
            <w:vAlign w:val="center"/>
          </w:tcPr>
          <w:p>
            <w:pPr>
              <w:widowControl/>
              <w:jc w:val="center"/>
              <w:rPr>
                <w:b/>
                <w:bCs/>
                <w:i w:val="0"/>
                <w:iCs w:val="0"/>
                <w:color w:val="000000"/>
                <w:sz w:val="21"/>
                <w:szCs w:val="21"/>
              </w:rPr>
            </w:pPr>
            <w:r>
              <w:rPr>
                <w:rFonts w:hint="eastAsia"/>
                <w:b/>
                <w:bCs/>
                <w:i w:val="0"/>
                <w:iCs w:val="0"/>
                <w:color w:val="000000"/>
                <w:sz w:val="21"/>
                <w:szCs w:val="21"/>
              </w:rPr>
              <w:t>引燃温度/℃</w:t>
            </w:r>
          </w:p>
        </w:tc>
        <w:tc>
          <w:tcPr>
            <w:tcW w:w="999" w:type="pct"/>
            <w:noWrap w:val="0"/>
            <w:vAlign w:val="center"/>
          </w:tcPr>
          <w:p>
            <w:pPr>
              <w:widowControl/>
              <w:jc w:val="center"/>
              <w:rPr>
                <w:b/>
                <w:bCs/>
                <w:i w:val="0"/>
                <w:iCs w:val="0"/>
                <w:color w:val="000000"/>
                <w:sz w:val="21"/>
                <w:szCs w:val="21"/>
              </w:rPr>
            </w:pPr>
            <w:r>
              <w:rPr>
                <w:rFonts w:hint="eastAsia"/>
                <w:b/>
                <w:bCs/>
                <w:i w:val="0"/>
                <w:iCs w:val="0"/>
                <w:color w:val="000000"/>
                <w:sz w:val="21"/>
                <w:szCs w:val="21"/>
              </w:rPr>
              <w:t>爆炸极限/V%</w:t>
            </w:r>
          </w:p>
        </w:tc>
        <w:tc>
          <w:tcPr>
            <w:tcW w:w="1000" w:type="pct"/>
            <w:noWrap w:val="0"/>
            <w:vAlign w:val="center"/>
          </w:tcPr>
          <w:p>
            <w:pPr>
              <w:widowControl/>
              <w:jc w:val="center"/>
              <w:rPr>
                <w:b/>
                <w:bCs/>
                <w:i w:val="0"/>
                <w:iCs w:val="0"/>
                <w:color w:val="000000"/>
                <w:sz w:val="21"/>
                <w:szCs w:val="21"/>
              </w:rPr>
            </w:pPr>
            <w:r>
              <w:rPr>
                <w:rFonts w:hint="eastAsia"/>
                <w:b/>
                <w:bCs/>
                <w:i w:val="0"/>
                <w:iCs w:val="0"/>
                <w:color w:val="000000"/>
                <w:sz w:val="21"/>
                <w:szCs w:val="21"/>
              </w:rPr>
              <w:t>火灾危险类别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9" w:type="pct"/>
            <w:noWrap w:val="0"/>
            <w:vAlign w:val="center"/>
          </w:tcPr>
          <w:p>
            <w:pPr>
              <w:widowControl/>
              <w:jc w:val="center"/>
              <w:rPr>
                <w:i w:val="0"/>
                <w:iCs w:val="0"/>
                <w:color w:val="000000"/>
                <w:sz w:val="21"/>
                <w:szCs w:val="21"/>
              </w:rPr>
            </w:pPr>
            <w:r>
              <w:rPr>
                <w:rFonts w:hint="eastAsia"/>
                <w:i w:val="0"/>
                <w:iCs w:val="0"/>
                <w:color w:val="000000"/>
                <w:sz w:val="21"/>
                <w:szCs w:val="21"/>
              </w:rPr>
              <w:t>1</w:t>
            </w:r>
          </w:p>
        </w:tc>
        <w:tc>
          <w:tcPr>
            <w:tcW w:w="999" w:type="pct"/>
            <w:noWrap w:val="0"/>
            <w:vAlign w:val="center"/>
          </w:tcPr>
          <w:p>
            <w:pPr>
              <w:widowControl/>
              <w:jc w:val="center"/>
              <w:rPr>
                <w:i w:val="0"/>
                <w:iCs w:val="0"/>
                <w:color w:val="000000"/>
                <w:sz w:val="21"/>
                <w:szCs w:val="21"/>
              </w:rPr>
            </w:pPr>
            <w:r>
              <w:rPr>
                <w:rFonts w:hint="eastAsia"/>
                <w:i w:val="0"/>
                <w:iCs w:val="0"/>
                <w:color w:val="000000"/>
                <w:sz w:val="21"/>
                <w:szCs w:val="21"/>
              </w:rPr>
              <w:t>氨</w:t>
            </w:r>
          </w:p>
        </w:tc>
        <w:tc>
          <w:tcPr>
            <w:tcW w:w="1000" w:type="pct"/>
            <w:noWrap w:val="0"/>
            <w:vAlign w:val="center"/>
          </w:tcPr>
          <w:p>
            <w:pPr>
              <w:widowControl/>
              <w:jc w:val="center"/>
              <w:rPr>
                <w:i w:val="0"/>
                <w:iCs w:val="0"/>
                <w:color w:val="000000"/>
                <w:sz w:val="21"/>
                <w:szCs w:val="21"/>
              </w:rPr>
            </w:pPr>
            <w:r>
              <w:rPr>
                <w:rFonts w:hint="eastAsia"/>
                <w:i w:val="0"/>
                <w:iCs w:val="0"/>
                <w:color w:val="000000"/>
                <w:sz w:val="21"/>
                <w:szCs w:val="21"/>
              </w:rPr>
              <w:t>650</w:t>
            </w:r>
          </w:p>
        </w:tc>
        <w:tc>
          <w:tcPr>
            <w:tcW w:w="999" w:type="pct"/>
            <w:noWrap w:val="0"/>
            <w:vAlign w:val="center"/>
          </w:tcPr>
          <w:p>
            <w:pPr>
              <w:widowControl/>
              <w:jc w:val="center"/>
              <w:rPr>
                <w:i w:val="0"/>
                <w:iCs w:val="0"/>
                <w:color w:val="000000"/>
                <w:sz w:val="21"/>
                <w:szCs w:val="21"/>
              </w:rPr>
            </w:pPr>
            <w:r>
              <w:rPr>
                <w:rFonts w:hint="eastAsia"/>
                <w:i w:val="0"/>
                <w:iCs w:val="0"/>
                <w:color w:val="000000"/>
                <w:sz w:val="21"/>
                <w:szCs w:val="21"/>
              </w:rPr>
              <w:t>16~25</w:t>
            </w:r>
          </w:p>
        </w:tc>
        <w:tc>
          <w:tcPr>
            <w:tcW w:w="1000" w:type="pct"/>
            <w:noWrap w:val="0"/>
            <w:vAlign w:val="center"/>
          </w:tcPr>
          <w:p>
            <w:pPr>
              <w:widowControl/>
              <w:jc w:val="center"/>
              <w:rPr>
                <w:i w:val="0"/>
                <w:iCs w:val="0"/>
                <w:color w:val="000000"/>
                <w:sz w:val="21"/>
                <w:szCs w:val="21"/>
              </w:rPr>
            </w:pPr>
            <w:r>
              <w:rPr>
                <w:rFonts w:hint="eastAsia"/>
                <w:i w:val="0"/>
                <w:iCs w:val="0"/>
                <w:color w:val="000000"/>
                <w:sz w:val="21"/>
                <w:szCs w:val="21"/>
              </w:rPr>
              <w:t>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9" w:type="pct"/>
            <w:noWrap w:val="0"/>
            <w:vAlign w:val="center"/>
          </w:tcPr>
          <w:p>
            <w:pPr>
              <w:widowControl/>
              <w:jc w:val="center"/>
              <w:rPr>
                <w:i w:val="0"/>
                <w:iCs w:val="0"/>
                <w:color w:val="000000"/>
                <w:sz w:val="21"/>
                <w:szCs w:val="21"/>
              </w:rPr>
            </w:pPr>
            <w:r>
              <w:rPr>
                <w:rFonts w:hint="eastAsia"/>
                <w:i w:val="0"/>
                <w:iCs w:val="0"/>
                <w:color w:val="000000"/>
                <w:sz w:val="21"/>
                <w:szCs w:val="21"/>
              </w:rPr>
              <w:t>2</w:t>
            </w:r>
          </w:p>
        </w:tc>
        <w:tc>
          <w:tcPr>
            <w:tcW w:w="999" w:type="pct"/>
            <w:noWrap w:val="0"/>
            <w:vAlign w:val="center"/>
          </w:tcPr>
          <w:p>
            <w:pPr>
              <w:widowControl/>
              <w:jc w:val="center"/>
              <w:rPr>
                <w:rFonts w:hint="eastAsia"/>
                <w:i w:val="0"/>
                <w:iCs w:val="0"/>
                <w:color w:val="000000"/>
                <w:sz w:val="21"/>
                <w:szCs w:val="21"/>
              </w:rPr>
            </w:pPr>
            <w:r>
              <w:rPr>
                <w:rFonts w:hint="eastAsia"/>
                <w:i w:val="0"/>
                <w:iCs w:val="0"/>
                <w:color w:val="000000"/>
                <w:sz w:val="21"/>
                <w:szCs w:val="21"/>
              </w:rPr>
              <w:t>乙醇</w:t>
            </w:r>
          </w:p>
        </w:tc>
        <w:tc>
          <w:tcPr>
            <w:tcW w:w="1000" w:type="pct"/>
            <w:noWrap w:val="0"/>
            <w:vAlign w:val="center"/>
          </w:tcPr>
          <w:p>
            <w:pPr>
              <w:widowControl/>
              <w:jc w:val="center"/>
              <w:rPr>
                <w:i w:val="0"/>
                <w:iCs w:val="0"/>
                <w:color w:val="000000"/>
                <w:sz w:val="21"/>
                <w:szCs w:val="21"/>
              </w:rPr>
            </w:pPr>
            <w:r>
              <w:rPr>
                <w:rFonts w:hint="eastAsia"/>
                <w:i w:val="0"/>
                <w:iCs w:val="0"/>
                <w:color w:val="000000"/>
                <w:sz w:val="21"/>
                <w:szCs w:val="21"/>
              </w:rPr>
              <w:t>363</w:t>
            </w:r>
          </w:p>
        </w:tc>
        <w:tc>
          <w:tcPr>
            <w:tcW w:w="999" w:type="pct"/>
            <w:noWrap w:val="0"/>
            <w:vAlign w:val="center"/>
          </w:tcPr>
          <w:p>
            <w:pPr>
              <w:widowControl/>
              <w:jc w:val="center"/>
              <w:rPr>
                <w:i w:val="0"/>
                <w:iCs w:val="0"/>
                <w:color w:val="000000"/>
                <w:sz w:val="21"/>
                <w:szCs w:val="21"/>
              </w:rPr>
            </w:pPr>
            <w:r>
              <w:rPr>
                <w:rFonts w:hint="eastAsia"/>
                <w:i w:val="0"/>
                <w:iCs w:val="0"/>
                <w:color w:val="000000"/>
                <w:sz w:val="21"/>
                <w:szCs w:val="21"/>
              </w:rPr>
              <w:t>3.3~19</w:t>
            </w:r>
          </w:p>
        </w:tc>
        <w:tc>
          <w:tcPr>
            <w:tcW w:w="1000" w:type="pct"/>
            <w:noWrap w:val="0"/>
            <w:vAlign w:val="center"/>
          </w:tcPr>
          <w:p>
            <w:pPr>
              <w:widowControl/>
              <w:jc w:val="center"/>
              <w:rPr>
                <w:i w:val="0"/>
                <w:iCs w:val="0"/>
                <w:color w:val="000000"/>
                <w:sz w:val="21"/>
                <w:szCs w:val="21"/>
              </w:rPr>
            </w:pPr>
            <w:r>
              <w:rPr>
                <w:rFonts w:hint="eastAsia"/>
                <w:i w:val="0"/>
                <w:iCs w:val="0"/>
                <w:color w:val="000000"/>
                <w:sz w:val="21"/>
                <w:szCs w:val="21"/>
              </w:rPr>
              <w:t>甲</w:t>
            </w:r>
          </w:p>
        </w:tc>
      </w:tr>
    </w:tbl>
    <w:p>
      <w:pPr>
        <w:widowControl/>
        <w:jc w:val="center"/>
        <w:rPr>
          <w:b/>
          <w:bCs/>
          <w:i w:val="0"/>
          <w:iCs w:val="0"/>
          <w:color w:val="000000"/>
          <w:szCs w:val="20"/>
        </w:rPr>
      </w:pPr>
      <w:r>
        <w:rPr>
          <w:rFonts w:hint="eastAsia"/>
          <w:b/>
          <w:bCs/>
          <w:i w:val="0"/>
          <w:iCs w:val="0"/>
          <w:color w:val="000000"/>
          <w:szCs w:val="20"/>
        </w:rPr>
        <w:t>表7-</w:t>
      </w:r>
      <w:r>
        <w:rPr>
          <w:b/>
          <w:bCs/>
          <w:i w:val="0"/>
          <w:iCs w:val="0"/>
          <w:color w:val="000000"/>
          <w:szCs w:val="20"/>
        </w:rPr>
        <w:t>1</w:t>
      </w:r>
      <w:r>
        <w:rPr>
          <w:rFonts w:hint="eastAsia"/>
          <w:b/>
          <w:bCs/>
          <w:i w:val="0"/>
          <w:iCs w:val="0"/>
          <w:color w:val="000000"/>
          <w:szCs w:val="20"/>
        </w:rPr>
        <w:t>5   项目主要的有毒、有害物质毒理特性一览表</w:t>
      </w:r>
    </w:p>
    <w:tbl>
      <w:tblPr>
        <w:tblStyle w:val="58"/>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3"/>
        <w:gridCol w:w="1305"/>
        <w:gridCol w:w="1417"/>
        <w:gridCol w:w="54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 w:type="dxa"/>
            <w:noWrap w:val="0"/>
            <w:vAlign w:val="center"/>
          </w:tcPr>
          <w:p>
            <w:pPr>
              <w:widowControl/>
              <w:jc w:val="center"/>
              <w:rPr>
                <w:b/>
                <w:bCs/>
                <w:i w:val="0"/>
                <w:iCs w:val="0"/>
                <w:color w:val="000000"/>
                <w:sz w:val="21"/>
                <w:szCs w:val="21"/>
              </w:rPr>
            </w:pPr>
            <w:r>
              <w:rPr>
                <w:rFonts w:hint="eastAsia"/>
                <w:b/>
                <w:bCs/>
                <w:i w:val="0"/>
                <w:iCs w:val="0"/>
                <w:color w:val="000000"/>
                <w:sz w:val="21"/>
                <w:szCs w:val="21"/>
              </w:rPr>
              <w:t>名称</w:t>
            </w:r>
          </w:p>
        </w:tc>
        <w:tc>
          <w:tcPr>
            <w:tcW w:w="1305" w:type="dxa"/>
            <w:noWrap w:val="0"/>
            <w:vAlign w:val="center"/>
          </w:tcPr>
          <w:p>
            <w:pPr>
              <w:widowControl/>
              <w:jc w:val="center"/>
              <w:rPr>
                <w:b/>
                <w:bCs/>
                <w:i w:val="0"/>
                <w:iCs w:val="0"/>
                <w:color w:val="000000"/>
                <w:sz w:val="21"/>
                <w:szCs w:val="21"/>
              </w:rPr>
            </w:pPr>
            <w:r>
              <w:rPr>
                <w:b/>
                <w:bCs/>
                <w:i w:val="0"/>
                <w:iCs w:val="0"/>
                <w:color w:val="000000"/>
                <w:sz w:val="21"/>
                <w:szCs w:val="21"/>
              </w:rPr>
              <w:t>毒性终点</w:t>
            </w:r>
          </w:p>
          <w:p>
            <w:pPr>
              <w:widowControl/>
              <w:jc w:val="center"/>
              <w:rPr>
                <w:b/>
                <w:bCs/>
                <w:i w:val="0"/>
                <w:iCs w:val="0"/>
                <w:color w:val="000000"/>
                <w:sz w:val="21"/>
                <w:szCs w:val="21"/>
              </w:rPr>
            </w:pPr>
            <w:r>
              <w:rPr>
                <w:b/>
                <w:bCs/>
                <w:i w:val="0"/>
                <w:iCs w:val="0"/>
                <w:color w:val="000000"/>
                <w:sz w:val="21"/>
                <w:szCs w:val="21"/>
              </w:rPr>
              <w:t>浓度-1</w:t>
            </w:r>
          </w:p>
        </w:tc>
        <w:tc>
          <w:tcPr>
            <w:tcW w:w="1417" w:type="dxa"/>
            <w:noWrap w:val="0"/>
            <w:vAlign w:val="center"/>
          </w:tcPr>
          <w:p>
            <w:pPr>
              <w:widowControl/>
              <w:jc w:val="center"/>
              <w:rPr>
                <w:b/>
                <w:bCs/>
                <w:i w:val="0"/>
                <w:iCs w:val="0"/>
                <w:color w:val="000000"/>
                <w:sz w:val="21"/>
                <w:szCs w:val="21"/>
              </w:rPr>
            </w:pPr>
            <w:r>
              <w:rPr>
                <w:b/>
                <w:bCs/>
                <w:i w:val="0"/>
                <w:iCs w:val="0"/>
                <w:color w:val="000000"/>
                <w:sz w:val="21"/>
                <w:szCs w:val="21"/>
              </w:rPr>
              <w:t>毒性终点</w:t>
            </w:r>
          </w:p>
          <w:p>
            <w:pPr>
              <w:widowControl/>
              <w:jc w:val="center"/>
              <w:rPr>
                <w:b/>
                <w:bCs/>
                <w:i w:val="0"/>
                <w:iCs w:val="0"/>
                <w:color w:val="000000"/>
                <w:sz w:val="21"/>
                <w:szCs w:val="21"/>
              </w:rPr>
            </w:pPr>
            <w:r>
              <w:rPr>
                <w:b/>
                <w:bCs/>
                <w:i w:val="0"/>
                <w:iCs w:val="0"/>
                <w:color w:val="000000"/>
                <w:sz w:val="21"/>
                <w:szCs w:val="21"/>
              </w:rPr>
              <w:t>浓度-</w:t>
            </w:r>
            <w:r>
              <w:rPr>
                <w:rFonts w:hint="eastAsia"/>
                <w:b/>
                <w:bCs/>
                <w:i w:val="0"/>
                <w:iCs w:val="0"/>
                <w:color w:val="000000"/>
                <w:sz w:val="21"/>
                <w:szCs w:val="21"/>
              </w:rPr>
              <w:t>2</w:t>
            </w:r>
          </w:p>
        </w:tc>
        <w:tc>
          <w:tcPr>
            <w:tcW w:w="5476" w:type="dxa"/>
            <w:noWrap w:val="0"/>
            <w:vAlign w:val="center"/>
          </w:tcPr>
          <w:p>
            <w:pPr>
              <w:widowControl/>
              <w:jc w:val="center"/>
              <w:rPr>
                <w:b/>
                <w:bCs/>
                <w:i w:val="0"/>
                <w:iCs w:val="0"/>
                <w:color w:val="000000"/>
                <w:sz w:val="21"/>
                <w:szCs w:val="21"/>
              </w:rPr>
            </w:pPr>
            <w:r>
              <w:rPr>
                <w:b/>
                <w:bCs/>
                <w:i w:val="0"/>
                <w:iCs w:val="0"/>
                <w:color w:val="000000"/>
                <w:sz w:val="21"/>
                <w:szCs w:val="21"/>
              </w:rPr>
              <w:t>健康危害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 w:type="dxa"/>
            <w:noWrap w:val="0"/>
            <w:vAlign w:val="center"/>
          </w:tcPr>
          <w:p>
            <w:pPr>
              <w:widowControl/>
              <w:jc w:val="center"/>
              <w:rPr>
                <w:i w:val="0"/>
                <w:iCs w:val="0"/>
                <w:color w:val="000000"/>
                <w:sz w:val="21"/>
                <w:szCs w:val="21"/>
              </w:rPr>
            </w:pPr>
            <w:r>
              <w:rPr>
                <w:rFonts w:hint="eastAsia"/>
                <w:i w:val="0"/>
                <w:iCs w:val="0"/>
                <w:color w:val="000000"/>
                <w:sz w:val="21"/>
                <w:szCs w:val="21"/>
              </w:rPr>
              <w:t>氨</w:t>
            </w:r>
          </w:p>
        </w:tc>
        <w:tc>
          <w:tcPr>
            <w:tcW w:w="1305" w:type="dxa"/>
            <w:noWrap w:val="0"/>
            <w:vAlign w:val="center"/>
          </w:tcPr>
          <w:p>
            <w:pPr>
              <w:widowControl/>
              <w:jc w:val="center"/>
              <w:rPr>
                <w:i w:val="0"/>
                <w:iCs w:val="0"/>
                <w:color w:val="000000"/>
                <w:sz w:val="21"/>
                <w:szCs w:val="21"/>
              </w:rPr>
            </w:pPr>
            <w:r>
              <w:rPr>
                <w:rFonts w:hint="eastAsia"/>
                <w:i w:val="0"/>
                <w:iCs w:val="0"/>
                <w:color w:val="000000"/>
                <w:sz w:val="21"/>
                <w:szCs w:val="21"/>
              </w:rPr>
              <w:t>70</w:t>
            </w:r>
          </w:p>
        </w:tc>
        <w:tc>
          <w:tcPr>
            <w:tcW w:w="1417" w:type="dxa"/>
            <w:noWrap w:val="0"/>
            <w:vAlign w:val="center"/>
          </w:tcPr>
          <w:p>
            <w:pPr>
              <w:widowControl/>
              <w:jc w:val="center"/>
              <w:rPr>
                <w:i w:val="0"/>
                <w:iCs w:val="0"/>
                <w:color w:val="000000"/>
                <w:sz w:val="21"/>
                <w:szCs w:val="21"/>
              </w:rPr>
            </w:pPr>
            <w:r>
              <w:rPr>
                <w:rFonts w:hint="eastAsia"/>
                <w:i w:val="0"/>
                <w:iCs w:val="0"/>
                <w:color w:val="000000"/>
                <w:sz w:val="21"/>
                <w:szCs w:val="21"/>
              </w:rPr>
              <w:t>38</w:t>
            </w:r>
          </w:p>
        </w:tc>
        <w:tc>
          <w:tcPr>
            <w:tcW w:w="5476" w:type="dxa"/>
            <w:noWrap w:val="0"/>
            <w:vAlign w:val="center"/>
          </w:tcPr>
          <w:p>
            <w:pPr>
              <w:widowControl/>
              <w:rPr>
                <w:i w:val="0"/>
                <w:iCs w:val="0"/>
                <w:color w:val="000000"/>
                <w:sz w:val="21"/>
                <w:szCs w:val="21"/>
              </w:rPr>
            </w:pPr>
            <w:r>
              <w:rPr>
                <w:i w:val="0"/>
                <w:iCs w:val="0"/>
                <w:color w:val="000000"/>
                <w:sz w:val="21"/>
                <w:szCs w:val="21"/>
              </w:rPr>
              <w:t>接触液氨可冻伤，腐蚀皮肤、眼睛、鼻、喉和肺，能引起皮肤刺激和灼伤，对眼睛粘膜也有刺激。反复接触可引起慢性呼吸道刺激，可导致慢性气管炎和呼吸道过敏。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 w:type="dxa"/>
            <w:noWrap w:val="0"/>
            <w:vAlign w:val="center"/>
          </w:tcPr>
          <w:p>
            <w:pPr>
              <w:widowControl/>
              <w:jc w:val="center"/>
              <w:rPr>
                <w:i w:val="0"/>
                <w:iCs w:val="0"/>
                <w:color w:val="000000"/>
                <w:sz w:val="21"/>
                <w:szCs w:val="21"/>
              </w:rPr>
            </w:pPr>
            <w:r>
              <w:rPr>
                <w:rFonts w:hint="eastAsia"/>
                <w:i w:val="0"/>
                <w:iCs w:val="0"/>
                <w:color w:val="000000"/>
                <w:sz w:val="21"/>
                <w:szCs w:val="21"/>
              </w:rPr>
              <w:t>CO</w:t>
            </w:r>
          </w:p>
        </w:tc>
        <w:tc>
          <w:tcPr>
            <w:tcW w:w="1305" w:type="dxa"/>
            <w:noWrap w:val="0"/>
            <w:vAlign w:val="center"/>
          </w:tcPr>
          <w:p>
            <w:pPr>
              <w:widowControl/>
              <w:jc w:val="center"/>
              <w:rPr>
                <w:i w:val="0"/>
                <w:iCs w:val="0"/>
                <w:color w:val="000000"/>
                <w:sz w:val="21"/>
                <w:szCs w:val="21"/>
              </w:rPr>
            </w:pPr>
            <w:r>
              <w:rPr>
                <w:rFonts w:hint="eastAsia"/>
                <w:i w:val="0"/>
                <w:iCs w:val="0"/>
                <w:color w:val="000000"/>
                <w:sz w:val="21"/>
                <w:szCs w:val="21"/>
              </w:rPr>
              <w:t>380</w:t>
            </w:r>
          </w:p>
        </w:tc>
        <w:tc>
          <w:tcPr>
            <w:tcW w:w="1417" w:type="dxa"/>
            <w:noWrap w:val="0"/>
            <w:vAlign w:val="center"/>
          </w:tcPr>
          <w:p>
            <w:pPr>
              <w:widowControl/>
              <w:jc w:val="center"/>
              <w:rPr>
                <w:i w:val="0"/>
                <w:iCs w:val="0"/>
                <w:color w:val="000000"/>
                <w:sz w:val="21"/>
                <w:szCs w:val="21"/>
              </w:rPr>
            </w:pPr>
            <w:r>
              <w:rPr>
                <w:rFonts w:hint="eastAsia"/>
                <w:i w:val="0"/>
                <w:iCs w:val="0"/>
                <w:color w:val="000000"/>
                <w:sz w:val="21"/>
                <w:szCs w:val="21"/>
              </w:rPr>
              <w:t>95</w:t>
            </w:r>
          </w:p>
        </w:tc>
        <w:tc>
          <w:tcPr>
            <w:tcW w:w="5476" w:type="dxa"/>
            <w:noWrap w:val="0"/>
            <w:vAlign w:val="center"/>
          </w:tcPr>
          <w:p>
            <w:pPr>
              <w:widowControl/>
              <w:rPr>
                <w:i w:val="0"/>
                <w:iCs w:val="0"/>
                <w:color w:val="000000"/>
                <w:sz w:val="21"/>
                <w:szCs w:val="21"/>
              </w:rPr>
            </w:pPr>
            <w:r>
              <w:rPr>
                <w:i w:val="0"/>
                <w:iCs w:val="0"/>
                <w:color w:val="000000"/>
                <w:sz w:val="21"/>
                <w:szCs w:val="21"/>
              </w:rPr>
              <w:t>一氧化碳在血中与血红蛋白结合而造成组织缺氧。急性中毒：轻度中毒者出现头痛、头晕、耳鸣、心悸、恶心、呕吐、无力。中度中毒者除上述症状外，还有面色潮红、口唇樱红、脉快、烦躁、步态不稳、意识模糊，可有昏迷。重度患者昏迷不醒、瞳孔缩小、肌张力增加，频繁抽搐、大小便失禁等。深度中毒可致死。慢性影响：长期反复吸入一定量的一氧化碳可致神经和心血管系统损害。</w:t>
            </w:r>
          </w:p>
        </w:tc>
      </w:tr>
    </w:tbl>
    <w:p>
      <w:pPr>
        <w:keepNext/>
        <w:keepLines/>
        <w:widowControl/>
        <w:spacing w:before="120" w:beforeLines="50" w:line="360" w:lineRule="auto"/>
        <w:outlineLvl w:val="2"/>
        <w:rPr>
          <w:b/>
          <w:bCs/>
          <w:i w:val="0"/>
          <w:iCs w:val="0"/>
          <w:color w:val="000000"/>
          <w:szCs w:val="32"/>
        </w:rPr>
      </w:pPr>
      <w:bookmarkStart w:id="240" w:name="_Toc123993298"/>
      <w:r>
        <w:rPr>
          <w:rFonts w:hint="eastAsia"/>
          <w:b/>
          <w:bCs/>
          <w:i w:val="0"/>
          <w:iCs w:val="0"/>
          <w:color w:val="000000"/>
          <w:szCs w:val="32"/>
        </w:rPr>
        <w:t>7</w:t>
      </w:r>
      <w:r>
        <w:rPr>
          <w:b/>
          <w:bCs/>
          <w:i w:val="0"/>
          <w:iCs w:val="0"/>
          <w:color w:val="000000"/>
          <w:szCs w:val="32"/>
        </w:rPr>
        <w:t>.2.3</w:t>
      </w:r>
      <w:r>
        <w:rPr>
          <w:rFonts w:hint="eastAsia"/>
          <w:b/>
          <w:bCs/>
          <w:i w:val="0"/>
          <w:iCs w:val="0"/>
          <w:color w:val="000000"/>
          <w:szCs w:val="32"/>
        </w:rPr>
        <w:t xml:space="preserve"> </w:t>
      </w:r>
      <w:r>
        <w:rPr>
          <w:b/>
          <w:bCs/>
          <w:i w:val="0"/>
          <w:iCs w:val="0"/>
          <w:color w:val="000000"/>
          <w:szCs w:val="32"/>
        </w:rPr>
        <w:t>主要风险物质危险性分析</w:t>
      </w:r>
      <w:bookmarkEnd w:id="240"/>
    </w:p>
    <w:p>
      <w:pPr>
        <w:widowControl/>
        <w:spacing w:line="360" w:lineRule="auto"/>
        <w:ind w:firstLine="480" w:firstLineChars="200"/>
        <w:rPr>
          <w:i w:val="0"/>
          <w:iCs w:val="0"/>
          <w:color w:val="000000"/>
          <w:szCs w:val="20"/>
        </w:rPr>
      </w:pPr>
      <w:r>
        <w:rPr>
          <w:i w:val="0"/>
          <w:iCs w:val="0"/>
          <w:color w:val="000000"/>
          <w:szCs w:val="20"/>
        </w:rPr>
        <w:t>依据危险物质的理化数据，本工程所涉及的主要危险物质分析如下：</w:t>
      </w:r>
    </w:p>
    <w:p>
      <w:pPr>
        <w:widowControl/>
        <w:spacing w:line="360" w:lineRule="auto"/>
        <w:ind w:firstLine="480" w:firstLineChars="200"/>
        <w:rPr>
          <w:i w:val="0"/>
          <w:iCs w:val="0"/>
          <w:color w:val="000000"/>
          <w:szCs w:val="20"/>
        </w:rPr>
      </w:pPr>
      <w:r>
        <w:rPr>
          <w:i w:val="0"/>
          <w:iCs w:val="0"/>
          <w:color w:val="000000"/>
          <w:szCs w:val="20"/>
        </w:rPr>
        <w:t>1、一氧化碳</w:t>
      </w:r>
    </w:p>
    <w:p>
      <w:pPr>
        <w:widowControl/>
        <w:spacing w:line="360" w:lineRule="auto"/>
        <w:ind w:firstLine="480" w:firstLineChars="200"/>
        <w:rPr>
          <w:i w:val="0"/>
          <w:iCs w:val="0"/>
          <w:color w:val="000000"/>
          <w:szCs w:val="20"/>
        </w:rPr>
      </w:pPr>
      <w:r>
        <w:rPr>
          <w:i w:val="0"/>
          <w:iCs w:val="0"/>
          <w:color w:val="000000"/>
          <w:szCs w:val="20"/>
        </w:rPr>
        <w:t>危险特性：</w:t>
      </w:r>
      <w:r>
        <w:rPr>
          <w:rFonts w:hint="eastAsia"/>
          <w:i w:val="0"/>
          <w:iCs w:val="0"/>
          <w:color w:val="000000"/>
          <w:szCs w:val="20"/>
        </w:rPr>
        <w:t>是一种易燃易爆气体，与空气混合可形成爆炸性混合物。遇明火、高热能燃烧爆炸。灭火方法：切断气源。若不能切断气源，则不允许熄灭泄漏处的火焰。喷水冷却容器，可能的话将容器从火场移至空旷处。</w:t>
      </w:r>
    </w:p>
    <w:p>
      <w:pPr>
        <w:widowControl/>
        <w:spacing w:line="360" w:lineRule="auto"/>
        <w:ind w:firstLine="480" w:firstLineChars="200"/>
        <w:rPr>
          <w:i w:val="0"/>
          <w:iCs w:val="0"/>
          <w:color w:val="000000"/>
          <w:szCs w:val="20"/>
        </w:rPr>
      </w:pPr>
      <w:r>
        <w:rPr>
          <w:rFonts w:hint="eastAsia"/>
          <w:i w:val="0"/>
          <w:iCs w:val="0"/>
          <w:color w:val="000000"/>
          <w:szCs w:val="20"/>
        </w:rPr>
        <w:t>灭火剂：干粉、泡沫、CO</w:t>
      </w:r>
      <w:r>
        <w:rPr>
          <w:rFonts w:hint="eastAsia"/>
          <w:i w:val="0"/>
          <w:iCs w:val="0"/>
          <w:color w:val="000000"/>
          <w:szCs w:val="20"/>
          <w:vertAlign w:val="subscript"/>
        </w:rPr>
        <w:t>2</w:t>
      </w:r>
      <w:r>
        <w:rPr>
          <w:rFonts w:hint="eastAsia"/>
          <w:i w:val="0"/>
          <w:iCs w:val="0"/>
          <w:color w:val="000000"/>
          <w:szCs w:val="20"/>
        </w:rPr>
        <w:t>、雾状水。稳定性：稳定；聚合危害：不聚合。禁忌物：强氧化剂、碱类。燃烧产物：CO</w:t>
      </w:r>
      <w:r>
        <w:rPr>
          <w:rFonts w:hint="eastAsia"/>
          <w:i w:val="0"/>
          <w:iCs w:val="0"/>
          <w:color w:val="000000"/>
          <w:szCs w:val="20"/>
          <w:vertAlign w:val="subscript"/>
        </w:rPr>
        <w:t>2</w:t>
      </w:r>
      <w:r>
        <w:rPr>
          <w:rFonts w:hint="eastAsia"/>
          <w:i w:val="0"/>
          <w:iCs w:val="0"/>
          <w:color w:val="000000"/>
          <w:szCs w:val="20"/>
        </w:rPr>
        <w:t>。</w:t>
      </w:r>
    </w:p>
    <w:p>
      <w:pPr>
        <w:widowControl/>
        <w:spacing w:line="360" w:lineRule="auto"/>
        <w:ind w:firstLine="480" w:firstLineChars="200"/>
        <w:rPr>
          <w:i w:val="0"/>
          <w:iCs w:val="0"/>
          <w:color w:val="000000"/>
          <w:szCs w:val="20"/>
        </w:rPr>
      </w:pPr>
      <w:r>
        <w:rPr>
          <w:rFonts w:hint="eastAsia"/>
          <w:i w:val="0"/>
          <w:iCs w:val="0"/>
          <w:color w:val="000000"/>
          <w:szCs w:val="20"/>
        </w:rPr>
        <w:t>健康危害：侵入途径：吸入；一氧化碳在血中与血红蛋白结合而造成组织缺氧。</w:t>
      </w:r>
    </w:p>
    <w:p>
      <w:pPr>
        <w:widowControl/>
        <w:spacing w:line="360" w:lineRule="auto"/>
        <w:ind w:firstLine="480" w:firstLineChars="200"/>
        <w:rPr>
          <w:i w:val="0"/>
          <w:iCs w:val="0"/>
          <w:color w:val="000000"/>
          <w:szCs w:val="20"/>
        </w:rPr>
      </w:pPr>
      <w:r>
        <w:rPr>
          <w:i w:val="0"/>
          <w:iCs w:val="0"/>
          <w:color w:val="000000"/>
          <w:szCs w:val="20"/>
        </w:rPr>
        <w:t>急救措施：吸入：迅速脱离现场至空气新鲜处。保持呼吸道通畅。如呼吸困难，给输氧。呼吸心跳停止时，立即进行人工呼吸和胸外心脏按压术。就医。</w:t>
      </w:r>
    </w:p>
    <w:p>
      <w:pPr>
        <w:widowControl/>
        <w:spacing w:line="360" w:lineRule="auto"/>
        <w:ind w:firstLine="480" w:firstLineChars="200"/>
        <w:rPr>
          <w:i w:val="0"/>
          <w:iCs w:val="0"/>
          <w:color w:val="000000"/>
          <w:szCs w:val="20"/>
        </w:rPr>
      </w:pPr>
      <w:r>
        <w:rPr>
          <w:i w:val="0"/>
          <w:iCs w:val="0"/>
          <w:color w:val="000000"/>
          <w:szCs w:val="20"/>
        </w:rPr>
        <w:t>泄漏应急处理：迅速撤离泄漏污染区人员至上风处，并立即隔离150m，严格限制出入。切断火源。建议应急处理人员戴自给正压式呼吸器，穿防静电工作服。尽可能切断泄漏源。合理通风，加速扩散。喷雾状水稀释、溶解。构筑围堤或挖坑收容产生的大量废水。</w:t>
      </w:r>
    </w:p>
    <w:p>
      <w:pPr>
        <w:widowControl/>
        <w:spacing w:line="360" w:lineRule="auto"/>
        <w:ind w:firstLine="480" w:firstLineChars="200"/>
        <w:rPr>
          <w:i w:val="0"/>
          <w:iCs w:val="0"/>
          <w:color w:val="000000"/>
          <w:szCs w:val="20"/>
        </w:rPr>
      </w:pPr>
      <w:r>
        <w:rPr>
          <w:i w:val="0"/>
          <w:iCs w:val="0"/>
          <w:color w:val="000000"/>
          <w:szCs w:val="20"/>
        </w:rPr>
        <w:t>环境资料：该物质对环境有危害，应特别注意</w:t>
      </w:r>
      <w:r>
        <w:rPr>
          <w:rFonts w:hint="eastAsia"/>
          <w:i w:val="0"/>
          <w:iCs w:val="0"/>
          <w:color w:val="000000"/>
          <w:szCs w:val="20"/>
        </w:rPr>
        <w:t>物质</w:t>
      </w:r>
      <w:r>
        <w:rPr>
          <w:i w:val="0"/>
          <w:iCs w:val="0"/>
          <w:color w:val="000000"/>
          <w:szCs w:val="20"/>
        </w:rPr>
        <w:t>对地表水、土壤、大气和饮用水的污染。</w:t>
      </w:r>
    </w:p>
    <w:p>
      <w:pPr>
        <w:widowControl/>
        <w:spacing w:line="360" w:lineRule="auto"/>
        <w:ind w:firstLine="480" w:firstLineChars="200"/>
        <w:rPr>
          <w:i w:val="0"/>
          <w:iCs w:val="0"/>
          <w:color w:val="000000"/>
          <w:szCs w:val="20"/>
        </w:rPr>
      </w:pPr>
      <w:r>
        <w:rPr>
          <w:rFonts w:hint="eastAsia"/>
          <w:i w:val="0"/>
          <w:iCs w:val="0"/>
          <w:color w:val="000000"/>
          <w:szCs w:val="20"/>
        </w:rPr>
        <w:t>2、</w:t>
      </w:r>
      <w:r>
        <w:rPr>
          <w:i w:val="0"/>
          <w:iCs w:val="0"/>
          <w:color w:val="000000"/>
          <w:szCs w:val="20"/>
        </w:rPr>
        <w:t>氨水</w:t>
      </w:r>
    </w:p>
    <w:p>
      <w:pPr>
        <w:pStyle w:val="26"/>
        <w:spacing w:line="348" w:lineRule="auto"/>
        <w:rPr>
          <w:rFonts w:ascii="Times New Roman" w:hAnsi="Times New Roman"/>
          <w:i w:val="0"/>
          <w:iCs w:val="0"/>
          <w:color w:val="000000"/>
          <w:szCs w:val="20"/>
        </w:rPr>
      </w:pPr>
      <w:r>
        <w:rPr>
          <w:rFonts w:ascii="Times New Roman" w:hAnsi="Times New Roman"/>
          <w:i w:val="0"/>
          <w:iCs w:val="0"/>
          <w:color w:val="000000"/>
          <w:szCs w:val="20"/>
        </w:rPr>
        <w:t>危险特性：</w:t>
      </w:r>
      <w:r>
        <w:rPr>
          <w:rFonts w:hint="eastAsia" w:ascii="Times New Roman" w:hAnsi="Times New Roman"/>
          <w:i w:val="0"/>
          <w:iCs w:val="0"/>
          <w:color w:val="000000"/>
          <w:szCs w:val="20"/>
        </w:rPr>
        <w:t>易</w:t>
      </w:r>
      <w:r>
        <w:rPr>
          <w:rFonts w:ascii="Times New Roman" w:hAnsi="Times New Roman"/>
          <w:i w:val="0"/>
          <w:iCs w:val="0"/>
          <w:color w:val="000000"/>
          <w:szCs w:val="20"/>
        </w:rPr>
        <w:t>分解放出氨气，温度越高，分解速度越快，可形成爆炸性气氛。</w:t>
      </w:r>
    </w:p>
    <w:p>
      <w:pPr>
        <w:pStyle w:val="26"/>
        <w:spacing w:line="348" w:lineRule="auto"/>
        <w:rPr>
          <w:rFonts w:ascii="Times New Roman" w:hAnsi="Times New Roman"/>
          <w:i w:val="0"/>
          <w:iCs w:val="0"/>
          <w:color w:val="000000"/>
          <w:szCs w:val="20"/>
        </w:rPr>
      </w:pPr>
      <w:r>
        <w:rPr>
          <w:rFonts w:hint="eastAsia" w:ascii="Times New Roman" w:hAnsi="Times New Roman"/>
          <w:i w:val="0"/>
          <w:iCs w:val="0"/>
          <w:color w:val="000000"/>
          <w:szCs w:val="20"/>
        </w:rPr>
        <w:t>灭火剂：雾状水</w:t>
      </w:r>
      <w:r>
        <w:rPr>
          <w:rFonts w:ascii="Times New Roman" w:hAnsi="Times New Roman"/>
          <w:i w:val="0"/>
          <w:iCs w:val="0"/>
          <w:color w:val="000000"/>
          <w:szCs w:val="20"/>
        </w:rPr>
        <w:t>、水、砂土。</w:t>
      </w:r>
    </w:p>
    <w:p>
      <w:pPr>
        <w:pStyle w:val="26"/>
        <w:spacing w:line="348" w:lineRule="auto"/>
        <w:rPr>
          <w:rFonts w:ascii="Times New Roman" w:hAnsi="Times New Roman"/>
          <w:i w:val="0"/>
          <w:iCs w:val="0"/>
          <w:color w:val="000000"/>
          <w:szCs w:val="20"/>
        </w:rPr>
      </w:pPr>
      <w:r>
        <w:rPr>
          <w:rFonts w:hint="eastAsia" w:ascii="Times New Roman" w:hAnsi="Times New Roman"/>
          <w:i w:val="0"/>
          <w:iCs w:val="0"/>
          <w:color w:val="000000"/>
          <w:szCs w:val="20"/>
        </w:rPr>
        <w:t>健康危害：吸入后对鼻、喉和肺有刺激性，引起咳嗽、气短和哮喘等；重者发生喉头水肿、肺水肿及心、肝、肾损害。溅入眼内可造成灼伤。皮肤接触可致灼伤。口服灼伤消化道。慢性影响：反复低浓度接触，可引起支气管炎。可致皮炎。</w:t>
      </w:r>
    </w:p>
    <w:p>
      <w:pPr>
        <w:pStyle w:val="26"/>
        <w:spacing w:line="348" w:lineRule="auto"/>
        <w:rPr>
          <w:rFonts w:ascii="Times New Roman" w:hAnsi="Times New Roman"/>
          <w:i w:val="0"/>
          <w:iCs w:val="0"/>
          <w:color w:val="000000"/>
          <w:szCs w:val="20"/>
        </w:rPr>
      </w:pPr>
      <w:r>
        <w:rPr>
          <w:rFonts w:ascii="Times New Roman" w:hAnsi="Times New Roman"/>
          <w:i w:val="0"/>
          <w:iCs w:val="0"/>
          <w:color w:val="000000"/>
          <w:szCs w:val="20"/>
        </w:rPr>
        <w:t>急救措施：</w:t>
      </w:r>
      <w:r>
        <w:rPr>
          <w:rFonts w:hint="eastAsia" w:ascii="Times New Roman" w:hAnsi="Times New Roman"/>
          <w:i w:val="0"/>
          <w:iCs w:val="0"/>
          <w:color w:val="000000"/>
          <w:szCs w:val="20"/>
        </w:rPr>
        <w:t>皮肤接触：立即脱去被污染的衣着，用大量流动清水冲洗，至少15分钟。就医。眼睛接触：立即提起眼险，用流动清水或生理盐水冲洗至少15分钟。就医。吸入：迅速脱离现场至空气新鲜处。保持呼吸道通畅。呼吸困难时给输氧。呼吸停止时，立即进行人工呼吸。就医。食入：误服者用水漱口，给饮牛奶或蛋清。就医。</w:t>
      </w:r>
    </w:p>
    <w:p>
      <w:pPr>
        <w:pStyle w:val="26"/>
        <w:spacing w:line="348" w:lineRule="auto"/>
        <w:rPr>
          <w:rFonts w:ascii="Times New Roman" w:hAnsi="Times New Roman"/>
          <w:i w:val="0"/>
          <w:iCs w:val="0"/>
          <w:color w:val="000000"/>
          <w:szCs w:val="20"/>
        </w:rPr>
      </w:pPr>
      <w:r>
        <w:rPr>
          <w:rFonts w:ascii="Times New Roman" w:hAnsi="Times New Roman"/>
          <w:i w:val="0"/>
          <w:iCs w:val="0"/>
          <w:color w:val="000000"/>
          <w:szCs w:val="20"/>
        </w:rPr>
        <w:t>泄漏应急处理：</w:t>
      </w:r>
      <w:r>
        <w:rPr>
          <w:rFonts w:hint="eastAsia" w:ascii="Times New Roman" w:hAnsi="Times New Roman"/>
          <w:i w:val="0"/>
          <w:iCs w:val="0"/>
          <w:color w:val="000000"/>
          <w:szCs w:val="20"/>
        </w:rPr>
        <w:t>迅速撤离泄漏污染区人员至安全区，并进行隔离，严格限制出入。建议应急处理人员戴自给正压式呼吸器，穿防酸碱工作服。不要直接接触泄露物。尽可能切断泄漏源，防止进入下水道、排洪沟等限制性空间。小量泄漏：用砂土、干燥石灰或苏打灰混合。也可以用大量水冲洗，洗水稀释后放入废水系统。大量泄漏：构筑围堤或挖坑收容；用泵转移至槽车或专用收集器内，回收或运至废物处理场所处置。</w:t>
      </w:r>
    </w:p>
    <w:p>
      <w:pPr>
        <w:pStyle w:val="26"/>
        <w:spacing w:line="348" w:lineRule="auto"/>
        <w:rPr>
          <w:rFonts w:ascii="Times New Roman" w:hAnsi="Times New Roman"/>
          <w:i w:val="0"/>
          <w:iCs w:val="0"/>
          <w:color w:val="000000"/>
          <w:szCs w:val="20"/>
        </w:rPr>
      </w:pPr>
      <w:r>
        <w:rPr>
          <w:rFonts w:hint="eastAsia" w:ascii="Times New Roman" w:hAnsi="Times New Roman"/>
          <w:i w:val="0"/>
          <w:iCs w:val="0"/>
          <w:color w:val="000000"/>
          <w:szCs w:val="20"/>
        </w:rPr>
        <w:t>环境资料：该物质对环境有严重危害，特别注意对空气环境、水环境、土壤及水源的污染。</w:t>
      </w:r>
    </w:p>
    <w:p>
      <w:pPr>
        <w:keepNext/>
        <w:keepLines/>
        <w:widowControl/>
        <w:spacing w:line="360" w:lineRule="auto"/>
        <w:outlineLvl w:val="2"/>
        <w:rPr>
          <w:b/>
          <w:bCs/>
          <w:i w:val="0"/>
          <w:iCs w:val="0"/>
          <w:color w:val="000000"/>
          <w:szCs w:val="32"/>
        </w:rPr>
      </w:pPr>
      <w:bookmarkStart w:id="241" w:name="_Toc123993299"/>
      <w:r>
        <w:rPr>
          <w:rFonts w:hint="eastAsia"/>
          <w:b/>
          <w:bCs/>
          <w:i w:val="0"/>
          <w:iCs w:val="0"/>
          <w:color w:val="000000"/>
          <w:szCs w:val="32"/>
        </w:rPr>
        <w:t>7</w:t>
      </w:r>
      <w:r>
        <w:rPr>
          <w:b/>
          <w:bCs/>
          <w:i w:val="0"/>
          <w:iCs w:val="0"/>
          <w:color w:val="000000"/>
          <w:szCs w:val="32"/>
        </w:rPr>
        <w:t>.2.</w:t>
      </w:r>
      <w:r>
        <w:rPr>
          <w:rFonts w:hint="eastAsia"/>
          <w:b/>
          <w:bCs/>
          <w:i w:val="0"/>
          <w:iCs w:val="0"/>
          <w:color w:val="000000"/>
          <w:szCs w:val="32"/>
        </w:rPr>
        <w:t>4 生产系统危险性识别及环境影响途径</w:t>
      </w:r>
      <w:bookmarkEnd w:id="241"/>
    </w:p>
    <w:p>
      <w:pPr>
        <w:widowControl/>
        <w:spacing w:line="360" w:lineRule="auto"/>
        <w:ind w:firstLine="480" w:firstLineChars="200"/>
        <w:rPr>
          <w:i w:val="0"/>
          <w:iCs w:val="0"/>
          <w:color w:val="000000"/>
          <w:szCs w:val="20"/>
        </w:rPr>
      </w:pPr>
      <w:r>
        <w:rPr>
          <w:i w:val="0"/>
          <w:iCs w:val="0"/>
          <w:color w:val="000000"/>
          <w:szCs w:val="20"/>
        </w:rPr>
        <w:t>1、生产过程风险性识</w:t>
      </w:r>
      <w:r>
        <w:rPr>
          <w:rFonts w:hint="eastAsia"/>
          <w:i w:val="0"/>
          <w:iCs w:val="0"/>
          <w:color w:val="000000"/>
          <w:szCs w:val="20"/>
        </w:rPr>
        <w:t>别</w:t>
      </w:r>
    </w:p>
    <w:p>
      <w:pPr>
        <w:widowControl/>
        <w:spacing w:line="360" w:lineRule="auto"/>
        <w:ind w:firstLine="480" w:firstLineChars="200"/>
        <w:rPr>
          <w:i w:val="0"/>
          <w:iCs w:val="0"/>
          <w:color w:val="000000"/>
          <w:szCs w:val="20"/>
        </w:rPr>
      </w:pPr>
      <w:r>
        <w:rPr>
          <w:rFonts w:hint="eastAsia"/>
          <w:i w:val="0"/>
          <w:iCs w:val="0"/>
          <w:color w:val="000000"/>
          <w:szCs w:val="20"/>
        </w:rPr>
        <w:t>本项目涉及的物料中，原料</w:t>
      </w:r>
      <w:r>
        <w:rPr>
          <w:i w:val="0"/>
          <w:iCs w:val="0"/>
          <w:color w:val="000000"/>
          <w:szCs w:val="20"/>
        </w:rPr>
        <w:t>氨水</w:t>
      </w:r>
      <w:r>
        <w:rPr>
          <w:rFonts w:hint="eastAsia"/>
          <w:i w:val="0"/>
          <w:iCs w:val="0"/>
          <w:color w:val="000000"/>
          <w:szCs w:val="20"/>
        </w:rPr>
        <w:t>、乙醇等均属于易燃、易爆物质，与空气混合能形成爆炸性混合物，遇明火、高热能引起燃烧爆炸。生产过程中，因工艺指标控制不严，设备故障、操作不当等，可能发生火灾、爆炸事故；无防雷装置或防雷装置失效，生产装置遭受雷击，有可能发生火灾、爆炸事故；配电系统因超负荷、违规操作等因素而引发电器火灾、爆炸事故。</w:t>
      </w:r>
    </w:p>
    <w:p>
      <w:pPr>
        <w:widowControl/>
        <w:spacing w:line="360" w:lineRule="auto"/>
        <w:ind w:firstLine="480" w:firstLineChars="200"/>
        <w:rPr>
          <w:i w:val="0"/>
          <w:iCs w:val="0"/>
          <w:color w:val="000000"/>
          <w:szCs w:val="20"/>
        </w:rPr>
      </w:pPr>
      <w:r>
        <w:rPr>
          <w:rFonts w:hint="eastAsia"/>
          <w:i w:val="0"/>
          <w:iCs w:val="0"/>
          <w:color w:val="000000"/>
          <w:szCs w:val="20"/>
        </w:rPr>
        <w:t>从工段分析，发酵工序存在的危险性比较突出，主要危险性有火灾、爆炸、中毒、机械故障。</w:t>
      </w:r>
    </w:p>
    <w:p>
      <w:pPr>
        <w:widowControl/>
        <w:spacing w:line="360" w:lineRule="auto"/>
        <w:ind w:firstLine="480" w:firstLineChars="200"/>
        <w:rPr>
          <w:rFonts w:hint="eastAsia"/>
          <w:i w:val="0"/>
          <w:iCs w:val="0"/>
          <w:color w:val="000000"/>
          <w:szCs w:val="20"/>
        </w:rPr>
      </w:pPr>
      <w:r>
        <w:rPr>
          <w:rFonts w:hint="eastAsia"/>
          <w:i w:val="0"/>
          <w:iCs w:val="0"/>
          <w:color w:val="000000"/>
          <w:szCs w:val="20"/>
        </w:rPr>
        <w:t>2、贮存过程风险性识别</w:t>
      </w:r>
    </w:p>
    <w:p>
      <w:pPr>
        <w:widowControl/>
        <w:spacing w:line="360" w:lineRule="auto"/>
        <w:ind w:firstLine="480" w:firstLineChars="200"/>
        <w:rPr>
          <w:i w:val="0"/>
          <w:iCs w:val="0"/>
          <w:color w:val="000000"/>
          <w:szCs w:val="20"/>
        </w:rPr>
      </w:pPr>
      <w:r>
        <w:rPr>
          <w:rFonts w:hint="eastAsia"/>
          <w:i w:val="0"/>
          <w:iCs w:val="0"/>
          <w:color w:val="000000"/>
          <w:szCs w:val="20"/>
        </w:rPr>
        <w:t>本项目装置危险物料的贮存主要为氨水、乙醇。本项目新建2台10.1m</w:t>
      </w:r>
      <w:r>
        <w:rPr>
          <w:rFonts w:hint="eastAsia"/>
          <w:i w:val="0"/>
          <w:iCs w:val="0"/>
          <w:color w:val="000000"/>
          <w:szCs w:val="20"/>
          <w:vertAlign w:val="superscript"/>
        </w:rPr>
        <w:t>3</w:t>
      </w:r>
      <w:r>
        <w:rPr>
          <w:rFonts w:hint="eastAsia"/>
          <w:i w:val="0"/>
          <w:iCs w:val="0"/>
          <w:color w:val="000000"/>
          <w:szCs w:val="20"/>
        </w:rPr>
        <w:t>氨水储罐、1个10.1m</w:t>
      </w:r>
      <w:r>
        <w:rPr>
          <w:rFonts w:hint="eastAsia"/>
          <w:i w:val="0"/>
          <w:iCs w:val="0"/>
          <w:color w:val="000000"/>
          <w:szCs w:val="20"/>
          <w:vertAlign w:val="superscript"/>
        </w:rPr>
        <w:t>3</w:t>
      </w:r>
      <w:r>
        <w:rPr>
          <w:rFonts w:hint="eastAsia"/>
          <w:i w:val="0"/>
          <w:iCs w:val="0"/>
          <w:color w:val="000000"/>
          <w:szCs w:val="20"/>
        </w:rPr>
        <w:t>乙醇初罐。氨水、乙醇等泄漏会造成大范围的扩散，可造成人员中毒或爆炸事故的发生。因此，本项目储运系统的危险性主要表现为氨水、乙醇的泄漏。</w:t>
      </w:r>
    </w:p>
    <w:p>
      <w:pPr>
        <w:widowControl/>
        <w:spacing w:line="360" w:lineRule="auto"/>
        <w:ind w:firstLine="480" w:firstLineChars="200"/>
        <w:rPr>
          <w:rFonts w:hint="eastAsia"/>
          <w:i w:val="0"/>
          <w:iCs w:val="0"/>
          <w:color w:val="000000"/>
          <w:szCs w:val="20"/>
        </w:rPr>
      </w:pPr>
      <w:r>
        <w:rPr>
          <w:rFonts w:hint="eastAsia"/>
          <w:i w:val="0"/>
          <w:iCs w:val="0"/>
          <w:color w:val="000000"/>
          <w:szCs w:val="20"/>
        </w:rPr>
        <w:t>3、事故连锁效应和重叠继发事故的危险性识别</w:t>
      </w:r>
    </w:p>
    <w:p>
      <w:pPr>
        <w:widowControl/>
        <w:spacing w:line="360" w:lineRule="auto"/>
        <w:ind w:firstLine="480" w:firstLineChars="200"/>
        <w:rPr>
          <w:rFonts w:hint="eastAsia"/>
          <w:i w:val="0"/>
          <w:iCs w:val="0"/>
          <w:color w:val="000000"/>
          <w:szCs w:val="20"/>
        </w:rPr>
      </w:pPr>
      <w:r>
        <w:rPr>
          <w:rFonts w:hint="eastAsia"/>
          <w:i w:val="0"/>
          <w:iCs w:val="0"/>
          <w:color w:val="000000"/>
          <w:szCs w:val="20"/>
        </w:rPr>
        <w:t>（1）生产装置系统事故连锁效应的危险性分析</w:t>
      </w:r>
    </w:p>
    <w:p>
      <w:pPr>
        <w:widowControl/>
        <w:spacing w:line="360" w:lineRule="auto"/>
        <w:ind w:firstLine="480" w:firstLineChars="200"/>
        <w:rPr>
          <w:i w:val="0"/>
          <w:iCs w:val="0"/>
          <w:color w:val="000000"/>
          <w:szCs w:val="20"/>
        </w:rPr>
      </w:pPr>
      <w:r>
        <w:rPr>
          <w:rFonts w:hint="eastAsia"/>
          <w:i w:val="0"/>
          <w:iCs w:val="0"/>
          <w:color w:val="000000"/>
          <w:szCs w:val="20"/>
        </w:rPr>
        <w:t>根据装置工艺流程及主要物质危险危害性可知，生产过程存在的主要危险有害因素为火灾爆炸、有毒物质泄漏等，生产过程中所涉及的氨、乙醇具有易燃、易爆危险特性。在生产过程中由于操作失误等原因导致这些物料泄漏，遇火源即发生燃烧引起火灾；如果这些易燃物料的蒸气与空气混合形成了爆炸性混合物，遇火源还能引起爆炸事故。</w:t>
      </w:r>
    </w:p>
    <w:p>
      <w:pPr>
        <w:widowControl/>
        <w:spacing w:line="360" w:lineRule="auto"/>
        <w:ind w:firstLine="480" w:firstLineChars="200"/>
        <w:rPr>
          <w:i w:val="0"/>
          <w:iCs w:val="0"/>
          <w:color w:val="000000"/>
          <w:szCs w:val="20"/>
        </w:rPr>
      </w:pPr>
      <w:r>
        <w:rPr>
          <w:rFonts w:hint="eastAsia"/>
          <w:i w:val="0"/>
          <w:iCs w:val="0"/>
          <w:color w:val="000000"/>
          <w:szCs w:val="20"/>
        </w:rPr>
        <w:t>一旦生产装置系统某一容器发生着火，由于其它容器多设置在周边，且有管道相连，会蔓延，造成其它容器着火、爆炸。因此生产装置系统存在着一定的事故连锁效应。本项目各生产装置相对较独立，因此火灾、爆炸事故波及其他装置的可能性较小。</w:t>
      </w:r>
    </w:p>
    <w:p>
      <w:pPr>
        <w:widowControl/>
        <w:spacing w:line="360" w:lineRule="auto"/>
        <w:ind w:firstLine="480" w:firstLineChars="200"/>
        <w:rPr>
          <w:rFonts w:hint="eastAsia"/>
          <w:i w:val="0"/>
          <w:iCs w:val="0"/>
          <w:color w:val="000000"/>
          <w:szCs w:val="20"/>
        </w:rPr>
      </w:pPr>
      <w:r>
        <w:rPr>
          <w:rFonts w:hint="eastAsia"/>
          <w:i w:val="0"/>
          <w:iCs w:val="0"/>
          <w:color w:val="000000"/>
          <w:szCs w:val="20"/>
        </w:rPr>
        <w:t>（2）贮运系统事故连锁效应的危险性分析</w:t>
      </w:r>
    </w:p>
    <w:p>
      <w:pPr>
        <w:widowControl/>
        <w:spacing w:line="360" w:lineRule="auto"/>
        <w:ind w:firstLine="480" w:firstLineChars="200"/>
        <w:rPr>
          <w:i w:val="0"/>
          <w:iCs w:val="0"/>
          <w:color w:val="000000"/>
          <w:szCs w:val="20"/>
        </w:rPr>
      </w:pPr>
      <w:r>
        <w:rPr>
          <w:rFonts w:hint="eastAsia"/>
          <w:i w:val="0"/>
          <w:iCs w:val="0"/>
          <w:color w:val="000000"/>
          <w:szCs w:val="20"/>
        </w:rPr>
        <w:t>本项目罐区主要有液氨储罐及乙醇储罐。如果罐区附近发生着火，一方面会造成该罐内部物料温度升高，压力上升，如果未及时消除压力，会造成该储罐爆炸；另一方面如不及时对相邻储罐采取消防降温措施也会造成另一相邻贮罐内部物料温度升高，压力升高，如处置不当也会发生储罐爆炸。因此罐区内存在着两个相邻储罐发生连锁爆炸的可能性。但由于贮罐与生产装置区有足够的防火距离，爆炸波及生产装置的可能性较小。</w:t>
      </w:r>
    </w:p>
    <w:p>
      <w:pPr>
        <w:widowControl/>
        <w:spacing w:line="360" w:lineRule="auto"/>
        <w:ind w:firstLine="480" w:firstLineChars="200"/>
        <w:rPr>
          <w:rFonts w:hint="eastAsia"/>
          <w:i w:val="0"/>
          <w:iCs w:val="0"/>
          <w:color w:val="000000"/>
          <w:szCs w:val="20"/>
        </w:rPr>
      </w:pPr>
      <w:r>
        <w:rPr>
          <w:rFonts w:hint="eastAsia"/>
          <w:i w:val="0"/>
          <w:iCs w:val="0"/>
          <w:color w:val="000000"/>
          <w:szCs w:val="20"/>
        </w:rPr>
        <w:t>（3）事故引发的伴生/次生环境风险识别</w:t>
      </w:r>
    </w:p>
    <w:p>
      <w:pPr>
        <w:widowControl/>
        <w:spacing w:line="360" w:lineRule="auto"/>
        <w:ind w:firstLine="480" w:firstLineChars="200"/>
        <w:rPr>
          <w:rFonts w:hint="eastAsia"/>
          <w:i w:val="0"/>
          <w:iCs w:val="0"/>
          <w:color w:val="000000"/>
          <w:szCs w:val="20"/>
        </w:rPr>
      </w:pPr>
      <w:r>
        <w:rPr>
          <w:rFonts w:hint="eastAsia"/>
          <w:i w:val="0"/>
          <w:iCs w:val="0"/>
          <w:color w:val="000000"/>
          <w:szCs w:val="20"/>
        </w:rPr>
        <w:t>①火灾事故的伴生消防废水</w:t>
      </w:r>
    </w:p>
    <w:p>
      <w:pPr>
        <w:widowControl/>
        <w:spacing w:line="360" w:lineRule="auto"/>
        <w:ind w:firstLine="480" w:firstLineChars="200"/>
        <w:rPr>
          <w:i w:val="0"/>
          <w:iCs w:val="0"/>
          <w:color w:val="000000"/>
          <w:szCs w:val="20"/>
        </w:rPr>
      </w:pPr>
      <w:r>
        <w:rPr>
          <w:rFonts w:hint="eastAsia"/>
          <w:i w:val="0"/>
          <w:iCs w:val="0"/>
          <w:color w:val="000000"/>
          <w:szCs w:val="20"/>
        </w:rPr>
        <w:t>根据装置工艺流程、贮运过程及主要物质危害性可知，本项目生产过程和贮运过程存在火灾爆炸的可能性。一旦发生泄漏导致出现火情，在灭火同时，要冷却储罐或生产装置，这时产生的消防废水会携带一定量的有害物质，若不能及时得到有效收集和处置，将随雨排水系统进入外界水体，将造成水体污染。为此，要将事故发生后产生的消防废水作为事故处理过程中的伴生/次生污染予以考虑，并要对其提出相应的防范措施。</w:t>
      </w:r>
    </w:p>
    <w:p>
      <w:pPr>
        <w:widowControl/>
        <w:spacing w:line="360" w:lineRule="auto"/>
        <w:ind w:firstLine="480" w:firstLineChars="200"/>
        <w:rPr>
          <w:i w:val="0"/>
          <w:iCs w:val="0"/>
          <w:color w:val="000000"/>
          <w:szCs w:val="20"/>
        </w:rPr>
      </w:pPr>
      <w:r>
        <w:rPr>
          <w:rFonts w:hint="eastAsia" w:ascii="宋体" w:hAnsi="宋体" w:cs="宋体"/>
          <w:i w:val="0"/>
          <w:iCs w:val="0"/>
          <w:color w:val="000000"/>
          <w:szCs w:val="20"/>
        </w:rPr>
        <w:t>②</w:t>
      </w:r>
      <w:r>
        <w:rPr>
          <w:rFonts w:hint="eastAsia"/>
          <w:i w:val="0"/>
          <w:iCs w:val="0"/>
          <w:color w:val="000000"/>
          <w:szCs w:val="20"/>
        </w:rPr>
        <w:t>泄漏事故的伴生/次生危险性分折</w:t>
      </w:r>
    </w:p>
    <w:p>
      <w:pPr>
        <w:widowControl/>
        <w:spacing w:line="360" w:lineRule="auto"/>
        <w:ind w:firstLine="480" w:firstLineChars="200"/>
        <w:rPr>
          <w:i w:val="0"/>
          <w:iCs w:val="0"/>
          <w:color w:val="000000"/>
          <w:szCs w:val="20"/>
        </w:rPr>
      </w:pPr>
      <w:r>
        <w:rPr>
          <w:rFonts w:hint="eastAsia"/>
          <w:i w:val="0"/>
          <w:iCs w:val="0"/>
          <w:color w:val="000000"/>
          <w:szCs w:val="20"/>
        </w:rPr>
        <w:t>当贮罐的管道、阀门发生有毒有害物质泄漏，泄漏出来的物质会首先被收集在储罐和工艺生产区的围堰内，进入外环境的可能性很小。泄漏物料一般可由围堰或防火堤收集，在装置区易进入污水系统，造成后续污水处理装置的冲击。应采取措施回收物料后，再将事故废水送处理装置处理，将次生危害降至最低。为了减少上述继发和次生事故的潜在危害，装置在设计和生产中执行严格的设计规范和生产管理制度，比如保证合理的安全防火间距，设置消防设施，设置紧急切断和连锁停车系统，储罐区设置围堰或防火堤，采用密闭的容器和设备，设置紧急泄放系统等。本项目罐区按照要求设置各类防范措施。结合生产实际和同行业已发生事故的教训，在事故处理过程中应重点防范消防过程中的污水经雨排系统排出厂外，其中可能含有大量的有毒有害物料。因此雨排系统设有专门的收集和切断设施，禁止这股污水排入外环境引发次生环境污染。</w:t>
      </w:r>
    </w:p>
    <w:p>
      <w:pPr>
        <w:widowControl/>
        <w:spacing w:line="360" w:lineRule="auto"/>
        <w:ind w:firstLine="480" w:firstLineChars="200"/>
        <w:rPr>
          <w:i w:val="0"/>
          <w:iCs w:val="0"/>
          <w:color w:val="000000"/>
          <w:szCs w:val="20"/>
        </w:rPr>
      </w:pPr>
      <w:r>
        <w:rPr>
          <w:rFonts w:hint="eastAsia"/>
          <w:i w:val="0"/>
          <w:iCs w:val="0"/>
          <w:color w:val="000000"/>
          <w:szCs w:val="20"/>
        </w:rPr>
        <w:t>本项目生产系统环境风险识别详见下表7-</w:t>
      </w:r>
      <w:r>
        <w:rPr>
          <w:i w:val="0"/>
          <w:iCs w:val="0"/>
          <w:color w:val="000000"/>
          <w:szCs w:val="20"/>
        </w:rPr>
        <w:t>1</w:t>
      </w:r>
      <w:r>
        <w:rPr>
          <w:rFonts w:hint="eastAsia"/>
          <w:i w:val="0"/>
          <w:iCs w:val="0"/>
          <w:color w:val="000000"/>
          <w:szCs w:val="20"/>
        </w:rPr>
        <w:t>6，本项目环境风险识别详见下表7-</w:t>
      </w:r>
      <w:r>
        <w:rPr>
          <w:i w:val="0"/>
          <w:iCs w:val="0"/>
          <w:color w:val="000000"/>
          <w:szCs w:val="20"/>
        </w:rPr>
        <w:t>1</w:t>
      </w:r>
      <w:r>
        <w:rPr>
          <w:rFonts w:hint="eastAsia"/>
          <w:i w:val="0"/>
          <w:iCs w:val="0"/>
          <w:color w:val="000000"/>
          <w:szCs w:val="20"/>
        </w:rPr>
        <w:t>7。</w:t>
      </w:r>
    </w:p>
    <w:p>
      <w:pPr>
        <w:widowControl/>
        <w:jc w:val="center"/>
        <w:rPr>
          <w:b/>
          <w:bCs/>
          <w:i w:val="0"/>
          <w:iCs w:val="0"/>
          <w:color w:val="000000"/>
          <w:szCs w:val="20"/>
        </w:rPr>
      </w:pPr>
      <w:r>
        <w:rPr>
          <w:rFonts w:hint="eastAsia"/>
          <w:b/>
          <w:bCs/>
          <w:i w:val="0"/>
          <w:iCs w:val="0"/>
          <w:color w:val="000000"/>
          <w:szCs w:val="20"/>
        </w:rPr>
        <w:t>表7-16   项目生产系统环境风险识别一览表</w:t>
      </w:r>
    </w:p>
    <w:tbl>
      <w:tblPr>
        <w:tblStyle w:val="58"/>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134"/>
        <w:gridCol w:w="3685"/>
        <w:gridCol w:w="34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51" w:type="dxa"/>
            <w:noWrap w:val="0"/>
            <w:vAlign w:val="center"/>
          </w:tcPr>
          <w:p>
            <w:pPr>
              <w:widowControl/>
              <w:jc w:val="center"/>
              <w:rPr>
                <w:b/>
                <w:bCs/>
                <w:i w:val="0"/>
                <w:iCs w:val="0"/>
                <w:color w:val="000000"/>
                <w:sz w:val="21"/>
                <w:szCs w:val="21"/>
              </w:rPr>
            </w:pPr>
            <w:r>
              <w:rPr>
                <w:rFonts w:hint="eastAsia"/>
                <w:b/>
                <w:bCs/>
                <w:i w:val="0"/>
                <w:iCs w:val="0"/>
                <w:color w:val="000000"/>
                <w:sz w:val="21"/>
                <w:szCs w:val="21"/>
              </w:rPr>
              <w:t>设施</w:t>
            </w:r>
          </w:p>
        </w:tc>
        <w:tc>
          <w:tcPr>
            <w:tcW w:w="1134" w:type="dxa"/>
            <w:noWrap w:val="0"/>
            <w:vAlign w:val="center"/>
          </w:tcPr>
          <w:p>
            <w:pPr>
              <w:widowControl/>
              <w:jc w:val="center"/>
              <w:rPr>
                <w:b/>
                <w:bCs/>
                <w:i w:val="0"/>
                <w:iCs w:val="0"/>
                <w:color w:val="000000"/>
                <w:sz w:val="21"/>
                <w:szCs w:val="21"/>
              </w:rPr>
            </w:pPr>
            <w:r>
              <w:rPr>
                <w:rFonts w:hint="eastAsia"/>
                <w:b/>
                <w:bCs/>
                <w:i w:val="0"/>
                <w:iCs w:val="0"/>
                <w:color w:val="000000"/>
                <w:sz w:val="21"/>
                <w:szCs w:val="21"/>
              </w:rPr>
              <w:t>事故类型</w:t>
            </w:r>
          </w:p>
        </w:tc>
        <w:tc>
          <w:tcPr>
            <w:tcW w:w="3685" w:type="dxa"/>
            <w:noWrap w:val="0"/>
            <w:vAlign w:val="center"/>
          </w:tcPr>
          <w:p>
            <w:pPr>
              <w:widowControl/>
              <w:jc w:val="center"/>
              <w:rPr>
                <w:b/>
                <w:bCs/>
                <w:i w:val="0"/>
                <w:iCs w:val="0"/>
                <w:color w:val="000000"/>
                <w:sz w:val="21"/>
                <w:szCs w:val="21"/>
              </w:rPr>
            </w:pPr>
            <w:r>
              <w:rPr>
                <w:rFonts w:hint="eastAsia"/>
                <w:b/>
                <w:bCs/>
                <w:i w:val="0"/>
                <w:iCs w:val="0"/>
                <w:color w:val="000000"/>
                <w:sz w:val="21"/>
                <w:szCs w:val="21"/>
              </w:rPr>
              <w:t>事故可能引发原因</w:t>
            </w:r>
          </w:p>
        </w:tc>
        <w:tc>
          <w:tcPr>
            <w:tcW w:w="3401" w:type="dxa"/>
            <w:noWrap w:val="0"/>
            <w:vAlign w:val="center"/>
          </w:tcPr>
          <w:p>
            <w:pPr>
              <w:widowControl/>
              <w:jc w:val="center"/>
              <w:rPr>
                <w:b/>
                <w:bCs/>
                <w:i w:val="0"/>
                <w:iCs w:val="0"/>
                <w:color w:val="000000"/>
                <w:sz w:val="21"/>
                <w:szCs w:val="21"/>
              </w:rPr>
            </w:pPr>
            <w:r>
              <w:rPr>
                <w:b/>
                <w:bCs/>
                <w:i w:val="0"/>
                <w:iCs w:val="0"/>
                <w:color w:val="000000"/>
                <w:sz w:val="21"/>
                <w:szCs w:val="21"/>
              </w:rPr>
              <w:t>影响途径及可能受影响的</w:t>
            </w:r>
            <w:r>
              <w:rPr>
                <w:rFonts w:hint="eastAsia"/>
                <w:b/>
                <w:bCs/>
                <w:i w:val="0"/>
                <w:iCs w:val="0"/>
                <w:color w:val="000000"/>
                <w:sz w:val="21"/>
                <w:szCs w:val="21"/>
              </w:rPr>
              <w:t>环境敏感</w:t>
            </w:r>
            <w:r>
              <w:rPr>
                <w:b/>
                <w:bCs/>
                <w:i w:val="0"/>
                <w:iCs w:val="0"/>
                <w:color w:val="000000"/>
                <w:sz w:val="21"/>
                <w:szCs w:val="21"/>
              </w:rPr>
              <w:t>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noWrap w:val="0"/>
            <w:vAlign w:val="center"/>
          </w:tcPr>
          <w:p>
            <w:pPr>
              <w:widowControl/>
              <w:jc w:val="center"/>
              <w:rPr>
                <w:rFonts w:hint="eastAsia"/>
                <w:i w:val="0"/>
                <w:iCs w:val="0"/>
                <w:color w:val="000000"/>
                <w:sz w:val="21"/>
                <w:szCs w:val="21"/>
              </w:rPr>
            </w:pPr>
            <w:r>
              <w:rPr>
                <w:rFonts w:hint="eastAsia"/>
                <w:i w:val="0"/>
                <w:iCs w:val="0"/>
                <w:color w:val="000000"/>
                <w:sz w:val="21"/>
                <w:szCs w:val="21"/>
              </w:rPr>
              <w:t>生产车间</w:t>
            </w:r>
          </w:p>
        </w:tc>
        <w:tc>
          <w:tcPr>
            <w:tcW w:w="1134" w:type="dxa"/>
            <w:noWrap w:val="0"/>
            <w:vAlign w:val="center"/>
          </w:tcPr>
          <w:p>
            <w:pPr>
              <w:widowControl/>
              <w:jc w:val="center"/>
              <w:rPr>
                <w:i w:val="0"/>
                <w:iCs w:val="0"/>
                <w:color w:val="000000"/>
                <w:sz w:val="21"/>
                <w:szCs w:val="21"/>
              </w:rPr>
            </w:pPr>
            <w:r>
              <w:rPr>
                <w:rFonts w:hint="eastAsia"/>
                <w:i w:val="0"/>
                <w:iCs w:val="0"/>
                <w:color w:val="000000"/>
                <w:sz w:val="21"/>
                <w:szCs w:val="21"/>
              </w:rPr>
              <w:t>泄漏</w:t>
            </w:r>
          </w:p>
        </w:tc>
        <w:tc>
          <w:tcPr>
            <w:tcW w:w="3685" w:type="dxa"/>
            <w:noWrap w:val="0"/>
            <w:vAlign w:val="center"/>
          </w:tcPr>
          <w:p>
            <w:pPr>
              <w:widowControl/>
              <w:jc w:val="center"/>
              <w:rPr>
                <w:i w:val="0"/>
                <w:iCs w:val="0"/>
                <w:color w:val="000000"/>
                <w:sz w:val="21"/>
                <w:szCs w:val="21"/>
              </w:rPr>
            </w:pPr>
            <w:r>
              <w:rPr>
                <w:i w:val="0"/>
                <w:iCs w:val="0"/>
                <w:color w:val="000000"/>
                <w:sz w:val="21"/>
                <w:szCs w:val="21"/>
              </w:rPr>
              <w:t>各种物料输送管道破损引起物料泄漏</w:t>
            </w:r>
          </w:p>
        </w:tc>
        <w:tc>
          <w:tcPr>
            <w:tcW w:w="3401" w:type="dxa"/>
            <w:noWrap w:val="0"/>
            <w:vAlign w:val="center"/>
          </w:tcPr>
          <w:p>
            <w:pPr>
              <w:widowControl/>
              <w:jc w:val="center"/>
              <w:rPr>
                <w:i w:val="0"/>
                <w:iCs w:val="0"/>
                <w:color w:val="000000"/>
                <w:sz w:val="21"/>
                <w:szCs w:val="21"/>
              </w:rPr>
            </w:pPr>
            <w:r>
              <w:rPr>
                <w:i w:val="0"/>
                <w:iCs w:val="0"/>
                <w:color w:val="000000"/>
                <w:sz w:val="21"/>
                <w:szCs w:val="21"/>
              </w:rPr>
              <w:t>排入大气，影响环境空气保护目标</w:t>
            </w:r>
          </w:p>
        </w:tc>
      </w:tr>
    </w:tbl>
    <w:p>
      <w:pPr>
        <w:widowControl/>
        <w:jc w:val="center"/>
        <w:rPr>
          <w:rFonts w:hint="eastAsia"/>
          <w:b/>
          <w:bCs/>
          <w:i w:val="0"/>
          <w:iCs w:val="0"/>
          <w:color w:val="000000"/>
          <w:szCs w:val="20"/>
        </w:rPr>
      </w:pPr>
      <w:r>
        <w:rPr>
          <w:rFonts w:hint="eastAsia"/>
          <w:b/>
          <w:bCs/>
          <w:i w:val="0"/>
          <w:iCs w:val="0"/>
          <w:color w:val="000000"/>
          <w:szCs w:val="20"/>
        </w:rPr>
        <w:t>表7-17   建设项目环境风险识别一览表</w:t>
      </w:r>
    </w:p>
    <w:tbl>
      <w:tblPr>
        <w:tblStyle w:val="58"/>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134"/>
        <w:gridCol w:w="1276"/>
        <w:gridCol w:w="850"/>
        <w:gridCol w:w="3402"/>
        <w:gridCol w:w="15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51" w:type="dxa"/>
            <w:noWrap w:val="0"/>
            <w:vAlign w:val="center"/>
          </w:tcPr>
          <w:p>
            <w:pPr>
              <w:widowControl/>
              <w:jc w:val="center"/>
              <w:rPr>
                <w:b/>
                <w:bCs/>
                <w:i w:val="0"/>
                <w:iCs w:val="0"/>
                <w:color w:val="000000"/>
                <w:sz w:val="21"/>
                <w:szCs w:val="21"/>
              </w:rPr>
            </w:pPr>
            <w:r>
              <w:rPr>
                <w:rFonts w:hint="eastAsia"/>
                <w:b/>
                <w:bCs/>
                <w:i w:val="0"/>
                <w:iCs w:val="0"/>
                <w:color w:val="000000"/>
                <w:sz w:val="21"/>
                <w:szCs w:val="21"/>
              </w:rPr>
              <w:t>危险</w:t>
            </w:r>
          </w:p>
          <w:p>
            <w:pPr>
              <w:widowControl/>
              <w:jc w:val="center"/>
              <w:rPr>
                <w:b/>
                <w:bCs/>
                <w:i w:val="0"/>
                <w:iCs w:val="0"/>
                <w:color w:val="000000"/>
                <w:sz w:val="21"/>
                <w:szCs w:val="21"/>
              </w:rPr>
            </w:pPr>
            <w:r>
              <w:rPr>
                <w:rFonts w:hint="eastAsia"/>
                <w:b/>
                <w:bCs/>
                <w:i w:val="0"/>
                <w:iCs w:val="0"/>
                <w:color w:val="000000"/>
                <w:sz w:val="21"/>
                <w:szCs w:val="21"/>
              </w:rPr>
              <w:t>单元</w:t>
            </w:r>
          </w:p>
        </w:tc>
        <w:tc>
          <w:tcPr>
            <w:tcW w:w="1134" w:type="dxa"/>
            <w:noWrap w:val="0"/>
            <w:vAlign w:val="center"/>
          </w:tcPr>
          <w:p>
            <w:pPr>
              <w:widowControl/>
              <w:jc w:val="center"/>
              <w:rPr>
                <w:b/>
                <w:bCs/>
                <w:i w:val="0"/>
                <w:iCs w:val="0"/>
                <w:color w:val="000000"/>
                <w:sz w:val="21"/>
                <w:szCs w:val="21"/>
              </w:rPr>
            </w:pPr>
            <w:r>
              <w:rPr>
                <w:rFonts w:hint="eastAsia"/>
                <w:b/>
                <w:bCs/>
                <w:i w:val="0"/>
                <w:iCs w:val="0"/>
                <w:color w:val="000000"/>
                <w:sz w:val="21"/>
                <w:szCs w:val="21"/>
              </w:rPr>
              <w:t>风险源</w:t>
            </w:r>
          </w:p>
        </w:tc>
        <w:tc>
          <w:tcPr>
            <w:tcW w:w="1276" w:type="dxa"/>
            <w:noWrap w:val="0"/>
            <w:vAlign w:val="center"/>
          </w:tcPr>
          <w:p>
            <w:pPr>
              <w:widowControl/>
              <w:jc w:val="center"/>
              <w:rPr>
                <w:b/>
                <w:bCs/>
                <w:i w:val="0"/>
                <w:iCs w:val="0"/>
                <w:color w:val="000000"/>
                <w:sz w:val="21"/>
                <w:szCs w:val="21"/>
              </w:rPr>
            </w:pPr>
            <w:r>
              <w:rPr>
                <w:rFonts w:hint="eastAsia"/>
                <w:b/>
                <w:bCs/>
                <w:i w:val="0"/>
                <w:iCs w:val="0"/>
                <w:color w:val="000000"/>
                <w:sz w:val="21"/>
                <w:szCs w:val="21"/>
              </w:rPr>
              <w:t>主要危险</w:t>
            </w:r>
          </w:p>
          <w:p>
            <w:pPr>
              <w:widowControl/>
              <w:jc w:val="center"/>
              <w:rPr>
                <w:b/>
                <w:bCs/>
                <w:i w:val="0"/>
                <w:iCs w:val="0"/>
                <w:color w:val="000000"/>
                <w:sz w:val="21"/>
                <w:szCs w:val="21"/>
              </w:rPr>
            </w:pPr>
            <w:r>
              <w:rPr>
                <w:rFonts w:hint="eastAsia"/>
                <w:b/>
                <w:bCs/>
                <w:i w:val="0"/>
                <w:iCs w:val="0"/>
                <w:color w:val="000000"/>
                <w:sz w:val="21"/>
                <w:szCs w:val="21"/>
              </w:rPr>
              <w:t>物质</w:t>
            </w:r>
          </w:p>
        </w:tc>
        <w:tc>
          <w:tcPr>
            <w:tcW w:w="850" w:type="dxa"/>
            <w:noWrap w:val="0"/>
            <w:vAlign w:val="center"/>
          </w:tcPr>
          <w:p>
            <w:pPr>
              <w:widowControl/>
              <w:jc w:val="center"/>
              <w:rPr>
                <w:b/>
                <w:bCs/>
                <w:i w:val="0"/>
                <w:iCs w:val="0"/>
                <w:color w:val="000000"/>
                <w:sz w:val="21"/>
                <w:szCs w:val="21"/>
              </w:rPr>
            </w:pPr>
            <w:r>
              <w:rPr>
                <w:rFonts w:hint="eastAsia"/>
                <w:b/>
                <w:bCs/>
                <w:i w:val="0"/>
                <w:iCs w:val="0"/>
                <w:color w:val="000000"/>
                <w:sz w:val="21"/>
                <w:szCs w:val="21"/>
              </w:rPr>
              <w:t>环境风险类型</w:t>
            </w:r>
          </w:p>
        </w:tc>
        <w:tc>
          <w:tcPr>
            <w:tcW w:w="3402" w:type="dxa"/>
            <w:noWrap w:val="0"/>
            <w:vAlign w:val="center"/>
          </w:tcPr>
          <w:p>
            <w:pPr>
              <w:widowControl/>
              <w:jc w:val="center"/>
              <w:rPr>
                <w:b/>
                <w:bCs/>
                <w:i w:val="0"/>
                <w:iCs w:val="0"/>
                <w:color w:val="000000"/>
                <w:sz w:val="21"/>
                <w:szCs w:val="21"/>
              </w:rPr>
            </w:pPr>
            <w:r>
              <w:rPr>
                <w:rFonts w:hint="eastAsia"/>
                <w:b/>
                <w:bCs/>
                <w:i w:val="0"/>
                <w:iCs w:val="0"/>
                <w:color w:val="000000"/>
                <w:sz w:val="21"/>
                <w:szCs w:val="21"/>
              </w:rPr>
              <w:t>环境影响途径</w:t>
            </w:r>
          </w:p>
        </w:tc>
        <w:tc>
          <w:tcPr>
            <w:tcW w:w="1558" w:type="dxa"/>
            <w:noWrap w:val="0"/>
            <w:vAlign w:val="center"/>
          </w:tcPr>
          <w:p>
            <w:pPr>
              <w:widowControl/>
              <w:jc w:val="center"/>
              <w:rPr>
                <w:i w:val="0"/>
                <w:iCs w:val="0"/>
                <w:color w:val="000000"/>
                <w:sz w:val="21"/>
                <w:szCs w:val="21"/>
              </w:rPr>
            </w:pPr>
            <w:r>
              <w:rPr>
                <w:b/>
                <w:bCs/>
                <w:i w:val="0"/>
                <w:iCs w:val="0"/>
                <w:color w:val="000000"/>
                <w:sz w:val="21"/>
                <w:szCs w:val="21"/>
              </w:rPr>
              <w:t>可能受影响的</w:t>
            </w:r>
            <w:r>
              <w:rPr>
                <w:rFonts w:hint="eastAsia"/>
                <w:b/>
                <w:bCs/>
                <w:i w:val="0"/>
                <w:iCs w:val="0"/>
                <w:color w:val="000000"/>
                <w:sz w:val="21"/>
                <w:szCs w:val="21"/>
              </w:rPr>
              <w:t>环境敏感</w:t>
            </w:r>
            <w:r>
              <w:rPr>
                <w:b/>
                <w:bCs/>
                <w:i w:val="0"/>
                <w:iCs w:val="0"/>
                <w:color w:val="000000"/>
                <w:sz w:val="21"/>
                <w:szCs w:val="21"/>
              </w:rPr>
              <w:t>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vMerge w:val="restart"/>
            <w:noWrap w:val="0"/>
            <w:vAlign w:val="center"/>
          </w:tcPr>
          <w:p>
            <w:pPr>
              <w:widowControl/>
              <w:jc w:val="center"/>
              <w:rPr>
                <w:i w:val="0"/>
                <w:iCs w:val="0"/>
                <w:color w:val="000000"/>
                <w:sz w:val="21"/>
                <w:szCs w:val="21"/>
              </w:rPr>
            </w:pPr>
            <w:r>
              <w:rPr>
                <w:rFonts w:hint="eastAsia"/>
                <w:i w:val="0"/>
                <w:iCs w:val="0"/>
                <w:color w:val="000000"/>
                <w:sz w:val="21"/>
                <w:szCs w:val="21"/>
              </w:rPr>
              <w:t>罐区</w:t>
            </w:r>
          </w:p>
        </w:tc>
        <w:tc>
          <w:tcPr>
            <w:tcW w:w="1134" w:type="dxa"/>
            <w:vMerge w:val="restart"/>
            <w:noWrap w:val="0"/>
            <w:vAlign w:val="center"/>
          </w:tcPr>
          <w:p>
            <w:pPr>
              <w:widowControl/>
              <w:jc w:val="center"/>
              <w:rPr>
                <w:rFonts w:hint="eastAsia"/>
                <w:i w:val="0"/>
                <w:iCs w:val="0"/>
                <w:color w:val="000000"/>
                <w:sz w:val="21"/>
                <w:szCs w:val="21"/>
              </w:rPr>
            </w:pPr>
            <w:r>
              <w:rPr>
                <w:rFonts w:hint="eastAsia"/>
                <w:i w:val="0"/>
                <w:iCs w:val="0"/>
                <w:color w:val="000000"/>
                <w:sz w:val="21"/>
                <w:szCs w:val="21"/>
              </w:rPr>
              <w:t>氨水储罐、乙醇储罐</w:t>
            </w:r>
          </w:p>
        </w:tc>
        <w:tc>
          <w:tcPr>
            <w:tcW w:w="1276" w:type="dxa"/>
            <w:vMerge w:val="restart"/>
            <w:noWrap w:val="0"/>
            <w:vAlign w:val="center"/>
          </w:tcPr>
          <w:p>
            <w:pPr>
              <w:widowControl/>
              <w:jc w:val="center"/>
              <w:rPr>
                <w:rFonts w:hint="eastAsia"/>
                <w:i w:val="0"/>
                <w:iCs w:val="0"/>
                <w:color w:val="000000"/>
                <w:sz w:val="21"/>
                <w:szCs w:val="21"/>
              </w:rPr>
            </w:pPr>
            <w:r>
              <w:rPr>
                <w:rFonts w:hint="eastAsia"/>
                <w:i w:val="0"/>
                <w:iCs w:val="0"/>
                <w:color w:val="000000"/>
                <w:sz w:val="21"/>
                <w:szCs w:val="21"/>
              </w:rPr>
              <w:t>氨、乙醇</w:t>
            </w:r>
          </w:p>
        </w:tc>
        <w:tc>
          <w:tcPr>
            <w:tcW w:w="850" w:type="dxa"/>
            <w:noWrap w:val="0"/>
            <w:vAlign w:val="center"/>
          </w:tcPr>
          <w:p>
            <w:pPr>
              <w:widowControl/>
              <w:jc w:val="center"/>
              <w:rPr>
                <w:i w:val="0"/>
                <w:iCs w:val="0"/>
                <w:color w:val="000000"/>
                <w:sz w:val="21"/>
                <w:szCs w:val="21"/>
              </w:rPr>
            </w:pPr>
            <w:r>
              <w:rPr>
                <w:rFonts w:hint="eastAsia"/>
                <w:i w:val="0"/>
                <w:iCs w:val="0"/>
                <w:color w:val="000000"/>
                <w:sz w:val="21"/>
                <w:szCs w:val="21"/>
              </w:rPr>
              <w:t>泄漏</w:t>
            </w:r>
          </w:p>
        </w:tc>
        <w:tc>
          <w:tcPr>
            <w:tcW w:w="3402" w:type="dxa"/>
            <w:noWrap w:val="0"/>
            <w:vAlign w:val="center"/>
          </w:tcPr>
          <w:p>
            <w:pPr>
              <w:widowControl/>
              <w:jc w:val="center"/>
              <w:rPr>
                <w:i w:val="0"/>
                <w:iCs w:val="0"/>
                <w:color w:val="000000"/>
                <w:sz w:val="21"/>
                <w:szCs w:val="21"/>
              </w:rPr>
            </w:pPr>
            <w:r>
              <w:rPr>
                <w:i w:val="0"/>
                <w:iCs w:val="0"/>
                <w:color w:val="000000"/>
                <w:sz w:val="21"/>
                <w:szCs w:val="21"/>
              </w:rPr>
              <w:t>泄漏到空气中的液氨</w:t>
            </w:r>
            <w:r>
              <w:rPr>
                <w:rFonts w:hint="eastAsia"/>
                <w:i w:val="0"/>
                <w:iCs w:val="0"/>
                <w:color w:val="000000"/>
                <w:sz w:val="21"/>
                <w:szCs w:val="21"/>
              </w:rPr>
              <w:t>和液化石油气</w:t>
            </w:r>
            <w:r>
              <w:rPr>
                <w:i w:val="0"/>
                <w:iCs w:val="0"/>
                <w:color w:val="000000"/>
                <w:sz w:val="21"/>
                <w:szCs w:val="21"/>
              </w:rPr>
              <w:t>扩散到大气中，对环境空气产生不利影响</w:t>
            </w:r>
          </w:p>
        </w:tc>
        <w:tc>
          <w:tcPr>
            <w:tcW w:w="1558" w:type="dxa"/>
            <w:noWrap w:val="0"/>
            <w:vAlign w:val="center"/>
          </w:tcPr>
          <w:p>
            <w:pPr>
              <w:widowControl/>
              <w:jc w:val="center"/>
              <w:rPr>
                <w:i w:val="0"/>
                <w:iCs w:val="0"/>
                <w:color w:val="000000"/>
                <w:sz w:val="21"/>
                <w:szCs w:val="21"/>
              </w:rPr>
            </w:pPr>
            <w:r>
              <w:rPr>
                <w:i w:val="0"/>
                <w:iCs w:val="0"/>
                <w:color w:val="000000"/>
                <w:sz w:val="21"/>
                <w:szCs w:val="21"/>
              </w:rPr>
              <w:t>周边居民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 w:type="dxa"/>
            <w:vMerge w:val="continue"/>
            <w:noWrap w:val="0"/>
            <w:vAlign w:val="center"/>
          </w:tcPr>
          <w:p>
            <w:pPr>
              <w:widowControl/>
              <w:jc w:val="center"/>
              <w:rPr>
                <w:i w:val="0"/>
                <w:iCs w:val="0"/>
                <w:color w:val="000000"/>
                <w:sz w:val="21"/>
                <w:szCs w:val="21"/>
              </w:rPr>
            </w:pPr>
          </w:p>
        </w:tc>
        <w:tc>
          <w:tcPr>
            <w:tcW w:w="1134" w:type="dxa"/>
            <w:vMerge w:val="continue"/>
            <w:noWrap w:val="0"/>
            <w:vAlign w:val="center"/>
          </w:tcPr>
          <w:p>
            <w:pPr>
              <w:widowControl/>
              <w:jc w:val="center"/>
              <w:rPr>
                <w:i w:val="0"/>
                <w:iCs w:val="0"/>
                <w:color w:val="000000"/>
                <w:sz w:val="21"/>
                <w:szCs w:val="21"/>
              </w:rPr>
            </w:pPr>
          </w:p>
        </w:tc>
        <w:tc>
          <w:tcPr>
            <w:tcW w:w="1276" w:type="dxa"/>
            <w:vMerge w:val="continue"/>
            <w:noWrap w:val="0"/>
            <w:vAlign w:val="center"/>
          </w:tcPr>
          <w:p>
            <w:pPr>
              <w:widowControl/>
              <w:jc w:val="center"/>
              <w:rPr>
                <w:i w:val="0"/>
                <w:iCs w:val="0"/>
                <w:color w:val="000000"/>
                <w:sz w:val="21"/>
                <w:szCs w:val="21"/>
              </w:rPr>
            </w:pPr>
          </w:p>
        </w:tc>
        <w:tc>
          <w:tcPr>
            <w:tcW w:w="850" w:type="dxa"/>
            <w:noWrap w:val="0"/>
            <w:vAlign w:val="center"/>
          </w:tcPr>
          <w:p>
            <w:pPr>
              <w:widowControl/>
              <w:jc w:val="center"/>
              <w:rPr>
                <w:i w:val="0"/>
                <w:iCs w:val="0"/>
                <w:color w:val="000000"/>
                <w:sz w:val="21"/>
                <w:szCs w:val="21"/>
              </w:rPr>
            </w:pPr>
            <w:r>
              <w:rPr>
                <w:rFonts w:hint="eastAsia"/>
                <w:i w:val="0"/>
                <w:iCs w:val="0"/>
                <w:color w:val="000000"/>
                <w:sz w:val="21"/>
                <w:szCs w:val="21"/>
              </w:rPr>
              <w:t>火灾</w:t>
            </w:r>
          </w:p>
        </w:tc>
        <w:tc>
          <w:tcPr>
            <w:tcW w:w="3402" w:type="dxa"/>
            <w:noWrap w:val="0"/>
            <w:vAlign w:val="center"/>
          </w:tcPr>
          <w:p>
            <w:pPr>
              <w:widowControl/>
              <w:jc w:val="center"/>
              <w:rPr>
                <w:i w:val="0"/>
                <w:iCs w:val="0"/>
                <w:color w:val="000000"/>
                <w:sz w:val="21"/>
                <w:szCs w:val="21"/>
              </w:rPr>
            </w:pPr>
            <w:r>
              <w:rPr>
                <w:i w:val="0"/>
                <w:iCs w:val="0"/>
                <w:color w:val="000000"/>
                <w:sz w:val="21"/>
                <w:szCs w:val="21"/>
              </w:rPr>
              <w:t>火灾事故过程中热辐射、毒物蒸发、烟雾以及伴生毒物对周边居民产生不利影响</w:t>
            </w:r>
            <w:r>
              <w:rPr>
                <w:rFonts w:hint="eastAsia"/>
                <w:i w:val="0"/>
                <w:iCs w:val="0"/>
                <w:color w:val="000000"/>
                <w:sz w:val="21"/>
                <w:szCs w:val="21"/>
              </w:rPr>
              <w:t>；消防废水未经收集进入地下水和土壤环境中。</w:t>
            </w:r>
          </w:p>
        </w:tc>
        <w:tc>
          <w:tcPr>
            <w:tcW w:w="1558" w:type="dxa"/>
            <w:noWrap w:val="0"/>
            <w:vAlign w:val="center"/>
          </w:tcPr>
          <w:p>
            <w:pPr>
              <w:widowControl/>
              <w:jc w:val="center"/>
              <w:rPr>
                <w:i w:val="0"/>
                <w:iCs w:val="0"/>
                <w:color w:val="000000"/>
                <w:sz w:val="21"/>
                <w:szCs w:val="21"/>
              </w:rPr>
            </w:pPr>
            <w:r>
              <w:rPr>
                <w:i w:val="0"/>
                <w:iCs w:val="0"/>
                <w:color w:val="000000"/>
                <w:sz w:val="21"/>
                <w:szCs w:val="21"/>
              </w:rPr>
              <w:t>周边居民</w:t>
            </w:r>
            <w:r>
              <w:rPr>
                <w:rFonts w:hint="eastAsia"/>
                <w:i w:val="0"/>
                <w:iCs w:val="0"/>
                <w:color w:val="000000"/>
                <w:sz w:val="21"/>
                <w:szCs w:val="21"/>
              </w:rPr>
              <w:t>，</w:t>
            </w:r>
            <w:r>
              <w:rPr>
                <w:i w:val="0"/>
                <w:iCs w:val="0"/>
                <w:color w:val="000000"/>
                <w:sz w:val="21"/>
                <w:szCs w:val="21"/>
              </w:rPr>
              <w:t>项目所在区域地下水以及土壤</w:t>
            </w:r>
          </w:p>
        </w:tc>
      </w:tr>
    </w:tbl>
    <w:p>
      <w:pPr>
        <w:keepNext/>
        <w:keepLines/>
        <w:widowControl/>
        <w:spacing w:before="120" w:beforeLines="50" w:line="360" w:lineRule="auto"/>
        <w:outlineLvl w:val="2"/>
        <w:rPr>
          <w:b/>
          <w:bCs/>
          <w:i w:val="0"/>
          <w:iCs w:val="0"/>
          <w:color w:val="000000"/>
          <w:szCs w:val="32"/>
        </w:rPr>
      </w:pPr>
      <w:bookmarkStart w:id="242" w:name="_Toc123993300"/>
      <w:r>
        <w:rPr>
          <w:rFonts w:hint="eastAsia"/>
          <w:b/>
          <w:bCs/>
          <w:i w:val="0"/>
          <w:iCs w:val="0"/>
          <w:color w:val="000000"/>
          <w:szCs w:val="32"/>
        </w:rPr>
        <w:t>7</w:t>
      </w:r>
      <w:r>
        <w:rPr>
          <w:b/>
          <w:bCs/>
          <w:i w:val="0"/>
          <w:iCs w:val="0"/>
          <w:color w:val="000000"/>
          <w:szCs w:val="32"/>
        </w:rPr>
        <w:t>.2.</w:t>
      </w:r>
      <w:r>
        <w:rPr>
          <w:rFonts w:hint="eastAsia"/>
          <w:b/>
          <w:bCs/>
          <w:i w:val="0"/>
          <w:iCs w:val="0"/>
          <w:color w:val="000000"/>
          <w:szCs w:val="32"/>
        </w:rPr>
        <w:t>5 项目危险单元分布</w:t>
      </w:r>
      <w:bookmarkEnd w:id="242"/>
    </w:p>
    <w:p>
      <w:pPr>
        <w:widowControl/>
        <w:spacing w:line="360" w:lineRule="auto"/>
        <w:ind w:firstLine="480" w:firstLineChars="200"/>
        <w:rPr>
          <w:i w:val="0"/>
          <w:iCs w:val="0"/>
          <w:color w:val="000000"/>
          <w:szCs w:val="20"/>
        </w:rPr>
      </w:pPr>
      <w:r>
        <w:rPr>
          <w:i w:val="0"/>
          <w:iCs w:val="0"/>
          <w:color w:val="000000"/>
          <w:szCs w:val="20"/>
        </w:rPr>
        <w:t>根据以上分析，本项目主要</w:t>
      </w:r>
      <w:r>
        <w:rPr>
          <w:rFonts w:hint="eastAsia"/>
          <w:i w:val="0"/>
          <w:iCs w:val="0"/>
          <w:color w:val="000000"/>
          <w:szCs w:val="20"/>
        </w:rPr>
        <w:t>罐区</w:t>
      </w:r>
      <w:r>
        <w:rPr>
          <w:i w:val="0"/>
          <w:iCs w:val="0"/>
          <w:color w:val="000000"/>
          <w:szCs w:val="20"/>
        </w:rPr>
        <w:t>具有较大的火灾或爆炸危险性。</w:t>
      </w:r>
    </w:p>
    <w:p>
      <w:pPr>
        <w:pStyle w:val="415"/>
        <w:spacing w:before="120" w:after="120"/>
        <w:rPr>
          <w:i w:val="0"/>
          <w:iCs w:val="0"/>
          <w:color w:val="000000"/>
        </w:rPr>
      </w:pPr>
      <w:bookmarkStart w:id="243" w:name="_Toc123993301"/>
      <w:bookmarkStart w:id="244" w:name="_Toc9140"/>
      <w:bookmarkStart w:id="245" w:name="_Toc101709084"/>
      <w:r>
        <w:rPr>
          <w:rFonts w:hint="eastAsia"/>
          <w:i w:val="0"/>
          <w:iCs w:val="0"/>
          <w:color w:val="000000"/>
        </w:rPr>
        <w:t>7.3 风险事故统计资料分析</w:t>
      </w:r>
      <w:bookmarkEnd w:id="243"/>
      <w:bookmarkEnd w:id="244"/>
      <w:bookmarkEnd w:id="245"/>
    </w:p>
    <w:p>
      <w:pPr>
        <w:spacing w:line="360" w:lineRule="auto"/>
        <w:ind w:firstLine="480" w:firstLineChars="200"/>
        <w:rPr>
          <w:i w:val="0"/>
          <w:iCs w:val="0"/>
          <w:snapToGrid w:val="0"/>
          <w:color w:val="000000"/>
          <w:kern w:val="0"/>
          <w:szCs w:val="20"/>
        </w:rPr>
      </w:pPr>
      <w:r>
        <w:rPr>
          <w:rFonts w:hint="eastAsia"/>
          <w:i w:val="0"/>
          <w:iCs w:val="0"/>
          <w:snapToGrid w:val="0"/>
          <w:color w:val="000000"/>
          <w:kern w:val="0"/>
          <w:szCs w:val="20"/>
        </w:rPr>
        <w:t>根据</w:t>
      </w:r>
      <w:r>
        <w:rPr>
          <w:i w:val="0"/>
          <w:iCs w:val="0"/>
          <w:snapToGrid w:val="0"/>
          <w:color w:val="000000"/>
          <w:kern w:val="0"/>
          <w:szCs w:val="20"/>
        </w:rPr>
        <w:t>1969</w:t>
      </w:r>
      <w:r>
        <w:rPr>
          <w:rFonts w:hint="eastAsia"/>
          <w:i w:val="0"/>
          <w:iCs w:val="0"/>
          <w:snapToGrid w:val="0"/>
          <w:color w:val="000000"/>
          <w:kern w:val="0"/>
          <w:szCs w:val="20"/>
        </w:rPr>
        <w:t>年至</w:t>
      </w:r>
      <w:r>
        <w:rPr>
          <w:i w:val="0"/>
          <w:iCs w:val="0"/>
          <w:snapToGrid w:val="0"/>
          <w:color w:val="000000"/>
          <w:kern w:val="0"/>
          <w:szCs w:val="20"/>
        </w:rPr>
        <w:t>1987</w:t>
      </w:r>
      <w:r>
        <w:rPr>
          <w:rFonts w:hint="eastAsia"/>
          <w:i w:val="0"/>
          <w:iCs w:val="0"/>
          <w:snapToGrid w:val="0"/>
          <w:color w:val="000000"/>
          <w:kern w:val="0"/>
          <w:szCs w:val="20"/>
        </w:rPr>
        <w:t>年间在</w:t>
      </w:r>
      <w:r>
        <w:rPr>
          <w:i w:val="0"/>
          <w:iCs w:val="0"/>
          <w:snapToGrid w:val="0"/>
          <w:color w:val="000000"/>
          <w:kern w:val="0"/>
          <w:szCs w:val="20"/>
        </w:rPr>
        <w:t>95</w:t>
      </w:r>
      <w:r>
        <w:rPr>
          <w:rFonts w:hint="eastAsia"/>
          <w:i w:val="0"/>
          <w:iCs w:val="0"/>
          <w:snapToGrid w:val="0"/>
          <w:color w:val="000000"/>
          <w:kern w:val="0"/>
          <w:szCs w:val="20"/>
        </w:rPr>
        <w:t>个国家的登记化学品事故中，发生过突发性化学事件的事故分类分析比例见表7-</w:t>
      </w:r>
      <w:r>
        <w:rPr>
          <w:i w:val="0"/>
          <w:iCs w:val="0"/>
          <w:snapToGrid w:val="0"/>
          <w:color w:val="000000"/>
          <w:kern w:val="0"/>
          <w:szCs w:val="20"/>
        </w:rPr>
        <w:t>1</w:t>
      </w:r>
      <w:r>
        <w:rPr>
          <w:rFonts w:hint="eastAsia"/>
          <w:i w:val="0"/>
          <w:iCs w:val="0"/>
          <w:snapToGrid w:val="0"/>
          <w:color w:val="000000"/>
          <w:kern w:val="0"/>
          <w:szCs w:val="20"/>
        </w:rPr>
        <w:t>8。</w:t>
      </w:r>
    </w:p>
    <w:p>
      <w:pPr>
        <w:spacing w:line="360" w:lineRule="auto"/>
        <w:ind w:firstLine="480" w:firstLineChars="200"/>
        <w:rPr>
          <w:i w:val="0"/>
          <w:iCs w:val="0"/>
          <w:snapToGrid w:val="0"/>
          <w:color w:val="000000"/>
          <w:kern w:val="0"/>
          <w:szCs w:val="20"/>
        </w:rPr>
      </w:pPr>
      <w:r>
        <w:rPr>
          <w:rFonts w:hint="eastAsia"/>
          <w:i w:val="0"/>
          <w:iCs w:val="0"/>
          <w:snapToGrid w:val="0"/>
          <w:color w:val="000000"/>
          <w:kern w:val="0"/>
          <w:szCs w:val="20"/>
        </w:rPr>
        <w:t>根据《世界石油化工企业近</w:t>
      </w:r>
      <w:r>
        <w:rPr>
          <w:i w:val="0"/>
          <w:iCs w:val="0"/>
          <w:snapToGrid w:val="0"/>
          <w:color w:val="000000"/>
          <w:kern w:val="0"/>
          <w:szCs w:val="20"/>
        </w:rPr>
        <w:t>30</w:t>
      </w:r>
      <w:r>
        <w:rPr>
          <w:rFonts w:hint="eastAsia"/>
          <w:i w:val="0"/>
          <w:iCs w:val="0"/>
          <w:snapToGrid w:val="0"/>
          <w:color w:val="000000"/>
          <w:kern w:val="0"/>
          <w:szCs w:val="20"/>
        </w:rPr>
        <w:t>年</w:t>
      </w:r>
      <w:r>
        <w:rPr>
          <w:i w:val="0"/>
          <w:iCs w:val="0"/>
          <w:snapToGrid w:val="0"/>
          <w:color w:val="000000"/>
          <w:kern w:val="0"/>
          <w:szCs w:val="20"/>
        </w:rPr>
        <w:t>100</w:t>
      </w:r>
      <w:r>
        <w:rPr>
          <w:rFonts w:hint="eastAsia"/>
          <w:i w:val="0"/>
          <w:iCs w:val="0"/>
          <w:snapToGrid w:val="0"/>
          <w:color w:val="000000"/>
          <w:kern w:val="0"/>
          <w:szCs w:val="20"/>
        </w:rPr>
        <w:t>起特大型火灾爆炸事故汇编（</w:t>
      </w:r>
      <w:r>
        <w:rPr>
          <w:i w:val="0"/>
          <w:iCs w:val="0"/>
          <w:snapToGrid w:val="0"/>
          <w:color w:val="000000"/>
          <w:kern w:val="0"/>
          <w:szCs w:val="20"/>
        </w:rPr>
        <w:t>11</w:t>
      </w:r>
      <w:r>
        <w:rPr>
          <w:rFonts w:hint="eastAsia"/>
          <w:i w:val="0"/>
          <w:iCs w:val="0"/>
          <w:snapToGrid w:val="0"/>
          <w:color w:val="000000"/>
          <w:kern w:val="0"/>
          <w:szCs w:val="20"/>
        </w:rPr>
        <w:t>版）》统计国外发生的损失超过</w:t>
      </w:r>
      <w:r>
        <w:rPr>
          <w:i w:val="0"/>
          <w:iCs w:val="0"/>
          <w:snapToGrid w:val="0"/>
          <w:color w:val="000000"/>
          <w:kern w:val="0"/>
          <w:szCs w:val="20"/>
        </w:rPr>
        <w:t>1000</w:t>
      </w:r>
      <w:r>
        <w:rPr>
          <w:rFonts w:hint="eastAsia"/>
          <w:i w:val="0"/>
          <w:iCs w:val="0"/>
          <w:snapToGrid w:val="0"/>
          <w:color w:val="000000"/>
          <w:kern w:val="0"/>
          <w:szCs w:val="20"/>
        </w:rPr>
        <w:t>万美元的特大型火灾爆炸事故，按所发生装置分类统计，结果见表7-19。从表7-2</w:t>
      </w:r>
      <w:r>
        <w:rPr>
          <w:i w:val="0"/>
          <w:iCs w:val="0"/>
          <w:snapToGrid w:val="0"/>
          <w:color w:val="000000"/>
          <w:kern w:val="0"/>
          <w:szCs w:val="20"/>
        </w:rPr>
        <w:t>0</w:t>
      </w:r>
      <w:r>
        <w:rPr>
          <w:rFonts w:hint="eastAsia"/>
          <w:i w:val="0"/>
          <w:iCs w:val="0"/>
          <w:snapToGrid w:val="0"/>
          <w:color w:val="000000"/>
          <w:kern w:val="0"/>
          <w:szCs w:val="20"/>
        </w:rPr>
        <w:t>中可以看出，在世界石油化工企业的火灾爆炸事故中，罐区事故最高，另外在烃类的加工及输送的装置事故发生率也比较高。因此，对这些装置和设施的火灾、爆炸事故应进行重点防范。</w:t>
      </w:r>
    </w:p>
    <w:p>
      <w:pPr>
        <w:spacing w:line="360" w:lineRule="auto"/>
        <w:ind w:firstLine="480" w:firstLineChars="200"/>
        <w:rPr>
          <w:i w:val="0"/>
          <w:iCs w:val="0"/>
          <w:snapToGrid w:val="0"/>
          <w:color w:val="000000"/>
          <w:kern w:val="0"/>
          <w:szCs w:val="20"/>
        </w:rPr>
      </w:pPr>
      <w:r>
        <w:rPr>
          <w:rFonts w:hint="eastAsia"/>
          <w:i w:val="0"/>
          <w:iCs w:val="0"/>
          <w:snapToGrid w:val="0"/>
          <w:color w:val="000000"/>
          <w:kern w:val="0"/>
          <w:szCs w:val="20"/>
        </w:rPr>
        <w:t>近几年国内化工行业</w:t>
      </w:r>
      <w:r>
        <w:rPr>
          <w:i w:val="0"/>
          <w:iCs w:val="0"/>
          <w:snapToGrid w:val="0"/>
          <w:color w:val="000000"/>
          <w:kern w:val="0"/>
          <w:szCs w:val="20"/>
        </w:rPr>
        <w:t>842</w:t>
      </w:r>
      <w:r>
        <w:rPr>
          <w:rFonts w:hint="eastAsia"/>
          <w:i w:val="0"/>
          <w:iCs w:val="0"/>
          <w:snapToGrid w:val="0"/>
          <w:color w:val="000000"/>
          <w:kern w:val="0"/>
          <w:szCs w:val="20"/>
        </w:rPr>
        <w:t>起各类事故类型和</w:t>
      </w:r>
      <w:r>
        <w:rPr>
          <w:i w:val="0"/>
          <w:iCs w:val="0"/>
          <w:snapToGrid w:val="0"/>
          <w:color w:val="000000"/>
          <w:kern w:val="0"/>
          <w:szCs w:val="20"/>
        </w:rPr>
        <w:t>116</w:t>
      </w:r>
      <w:r>
        <w:rPr>
          <w:rFonts w:hint="eastAsia"/>
          <w:i w:val="0"/>
          <w:iCs w:val="0"/>
          <w:snapToGrid w:val="0"/>
          <w:color w:val="000000"/>
          <w:kern w:val="0"/>
          <w:szCs w:val="20"/>
        </w:rPr>
        <w:t>次主要事故原因统计分析结果详见表7-18和表7-19。从表7-20中可知，造成人身伤亡的事故占一半以上，火灾、爆炸事故所占比例也较多，而且由这些事故所造成的经济损失也是惊人的。</w:t>
      </w:r>
    </w:p>
    <w:p>
      <w:pPr>
        <w:widowControl/>
        <w:jc w:val="center"/>
        <w:rPr>
          <w:rFonts w:hint="eastAsia"/>
          <w:b/>
          <w:bCs/>
          <w:i w:val="0"/>
          <w:iCs w:val="0"/>
          <w:color w:val="000000"/>
          <w:szCs w:val="20"/>
          <w:lang w:val="zh-CN"/>
        </w:rPr>
      </w:pPr>
      <w:r>
        <w:rPr>
          <w:rFonts w:hint="eastAsia"/>
          <w:b/>
          <w:bCs/>
          <w:i w:val="0"/>
          <w:iCs w:val="0"/>
          <w:color w:val="000000"/>
          <w:szCs w:val="20"/>
          <w:lang w:val="zh-CN"/>
        </w:rPr>
        <w:t>表</w:t>
      </w:r>
      <w:r>
        <w:rPr>
          <w:rFonts w:hint="eastAsia"/>
          <w:b/>
          <w:bCs/>
          <w:i w:val="0"/>
          <w:iCs w:val="0"/>
          <w:color w:val="000000"/>
          <w:szCs w:val="20"/>
        </w:rPr>
        <w:t>7-18</w:t>
      </w:r>
      <w:r>
        <w:rPr>
          <w:rFonts w:hint="eastAsia"/>
          <w:b/>
          <w:bCs/>
          <w:i w:val="0"/>
          <w:iCs w:val="0"/>
          <w:color w:val="000000"/>
          <w:szCs w:val="20"/>
          <w:lang w:val="zh-CN"/>
        </w:rPr>
        <w:t xml:space="preserve">  化工事故分类情况</w:t>
      </w:r>
    </w:p>
    <w:tbl>
      <w:tblPr>
        <w:tblStyle w:val="58"/>
        <w:tblW w:w="9071"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163"/>
        <w:gridCol w:w="3454"/>
        <w:gridCol w:w="345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blHeader/>
          <w:jc w:val="center"/>
        </w:trPr>
        <w:tc>
          <w:tcPr>
            <w:tcW w:w="2163" w:type="dxa"/>
            <w:noWrap w:val="0"/>
            <w:vAlign w:val="center"/>
          </w:tcPr>
          <w:p>
            <w:pPr>
              <w:adjustRightInd w:val="0"/>
              <w:snapToGrid w:val="0"/>
              <w:jc w:val="center"/>
              <w:rPr>
                <w:b/>
                <w:bCs/>
                <w:i w:val="0"/>
                <w:iCs w:val="0"/>
                <w:snapToGrid w:val="0"/>
                <w:color w:val="000000"/>
                <w:kern w:val="0"/>
                <w:sz w:val="21"/>
                <w:szCs w:val="21"/>
              </w:rPr>
            </w:pPr>
            <w:r>
              <w:rPr>
                <w:rFonts w:hint="eastAsia"/>
                <w:b/>
                <w:bCs/>
                <w:i w:val="0"/>
                <w:iCs w:val="0"/>
                <w:snapToGrid w:val="0"/>
                <w:color w:val="000000"/>
                <w:kern w:val="0"/>
                <w:sz w:val="21"/>
                <w:szCs w:val="21"/>
              </w:rPr>
              <w:t>类别</w:t>
            </w:r>
          </w:p>
        </w:tc>
        <w:tc>
          <w:tcPr>
            <w:tcW w:w="3454" w:type="dxa"/>
            <w:noWrap w:val="0"/>
            <w:vAlign w:val="center"/>
          </w:tcPr>
          <w:p>
            <w:pPr>
              <w:adjustRightInd w:val="0"/>
              <w:snapToGrid w:val="0"/>
              <w:jc w:val="center"/>
              <w:rPr>
                <w:b/>
                <w:bCs/>
                <w:i w:val="0"/>
                <w:iCs w:val="0"/>
                <w:snapToGrid w:val="0"/>
                <w:color w:val="000000"/>
                <w:kern w:val="0"/>
                <w:sz w:val="21"/>
                <w:szCs w:val="21"/>
              </w:rPr>
            </w:pPr>
            <w:r>
              <w:rPr>
                <w:rFonts w:hint="eastAsia"/>
                <w:b/>
                <w:bCs/>
                <w:i w:val="0"/>
                <w:iCs w:val="0"/>
                <w:snapToGrid w:val="0"/>
                <w:color w:val="000000"/>
                <w:kern w:val="0"/>
                <w:sz w:val="21"/>
                <w:szCs w:val="21"/>
              </w:rPr>
              <w:t>名称</w:t>
            </w:r>
          </w:p>
        </w:tc>
        <w:tc>
          <w:tcPr>
            <w:tcW w:w="3454" w:type="dxa"/>
            <w:noWrap w:val="0"/>
            <w:vAlign w:val="center"/>
          </w:tcPr>
          <w:p>
            <w:pPr>
              <w:adjustRightInd w:val="0"/>
              <w:snapToGrid w:val="0"/>
              <w:jc w:val="center"/>
              <w:rPr>
                <w:b/>
                <w:bCs/>
                <w:i w:val="0"/>
                <w:iCs w:val="0"/>
                <w:snapToGrid w:val="0"/>
                <w:color w:val="000000"/>
                <w:kern w:val="0"/>
                <w:sz w:val="21"/>
                <w:szCs w:val="21"/>
              </w:rPr>
            </w:pPr>
            <w:r>
              <w:rPr>
                <w:rFonts w:hint="eastAsia"/>
                <w:b/>
                <w:bCs/>
                <w:i w:val="0"/>
                <w:iCs w:val="0"/>
                <w:snapToGrid w:val="0"/>
                <w:color w:val="000000"/>
                <w:kern w:val="0"/>
                <w:sz w:val="21"/>
                <w:szCs w:val="21"/>
              </w:rPr>
              <w:t>百分数（</w:t>
            </w:r>
            <w:r>
              <w:rPr>
                <w:b/>
                <w:bCs/>
                <w:i w:val="0"/>
                <w:iCs w:val="0"/>
                <w:snapToGrid w:val="0"/>
                <w:color w:val="000000"/>
                <w:kern w:val="0"/>
                <w:sz w:val="21"/>
                <w:szCs w:val="21"/>
              </w:rPr>
              <w:t>%</w:t>
            </w:r>
            <w:r>
              <w:rPr>
                <w:rFonts w:hint="eastAsia"/>
                <w:b/>
                <w:bCs/>
                <w:i w:val="0"/>
                <w:iCs w:val="0"/>
                <w:snapToGrid w:val="0"/>
                <w:color w:val="000000"/>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80" w:hRule="atLeast"/>
          <w:jc w:val="center"/>
        </w:trPr>
        <w:tc>
          <w:tcPr>
            <w:tcW w:w="2163" w:type="dxa"/>
            <w:vMerge w:val="restart"/>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化学品类别</w:t>
            </w:r>
          </w:p>
        </w:tc>
        <w:tc>
          <w:tcPr>
            <w:tcW w:w="3454"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液化石油气</w:t>
            </w:r>
          </w:p>
        </w:tc>
        <w:tc>
          <w:tcPr>
            <w:tcW w:w="3454" w:type="dxa"/>
            <w:noWrap w:val="0"/>
            <w:vAlign w:val="center"/>
          </w:tcPr>
          <w:p>
            <w:pPr>
              <w:adjustRightInd w:val="0"/>
              <w:snapToGrid w:val="0"/>
              <w:jc w:val="center"/>
              <w:rPr>
                <w:i w:val="0"/>
                <w:iCs w:val="0"/>
                <w:snapToGrid w:val="0"/>
                <w:color w:val="000000"/>
                <w:kern w:val="0"/>
                <w:sz w:val="21"/>
                <w:szCs w:val="21"/>
              </w:rPr>
            </w:pPr>
            <w:r>
              <w:rPr>
                <w:i w:val="0"/>
                <w:iCs w:val="0"/>
                <w:snapToGrid w:val="0"/>
                <w:color w:val="000000"/>
                <w:kern w:val="0"/>
                <w:sz w:val="21"/>
                <w:szCs w:val="21"/>
              </w:rPr>
              <w:t>2.53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continue"/>
            <w:noWrap w:val="0"/>
            <w:vAlign w:val="center"/>
          </w:tcPr>
          <w:p>
            <w:pPr>
              <w:adjustRightInd w:val="0"/>
              <w:snapToGrid w:val="0"/>
              <w:jc w:val="center"/>
              <w:rPr>
                <w:i w:val="0"/>
                <w:iCs w:val="0"/>
                <w:snapToGrid w:val="0"/>
                <w:color w:val="000000"/>
                <w:kern w:val="0"/>
                <w:sz w:val="21"/>
                <w:szCs w:val="21"/>
              </w:rPr>
            </w:pPr>
          </w:p>
        </w:tc>
        <w:tc>
          <w:tcPr>
            <w:tcW w:w="3454"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汽油</w:t>
            </w:r>
          </w:p>
        </w:tc>
        <w:tc>
          <w:tcPr>
            <w:tcW w:w="3454" w:type="dxa"/>
            <w:noWrap w:val="0"/>
            <w:vAlign w:val="center"/>
          </w:tcPr>
          <w:p>
            <w:pPr>
              <w:adjustRightInd w:val="0"/>
              <w:snapToGrid w:val="0"/>
              <w:jc w:val="center"/>
              <w:rPr>
                <w:i w:val="0"/>
                <w:iCs w:val="0"/>
                <w:snapToGrid w:val="0"/>
                <w:color w:val="000000"/>
                <w:kern w:val="0"/>
                <w:sz w:val="21"/>
                <w:szCs w:val="21"/>
              </w:rPr>
            </w:pPr>
            <w:r>
              <w:rPr>
                <w:i w:val="0"/>
                <w:iCs w:val="0"/>
                <w:snapToGrid w:val="0"/>
                <w:color w:val="000000"/>
                <w:kern w:val="0"/>
                <w:sz w:val="21"/>
                <w:szCs w:val="21"/>
              </w:rPr>
              <w:t>18.0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continue"/>
            <w:noWrap w:val="0"/>
            <w:vAlign w:val="center"/>
          </w:tcPr>
          <w:p>
            <w:pPr>
              <w:adjustRightInd w:val="0"/>
              <w:snapToGrid w:val="0"/>
              <w:jc w:val="center"/>
              <w:rPr>
                <w:i w:val="0"/>
                <w:iCs w:val="0"/>
                <w:snapToGrid w:val="0"/>
                <w:color w:val="000000"/>
                <w:kern w:val="0"/>
                <w:sz w:val="21"/>
                <w:szCs w:val="21"/>
              </w:rPr>
            </w:pPr>
          </w:p>
        </w:tc>
        <w:tc>
          <w:tcPr>
            <w:tcW w:w="3454"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氨</w:t>
            </w:r>
          </w:p>
        </w:tc>
        <w:tc>
          <w:tcPr>
            <w:tcW w:w="3454" w:type="dxa"/>
            <w:noWrap w:val="0"/>
            <w:vAlign w:val="center"/>
          </w:tcPr>
          <w:p>
            <w:pPr>
              <w:adjustRightInd w:val="0"/>
              <w:snapToGrid w:val="0"/>
              <w:jc w:val="center"/>
              <w:rPr>
                <w:i w:val="0"/>
                <w:iCs w:val="0"/>
                <w:snapToGrid w:val="0"/>
                <w:color w:val="000000"/>
                <w:kern w:val="0"/>
                <w:sz w:val="21"/>
                <w:szCs w:val="21"/>
              </w:rPr>
            </w:pPr>
            <w:r>
              <w:rPr>
                <w:i w:val="0"/>
                <w:iCs w:val="0"/>
                <w:snapToGrid w:val="0"/>
                <w:color w:val="000000"/>
                <w:kern w:val="0"/>
                <w:sz w:val="21"/>
                <w:szCs w:val="21"/>
              </w:rPr>
              <w:t>16.1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continue"/>
            <w:noWrap w:val="0"/>
            <w:vAlign w:val="center"/>
          </w:tcPr>
          <w:p>
            <w:pPr>
              <w:adjustRightInd w:val="0"/>
              <w:snapToGrid w:val="0"/>
              <w:jc w:val="center"/>
              <w:rPr>
                <w:i w:val="0"/>
                <w:iCs w:val="0"/>
                <w:snapToGrid w:val="0"/>
                <w:color w:val="000000"/>
                <w:kern w:val="0"/>
                <w:sz w:val="21"/>
                <w:szCs w:val="21"/>
              </w:rPr>
            </w:pPr>
          </w:p>
        </w:tc>
        <w:tc>
          <w:tcPr>
            <w:tcW w:w="3454"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煤油</w:t>
            </w:r>
          </w:p>
        </w:tc>
        <w:tc>
          <w:tcPr>
            <w:tcW w:w="3454" w:type="dxa"/>
            <w:noWrap w:val="0"/>
            <w:vAlign w:val="center"/>
          </w:tcPr>
          <w:p>
            <w:pPr>
              <w:adjustRightInd w:val="0"/>
              <w:snapToGrid w:val="0"/>
              <w:jc w:val="center"/>
              <w:rPr>
                <w:i w:val="0"/>
                <w:iCs w:val="0"/>
                <w:snapToGrid w:val="0"/>
                <w:color w:val="000000"/>
                <w:kern w:val="0"/>
                <w:sz w:val="21"/>
                <w:szCs w:val="21"/>
              </w:rPr>
            </w:pPr>
            <w:r>
              <w:rPr>
                <w:i w:val="0"/>
                <w:iCs w:val="0"/>
                <w:snapToGrid w:val="0"/>
                <w:color w:val="000000"/>
                <w:kern w:val="0"/>
                <w:sz w:val="21"/>
                <w:szCs w:val="21"/>
              </w:rPr>
              <w:t>14.9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continue"/>
            <w:noWrap w:val="0"/>
            <w:vAlign w:val="center"/>
          </w:tcPr>
          <w:p>
            <w:pPr>
              <w:adjustRightInd w:val="0"/>
              <w:snapToGrid w:val="0"/>
              <w:jc w:val="center"/>
              <w:rPr>
                <w:i w:val="0"/>
                <w:iCs w:val="0"/>
                <w:snapToGrid w:val="0"/>
                <w:color w:val="000000"/>
                <w:kern w:val="0"/>
                <w:sz w:val="21"/>
                <w:szCs w:val="21"/>
              </w:rPr>
            </w:pPr>
          </w:p>
        </w:tc>
        <w:tc>
          <w:tcPr>
            <w:tcW w:w="3454"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氯</w:t>
            </w:r>
          </w:p>
        </w:tc>
        <w:tc>
          <w:tcPr>
            <w:tcW w:w="3454" w:type="dxa"/>
            <w:noWrap w:val="0"/>
            <w:vAlign w:val="center"/>
          </w:tcPr>
          <w:p>
            <w:pPr>
              <w:adjustRightInd w:val="0"/>
              <w:snapToGrid w:val="0"/>
              <w:jc w:val="center"/>
              <w:rPr>
                <w:i w:val="0"/>
                <w:iCs w:val="0"/>
                <w:snapToGrid w:val="0"/>
                <w:color w:val="000000"/>
                <w:kern w:val="0"/>
                <w:sz w:val="21"/>
                <w:szCs w:val="21"/>
              </w:rPr>
            </w:pPr>
            <w:r>
              <w:rPr>
                <w:i w:val="0"/>
                <w:iCs w:val="0"/>
                <w:snapToGrid w:val="0"/>
                <w:color w:val="000000"/>
                <w:kern w:val="0"/>
                <w:sz w:val="21"/>
                <w:szCs w:val="21"/>
              </w:rPr>
              <w:t>14.4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continue"/>
            <w:noWrap w:val="0"/>
            <w:vAlign w:val="center"/>
          </w:tcPr>
          <w:p>
            <w:pPr>
              <w:adjustRightInd w:val="0"/>
              <w:snapToGrid w:val="0"/>
              <w:jc w:val="center"/>
              <w:rPr>
                <w:i w:val="0"/>
                <w:iCs w:val="0"/>
                <w:snapToGrid w:val="0"/>
                <w:color w:val="000000"/>
                <w:kern w:val="0"/>
                <w:sz w:val="21"/>
                <w:szCs w:val="21"/>
              </w:rPr>
            </w:pPr>
          </w:p>
        </w:tc>
        <w:tc>
          <w:tcPr>
            <w:tcW w:w="3454"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原油</w:t>
            </w:r>
          </w:p>
        </w:tc>
        <w:tc>
          <w:tcPr>
            <w:tcW w:w="3454" w:type="dxa"/>
            <w:noWrap w:val="0"/>
            <w:vAlign w:val="center"/>
          </w:tcPr>
          <w:p>
            <w:pPr>
              <w:adjustRightInd w:val="0"/>
              <w:snapToGrid w:val="0"/>
              <w:jc w:val="center"/>
              <w:rPr>
                <w:i w:val="0"/>
                <w:iCs w:val="0"/>
                <w:snapToGrid w:val="0"/>
                <w:color w:val="000000"/>
                <w:kern w:val="0"/>
                <w:sz w:val="21"/>
                <w:szCs w:val="21"/>
              </w:rPr>
            </w:pPr>
            <w:r>
              <w:rPr>
                <w:i w:val="0"/>
                <w:iCs w:val="0"/>
                <w:snapToGrid w:val="0"/>
                <w:color w:val="000000"/>
                <w:kern w:val="0"/>
                <w:sz w:val="21"/>
                <w:szCs w:val="21"/>
              </w:rPr>
              <w:t>11.2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restart"/>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化学品的物质形态</w:t>
            </w:r>
          </w:p>
        </w:tc>
        <w:tc>
          <w:tcPr>
            <w:tcW w:w="3454" w:type="dxa"/>
            <w:noWrap w:val="0"/>
            <w:vAlign w:val="center"/>
          </w:tcPr>
          <w:p>
            <w:pPr>
              <w:adjustRightInd w:val="0"/>
              <w:snapToGrid w:val="0"/>
              <w:jc w:val="center"/>
              <w:rPr>
                <w:i w:val="0"/>
                <w:iCs w:val="0"/>
                <w:snapToGrid w:val="0"/>
                <w:color w:val="000000"/>
                <w:kern w:val="0"/>
                <w:sz w:val="21"/>
                <w:szCs w:val="21"/>
              </w:rPr>
            </w:pPr>
            <w:r>
              <w:rPr>
                <w:i w:val="0"/>
                <w:iCs w:val="0"/>
                <w:snapToGrid w:val="0"/>
                <w:color w:val="000000"/>
                <w:kern w:val="0"/>
                <w:sz w:val="21"/>
                <w:szCs w:val="21"/>
              </w:rPr>
              <w:t>液体</w:t>
            </w:r>
          </w:p>
        </w:tc>
        <w:tc>
          <w:tcPr>
            <w:tcW w:w="3454" w:type="dxa"/>
            <w:noWrap w:val="0"/>
            <w:vAlign w:val="center"/>
          </w:tcPr>
          <w:p>
            <w:pPr>
              <w:adjustRightInd w:val="0"/>
              <w:snapToGrid w:val="0"/>
              <w:jc w:val="center"/>
              <w:rPr>
                <w:i w:val="0"/>
                <w:iCs w:val="0"/>
                <w:snapToGrid w:val="0"/>
                <w:color w:val="000000"/>
                <w:kern w:val="0"/>
                <w:sz w:val="21"/>
                <w:szCs w:val="21"/>
              </w:rPr>
            </w:pPr>
            <w:r>
              <w:rPr>
                <w:i w:val="0"/>
                <w:iCs w:val="0"/>
                <w:snapToGrid w:val="0"/>
                <w:color w:val="000000"/>
                <w:kern w:val="0"/>
                <w:sz w:val="21"/>
                <w:szCs w:val="21"/>
              </w:rPr>
              <w:t>47.8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continue"/>
            <w:noWrap w:val="0"/>
            <w:vAlign w:val="center"/>
          </w:tcPr>
          <w:p>
            <w:pPr>
              <w:adjustRightInd w:val="0"/>
              <w:snapToGrid w:val="0"/>
              <w:jc w:val="center"/>
              <w:rPr>
                <w:i w:val="0"/>
                <w:iCs w:val="0"/>
                <w:snapToGrid w:val="0"/>
                <w:color w:val="000000"/>
                <w:kern w:val="0"/>
                <w:sz w:val="21"/>
                <w:szCs w:val="21"/>
              </w:rPr>
            </w:pPr>
          </w:p>
        </w:tc>
        <w:tc>
          <w:tcPr>
            <w:tcW w:w="3454" w:type="dxa"/>
            <w:noWrap w:val="0"/>
            <w:vAlign w:val="center"/>
          </w:tcPr>
          <w:p>
            <w:pPr>
              <w:adjustRightInd w:val="0"/>
              <w:snapToGrid w:val="0"/>
              <w:jc w:val="center"/>
              <w:rPr>
                <w:i w:val="0"/>
                <w:iCs w:val="0"/>
                <w:snapToGrid w:val="0"/>
                <w:color w:val="000000"/>
                <w:kern w:val="0"/>
                <w:sz w:val="21"/>
                <w:szCs w:val="21"/>
              </w:rPr>
            </w:pPr>
            <w:r>
              <w:rPr>
                <w:i w:val="0"/>
                <w:iCs w:val="0"/>
                <w:snapToGrid w:val="0"/>
                <w:color w:val="000000"/>
                <w:kern w:val="0"/>
                <w:sz w:val="21"/>
                <w:szCs w:val="21"/>
              </w:rPr>
              <w:t>液化气</w:t>
            </w:r>
          </w:p>
        </w:tc>
        <w:tc>
          <w:tcPr>
            <w:tcW w:w="3454" w:type="dxa"/>
            <w:noWrap w:val="0"/>
            <w:vAlign w:val="center"/>
          </w:tcPr>
          <w:p>
            <w:pPr>
              <w:adjustRightInd w:val="0"/>
              <w:snapToGrid w:val="0"/>
              <w:jc w:val="center"/>
              <w:rPr>
                <w:i w:val="0"/>
                <w:iCs w:val="0"/>
                <w:snapToGrid w:val="0"/>
                <w:color w:val="000000"/>
                <w:kern w:val="0"/>
                <w:sz w:val="21"/>
                <w:szCs w:val="21"/>
              </w:rPr>
            </w:pPr>
            <w:r>
              <w:rPr>
                <w:i w:val="0"/>
                <w:iCs w:val="0"/>
                <w:snapToGrid w:val="0"/>
                <w:color w:val="000000"/>
                <w:kern w:val="0"/>
                <w:sz w:val="21"/>
                <w:szCs w:val="21"/>
              </w:rPr>
              <w:t>27.6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continue"/>
            <w:noWrap w:val="0"/>
            <w:vAlign w:val="center"/>
          </w:tcPr>
          <w:p>
            <w:pPr>
              <w:adjustRightInd w:val="0"/>
              <w:snapToGrid w:val="0"/>
              <w:jc w:val="center"/>
              <w:rPr>
                <w:i w:val="0"/>
                <w:iCs w:val="0"/>
                <w:snapToGrid w:val="0"/>
                <w:color w:val="000000"/>
                <w:kern w:val="0"/>
                <w:sz w:val="21"/>
                <w:szCs w:val="21"/>
              </w:rPr>
            </w:pPr>
          </w:p>
        </w:tc>
        <w:tc>
          <w:tcPr>
            <w:tcW w:w="3454" w:type="dxa"/>
            <w:noWrap w:val="0"/>
            <w:vAlign w:val="center"/>
          </w:tcPr>
          <w:p>
            <w:pPr>
              <w:adjustRightInd w:val="0"/>
              <w:snapToGrid w:val="0"/>
              <w:jc w:val="center"/>
              <w:rPr>
                <w:i w:val="0"/>
                <w:iCs w:val="0"/>
                <w:snapToGrid w:val="0"/>
                <w:color w:val="000000"/>
                <w:kern w:val="0"/>
                <w:sz w:val="21"/>
                <w:szCs w:val="21"/>
              </w:rPr>
            </w:pPr>
            <w:r>
              <w:rPr>
                <w:i w:val="0"/>
                <w:iCs w:val="0"/>
                <w:snapToGrid w:val="0"/>
                <w:color w:val="000000"/>
                <w:kern w:val="0"/>
                <w:sz w:val="21"/>
                <w:szCs w:val="21"/>
              </w:rPr>
              <w:t>气体</w:t>
            </w:r>
          </w:p>
        </w:tc>
        <w:tc>
          <w:tcPr>
            <w:tcW w:w="3454" w:type="dxa"/>
            <w:noWrap w:val="0"/>
            <w:vAlign w:val="center"/>
          </w:tcPr>
          <w:p>
            <w:pPr>
              <w:adjustRightInd w:val="0"/>
              <w:snapToGrid w:val="0"/>
              <w:jc w:val="center"/>
              <w:rPr>
                <w:i w:val="0"/>
                <w:iCs w:val="0"/>
                <w:snapToGrid w:val="0"/>
                <w:color w:val="000000"/>
                <w:kern w:val="0"/>
                <w:sz w:val="21"/>
                <w:szCs w:val="21"/>
              </w:rPr>
            </w:pPr>
            <w:r>
              <w:rPr>
                <w:i w:val="0"/>
                <w:iCs w:val="0"/>
                <w:snapToGrid w:val="0"/>
                <w:color w:val="000000"/>
                <w:kern w:val="0"/>
                <w:sz w:val="21"/>
                <w:szCs w:val="21"/>
              </w:rPr>
              <w:t>18.8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continue"/>
            <w:noWrap w:val="0"/>
            <w:vAlign w:val="center"/>
          </w:tcPr>
          <w:p>
            <w:pPr>
              <w:adjustRightInd w:val="0"/>
              <w:snapToGrid w:val="0"/>
              <w:jc w:val="center"/>
              <w:rPr>
                <w:i w:val="0"/>
                <w:iCs w:val="0"/>
                <w:snapToGrid w:val="0"/>
                <w:color w:val="000000"/>
                <w:kern w:val="0"/>
                <w:sz w:val="21"/>
                <w:szCs w:val="21"/>
              </w:rPr>
            </w:pPr>
          </w:p>
        </w:tc>
        <w:tc>
          <w:tcPr>
            <w:tcW w:w="3454" w:type="dxa"/>
            <w:noWrap w:val="0"/>
            <w:vAlign w:val="center"/>
          </w:tcPr>
          <w:p>
            <w:pPr>
              <w:adjustRightInd w:val="0"/>
              <w:snapToGrid w:val="0"/>
              <w:jc w:val="center"/>
              <w:rPr>
                <w:i w:val="0"/>
                <w:iCs w:val="0"/>
                <w:snapToGrid w:val="0"/>
                <w:color w:val="000000"/>
                <w:kern w:val="0"/>
                <w:sz w:val="21"/>
                <w:szCs w:val="21"/>
              </w:rPr>
            </w:pPr>
            <w:r>
              <w:rPr>
                <w:i w:val="0"/>
                <w:iCs w:val="0"/>
                <w:snapToGrid w:val="0"/>
                <w:color w:val="000000"/>
                <w:kern w:val="0"/>
                <w:sz w:val="21"/>
                <w:szCs w:val="21"/>
              </w:rPr>
              <w:t>固体</w:t>
            </w:r>
          </w:p>
        </w:tc>
        <w:tc>
          <w:tcPr>
            <w:tcW w:w="3454" w:type="dxa"/>
            <w:noWrap w:val="0"/>
            <w:vAlign w:val="center"/>
          </w:tcPr>
          <w:p>
            <w:pPr>
              <w:adjustRightInd w:val="0"/>
              <w:snapToGrid w:val="0"/>
              <w:jc w:val="center"/>
              <w:rPr>
                <w:i w:val="0"/>
                <w:iCs w:val="0"/>
                <w:snapToGrid w:val="0"/>
                <w:color w:val="000000"/>
                <w:kern w:val="0"/>
                <w:sz w:val="21"/>
                <w:szCs w:val="21"/>
              </w:rPr>
            </w:pPr>
            <w:r>
              <w:rPr>
                <w:i w:val="0"/>
                <w:iCs w:val="0"/>
                <w:snapToGrid w:val="0"/>
                <w:color w:val="000000"/>
                <w:kern w:val="0"/>
                <w:sz w:val="21"/>
                <w:szCs w:val="21"/>
              </w:rPr>
              <w:t>8.2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restart"/>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生产系统</w:t>
            </w:r>
          </w:p>
        </w:tc>
        <w:tc>
          <w:tcPr>
            <w:tcW w:w="3454" w:type="dxa"/>
            <w:noWrap w:val="0"/>
            <w:vAlign w:val="center"/>
          </w:tcPr>
          <w:p>
            <w:pPr>
              <w:adjustRightInd w:val="0"/>
              <w:snapToGrid w:val="0"/>
              <w:jc w:val="center"/>
              <w:rPr>
                <w:i w:val="0"/>
                <w:iCs w:val="0"/>
                <w:snapToGrid w:val="0"/>
                <w:color w:val="000000"/>
                <w:kern w:val="0"/>
                <w:sz w:val="21"/>
                <w:szCs w:val="21"/>
              </w:rPr>
            </w:pPr>
            <w:r>
              <w:rPr>
                <w:i w:val="0"/>
                <w:iCs w:val="0"/>
                <w:snapToGrid w:val="0"/>
                <w:color w:val="000000"/>
                <w:kern w:val="0"/>
                <w:sz w:val="21"/>
                <w:szCs w:val="21"/>
              </w:rPr>
              <w:t>运输</w:t>
            </w:r>
          </w:p>
        </w:tc>
        <w:tc>
          <w:tcPr>
            <w:tcW w:w="3454" w:type="dxa"/>
            <w:noWrap w:val="0"/>
            <w:vAlign w:val="center"/>
          </w:tcPr>
          <w:p>
            <w:pPr>
              <w:adjustRightInd w:val="0"/>
              <w:snapToGrid w:val="0"/>
              <w:jc w:val="center"/>
              <w:rPr>
                <w:i w:val="0"/>
                <w:iCs w:val="0"/>
                <w:snapToGrid w:val="0"/>
                <w:color w:val="000000"/>
                <w:kern w:val="0"/>
                <w:sz w:val="21"/>
                <w:szCs w:val="21"/>
              </w:rPr>
            </w:pPr>
            <w:r>
              <w:rPr>
                <w:i w:val="0"/>
                <w:iCs w:val="0"/>
                <w:snapToGrid w:val="0"/>
                <w:color w:val="000000"/>
                <w:kern w:val="0"/>
                <w:sz w:val="21"/>
                <w:szCs w:val="21"/>
              </w:rPr>
              <w:t>34.2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continue"/>
            <w:noWrap w:val="0"/>
            <w:vAlign w:val="center"/>
          </w:tcPr>
          <w:p>
            <w:pPr>
              <w:adjustRightInd w:val="0"/>
              <w:snapToGrid w:val="0"/>
              <w:jc w:val="center"/>
              <w:rPr>
                <w:i w:val="0"/>
                <w:iCs w:val="0"/>
                <w:snapToGrid w:val="0"/>
                <w:color w:val="000000"/>
                <w:kern w:val="0"/>
                <w:sz w:val="21"/>
                <w:szCs w:val="21"/>
              </w:rPr>
            </w:pPr>
          </w:p>
        </w:tc>
        <w:tc>
          <w:tcPr>
            <w:tcW w:w="3454" w:type="dxa"/>
            <w:noWrap w:val="0"/>
            <w:vAlign w:val="center"/>
          </w:tcPr>
          <w:p>
            <w:pPr>
              <w:adjustRightInd w:val="0"/>
              <w:snapToGrid w:val="0"/>
              <w:jc w:val="center"/>
              <w:rPr>
                <w:i w:val="0"/>
                <w:iCs w:val="0"/>
                <w:snapToGrid w:val="0"/>
                <w:color w:val="000000"/>
                <w:kern w:val="0"/>
                <w:sz w:val="21"/>
                <w:szCs w:val="21"/>
              </w:rPr>
            </w:pPr>
            <w:r>
              <w:rPr>
                <w:i w:val="0"/>
                <w:iCs w:val="0"/>
                <w:snapToGrid w:val="0"/>
                <w:color w:val="000000"/>
                <w:kern w:val="0"/>
                <w:sz w:val="21"/>
                <w:szCs w:val="21"/>
              </w:rPr>
              <w:t>工艺过程</w:t>
            </w:r>
          </w:p>
        </w:tc>
        <w:tc>
          <w:tcPr>
            <w:tcW w:w="3454" w:type="dxa"/>
            <w:noWrap w:val="0"/>
            <w:vAlign w:val="center"/>
          </w:tcPr>
          <w:p>
            <w:pPr>
              <w:adjustRightInd w:val="0"/>
              <w:snapToGrid w:val="0"/>
              <w:jc w:val="center"/>
              <w:rPr>
                <w:i w:val="0"/>
                <w:iCs w:val="0"/>
                <w:snapToGrid w:val="0"/>
                <w:color w:val="000000"/>
                <w:kern w:val="0"/>
                <w:sz w:val="21"/>
                <w:szCs w:val="21"/>
              </w:rPr>
            </w:pPr>
            <w:r>
              <w:rPr>
                <w:i w:val="0"/>
                <w:iCs w:val="0"/>
                <w:snapToGrid w:val="0"/>
                <w:color w:val="000000"/>
                <w:kern w:val="0"/>
                <w:sz w:val="21"/>
                <w:szCs w:val="21"/>
              </w:rPr>
              <w:t>33.0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continue"/>
            <w:noWrap w:val="0"/>
            <w:vAlign w:val="center"/>
          </w:tcPr>
          <w:p>
            <w:pPr>
              <w:adjustRightInd w:val="0"/>
              <w:snapToGrid w:val="0"/>
              <w:jc w:val="center"/>
              <w:rPr>
                <w:i w:val="0"/>
                <w:iCs w:val="0"/>
                <w:snapToGrid w:val="0"/>
                <w:color w:val="000000"/>
                <w:kern w:val="0"/>
                <w:sz w:val="21"/>
                <w:szCs w:val="21"/>
              </w:rPr>
            </w:pPr>
          </w:p>
        </w:tc>
        <w:tc>
          <w:tcPr>
            <w:tcW w:w="3454" w:type="dxa"/>
            <w:noWrap w:val="0"/>
            <w:vAlign w:val="center"/>
          </w:tcPr>
          <w:p>
            <w:pPr>
              <w:adjustRightInd w:val="0"/>
              <w:snapToGrid w:val="0"/>
              <w:jc w:val="center"/>
              <w:rPr>
                <w:i w:val="0"/>
                <w:iCs w:val="0"/>
                <w:snapToGrid w:val="0"/>
                <w:color w:val="000000"/>
                <w:kern w:val="0"/>
                <w:sz w:val="21"/>
                <w:szCs w:val="21"/>
              </w:rPr>
            </w:pPr>
            <w:r>
              <w:rPr>
                <w:i w:val="0"/>
                <w:iCs w:val="0"/>
                <w:snapToGrid w:val="0"/>
                <w:color w:val="000000"/>
                <w:kern w:val="0"/>
                <w:sz w:val="21"/>
                <w:szCs w:val="21"/>
              </w:rPr>
              <w:t>储存</w:t>
            </w:r>
          </w:p>
        </w:tc>
        <w:tc>
          <w:tcPr>
            <w:tcW w:w="3454" w:type="dxa"/>
            <w:noWrap w:val="0"/>
            <w:vAlign w:val="center"/>
          </w:tcPr>
          <w:p>
            <w:pPr>
              <w:adjustRightInd w:val="0"/>
              <w:snapToGrid w:val="0"/>
              <w:jc w:val="center"/>
              <w:rPr>
                <w:i w:val="0"/>
                <w:iCs w:val="0"/>
                <w:snapToGrid w:val="0"/>
                <w:color w:val="000000"/>
                <w:kern w:val="0"/>
                <w:sz w:val="21"/>
                <w:szCs w:val="21"/>
              </w:rPr>
            </w:pPr>
            <w:r>
              <w:rPr>
                <w:i w:val="0"/>
                <w:iCs w:val="0"/>
                <w:snapToGrid w:val="0"/>
                <w:color w:val="000000"/>
                <w:kern w:val="0"/>
                <w:sz w:val="21"/>
                <w:szCs w:val="21"/>
              </w:rPr>
              <w:t>23.1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continue"/>
            <w:noWrap w:val="0"/>
            <w:vAlign w:val="center"/>
          </w:tcPr>
          <w:p>
            <w:pPr>
              <w:adjustRightInd w:val="0"/>
              <w:snapToGrid w:val="0"/>
              <w:jc w:val="center"/>
              <w:rPr>
                <w:i w:val="0"/>
                <w:iCs w:val="0"/>
                <w:snapToGrid w:val="0"/>
                <w:color w:val="000000"/>
                <w:kern w:val="0"/>
                <w:sz w:val="21"/>
                <w:szCs w:val="21"/>
              </w:rPr>
            </w:pPr>
          </w:p>
        </w:tc>
        <w:tc>
          <w:tcPr>
            <w:tcW w:w="3454" w:type="dxa"/>
            <w:noWrap w:val="0"/>
            <w:vAlign w:val="center"/>
          </w:tcPr>
          <w:p>
            <w:pPr>
              <w:adjustRightInd w:val="0"/>
              <w:snapToGrid w:val="0"/>
              <w:jc w:val="center"/>
              <w:rPr>
                <w:i w:val="0"/>
                <w:iCs w:val="0"/>
                <w:snapToGrid w:val="0"/>
                <w:color w:val="000000"/>
                <w:kern w:val="0"/>
                <w:sz w:val="21"/>
                <w:szCs w:val="21"/>
              </w:rPr>
            </w:pPr>
            <w:r>
              <w:rPr>
                <w:i w:val="0"/>
                <w:iCs w:val="0"/>
                <w:snapToGrid w:val="0"/>
                <w:color w:val="000000"/>
                <w:kern w:val="0"/>
                <w:sz w:val="21"/>
                <w:szCs w:val="21"/>
              </w:rPr>
              <w:t>搬运</w:t>
            </w:r>
          </w:p>
        </w:tc>
        <w:tc>
          <w:tcPr>
            <w:tcW w:w="3454" w:type="dxa"/>
            <w:noWrap w:val="0"/>
            <w:vAlign w:val="center"/>
          </w:tcPr>
          <w:p>
            <w:pPr>
              <w:adjustRightInd w:val="0"/>
              <w:snapToGrid w:val="0"/>
              <w:jc w:val="center"/>
              <w:rPr>
                <w:i w:val="0"/>
                <w:iCs w:val="0"/>
                <w:snapToGrid w:val="0"/>
                <w:color w:val="000000"/>
                <w:kern w:val="0"/>
                <w:sz w:val="21"/>
                <w:szCs w:val="21"/>
              </w:rPr>
            </w:pPr>
            <w:r>
              <w:rPr>
                <w:i w:val="0"/>
                <w:iCs w:val="0"/>
                <w:snapToGrid w:val="0"/>
                <w:color w:val="000000"/>
                <w:kern w:val="0"/>
                <w:sz w:val="21"/>
                <w:szCs w:val="21"/>
              </w:rPr>
              <w:t>9.6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restart"/>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事故来源</w:t>
            </w:r>
          </w:p>
        </w:tc>
        <w:tc>
          <w:tcPr>
            <w:tcW w:w="3454" w:type="dxa"/>
            <w:noWrap w:val="0"/>
            <w:vAlign w:val="center"/>
          </w:tcPr>
          <w:p>
            <w:pPr>
              <w:adjustRightInd w:val="0"/>
              <w:snapToGrid w:val="0"/>
              <w:jc w:val="center"/>
              <w:rPr>
                <w:i w:val="0"/>
                <w:iCs w:val="0"/>
                <w:snapToGrid w:val="0"/>
                <w:color w:val="000000"/>
                <w:kern w:val="0"/>
                <w:sz w:val="21"/>
                <w:szCs w:val="21"/>
              </w:rPr>
            </w:pPr>
            <w:r>
              <w:rPr>
                <w:i w:val="0"/>
                <w:iCs w:val="0"/>
                <w:snapToGrid w:val="0"/>
                <w:color w:val="000000"/>
                <w:kern w:val="0"/>
                <w:sz w:val="21"/>
                <w:szCs w:val="21"/>
              </w:rPr>
              <w:t>机械故障</w:t>
            </w:r>
          </w:p>
        </w:tc>
        <w:tc>
          <w:tcPr>
            <w:tcW w:w="3454" w:type="dxa"/>
            <w:noWrap w:val="0"/>
            <w:vAlign w:val="center"/>
          </w:tcPr>
          <w:p>
            <w:pPr>
              <w:adjustRightInd w:val="0"/>
              <w:snapToGrid w:val="0"/>
              <w:jc w:val="center"/>
              <w:rPr>
                <w:i w:val="0"/>
                <w:iCs w:val="0"/>
                <w:snapToGrid w:val="0"/>
                <w:color w:val="000000"/>
                <w:kern w:val="0"/>
                <w:sz w:val="21"/>
                <w:szCs w:val="21"/>
              </w:rPr>
            </w:pPr>
            <w:r>
              <w:rPr>
                <w:i w:val="0"/>
                <w:iCs w:val="0"/>
                <w:snapToGrid w:val="0"/>
                <w:color w:val="000000"/>
                <w:kern w:val="0"/>
                <w:sz w:val="21"/>
                <w:szCs w:val="21"/>
              </w:rPr>
              <w:t>34.2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continue"/>
            <w:noWrap w:val="0"/>
            <w:vAlign w:val="center"/>
          </w:tcPr>
          <w:p>
            <w:pPr>
              <w:adjustRightInd w:val="0"/>
              <w:snapToGrid w:val="0"/>
              <w:jc w:val="center"/>
              <w:rPr>
                <w:i w:val="0"/>
                <w:iCs w:val="0"/>
                <w:snapToGrid w:val="0"/>
                <w:color w:val="000000"/>
                <w:kern w:val="0"/>
                <w:sz w:val="21"/>
                <w:szCs w:val="21"/>
              </w:rPr>
            </w:pPr>
          </w:p>
        </w:tc>
        <w:tc>
          <w:tcPr>
            <w:tcW w:w="3454" w:type="dxa"/>
            <w:noWrap w:val="0"/>
            <w:vAlign w:val="center"/>
          </w:tcPr>
          <w:p>
            <w:pPr>
              <w:adjustRightInd w:val="0"/>
              <w:snapToGrid w:val="0"/>
              <w:jc w:val="center"/>
              <w:rPr>
                <w:i w:val="0"/>
                <w:iCs w:val="0"/>
                <w:snapToGrid w:val="0"/>
                <w:color w:val="000000"/>
                <w:kern w:val="0"/>
                <w:sz w:val="21"/>
                <w:szCs w:val="21"/>
              </w:rPr>
            </w:pPr>
            <w:r>
              <w:rPr>
                <w:i w:val="0"/>
                <w:iCs w:val="0"/>
                <w:snapToGrid w:val="0"/>
                <w:color w:val="000000"/>
                <w:kern w:val="0"/>
                <w:sz w:val="21"/>
                <w:szCs w:val="21"/>
              </w:rPr>
              <w:t>碰撞事故</w:t>
            </w:r>
          </w:p>
        </w:tc>
        <w:tc>
          <w:tcPr>
            <w:tcW w:w="3454" w:type="dxa"/>
            <w:noWrap w:val="0"/>
            <w:vAlign w:val="center"/>
          </w:tcPr>
          <w:p>
            <w:pPr>
              <w:adjustRightInd w:val="0"/>
              <w:snapToGrid w:val="0"/>
              <w:jc w:val="center"/>
              <w:rPr>
                <w:i w:val="0"/>
                <w:iCs w:val="0"/>
                <w:snapToGrid w:val="0"/>
                <w:color w:val="000000"/>
                <w:kern w:val="0"/>
                <w:sz w:val="21"/>
                <w:szCs w:val="21"/>
              </w:rPr>
            </w:pPr>
            <w:r>
              <w:rPr>
                <w:i w:val="0"/>
                <w:iCs w:val="0"/>
                <w:snapToGrid w:val="0"/>
                <w:color w:val="000000"/>
                <w:kern w:val="0"/>
                <w:sz w:val="21"/>
                <w:szCs w:val="21"/>
              </w:rPr>
              <w:t>26.8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continue"/>
            <w:noWrap w:val="0"/>
            <w:vAlign w:val="center"/>
          </w:tcPr>
          <w:p>
            <w:pPr>
              <w:adjustRightInd w:val="0"/>
              <w:snapToGrid w:val="0"/>
              <w:jc w:val="center"/>
              <w:rPr>
                <w:i w:val="0"/>
                <w:iCs w:val="0"/>
                <w:snapToGrid w:val="0"/>
                <w:color w:val="000000"/>
                <w:kern w:val="0"/>
                <w:sz w:val="21"/>
                <w:szCs w:val="21"/>
              </w:rPr>
            </w:pPr>
          </w:p>
        </w:tc>
        <w:tc>
          <w:tcPr>
            <w:tcW w:w="3454" w:type="dxa"/>
            <w:noWrap w:val="0"/>
            <w:vAlign w:val="center"/>
          </w:tcPr>
          <w:p>
            <w:pPr>
              <w:adjustRightInd w:val="0"/>
              <w:snapToGrid w:val="0"/>
              <w:jc w:val="center"/>
              <w:rPr>
                <w:i w:val="0"/>
                <w:iCs w:val="0"/>
                <w:snapToGrid w:val="0"/>
                <w:color w:val="000000"/>
                <w:kern w:val="0"/>
                <w:sz w:val="21"/>
                <w:szCs w:val="21"/>
              </w:rPr>
            </w:pPr>
            <w:r>
              <w:rPr>
                <w:i w:val="0"/>
                <w:iCs w:val="0"/>
                <w:snapToGrid w:val="0"/>
                <w:color w:val="000000"/>
                <w:kern w:val="0"/>
                <w:sz w:val="21"/>
                <w:szCs w:val="21"/>
              </w:rPr>
              <w:t>人为因素</w:t>
            </w:r>
          </w:p>
        </w:tc>
        <w:tc>
          <w:tcPr>
            <w:tcW w:w="3454" w:type="dxa"/>
            <w:noWrap w:val="0"/>
            <w:vAlign w:val="center"/>
          </w:tcPr>
          <w:p>
            <w:pPr>
              <w:adjustRightInd w:val="0"/>
              <w:snapToGrid w:val="0"/>
              <w:jc w:val="center"/>
              <w:rPr>
                <w:i w:val="0"/>
                <w:iCs w:val="0"/>
                <w:snapToGrid w:val="0"/>
                <w:color w:val="000000"/>
                <w:kern w:val="0"/>
                <w:sz w:val="21"/>
                <w:szCs w:val="21"/>
              </w:rPr>
            </w:pPr>
            <w:r>
              <w:rPr>
                <w:i w:val="0"/>
                <w:iCs w:val="0"/>
                <w:snapToGrid w:val="0"/>
                <w:color w:val="000000"/>
                <w:kern w:val="0"/>
                <w:sz w:val="21"/>
                <w:szCs w:val="21"/>
              </w:rPr>
              <w:t>22.8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continue"/>
            <w:noWrap w:val="0"/>
            <w:vAlign w:val="center"/>
          </w:tcPr>
          <w:p>
            <w:pPr>
              <w:adjustRightInd w:val="0"/>
              <w:snapToGrid w:val="0"/>
              <w:jc w:val="center"/>
              <w:rPr>
                <w:i w:val="0"/>
                <w:iCs w:val="0"/>
                <w:snapToGrid w:val="0"/>
                <w:color w:val="000000"/>
                <w:kern w:val="0"/>
                <w:sz w:val="21"/>
                <w:szCs w:val="21"/>
              </w:rPr>
            </w:pPr>
          </w:p>
        </w:tc>
        <w:tc>
          <w:tcPr>
            <w:tcW w:w="3454" w:type="dxa"/>
            <w:noWrap w:val="0"/>
            <w:vAlign w:val="center"/>
          </w:tcPr>
          <w:p>
            <w:pPr>
              <w:adjustRightInd w:val="0"/>
              <w:snapToGrid w:val="0"/>
              <w:jc w:val="center"/>
              <w:rPr>
                <w:i w:val="0"/>
                <w:iCs w:val="0"/>
                <w:snapToGrid w:val="0"/>
                <w:color w:val="000000"/>
                <w:kern w:val="0"/>
                <w:sz w:val="21"/>
                <w:szCs w:val="21"/>
              </w:rPr>
            </w:pPr>
            <w:r>
              <w:rPr>
                <w:i w:val="0"/>
                <w:iCs w:val="0"/>
                <w:snapToGrid w:val="0"/>
                <w:color w:val="000000"/>
                <w:kern w:val="0"/>
                <w:sz w:val="21"/>
                <w:szCs w:val="21"/>
              </w:rPr>
              <w:t>外部因素</w:t>
            </w:r>
          </w:p>
        </w:tc>
        <w:tc>
          <w:tcPr>
            <w:tcW w:w="3454" w:type="dxa"/>
            <w:noWrap w:val="0"/>
            <w:vAlign w:val="center"/>
          </w:tcPr>
          <w:p>
            <w:pPr>
              <w:adjustRightInd w:val="0"/>
              <w:snapToGrid w:val="0"/>
              <w:jc w:val="center"/>
              <w:rPr>
                <w:i w:val="0"/>
                <w:iCs w:val="0"/>
                <w:snapToGrid w:val="0"/>
                <w:color w:val="000000"/>
                <w:kern w:val="0"/>
                <w:sz w:val="21"/>
                <w:szCs w:val="21"/>
              </w:rPr>
            </w:pPr>
            <w:r>
              <w:rPr>
                <w:i w:val="0"/>
                <w:iCs w:val="0"/>
                <w:snapToGrid w:val="0"/>
                <w:color w:val="000000"/>
                <w:kern w:val="0"/>
                <w:sz w:val="21"/>
                <w:szCs w:val="21"/>
              </w:rPr>
              <w:t>15.2</w:t>
            </w:r>
          </w:p>
        </w:tc>
      </w:tr>
    </w:tbl>
    <w:p>
      <w:pPr>
        <w:widowControl/>
        <w:jc w:val="center"/>
        <w:rPr>
          <w:rFonts w:hint="eastAsia"/>
          <w:b/>
          <w:bCs/>
          <w:i w:val="0"/>
          <w:iCs w:val="0"/>
          <w:color w:val="000000"/>
          <w:szCs w:val="20"/>
          <w:lang w:val="zh-CN"/>
        </w:rPr>
      </w:pPr>
      <w:r>
        <w:rPr>
          <w:rFonts w:hint="eastAsia"/>
          <w:b/>
          <w:bCs/>
          <w:i w:val="0"/>
          <w:iCs w:val="0"/>
          <w:color w:val="000000"/>
          <w:szCs w:val="20"/>
          <w:lang w:val="zh-CN"/>
        </w:rPr>
        <w:t>表</w:t>
      </w:r>
      <w:r>
        <w:rPr>
          <w:rFonts w:hint="eastAsia"/>
          <w:b/>
          <w:bCs/>
          <w:i w:val="0"/>
          <w:iCs w:val="0"/>
          <w:color w:val="000000"/>
          <w:szCs w:val="20"/>
        </w:rPr>
        <w:t>7-19</w:t>
      </w:r>
      <w:r>
        <w:rPr>
          <w:rFonts w:hint="eastAsia"/>
          <w:b/>
          <w:bCs/>
          <w:i w:val="0"/>
          <w:iCs w:val="0"/>
          <w:color w:val="000000"/>
          <w:szCs w:val="20"/>
          <w:lang w:val="zh-CN"/>
        </w:rPr>
        <w:t xml:space="preserve"> </w:t>
      </w:r>
      <w:r>
        <w:rPr>
          <w:rFonts w:hint="eastAsia"/>
          <w:b/>
          <w:bCs/>
          <w:i w:val="0"/>
          <w:iCs w:val="0"/>
          <w:color w:val="000000"/>
          <w:szCs w:val="20"/>
        </w:rPr>
        <w:t xml:space="preserve"> </w:t>
      </w:r>
      <w:r>
        <w:rPr>
          <w:rFonts w:hint="eastAsia"/>
          <w:b/>
          <w:bCs/>
          <w:i w:val="0"/>
          <w:iCs w:val="0"/>
          <w:color w:val="000000"/>
          <w:szCs w:val="20"/>
          <w:lang w:val="zh-CN"/>
        </w:rPr>
        <w:t xml:space="preserve"> 100起特大事故按装置统计比例表</w:t>
      </w:r>
    </w:p>
    <w:tbl>
      <w:tblPr>
        <w:tblStyle w:val="58"/>
        <w:tblW w:w="9071"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128"/>
        <w:gridCol w:w="3543"/>
        <w:gridCol w:w="340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54" w:hRule="atLeast"/>
          <w:tblHeader/>
          <w:jc w:val="center"/>
        </w:trPr>
        <w:tc>
          <w:tcPr>
            <w:tcW w:w="2128" w:type="dxa"/>
            <w:noWrap w:val="0"/>
            <w:vAlign w:val="center"/>
          </w:tcPr>
          <w:p>
            <w:pPr>
              <w:adjustRightInd w:val="0"/>
              <w:snapToGrid w:val="0"/>
              <w:spacing w:line="0" w:lineRule="atLeast"/>
              <w:jc w:val="center"/>
              <w:rPr>
                <w:b/>
                <w:bCs/>
                <w:i w:val="0"/>
                <w:iCs w:val="0"/>
                <w:snapToGrid w:val="0"/>
                <w:color w:val="000000"/>
                <w:kern w:val="0"/>
                <w:szCs w:val="20"/>
              </w:rPr>
            </w:pPr>
            <w:r>
              <w:rPr>
                <w:rFonts w:hint="eastAsia"/>
                <w:b/>
                <w:bCs/>
                <w:i w:val="0"/>
                <w:iCs w:val="0"/>
                <w:snapToGrid w:val="0"/>
                <w:color w:val="000000"/>
                <w:kern w:val="0"/>
                <w:szCs w:val="20"/>
              </w:rPr>
              <w:t>序号</w:t>
            </w:r>
          </w:p>
        </w:tc>
        <w:tc>
          <w:tcPr>
            <w:tcW w:w="3543" w:type="dxa"/>
            <w:noWrap w:val="0"/>
            <w:vAlign w:val="center"/>
          </w:tcPr>
          <w:p>
            <w:pPr>
              <w:adjustRightInd w:val="0"/>
              <w:snapToGrid w:val="0"/>
              <w:spacing w:line="0" w:lineRule="atLeast"/>
              <w:jc w:val="center"/>
              <w:rPr>
                <w:b/>
                <w:bCs/>
                <w:i w:val="0"/>
                <w:iCs w:val="0"/>
                <w:snapToGrid w:val="0"/>
                <w:color w:val="000000"/>
                <w:kern w:val="0"/>
                <w:szCs w:val="20"/>
              </w:rPr>
            </w:pPr>
            <w:r>
              <w:rPr>
                <w:rFonts w:hint="eastAsia"/>
                <w:b/>
                <w:bCs/>
                <w:i w:val="0"/>
                <w:iCs w:val="0"/>
                <w:snapToGrid w:val="0"/>
                <w:color w:val="000000"/>
                <w:kern w:val="0"/>
                <w:szCs w:val="20"/>
              </w:rPr>
              <w:t>装置类别</w:t>
            </w:r>
          </w:p>
        </w:tc>
        <w:tc>
          <w:tcPr>
            <w:tcW w:w="3400" w:type="dxa"/>
            <w:noWrap w:val="0"/>
            <w:vAlign w:val="center"/>
          </w:tcPr>
          <w:p>
            <w:pPr>
              <w:adjustRightInd w:val="0"/>
              <w:snapToGrid w:val="0"/>
              <w:spacing w:line="0" w:lineRule="atLeast"/>
              <w:jc w:val="center"/>
              <w:rPr>
                <w:b/>
                <w:bCs/>
                <w:i w:val="0"/>
                <w:iCs w:val="0"/>
                <w:snapToGrid w:val="0"/>
                <w:color w:val="000000"/>
                <w:kern w:val="0"/>
                <w:szCs w:val="20"/>
              </w:rPr>
            </w:pPr>
            <w:r>
              <w:rPr>
                <w:rFonts w:hint="eastAsia"/>
                <w:b/>
                <w:bCs/>
                <w:i w:val="0"/>
                <w:iCs w:val="0"/>
                <w:snapToGrid w:val="0"/>
                <w:color w:val="000000"/>
                <w:kern w:val="0"/>
                <w:szCs w:val="20"/>
              </w:rPr>
              <w:t>事故比率（%）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2128" w:type="dxa"/>
            <w:noWrap w:val="0"/>
            <w:vAlign w:val="center"/>
          </w:tcPr>
          <w:p>
            <w:pPr>
              <w:adjustRightInd w:val="0"/>
              <w:snapToGrid w:val="0"/>
              <w:jc w:val="center"/>
              <w:rPr>
                <w:rFonts w:hint="eastAsia"/>
                <w:i w:val="0"/>
                <w:iCs w:val="0"/>
                <w:snapToGrid w:val="0"/>
                <w:color w:val="000000"/>
                <w:kern w:val="0"/>
                <w:sz w:val="21"/>
                <w:szCs w:val="21"/>
              </w:rPr>
            </w:pPr>
            <w:r>
              <w:rPr>
                <w:rFonts w:hint="eastAsia"/>
                <w:i w:val="0"/>
                <w:iCs w:val="0"/>
                <w:snapToGrid w:val="0"/>
                <w:color w:val="000000"/>
                <w:kern w:val="0"/>
                <w:sz w:val="21"/>
                <w:szCs w:val="21"/>
              </w:rPr>
              <w:t>1</w:t>
            </w:r>
          </w:p>
        </w:tc>
        <w:tc>
          <w:tcPr>
            <w:tcW w:w="3543" w:type="dxa"/>
            <w:noWrap w:val="0"/>
            <w:vAlign w:val="center"/>
          </w:tcPr>
          <w:p>
            <w:pPr>
              <w:adjustRightInd w:val="0"/>
              <w:snapToGrid w:val="0"/>
              <w:jc w:val="center"/>
              <w:rPr>
                <w:rFonts w:hint="eastAsia"/>
                <w:i w:val="0"/>
                <w:iCs w:val="0"/>
                <w:snapToGrid w:val="0"/>
                <w:color w:val="000000"/>
                <w:kern w:val="0"/>
                <w:sz w:val="21"/>
                <w:szCs w:val="21"/>
              </w:rPr>
            </w:pPr>
            <w:r>
              <w:rPr>
                <w:rFonts w:hint="eastAsia"/>
                <w:i w:val="0"/>
                <w:iCs w:val="0"/>
                <w:snapToGrid w:val="0"/>
                <w:color w:val="000000"/>
                <w:kern w:val="0"/>
                <w:sz w:val="21"/>
                <w:szCs w:val="21"/>
              </w:rPr>
              <w:t>罐区</w:t>
            </w:r>
          </w:p>
        </w:tc>
        <w:tc>
          <w:tcPr>
            <w:tcW w:w="3400" w:type="dxa"/>
            <w:noWrap w:val="0"/>
            <w:vAlign w:val="center"/>
          </w:tcPr>
          <w:p>
            <w:pPr>
              <w:adjustRightInd w:val="0"/>
              <w:snapToGrid w:val="0"/>
              <w:jc w:val="center"/>
              <w:rPr>
                <w:rFonts w:hint="eastAsia"/>
                <w:i w:val="0"/>
                <w:iCs w:val="0"/>
                <w:snapToGrid w:val="0"/>
                <w:color w:val="000000"/>
                <w:kern w:val="0"/>
                <w:sz w:val="21"/>
                <w:szCs w:val="21"/>
              </w:rPr>
            </w:pPr>
            <w:r>
              <w:rPr>
                <w:rFonts w:hint="eastAsia"/>
                <w:i w:val="0"/>
                <w:iCs w:val="0"/>
                <w:snapToGrid w:val="0"/>
                <w:color w:val="000000"/>
                <w:kern w:val="0"/>
                <w:sz w:val="21"/>
                <w:szCs w:val="21"/>
              </w:rPr>
              <w:t>16.8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34" w:hRule="atLeast"/>
          <w:jc w:val="center"/>
        </w:trPr>
        <w:tc>
          <w:tcPr>
            <w:tcW w:w="2128" w:type="dxa"/>
            <w:noWrap w:val="0"/>
            <w:vAlign w:val="center"/>
          </w:tcPr>
          <w:p>
            <w:pPr>
              <w:adjustRightInd w:val="0"/>
              <w:snapToGrid w:val="0"/>
              <w:jc w:val="center"/>
              <w:rPr>
                <w:rFonts w:hint="eastAsia"/>
                <w:i w:val="0"/>
                <w:iCs w:val="0"/>
                <w:snapToGrid w:val="0"/>
                <w:color w:val="000000"/>
                <w:kern w:val="0"/>
                <w:sz w:val="21"/>
                <w:szCs w:val="21"/>
              </w:rPr>
            </w:pPr>
            <w:r>
              <w:rPr>
                <w:rFonts w:hint="eastAsia"/>
                <w:i w:val="0"/>
                <w:iCs w:val="0"/>
                <w:snapToGrid w:val="0"/>
                <w:color w:val="000000"/>
                <w:kern w:val="0"/>
                <w:sz w:val="21"/>
                <w:szCs w:val="21"/>
              </w:rPr>
              <w:t>2</w:t>
            </w:r>
          </w:p>
        </w:tc>
        <w:tc>
          <w:tcPr>
            <w:tcW w:w="3543" w:type="dxa"/>
            <w:noWrap w:val="0"/>
            <w:vAlign w:val="center"/>
          </w:tcPr>
          <w:p>
            <w:pPr>
              <w:adjustRightInd w:val="0"/>
              <w:snapToGrid w:val="0"/>
              <w:jc w:val="center"/>
              <w:rPr>
                <w:rFonts w:hint="eastAsia"/>
                <w:i w:val="0"/>
                <w:iCs w:val="0"/>
                <w:snapToGrid w:val="0"/>
                <w:color w:val="000000"/>
                <w:kern w:val="0"/>
                <w:sz w:val="21"/>
                <w:szCs w:val="21"/>
              </w:rPr>
            </w:pPr>
            <w:r>
              <w:rPr>
                <w:rFonts w:hint="eastAsia"/>
                <w:i w:val="0"/>
                <w:iCs w:val="0"/>
                <w:snapToGrid w:val="0"/>
                <w:color w:val="000000"/>
                <w:kern w:val="0"/>
                <w:sz w:val="21"/>
                <w:szCs w:val="21"/>
              </w:rPr>
              <w:t>聚乙烯等塑料</w:t>
            </w:r>
          </w:p>
        </w:tc>
        <w:tc>
          <w:tcPr>
            <w:tcW w:w="3400" w:type="dxa"/>
            <w:noWrap w:val="0"/>
            <w:vAlign w:val="center"/>
          </w:tcPr>
          <w:p>
            <w:pPr>
              <w:adjustRightInd w:val="0"/>
              <w:snapToGrid w:val="0"/>
              <w:jc w:val="center"/>
              <w:rPr>
                <w:rFonts w:hint="eastAsia"/>
                <w:i w:val="0"/>
                <w:iCs w:val="0"/>
                <w:snapToGrid w:val="0"/>
                <w:color w:val="000000"/>
                <w:kern w:val="0"/>
                <w:sz w:val="21"/>
                <w:szCs w:val="21"/>
              </w:rPr>
            </w:pPr>
            <w:r>
              <w:rPr>
                <w:rFonts w:hint="eastAsia"/>
                <w:i w:val="0"/>
                <w:iCs w:val="0"/>
                <w:snapToGrid w:val="0"/>
                <w:color w:val="000000"/>
                <w:kern w:val="0"/>
                <w:sz w:val="21"/>
                <w:szCs w:val="21"/>
              </w:rPr>
              <w:t>9.5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2128" w:type="dxa"/>
            <w:noWrap w:val="0"/>
            <w:vAlign w:val="center"/>
          </w:tcPr>
          <w:p>
            <w:pPr>
              <w:adjustRightInd w:val="0"/>
              <w:snapToGrid w:val="0"/>
              <w:jc w:val="center"/>
              <w:rPr>
                <w:rFonts w:hint="eastAsia"/>
                <w:i w:val="0"/>
                <w:iCs w:val="0"/>
                <w:snapToGrid w:val="0"/>
                <w:color w:val="000000"/>
                <w:kern w:val="0"/>
                <w:sz w:val="21"/>
                <w:szCs w:val="21"/>
              </w:rPr>
            </w:pPr>
            <w:r>
              <w:rPr>
                <w:rFonts w:hint="eastAsia"/>
                <w:i w:val="0"/>
                <w:iCs w:val="0"/>
                <w:snapToGrid w:val="0"/>
                <w:color w:val="000000"/>
                <w:kern w:val="0"/>
                <w:sz w:val="21"/>
                <w:szCs w:val="21"/>
              </w:rPr>
              <w:t>3</w:t>
            </w:r>
          </w:p>
        </w:tc>
        <w:tc>
          <w:tcPr>
            <w:tcW w:w="3543" w:type="dxa"/>
            <w:noWrap w:val="0"/>
            <w:vAlign w:val="center"/>
          </w:tcPr>
          <w:p>
            <w:pPr>
              <w:adjustRightInd w:val="0"/>
              <w:snapToGrid w:val="0"/>
              <w:jc w:val="center"/>
              <w:rPr>
                <w:rFonts w:hint="eastAsia"/>
                <w:i w:val="0"/>
                <w:iCs w:val="0"/>
                <w:snapToGrid w:val="0"/>
                <w:color w:val="000000"/>
                <w:kern w:val="0"/>
                <w:sz w:val="21"/>
                <w:szCs w:val="21"/>
              </w:rPr>
            </w:pPr>
            <w:r>
              <w:rPr>
                <w:rFonts w:hint="eastAsia"/>
                <w:i w:val="0"/>
                <w:iCs w:val="0"/>
                <w:snapToGrid w:val="0"/>
                <w:color w:val="000000"/>
                <w:kern w:val="0"/>
                <w:sz w:val="21"/>
                <w:szCs w:val="21"/>
              </w:rPr>
              <w:t>乙烯加工</w:t>
            </w:r>
          </w:p>
        </w:tc>
        <w:tc>
          <w:tcPr>
            <w:tcW w:w="3400" w:type="dxa"/>
            <w:noWrap w:val="0"/>
            <w:vAlign w:val="center"/>
          </w:tcPr>
          <w:p>
            <w:pPr>
              <w:adjustRightInd w:val="0"/>
              <w:snapToGrid w:val="0"/>
              <w:jc w:val="center"/>
              <w:rPr>
                <w:rFonts w:hint="eastAsia"/>
                <w:i w:val="0"/>
                <w:iCs w:val="0"/>
                <w:snapToGrid w:val="0"/>
                <w:color w:val="000000"/>
                <w:kern w:val="0"/>
                <w:sz w:val="21"/>
                <w:szCs w:val="21"/>
              </w:rPr>
            </w:pPr>
            <w:r>
              <w:rPr>
                <w:rFonts w:hint="eastAsia"/>
                <w:i w:val="0"/>
                <w:iCs w:val="0"/>
                <w:snapToGrid w:val="0"/>
                <w:color w:val="000000"/>
                <w:kern w:val="0"/>
                <w:sz w:val="21"/>
                <w:szCs w:val="21"/>
              </w:rPr>
              <w:t>8.7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2128" w:type="dxa"/>
            <w:noWrap w:val="0"/>
            <w:vAlign w:val="center"/>
          </w:tcPr>
          <w:p>
            <w:pPr>
              <w:adjustRightInd w:val="0"/>
              <w:snapToGrid w:val="0"/>
              <w:jc w:val="center"/>
              <w:rPr>
                <w:rFonts w:hint="eastAsia"/>
                <w:i w:val="0"/>
                <w:iCs w:val="0"/>
                <w:snapToGrid w:val="0"/>
                <w:color w:val="000000"/>
                <w:kern w:val="0"/>
                <w:sz w:val="21"/>
                <w:szCs w:val="21"/>
              </w:rPr>
            </w:pPr>
            <w:r>
              <w:rPr>
                <w:rFonts w:hint="eastAsia"/>
                <w:i w:val="0"/>
                <w:iCs w:val="0"/>
                <w:snapToGrid w:val="0"/>
                <w:color w:val="000000"/>
                <w:kern w:val="0"/>
                <w:sz w:val="21"/>
                <w:szCs w:val="21"/>
              </w:rPr>
              <w:t>4</w:t>
            </w:r>
          </w:p>
        </w:tc>
        <w:tc>
          <w:tcPr>
            <w:tcW w:w="3543" w:type="dxa"/>
            <w:noWrap w:val="0"/>
            <w:vAlign w:val="center"/>
          </w:tcPr>
          <w:p>
            <w:pPr>
              <w:adjustRightInd w:val="0"/>
              <w:snapToGrid w:val="0"/>
              <w:jc w:val="center"/>
              <w:rPr>
                <w:rFonts w:hint="eastAsia"/>
                <w:i w:val="0"/>
                <w:iCs w:val="0"/>
                <w:snapToGrid w:val="0"/>
                <w:color w:val="000000"/>
                <w:kern w:val="0"/>
                <w:sz w:val="21"/>
                <w:szCs w:val="21"/>
              </w:rPr>
            </w:pPr>
            <w:r>
              <w:rPr>
                <w:rFonts w:hint="eastAsia"/>
                <w:i w:val="0"/>
                <w:iCs w:val="0"/>
                <w:snapToGrid w:val="0"/>
                <w:color w:val="000000"/>
                <w:kern w:val="0"/>
                <w:sz w:val="21"/>
                <w:szCs w:val="21"/>
              </w:rPr>
              <w:t>天然气输送</w:t>
            </w:r>
          </w:p>
        </w:tc>
        <w:tc>
          <w:tcPr>
            <w:tcW w:w="3400" w:type="dxa"/>
            <w:noWrap w:val="0"/>
            <w:vAlign w:val="center"/>
          </w:tcPr>
          <w:p>
            <w:pPr>
              <w:adjustRightInd w:val="0"/>
              <w:snapToGrid w:val="0"/>
              <w:jc w:val="center"/>
              <w:rPr>
                <w:rFonts w:hint="eastAsia"/>
                <w:i w:val="0"/>
                <w:iCs w:val="0"/>
                <w:snapToGrid w:val="0"/>
                <w:color w:val="000000"/>
                <w:kern w:val="0"/>
                <w:sz w:val="21"/>
                <w:szCs w:val="21"/>
              </w:rPr>
            </w:pPr>
            <w:r>
              <w:rPr>
                <w:rFonts w:hint="eastAsia"/>
                <w:i w:val="0"/>
                <w:iCs w:val="0"/>
                <w:snapToGrid w:val="0"/>
                <w:color w:val="000000"/>
                <w:kern w:val="0"/>
                <w:sz w:val="21"/>
                <w:szCs w:val="21"/>
              </w:rPr>
              <w:t>8.4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2128" w:type="dxa"/>
            <w:noWrap w:val="0"/>
            <w:vAlign w:val="center"/>
          </w:tcPr>
          <w:p>
            <w:pPr>
              <w:adjustRightInd w:val="0"/>
              <w:snapToGrid w:val="0"/>
              <w:jc w:val="center"/>
              <w:rPr>
                <w:rFonts w:hint="eastAsia"/>
                <w:i w:val="0"/>
                <w:iCs w:val="0"/>
                <w:snapToGrid w:val="0"/>
                <w:color w:val="000000"/>
                <w:kern w:val="0"/>
                <w:sz w:val="21"/>
                <w:szCs w:val="21"/>
              </w:rPr>
            </w:pPr>
            <w:r>
              <w:rPr>
                <w:rFonts w:hint="eastAsia"/>
                <w:i w:val="0"/>
                <w:iCs w:val="0"/>
                <w:snapToGrid w:val="0"/>
                <w:color w:val="000000"/>
                <w:kern w:val="0"/>
                <w:sz w:val="21"/>
                <w:szCs w:val="21"/>
              </w:rPr>
              <w:t>5</w:t>
            </w:r>
          </w:p>
        </w:tc>
        <w:tc>
          <w:tcPr>
            <w:tcW w:w="3543" w:type="dxa"/>
            <w:noWrap w:val="0"/>
            <w:vAlign w:val="center"/>
          </w:tcPr>
          <w:p>
            <w:pPr>
              <w:adjustRightInd w:val="0"/>
              <w:snapToGrid w:val="0"/>
              <w:jc w:val="center"/>
              <w:rPr>
                <w:rFonts w:hint="eastAsia"/>
                <w:i w:val="0"/>
                <w:iCs w:val="0"/>
                <w:snapToGrid w:val="0"/>
                <w:color w:val="000000"/>
                <w:kern w:val="0"/>
                <w:sz w:val="21"/>
                <w:szCs w:val="21"/>
              </w:rPr>
            </w:pPr>
            <w:r>
              <w:rPr>
                <w:rFonts w:hint="eastAsia"/>
                <w:i w:val="0"/>
                <w:iCs w:val="0"/>
                <w:snapToGrid w:val="0"/>
                <w:color w:val="000000"/>
                <w:kern w:val="0"/>
                <w:sz w:val="21"/>
                <w:szCs w:val="21"/>
              </w:rPr>
              <w:t>加氢</w:t>
            </w:r>
          </w:p>
        </w:tc>
        <w:tc>
          <w:tcPr>
            <w:tcW w:w="3400" w:type="dxa"/>
            <w:noWrap w:val="0"/>
            <w:vAlign w:val="center"/>
          </w:tcPr>
          <w:p>
            <w:pPr>
              <w:adjustRightInd w:val="0"/>
              <w:snapToGrid w:val="0"/>
              <w:jc w:val="center"/>
              <w:rPr>
                <w:rFonts w:hint="eastAsia"/>
                <w:i w:val="0"/>
                <w:iCs w:val="0"/>
                <w:snapToGrid w:val="0"/>
                <w:color w:val="000000"/>
                <w:kern w:val="0"/>
                <w:sz w:val="21"/>
                <w:szCs w:val="21"/>
              </w:rPr>
            </w:pPr>
            <w:r>
              <w:rPr>
                <w:rFonts w:hint="eastAsia"/>
                <w:i w:val="0"/>
                <w:iCs w:val="0"/>
                <w:snapToGrid w:val="0"/>
                <w:color w:val="000000"/>
                <w:kern w:val="0"/>
                <w:sz w:val="21"/>
                <w:szCs w:val="21"/>
              </w:rPr>
              <w:t>7.3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19" w:hRule="atLeast"/>
          <w:jc w:val="center"/>
        </w:trPr>
        <w:tc>
          <w:tcPr>
            <w:tcW w:w="2128" w:type="dxa"/>
            <w:noWrap w:val="0"/>
            <w:vAlign w:val="center"/>
          </w:tcPr>
          <w:p>
            <w:pPr>
              <w:adjustRightInd w:val="0"/>
              <w:snapToGrid w:val="0"/>
              <w:jc w:val="center"/>
              <w:rPr>
                <w:rFonts w:hint="eastAsia"/>
                <w:i w:val="0"/>
                <w:iCs w:val="0"/>
                <w:snapToGrid w:val="0"/>
                <w:color w:val="000000"/>
                <w:kern w:val="0"/>
                <w:sz w:val="21"/>
                <w:szCs w:val="21"/>
              </w:rPr>
            </w:pPr>
            <w:r>
              <w:rPr>
                <w:rFonts w:hint="eastAsia"/>
                <w:i w:val="0"/>
                <w:iCs w:val="0"/>
                <w:snapToGrid w:val="0"/>
                <w:color w:val="000000"/>
                <w:kern w:val="0"/>
                <w:sz w:val="21"/>
                <w:szCs w:val="21"/>
              </w:rPr>
              <w:t>6</w:t>
            </w:r>
          </w:p>
        </w:tc>
        <w:tc>
          <w:tcPr>
            <w:tcW w:w="3543" w:type="dxa"/>
            <w:noWrap w:val="0"/>
            <w:vAlign w:val="center"/>
          </w:tcPr>
          <w:p>
            <w:pPr>
              <w:adjustRightInd w:val="0"/>
              <w:snapToGrid w:val="0"/>
              <w:jc w:val="center"/>
              <w:rPr>
                <w:rFonts w:hint="eastAsia"/>
                <w:i w:val="0"/>
                <w:iCs w:val="0"/>
                <w:snapToGrid w:val="0"/>
                <w:color w:val="000000"/>
                <w:kern w:val="0"/>
                <w:sz w:val="21"/>
                <w:szCs w:val="21"/>
              </w:rPr>
            </w:pPr>
            <w:r>
              <w:rPr>
                <w:rFonts w:hint="eastAsia"/>
                <w:i w:val="0"/>
                <w:iCs w:val="0"/>
                <w:snapToGrid w:val="0"/>
                <w:color w:val="000000"/>
                <w:kern w:val="0"/>
                <w:sz w:val="21"/>
                <w:szCs w:val="21"/>
              </w:rPr>
              <w:t>催化气分</w:t>
            </w:r>
          </w:p>
        </w:tc>
        <w:tc>
          <w:tcPr>
            <w:tcW w:w="3400" w:type="dxa"/>
            <w:noWrap w:val="0"/>
            <w:vAlign w:val="center"/>
          </w:tcPr>
          <w:p>
            <w:pPr>
              <w:adjustRightInd w:val="0"/>
              <w:snapToGrid w:val="0"/>
              <w:jc w:val="center"/>
              <w:rPr>
                <w:rFonts w:hint="eastAsia"/>
                <w:i w:val="0"/>
                <w:iCs w:val="0"/>
                <w:snapToGrid w:val="0"/>
                <w:color w:val="000000"/>
                <w:kern w:val="0"/>
                <w:sz w:val="21"/>
                <w:szCs w:val="21"/>
              </w:rPr>
            </w:pPr>
            <w:r>
              <w:rPr>
                <w:rFonts w:hint="eastAsia"/>
                <w:i w:val="0"/>
                <w:iCs w:val="0"/>
                <w:snapToGrid w:val="0"/>
                <w:color w:val="000000"/>
                <w:kern w:val="0"/>
                <w:sz w:val="21"/>
                <w:szCs w:val="21"/>
              </w:rPr>
              <w:t>7.3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2128"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7</w:t>
            </w:r>
          </w:p>
        </w:tc>
        <w:tc>
          <w:tcPr>
            <w:tcW w:w="3543"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乙烯</w:t>
            </w:r>
          </w:p>
        </w:tc>
        <w:tc>
          <w:tcPr>
            <w:tcW w:w="3400"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7.3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2128"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8</w:t>
            </w:r>
          </w:p>
        </w:tc>
        <w:tc>
          <w:tcPr>
            <w:tcW w:w="3543"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烷基化</w:t>
            </w:r>
          </w:p>
        </w:tc>
        <w:tc>
          <w:tcPr>
            <w:tcW w:w="3400"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6.3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2128"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9</w:t>
            </w:r>
          </w:p>
        </w:tc>
        <w:tc>
          <w:tcPr>
            <w:tcW w:w="3543"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油船</w:t>
            </w:r>
          </w:p>
        </w:tc>
        <w:tc>
          <w:tcPr>
            <w:tcW w:w="3400"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6.3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54" w:hRule="atLeast"/>
          <w:jc w:val="center"/>
        </w:trPr>
        <w:tc>
          <w:tcPr>
            <w:tcW w:w="2128"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10</w:t>
            </w:r>
          </w:p>
        </w:tc>
        <w:tc>
          <w:tcPr>
            <w:tcW w:w="3543"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焦化</w:t>
            </w:r>
          </w:p>
        </w:tc>
        <w:tc>
          <w:tcPr>
            <w:tcW w:w="3400"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4.2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2128"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11</w:t>
            </w:r>
          </w:p>
        </w:tc>
        <w:tc>
          <w:tcPr>
            <w:tcW w:w="3543"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蒸馏</w:t>
            </w:r>
          </w:p>
        </w:tc>
        <w:tc>
          <w:tcPr>
            <w:tcW w:w="3400"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3.16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2128"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12</w:t>
            </w:r>
          </w:p>
        </w:tc>
        <w:tc>
          <w:tcPr>
            <w:tcW w:w="3543"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溶剂脱沥青</w:t>
            </w:r>
          </w:p>
        </w:tc>
        <w:tc>
          <w:tcPr>
            <w:tcW w:w="3400"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3.16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2128"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13</w:t>
            </w:r>
          </w:p>
        </w:tc>
        <w:tc>
          <w:tcPr>
            <w:tcW w:w="3543"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合成氨</w:t>
            </w:r>
          </w:p>
        </w:tc>
        <w:tc>
          <w:tcPr>
            <w:tcW w:w="3400"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1.1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2128"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14</w:t>
            </w:r>
          </w:p>
        </w:tc>
        <w:tc>
          <w:tcPr>
            <w:tcW w:w="3543"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电厂</w:t>
            </w:r>
          </w:p>
        </w:tc>
        <w:tc>
          <w:tcPr>
            <w:tcW w:w="3400"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1.1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09" w:hRule="atLeast"/>
          <w:jc w:val="center"/>
        </w:trPr>
        <w:tc>
          <w:tcPr>
            <w:tcW w:w="2128"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15</w:t>
            </w:r>
          </w:p>
        </w:tc>
        <w:tc>
          <w:tcPr>
            <w:tcW w:w="3543"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橡胶</w:t>
            </w:r>
          </w:p>
        </w:tc>
        <w:tc>
          <w:tcPr>
            <w:tcW w:w="3400" w:type="dxa"/>
            <w:noWrap w:val="0"/>
            <w:vAlign w:val="center"/>
          </w:tcPr>
          <w:p>
            <w:pPr>
              <w:adjustRightInd w:val="0"/>
              <w:snapToGrid w:val="0"/>
              <w:jc w:val="center"/>
              <w:rPr>
                <w:i w:val="0"/>
                <w:iCs w:val="0"/>
                <w:snapToGrid w:val="0"/>
                <w:color w:val="000000"/>
                <w:kern w:val="0"/>
                <w:sz w:val="21"/>
                <w:szCs w:val="21"/>
              </w:rPr>
            </w:pPr>
            <w:r>
              <w:rPr>
                <w:rFonts w:hint="eastAsia"/>
                <w:i w:val="0"/>
                <w:iCs w:val="0"/>
                <w:snapToGrid w:val="0"/>
                <w:color w:val="000000"/>
                <w:kern w:val="0"/>
                <w:sz w:val="21"/>
                <w:szCs w:val="21"/>
              </w:rPr>
              <w:t>1.1</w:t>
            </w:r>
          </w:p>
        </w:tc>
      </w:tr>
    </w:tbl>
    <w:p>
      <w:pPr>
        <w:widowControl/>
        <w:jc w:val="center"/>
        <w:rPr>
          <w:rFonts w:hint="eastAsia"/>
          <w:b/>
          <w:bCs/>
          <w:i w:val="0"/>
          <w:iCs w:val="0"/>
          <w:color w:val="000000"/>
          <w:szCs w:val="20"/>
          <w:lang w:val="zh-CN"/>
        </w:rPr>
      </w:pPr>
      <w:r>
        <w:rPr>
          <w:rFonts w:hint="eastAsia"/>
          <w:b/>
          <w:bCs/>
          <w:i w:val="0"/>
          <w:iCs w:val="0"/>
          <w:color w:val="000000"/>
          <w:szCs w:val="20"/>
          <w:lang w:val="zh-CN"/>
        </w:rPr>
        <w:t>表</w:t>
      </w:r>
      <w:r>
        <w:rPr>
          <w:rFonts w:hint="eastAsia"/>
          <w:b/>
          <w:bCs/>
          <w:i w:val="0"/>
          <w:iCs w:val="0"/>
          <w:color w:val="000000"/>
          <w:szCs w:val="20"/>
        </w:rPr>
        <w:t xml:space="preserve">7-20 </w:t>
      </w:r>
      <w:r>
        <w:rPr>
          <w:rFonts w:hint="eastAsia"/>
          <w:b/>
          <w:bCs/>
          <w:i w:val="0"/>
          <w:iCs w:val="0"/>
          <w:color w:val="000000"/>
          <w:szCs w:val="20"/>
          <w:lang w:val="zh-CN"/>
        </w:rPr>
        <w:t xml:space="preserve">  国内化工行业（1990-1995）各类事故类型及直接经济损失</w:t>
      </w:r>
    </w:p>
    <w:tbl>
      <w:tblPr>
        <w:tblStyle w:val="58"/>
        <w:tblW w:w="9071"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163"/>
        <w:gridCol w:w="3454"/>
        <w:gridCol w:w="345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tblHeader/>
          <w:jc w:val="center"/>
        </w:trPr>
        <w:tc>
          <w:tcPr>
            <w:tcW w:w="2163" w:type="dxa"/>
            <w:noWrap w:val="0"/>
            <w:vAlign w:val="center"/>
          </w:tcPr>
          <w:p>
            <w:pPr>
              <w:adjustRightInd w:val="0"/>
              <w:snapToGrid w:val="0"/>
              <w:spacing w:line="0" w:lineRule="atLeast"/>
              <w:jc w:val="center"/>
              <w:rPr>
                <w:b/>
                <w:bCs/>
                <w:i w:val="0"/>
                <w:iCs w:val="0"/>
                <w:snapToGrid w:val="0"/>
                <w:color w:val="000000"/>
                <w:kern w:val="0"/>
                <w:sz w:val="21"/>
                <w:szCs w:val="21"/>
              </w:rPr>
            </w:pPr>
            <w:r>
              <w:rPr>
                <w:rFonts w:hint="eastAsia"/>
                <w:b/>
                <w:bCs/>
                <w:i w:val="0"/>
                <w:iCs w:val="0"/>
                <w:snapToGrid w:val="0"/>
                <w:color w:val="000000"/>
                <w:kern w:val="0"/>
                <w:sz w:val="21"/>
                <w:szCs w:val="21"/>
              </w:rPr>
              <w:t>类别</w:t>
            </w:r>
          </w:p>
        </w:tc>
        <w:tc>
          <w:tcPr>
            <w:tcW w:w="3454" w:type="dxa"/>
            <w:noWrap w:val="0"/>
            <w:vAlign w:val="center"/>
          </w:tcPr>
          <w:p>
            <w:pPr>
              <w:adjustRightInd w:val="0"/>
              <w:snapToGrid w:val="0"/>
              <w:spacing w:line="0" w:lineRule="atLeast"/>
              <w:jc w:val="center"/>
              <w:rPr>
                <w:b/>
                <w:bCs/>
                <w:i w:val="0"/>
                <w:iCs w:val="0"/>
                <w:snapToGrid w:val="0"/>
                <w:color w:val="000000"/>
                <w:kern w:val="0"/>
                <w:sz w:val="21"/>
                <w:szCs w:val="21"/>
              </w:rPr>
            </w:pPr>
            <w:r>
              <w:rPr>
                <w:rFonts w:hint="eastAsia"/>
                <w:b/>
                <w:bCs/>
                <w:i w:val="0"/>
                <w:iCs w:val="0"/>
                <w:snapToGrid w:val="0"/>
                <w:color w:val="000000"/>
                <w:kern w:val="0"/>
                <w:sz w:val="21"/>
                <w:szCs w:val="21"/>
              </w:rPr>
              <w:t>名称</w:t>
            </w:r>
          </w:p>
        </w:tc>
        <w:tc>
          <w:tcPr>
            <w:tcW w:w="3454" w:type="dxa"/>
            <w:noWrap w:val="0"/>
            <w:vAlign w:val="center"/>
          </w:tcPr>
          <w:p>
            <w:pPr>
              <w:adjustRightInd w:val="0"/>
              <w:snapToGrid w:val="0"/>
              <w:spacing w:line="0" w:lineRule="atLeast"/>
              <w:jc w:val="center"/>
              <w:rPr>
                <w:b/>
                <w:bCs/>
                <w:i w:val="0"/>
                <w:iCs w:val="0"/>
                <w:snapToGrid w:val="0"/>
                <w:color w:val="000000"/>
                <w:kern w:val="0"/>
                <w:sz w:val="21"/>
                <w:szCs w:val="21"/>
              </w:rPr>
            </w:pPr>
            <w:r>
              <w:rPr>
                <w:rFonts w:hint="eastAsia"/>
                <w:b/>
                <w:bCs/>
                <w:i w:val="0"/>
                <w:iCs w:val="0"/>
                <w:snapToGrid w:val="0"/>
                <w:color w:val="000000"/>
                <w:kern w:val="0"/>
                <w:sz w:val="21"/>
                <w:szCs w:val="21"/>
              </w:rPr>
              <w:t>百分数（</w:t>
            </w:r>
            <w:r>
              <w:rPr>
                <w:b/>
                <w:bCs/>
                <w:i w:val="0"/>
                <w:iCs w:val="0"/>
                <w:snapToGrid w:val="0"/>
                <w:color w:val="000000"/>
                <w:kern w:val="0"/>
                <w:sz w:val="21"/>
                <w:szCs w:val="21"/>
              </w:rPr>
              <w:t>%</w:t>
            </w:r>
            <w:r>
              <w:rPr>
                <w:rFonts w:hint="eastAsia"/>
                <w:b/>
                <w:bCs/>
                <w:i w:val="0"/>
                <w:iCs w:val="0"/>
                <w:snapToGrid w:val="0"/>
                <w:color w:val="000000"/>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restart"/>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化学品类别</w:t>
            </w: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液化石油气</w:t>
            </w: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i w:val="0"/>
                <w:iCs w:val="0"/>
                <w:snapToGrid w:val="0"/>
                <w:color w:val="000000"/>
                <w:kern w:val="0"/>
                <w:sz w:val="21"/>
                <w:szCs w:val="21"/>
              </w:rPr>
              <w:t>2.53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continue"/>
            <w:noWrap w:val="0"/>
            <w:vAlign w:val="center"/>
          </w:tcPr>
          <w:p>
            <w:pPr>
              <w:adjustRightInd w:val="0"/>
              <w:snapToGrid w:val="0"/>
              <w:spacing w:line="0" w:lineRule="atLeast"/>
              <w:jc w:val="center"/>
              <w:rPr>
                <w:i w:val="0"/>
                <w:iCs w:val="0"/>
                <w:snapToGrid w:val="0"/>
                <w:color w:val="000000"/>
                <w:kern w:val="0"/>
                <w:sz w:val="21"/>
                <w:szCs w:val="21"/>
              </w:rPr>
            </w:pP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汽油</w:t>
            </w: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i w:val="0"/>
                <w:iCs w:val="0"/>
                <w:snapToGrid w:val="0"/>
                <w:color w:val="000000"/>
                <w:kern w:val="0"/>
                <w:sz w:val="21"/>
                <w:szCs w:val="21"/>
              </w:rPr>
              <w:t>18.0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restart"/>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化学品类别</w:t>
            </w: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氨</w:t>
            </w: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i w:val="0"/>
                <w:iCs w:val="0"/>
                <w:snapToGrid w:val="0"/>
                <w:color w:val="000000"/>
                <w:kern w:val="0"/>
                <w:sz w:val="21"/>
                <w:szCs w:val="21"/>
              </w:rPr>
              <w:t>16.1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continue"/>
            <w:noWrap w:val="0"/>
            <w:vAlign w:val="center"/>
          </w:tcPr>
          <w:p>
            <w:pPr>
              <w:adjustRightInd w:val="0"/>
              <w:snapToGrid w:val="0"/>
              <w:spacing w:line="0" w:lineRule="atLeast"/>
              <w:jc w:val="center"/>
              <w:rPr>
                <w:i w:val="0"/>
                <w:iCs w:val="0"/>
                <w:snapToGrid w:val="0"/>
                <w:color w:val="000000"/>
                <w:kern w:val="0"/>
                <w:sz w:val="21"/>
                <w:szCs w:val="21"/>
              </w:rPr>
            </w:pP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煤油</w:t>
            </w: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i w:val="0"/>
                <w:iCs w:val="0"/>
                <w:snapToGrid w:val="0"/>
                <w:color w:val="000000"/>
                <w:kern w:val="0"/>
                <w:sz w:val="21"/>
                <w:szCs w:val="21"/>
              </w:rPr>
              <w:t>14.9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continue"/>
            <w:noWrap w:val="0"/>
            <w:vAlign w:val="center"/>
          </w:tcPr>
          <w:p>
            <w:pPr>
              <w:adjustRightInd w:val="0"/>
              <w:snapToGrid w:val="0"/>
              <w:spacing w:line="0" w:lineRule="atLeast"/>
              <w:jc w:val="center"/>
              <w:rPr>
                <w:i w:val="0"/>
                <w:iCs w:val="0"/>
                <w:snapToGrid w:val="0"/>
                <w:color w:val="000000"/>
                <w:kern w:val="0"/>
                <w:sz w:val="21"/>
                <w:szCs w:val="21"/>
              </w:rPr>
            </w:pP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氯</w:t>
            </w: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i w:val="0"/>
                <w:iCs w:val="0"/>
                <w:snapToGrid w:val="0"/>
                <w:color w:val="000000"/>
                <w:kern w:val="0"/>
                <w:sz w:val="21"/>
                <w:szCs w:val="21"/>
              </w:rPr>
              <w:t>14.4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continue"/>
            <w:noWrap w:val="0"/>
            <w:vAlign w:val="center"/>
          </w:tcPr>
          <w:p>
            <w:pPr>
              <w:adjustRightInd w:val="0"/>
              <w:snapToGrid w:val="0"/>
              <w:spacing w:line="0" w:lineRule="atLeast"/>
              <w:jc w:val="center"/>
              <w:rPr>
                <w:i w:val="0"/>
                <w:iCs w:val="0"/>
                <w:snapToGrid w:val="0"/>
                <w:color w:val="000000"/>
                <w:kern w:val="0"/>
                <w:sz w:val="21"/>
                <w:szCs w:val="21"/>
              </w:rPr>
            </w:pP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原油</w:t>
            </w: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i w:val="0"/>
                <w:iCs w:val="0"/>
                <w:snapToGrid w:val="0"/>
                <w:color w:val="000000"/>
                <w:kern w:val="0"/>
                <w:sz w:val="21"/>
                <w:szCs w:val="21"/>
              </w:rPr>
              <w:t>11.2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restart"/>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化学品的物质形态</w:t>
            </w: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i w:val="0"/>
                <w:iCs w:val="0"/>
                <w:snapToGrid w:val="0"/>
                <w:color w:val="000000"/>
                <w:kern w:val="0"/>
                <w:sz w:val="21"/>
                <w:szCs w:val="21"/>
              </w:rPr>
              <w:t>液体</w:t>
            </w: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i w:val="0"/>
                <w:iCs w:val="0"/>
                <w:snapToGrid w:val="0"/>
                <w:color w:val="000000"/>
                <w:kern w:val="0"/>
                <w:sz w:val="21"/>
                <w:szCs w:val="21"/>
              </w:rPr>
              <w:t>47.8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20" w:hRule="atLeast"/>
          <w:jc w:val="center"/>
        </w:trPr>
        <w:tc>
          <w:tcPr>
            <w:tcW w:w="2163" w:type="dxa"/>
            <w:vMerge w:val="continue"/>
            <w:noWrap w:val="0"/>
            <w:vAlign w:val="center"/>
          </w:tcPr>
          <w:p>
            <w:pPr>
              <w:adjustRightInd w:val="0"/>
              <w:snapToGrid w:val="0"/>
              <w:spacing w:line="0" w:lineRule="atLeast"/>
              <w:jc w:val="center"/>
              <w:rPr>
                <w:i w:val="0"/>
                <w:iCs w:val="0"/>
                <w:snapToGrid w:val="0"/>
                <w:color w:val="000000"/>
                <w:kern w:val="0"/>
                <w:sz w:val="21"/>
                <w:szCs w:val="21"/>
              </w:rPr>
            </w:pP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i w:val="0"/>
                <w:iCs w:val="0"/>
                <w:snapToGrid w:val="0"/>
                <w:color w:val="000000"/>
                <w:kern w:val="0"/>
                <w:sz w:val="21"/>
                <w:szCs w:val="21"/>
              </w:rPr>
              <w:t>液化气</w:t>
            </w: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i w:val="0"/>
                <w:iCs w:val="0"/>
                <w:snapToGrid w:val="0"/>
                <w:color w:val="000000"/>
                <w:kern w:val="0"/>
                <w:sz w:val="21"/>
                <w:szCs w:val="21"/>
              </w:rPr>
              <w:t>27.6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continue"/>
            <w:noWrap w:val="0"/>
            <w:vAlign w:val="center"/>
          </w:tcPr>
          <w:p>
            <w:pPr>
              <w:adjustRightInd w:val="0"/>
              <w:snapToGrid w:val="0"/>
              <w:spacing w:line="0" w:lineRule="atLeast"/>
              <w:jc w:val="center"/>
              <w:rPr>
                <w:i w:val="0"/>
                <w:iCs w:val="0"/>
                <w:snapToGrid w:val="0"/>
                <w:color w:val="000000"/>
                <w:kern w:val="0"/>
                <w:sz w:val="21"/>
                <w:szCs w:val="21"/>
              </w:rPr>
            </w:pP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i w:val="0"/>
                <w:iCs w:val="0"/>
                <w:snapToGrid w:val="0"/>
                <w:color w:val="000000"/>
                <w:kern w:val="0"/>
                <w:sz w:val="21"/>
                <w:szCs w:val="21"/>
              </w:rPr>
              <w:t>气体</w:t>
            </w: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i w:val="0"/>
                <w:iCs w:val="0"/>
                <w:snapToGrid w:val="0"/>
                <w:color w:val="000000"/>
                <w:kern w:val="0"/>
                <w:sz w:val="21"/>
                <w:szCs w:val="21"/>
              </w:rPr>
              <w:t>18.8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continue"/>
            <w:noWrap w:val="0"/>
            <w:vAlign w:val="center"/>
          </w:tcPr>
          <w:p>
            <w:pPr>
              <w:adjustRightInd w:val="0"/>
              <w:snapToGrid w:val="0"/>
              <w:spacing w:line="0" w:lineRule="atLeast"/>
              <w:jc w:val="center"/>
              <w:rPr>
                <w:i w:val="0"/>
                <w:iCs w:val="0"/>
                <w:snapToGrid w:val="0"/>
                <w:color w:val="000000"/>
                <w:kern w:val="0"/>
                <w:sz w:val="21"/>
                <w:szCs w:val="21"/>
              </w:rPr>
            </w:pP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i w:val="0"/>
                <w:iCs w:val="0"/>
                <w:snapToGrid w:val="0"/>
                <w:color w:val="000000"/>
                <w:kern w:val="0"/>
                <w:sz w:val="21"/>
                <w:szCs w:val="21"/>
              </w:rPr>
              <w:t>固体</w:t>
            </w: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i w:val="0"/>
                <w:iCs w:val="0"/>
                <w:snapToGrid w:val="0"/>
                <w:color w:val="000000"/>
                <w:kern w:val="0"/>
                <w:sz w:val="21"/>
                <w:szCs w:val="21"/>
              </w:rPr>
              <w:t>8.2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restart"/>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生产系统</w:t>
            </w: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i w:val="0"/>
                <w:iCs w:val="0"/>
                <w:snapToGrid w:val="0"/>
                <w:color w:val="000000"/>
                <w:kern w:val="0"/>
                <w:sz w:val="21"/>
                <w:szCs w:val="21"/>
              </w:rPr>
              <w:t>运输</w:t>
            </w: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i w:val="0"/>
                <w:iCs w:val="0"/>
                <w:snapToGrid w:val="0"/>
                <w:color w:val="000000"/>
                <w:kern w:val="0"/>
                <w:sz w:val="21"/>
                <w:szCs w:val="21"/>
              </w:rPr>
              <w:t>34.2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continue"/>
            <w:noWrap w:val="0"/>
            <w:vAlign w:val="center"/>
          </w:tcPr>
          <w:p>
            <w:pPr>
              <w:adjustRightInd w:val="0"/>
              <w:snapToGrid w:val="0"/>
              <w:spacing w:line="0" w:lineRule="atLeast"/>
              <w:jc w:val="center"/>
              <w:rPr>
                <w:i w:val="0"/>
                <w:iCs w:val="0"/>
                <w:snapToGrid w:val="0"/>
                <w:color w:val="000000"/>
                <w:kern w:val="0"/>
                <w:sz w:val="21"/>
                <w:szCs w:val="21"/>
              </w:rPr>
            </w:pP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i w:val="0"/>
                <w:iCs w:val="0"/>
                <w:snapToGrid w:val="0"/>
                <w:color w:val="000000"/>
                <w:kern w:val="0"/>
                <w:sz w:val="21"/>
                <w:szCs w:val="21"/>
              </w:rPr>
              <w:t>工艺过程</w:t>
            </w: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i w:val="0"/>
                <w:iCs w:val="0"/>
                <w:snapToGrid w:val="0"/>
                <w:color w:val="000000"/>
                <w:kern w:val="0"/>
                <w:sz w:val="21"/>
                <w:szCs w:val="21"/>
              </w:rPr>
              <w:t>33.0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continue"/>
            <w:noWrap w:val="0"/>
            <w:vAlign w:val="center"/>
          </w:tcPr>
          <w:p>
            <w:pPr>
              <w:adjustRightInd w:val="0"/>
              <w:snapToGrid w:val="0"/>
              <w:spacing w:line="0" w:lineRule="atLeast"/>
              <w:jc w:val="center"/>
              <w:rPr>
                <w:i w:val="0"/>
                <w:iCs w:val="0"/>
                <w:snapToGrid w:val="0"/>
                <w:color w:val="000000"/>
                <w:kern w:val="0"/>
                <w:sz w:val="21"/>
                <w:szCs w:val="21"/>
              </w:rPr>
            </w:pP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i w:val="0"/>
                <w:iCs w:val="0"/>
                <w:snapToGrid w:val="0"/>
                <w:color w:val="000000"/>
                <w:kern w:val="0"/>
                <w:sz w:val="21"/>
                <w:szCs w:val="21"/>
              </w:rPr>
              <w:t>储存</w:t>
            </w: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i w:val="0"/>
                <w:iCs w:val="0"/>
                <w:snapToGrid w:val="0"/>
                <w:color w:val="000000"/>
                <w:kern w:val="0"/>
                <w:sz w:val="21"/>
                <w:szCs w:val="21"/>
              </w:rPr>
              <w:t>23.1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continue"/>
            <w:noWrap w:val="0"/>
            <w:vAlign w:val="center"/>
          </w:tcPr>
          <w:p>
            <w:pPr>
              <w:adjustRightInd w:val="0"/>
              <w:snapToGrid w:val="0"/>
              <w:spacing w:line="0" w:lineRule="atLeast"/>
              <w:jc w:val="center"/>
              <w:rPr>
                <w:i w:val="0"/>
                <w:iCs w:val="0"/>
                <w:snapToGrid w:val="0"/>
                <w:color w:val="000000"/>
                <w:kern w:val="0"/>
                <w:sz w:val="21"/>
                <w:szCs w:val="21"/>
              </w:rPr>
            </w:pP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i w:val="0"/>
                <w:iCs w:val="0"/>
                <w:snapToGrid w:val="0"/>
                <w:color w:val="000000"/>
                <w:kern w:val="0"/>
                <w:sz w:val="21"/>
                <w:szCs w:val="21"/>
              </w:rPr>
              <w:t>搬运</w:t>
            </w: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i w:val="0"/>
                <w:iCs w:val="0"/>
                <w:snapToGrid w:val="0"/>
                <w:color w:val="000000"/>
                <w:kern w:val="0"/>
                <w:sz w:val="21"/>
                <w:szCs w:val="21"/>
              </w:rPr>
              <w:t>9.6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restart"/>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事故来源</w:t>
            </w: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i w:val="0"/>
                <w:iCs w:val="0"/>
                <w:snapToGrid w:val="0"/>
                <w:color w:val="000000"/>
                <w:kern w:val="0"/>
                <w:sz w:val="21"/>
                <w:szCs w:val="21"/>
              </w:rPr>
              <w:t>机械故障</w:t>
            </w: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i w:val="0"/>
                <w:iCs w:val="0"/>
                <w:snapToGrid w:val="0"/>
                <w:color w:val="000000"/>
                <w:kern w:val="0"/>
                <w:sz w:val="21"/>
                <w:szCs w:val="21"/>
              </w:rPr>
              <w:t>34.2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jc w:val="center"/>
        </w:trPr>
        <w:tc>
          <w:tcPr>
            <w:tcW w:w="2163" w:type="dxa"/>
            <w:vMerge w:val="continue"/>
            <w:noWrap w:val="0"/>
            <w:vAlign w:val="center"/>
          </w:tcPr>
          <w:p>
            <w:pPr>
              <w:adjustRightInd w:val="0"/>
              <w:snapToGrid w:val="0"/>
              <w:spacing w:line="0" w:lineRule="atLeast"/>
              <w:jc w:val="center"/>
              <w:rPr>
                <w:i w:val="0"/>
                <w:iCs w:val="0"/>
                <w:snapToGrid w:val="0"/>
                <w:color w:val="000000"/>
                <w:kern w:val="0"/>
                <w:sz w:val="21"/>
                <w:szCs w:val="21"/>
              </w:rPr>
            </w:pP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i w:val="0"/>
                <w:iCs w:val="0"/>
                <w:snapToGrid w:val="0"/>
                <w:color w:val="000000"/>
                <w:kern w:val="0"/>
                <w:sz w:val="21"/>
                <w:szCs w:val="21"/>
              </w:rPr>
              <w:t>碰撞事故</w:t>
            </w: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i w:val="0"/>
                <w:iCs w:val="0"/>
                <w:snapToGrid w:val="0"/>
                <w:color w:val="000000"/>
                <w:kern w:val="0"/>
                <w:sz w:val="21"/>
                <w:szCs w:val="21"/>
              </w:rPr>
              <w:t>26.8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continue"/>
            <w:noWrap w:val="0"/>
            <w:vAlign w:val="center"/>
          </w:tcPr>
          <w:p>
            <w:pPr>
              <w:adjustRightInd w:val="0"/>
              <w:snapToGrid w:val="0"/>
              <w:spacing w:line="0" w:lineRule="atLeast"/>
              <w:jc w:val="center"/>
              <w:rPr>
                <w:i w:val="0"/>
                <w:iCs w:val="0"/>
                <w:snapToGrid w:val="0"/>
                <w:color w:val="000000"/>
                <w:kern w:val="0"/>
                <w:sz w:val="21"/>
                <w:szCs w:val="21"/>
              </w:rPr>
            </w:pP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i w:val="0"/>
                <w:iCs w:val="0"/>
                <w:snapToGrid w:val="0"/>
                <w:color w:val="000000"/>
                <w:kern w:val="0"/>
                <w:sz w:val="21"/>
                <w:szCs w:val="21"/>
              </w:rPr>
              <w:t>人为因素</w:t>
            </w: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i w:val="0"/>
                <w:iCs w:val="0"/>
                <w:snapToGrid w:val="0"/>
                <w:color w:val="000000"/>
                <w:kern w:val="0"/>
                <w:sz w:val="21"/>
                <w:szCs w:val="21"/>
              </w:rPr>
              <w:t>22.8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63" w:type="dxa"/>
            <w:vMerge w:val="continue"/>
            <w:noWrap w:val="0"/>
            <w:vAlign w:val="center"/>
          </w:tcPr>
          <w:p>
            <w:pPr>
              <w:adjustRightInd w:val="0"/>
              <w:snapToGrid w:val="0"/>
              <w:spacing w:line="0" w:lineRule="atLeast"/>
              <w:jc w:val="center"/>
              <w:rPr>
                <w:i w:val="0"/>
                <w:iCs w:val="0"/>
                <w:snapToGrid w:val="0"/>
                <w:color w:val="000000"/>
                <w:kern w:val="0"/>
                <w:sz w:val="21"/>
                <w:szCs w:val="21"/>
              </w:rPr>
            </w:pP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i w:val="0"/>
                <w:iCs w:val="0"/>
                <w:snapToGrid w:val="0"/>
                <w:color w:val="000000"/>
                <w:kern w:val="0"/>
                <w:sz w:val="21"/>
                <w:szCs w:val="21"/>
              </w:rPr>
              <w:t>外部因素</w:t>
            </w:r>
          </w:p>
        </w:tc>
        <w:tc>
          <w:tcPr>
            <w:tcW w:w="3454" w:type="dxa"/>
            <w:noWrap w:val="0"/>
            <w:vAlign w:val="center"/>
          </w:tcPr>
          <w:p>
            <w:pPr>
              <w:adjustRightInd w:val="0"/>
              <w:snapToGrid w:val="0"/>
              <w:spacing w:line="0" w:lineRule="atLeast"/>
              <w:jc w:val="center"/>
              <w:rPr>
                <w:i w:val="0"/>
                <w:iCs w:val="0"/>
                <w:snapToGrid w:val="0"/>
                <w:color w:val="000000"/>
                <w:kern w:val="0"/>
                <w:sz w:val="21"/>
                <w:szCs w:val="21"/>
              </w:rPr>
            </w:pPr>
            <w:r>
              <w:rPr>
                <w:i w:val="0"/>
                <w:iCs w:val="0"/>
                <w:snapToGrid w:val="0"/>
                <w:color w:val="000000"/>
                <w:kern w:val="0"/>
                <w:sz w:val="21"/>
                <w:szCs w:val="21"/>
              </w:rPr>
              <w:t>15.2</w:t>
            </w:r>
          </w:p>
        </w:tc>
      </w:tr>
    </w:tbl>
    <w:p>
      <w:pPr>
        <w:widowControl/>
        <w:jc w:val="center"/>
        <w:rPr>
          <w:rFonts w:hint="eastAsia"/>
          <w:b/>
          <w:bCs/>
          <w:i w:val="0"/>
          <w:iCs w:val="0"/>
          <w:color w:val="000000"/>
          <w:szCs w:val="20"/>
          <w:lang w:val="zh-CN"/>
        </w:rPr>
      </w:pPr>
      <w:r>
        <w:rPr>
          <w:rFonts w:hint="eastAsia"/>
          <w:b/>
          <w:bCs/>
          <w:i w:val="0"/>
          <w:iCs w:val="0"/>
          <w:color w:val="000000"/>
          <w:szCs w:val="20"/>
          <w:lang w:val="zh-CN"/>
        </w:rPr>
        <w:t>表</w:t>
      </w:r>
      <w:r>
        <w:rPr>
          <w:rFonts w:hint="eastAsia"/>
          <w:b/>
          <w:bCs/>
          <w:i w:val="0"/>
          <w:iCs w:val="0"/>
          <w:color w:val="000000"/>
          <w:szCs w:val="20"/>
        </w:rPr>
        <w:t xml:space="preserve">7-21 </w:t>
      </w:r>
      <w:r>
        <w:rPr>
          <w:rFonts w:hint="eastAsia"/>
          <w:b/>
          <w:bCs/>
          <w:i w:val="0"/>
          <w:iCs w:val="0"/>
          <w:color w:val="000000"/>
          <w:szCs w:val="20"/>
          <w:lang w:val="zh-CN"/>
        </w:rPr>
        <w:t xml:space="preserve">  国内主要化工事故原因统计结果</w:t>
      </w:r>
    </w:p>
    <w:tbl>
      <w:tblPr>
        <w:tblStyle w:val="58"/>
        <w:tblW w:w="9071"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127"/>
        <w:gridCol w:w="2411"/>
        <w:gridCol w:w="2267"/>
        <w:gridCol w:w="226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27"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序号</w:t>
            </w:r>
          </w:p>
        </w:tc>
        <w:tc>
          <w:tcPr>
            <w:tcW w:w="2411"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主要事故原因</w:t>
            </w:r>
          </w:p>
        </w:tc>
        <w:tc>
          <w:tcPr>
            <w:tcW w:w="2267"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出现次数</w:t>
            </w:r>
          </w:p>
        </w:tc>
        <w:tc>
          <w:tcPr>
            <w:tcW w:w="2266"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所占百分比（%）</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27"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1</w:t>
            </w:r>
          </w:p>
        </w:tc>
        <w:tc>
          <w:tcPr>
            <w:tcW w:w="2411"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违反操作规程</w:t>
            </w:r>
          </w:p>
        </w:tc>
        <w:tc>
          <w:tcPr>
            <w:tcW w:w="2267"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60</w:t>
            </w:r>
          </w:p>
        </w:tc>
        <w:tc>
          <w:tcPr>
            <w:tcW w:w="2266"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51.1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27"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2</w:t>
            </w:r>
          </w:p>
        </w:tc>
        <w:tc>
          <w:tcPr>
            <w:tcW w:w="2411"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设备缺陷</w:t>
            </w:r>
          </w:p>
        </w:tc>
        <w:tc>
          <w:tcPr>
            <w:tcW w:w="2267"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25</w:t>
            </w:r>
          </w:p>
        </w:tc>
        <w:tc>
          <w:tcPr>
            <w:tcW w:w="2266"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21.6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27"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3</w:t>
            </w:r>
          </w:p>
        </w:tc>
        <w:tc>
          <w:tcPr>
            <w:tcW w:w="2411"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个人防护用具缺乏</w:t>
            </w:r>
          </w:p>
        </w:tc>
        <w:tc>
          <w:tcPr>
            <w:tcW w:w="2267"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9</w:t>
            </w:r>
          </w:p>
        </w:tc>
        <w:tc>
          <w:tcPr>
            <w:tcW w:w="2266"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7.8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27"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4</w:t>
            </w:r>
          </w:p>
        </w:tc>
        <w:tc>
          <w:tcPr>
            <w:tcW w:w="2411"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不懂技术操作</w:t>
            </w:r>
          </w:p>
        </w:tc>
        <w:tc>
          <w:tcPr>
            <w:tcW w:w="2267"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7</w:t>
            </w:r>
          </w:p>
        </w:tc>
        <w:tc>
          <w:tcPr>
            <w:tcW w:w="2266"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27"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5</w:t>
            </w:r>
          </w:p>
        </w:tc>
        <w:tc>
          <w:tcPr>
            <w:tcW w:w="2411"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违反劳动纪律</w:t>
            </w:r>
          </w:p>
        </w:tc>
        <w:tc>
          <w:tcPr>
            <w:tcW w:w="2267"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5</w:t>
            </w:r>
          </w:p>
        </w:tc>
        <w:tc>
          <w:tcPr>
            <w:tcW w:w="2266"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4.3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27"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6</w:t>
            </w:r>
          </w:p>
        </w:tc>
        <w:tc>
          <w:tcPr>
            <w:tcW w:w="2411"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指挥失误</w:t>
            </w:r>
          </w:p>
        </w:tc>
        <w:tc>
          <w:tcPr>
            <w:tcW w:w="2267"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2</w:t>
            </w:r>
          </w:p>
        </w:tc>
        <w:tc>
          <w:tcPr>
            <w:tcW w:w="2266"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1.7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27"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7</w:t>
            </w:r>
          </w:p>
        </w:tc>
        <w:tc>
          <w:tcPr>
            <w:tcW w:w="2411"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设计缺陷</w:t>
            </w:r>
          </w:p>
        </w:tc>
        <w:tc>
          <w:tcPr>
            <w:tcW w:w="2267"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2</w:t>
            </w:r>
          </w:p>
        </w:tc>
        <w:tc>
          <w:tcPr>
            <w:tcW w:w="2266"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1.7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27"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8</w:t>
            </w:r>
          </w:p>
        </w:tc>
        <w:tc>
          <w:tcPr>
            <w:tcW w:w="2411"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缺乏现场检查</w:t>
            </w:r>
          </w:p>
        </w:tc>
        <w:tc>
          <w:tcPr>
            <w:tcW w:w="2267"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2</w:t>
            </w:r>
          </w:p>
        </w:tc>
        <w:tc>
          <w:tcPr>
            <w:tcW w:w="2266"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1.7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5" w:hRule="atLeast"/>
          <w:jc w:val="center"/>
        </w:trPr>
        <w:tc>
          <w:tcPr>
            <w:tcW w:w="2127"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9</w:t>
            </w:r>
          </w:p>
        </w:tc>
        <w:tc>
          <w:tcPr>
            <w:tcW w:w="2411"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原料质量控制不严格</w:t>
            </w:r>
          </w:p>
        </w:tc>
        <w:tc>
          <w:tcPr>
            <w:tcW w:w="2267"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1</w:t>
            </w:r>
          </w:p>
        </w:tc>
        <w:tc>
          <w:tcPr>
            <w:tcW w:w="2266"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0.9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27"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10</w:t>
            </w:r>
          </w:p>
        </w:tc>
        <w:tc>
          <w:tcPr>
            <w:tcW w:w="2411"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操作失灵</w:t>
            </w:r>
          </w:p>
        </w:tc>
        <w:tc>
          <w:tcPr>
            <w:tcW w:w="2267"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1</w:t>
            </w:r>
          </w:p>
        </w:tc>
        <w:tc>
          <w:tcPr>
            <w:tcW w:w="2266"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0.9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27"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11</w:t>
            </w:r>
          </w:p>
        </w:tc>
        <w:tc>
          <w:tcPr>
            <w:tcW w:w="2411"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个人防护用具缺陷</w:t>
            </w:r>
          </w:p>
        </w:tc>
        <w:tc>
          <w:tcPr>
            <w:tcW w:w="2267"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1</w:t>
            </w:r>
          </w:p>
        </w:tc>
        <w:tc>
          <w:tcPr>
            <w:tcW w:w="2266"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0.9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127"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12</w:t>
            </w:r>
          </w:p>
        </w:tc>
        <w:tc>
          <w:tcPr>
            <w:tcW w:w="2411"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没有安全规程</w:t>
            </w:r>
          </w:p>
        </w:tc>
        <w:tc>
          <w:tcPr>
            <w:tcW w:w="2267"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1</w:t>
            </w:r>
          </w:p>
        </w:tc>
        <w:tc>
          <w:tcPr>
            <w:tcW w:w="2266" w:type="dxa"/>
            <w:noWrap w:val="0"/>
            <w:vAlign w:val="center"/>
          </w:tcPr>
          <w:p>
            <w:pPr>
              <w:adjustRightInd w:val="0"/>
              <w:snapToGrid w:val="0"/>
              <w:spacing w:line="0" w:lineRule="atLeast"/>
              <w:jc w:val="center"/>
              <w:rPr>
                <w:i w:val="0"/>
                <w:iCs w:val="0"/>
                <w:snapToGrid w:val="0"/>
                <w:color w:val="000000"/>
                <w:kern w:val="0"/>
                <w:sz w:val="21"/>
                <w:szCs w:val="21"/>
              </w:rPr>
            </w:pPr>
            <w:r>
              <w:rPr>
                <w:rFonts w:hint="eastAsia"/>
                <w:i w:val="0"/>
                <w:iCs w:val="0"/>
                <w:snapToGrid w:val="0"/>
                <w:color w:val="000000"/>
                <w:kern w:val="0"/>
                <w:sz w:val="21"/>
                <w:szCs w:val="21"/>
              </w:rPr>
              <w:t>0.9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5" w:hRule="atLeast"/>
          <w:jc w:val="center"/>
        </w:trPr>
        <w:tc>
          <w:tcPr>
            <w:tcW w:w="9071" w:type="dxa"/>
            <w:gridSpan w:val="4"/>
            <w:noWrap w:val="0"/>
            <w:vAlign w:val="center"/>
          </w:tcPr>
          <w:p>
            <w:pPr>
              <w:adjustRightInd w:val="0"/>
              <w:snapToGrid w:val="0"/>
              <w:spacing w:line="0" w:lineRule="atLeast"/>
              <w:jc w:val="left"/>
              <w:rPr>
                <w:i w:val="0"/>
                <w:iCs w:val="0"/>
                <w:snapToGrid w:val="0"/>
                <w:color w:val="000000"/>
                <w:kern w:val="0"/>
                <w:sz w:val="21"/>
                <w:szCs w:val="21"/>
              </w:rPr>
            </w:pPr>
            <w:r>
              <w:rPr>
                <w:rFonts w:hint="eastAsia"/>
                <w:i w:val="0"/>
                <w:iCs w:val="0"/>
                <w:snapToGrid w:val="0"/>
                <w:color w:val="000000"/>
                <w:kern w:val="0"/>
                <w:sz w:val="21"/>
                <w:szCs w:val="21"/>
              </w:rPr>
              <w:t>注：</w:t>
            </w:r>
            <w:r>
              <w:rPr>
                <w:i w:val="0"/>
                <w:iCs w:val="0"/>
                <w:snapToGrid w:val="0"/>
                <w:color w:val="000000"/>
                <w:kern w:val="0"/>
                <w:sz w:val="21"/>
                <w:szCs w:val="21"/>
              </w:rPr>
              <w:t>*</w:t>
            </w:r>
            <w:r>
              <w:rPr>
                <w:rFonts w:hint="eastAsia"/>
                <w:i w:val="0"/>
                <w:iCs w:val="0"/>
                <w:snapToGrid w:val="0"/>
                <w:color w:val="000000"/>
                <w:kern w:val="0"/>
                <w:sz w:val="21"/>
                <w:szCs w:val="21"/>
              </w:rPr>
              <w:t>（引自《全国化工事故案例集》）</w:t>
            </w:r>
          </w:p>
        </w:tc>
      </w:tr>
    </w:tbl>
    <w:p>
      <w:pPr>
        <w:widowControl/>
        <w:spacing w:before="120" w:beforeLines="50" w:line="360" w:lineRule="auto"/>
        <w:ind w:firstLine="480" w:firstLineChars="200"/>
        <w:rPr>
          <w:i w:val="0"/>
          <w:iCs w:val="0"/>
          <w:snapToGrid w:val="0"/>
          <w:color w:val="000000"/>
          <w:kern w:val="0"/>
          <w:szCs w:val="20"/>
        </w:rPr>
      </w:pPr>
      <w:r>
        <w:rPr>
          <w:rFonts w:hint="eastAsia"/>
          <w:i w:val="0"/>
          <w:iCs w:val="0"/>
          <w:snapToGrid w:val="0"/>
          <w:color w:val="000000"/>
          <w:kern w:val="0"/>
          <w:szCs w:val="20"/>
        </w:rPr>
        <w:t>从表7-21可见，由违反操作规程、违反劳动纪律、不懂技术操作等人为因素引起的事故最多，占50</w:t>
      </w:r>
      <w:r>
        <w:rPr>
          <w:i w:val="0"/>
          <w:iCs w:val="0"/>
          <w:snapToGrid w:val="0"/>
          <w:color w:val="000000"/>
          <w:kern w:val="0"/>
          <w:szCs w:val="20"/>
        </w:rPr>
        <w:t>%</w:t>
      </w:r>
      <w:r>
        <w:rPr>
          <w:rFonts w:hint="eastAsia"/>
          <w:i w:val="0"/>
          <w:iCs w:val="0"/>
          <w:snapToGrid w:val="0"/>
          <w:color w:val="000000"/>
          <w:kern w:val="0"/>
          <w:szCs w:val="20"/>
        </w:rPr>
        <w:t>以上，因设备缺陷、设计缺陷等引起事故次数约占21.6</w:t>
      </w:r>
      <w:r>
        <w:rPr>
          <w:i w:val="0"/>
          <w:iCs w:val="0"/>
          <w:snapToGrid w:val="0"/>
          <w:color w:val="000000"/>
          <w:kern w:val="0"/>
          <w:szCs w:val="20"/>
        </w:rPr>
        <w:t>%</w:t>
      </w:r>
      <w:r>
        <w:rPr>
          <w:rFonts w:hint="eastAsia"/>
          <w:i w:val="0"/>
          <w:iCs w:val="0"/>
          <w:snapToGrid w:val="0"/>
          <w:color w:val="000000"/>
          <w:kern w:val="0"/>
          <w:szCs w:val="20"/>
        </w:rPr>
        <w:t>。</w:t>
      </w:r>
    </w:p>
    <w:p>
      <w:pPr>
        <w:widowControl/>
        <w:spacing w:line="360" w:lineRule="auto"/>
        <w:ind w:firstLine="480" w:firstLineChars="200"/>
        <w:rPr>
          <w:i w:val="0"/>
          <w:iCs w:val="0"/>
          <w:snapToGrid w:val="0"/>
          <w:color w:val="000000"/>
          <w:kern w:val="0"/>
          <w:szCs w:val="20"/>
        </w:rPr>
      </w:pPr>
      <w:r>
        <w:rPr>
          <w:rFonts w:hint="eastAsia"/>
          <w:i w:val="0"/>
          <w:iCs w:val="0"/>
          <w:snapToGrid w:val="0"/>
          <w:color w:val="000000"/>
          <w:kern w:val="0"/>
          <w:szCs w:val="20"/>
        </w:rPr>
        <w:t>全国历年涉及氨企业事故统计详见下表。</w:t>
      </w:r>
    </w:p>
    <w:p>
      <w:pPr>
        <w:widowControl/>
        <w:jc w:val="center"/>
        <w:rPr>
          <w:rFonts w:hint="eastAsia"/>
          <w:b/>
          <w:bCs/>
          <w:i w:val="0"/>
          <w:iCs w:val="0"/>
          <w:color w:val="000000"/>
          <w:szCs w:val="20"/>
        </w:rPr>
      </w:pPr>
      <w:r>
        <w:rPr>
          <w:rFonts w:hint="eastAsia"/>
          <w:b/>
          <w:bCs/>
          <w:i w:val="0"/>
          <w:iCs w:val="0"/>
          <w:color w:val="000000"/>
          <w:szCs w:val="20"/>
        </w:rPr>
        <w:t>表7-22   事故历史时间一览表</w:t>
      </w:r>
    </w:p>
    <w:tbl>
      <w:tblPr>
        <w:tblStyle w:val="58"/>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992"/>
        <w:gridCol w:w="1276"/>
        <w:gridCol w:w="2835"/>
        <w:gridCol w:w="1747"/>
        <w:gridCol w:w="15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noWrap w:val="0"/>
            <w:vAlign w:val="center"/>
          </w:tcPr>
          <w:p>
            <w:pPr>
              <w:widowControl/>
              <w:jc w:val="center"/>
              <w:rPr>
                <w:b/>
                <w:bCs/>
                <w:i w:val="0"/>
                <w:iCs w:val="0"/>
                <w:snapToGrid w:val="0"/>
                <w:color w:val="000000"/>
                <w:kern w:val="0"/>
                <w:sz w:val="21"/>
                <w:szCs w:val="21"/>
              </w:rPr>
            </w:pPr>
            <w:r>
              <w:rPr>
                <w:rFonts w:hint="eastAsia"/>
                <w:b/>
                <w:bCs/>
                <w:i w:val="0"/>
                <w:iCs w:val="0"/>
                <w:snapToGrid w:val="0"/>
                <w:color w:val="000000"/>
                <w:kern w:val="0"/>
                <w:sz w:val="21"/>
                <w:szCs w:val="21"/>
              </w:rPr>
              <w:t>序号</w:t>
            </w:r>
          </w:p>
        </w:tc>
        <w:tc>
          <w:tcPr>
            <w:tcW w:w="992" w:type="dxa"/>
            <w:noWrap w:val="0"/>
            <w:vAlign w:val="center"/>
          </w:tcPr>
          <w:p>
            <w:pPr>
              <w:widowControl/>
              <w:jc w:val="center"/>
              <w:rPr>
                <w:b/>
                <w:bCs/>
                <w:i w:val="0"/>
                <w:iCs w:val="0"/>
                <w:snapToGrid w:val="0"/>
                <w:color w:val="000000"/>
                <w:kern w:val="0"/>
                <w:sz w:val="21"/>
                <w:szCs w:val="21"/>
              </w:rPr>
            </w:pPr>
            <w:r>
              <w:rPr>
                <w:rFonts w:hint="eastAsia"/>
                <w:b/>
                <w:bCs/>
                <w:i w:val="0"/>
                <w:iCs w:val="0"/>
                <w:snapToGrid w:val="0"/>
                <w:color w:val="000000"/>
                <w:kern w:val="0"/>
                <w:sz w:val="21"/>
                <w:szCs w:val="21"/>
              </w:rPr>
              <w:t>地点</w:t>
            </w:r>
          </w:p>
        </w:tc>
        <w:tc>
          <w:tcPr>
            <w:tcW w:w="1276" w:type="dxa"/>
            <w:noWrap w:val="0"/>
            <w:vAlign w:val="center"/>
          </w:tcPr>
          <w:p>
            <w:pPr>
              <w:widowControl/>
              <w:jc w:val="center"/>
              <w:rPr>
                <w:b/>
                <w:bCs/>
                <w:i w:val="0"/>
                <w:iCs w:val="0"/>
                <w:snapToGrid w:val="0"/>
                <w:color w:val="000000"/>
                <w:kern w:val="0"/>
                <w:sz w:val="21"/>
                <w:szCs w:val="21"/>
              </w:rPr>
            </w:pPr>
            <w:r>
              <w:rPr>
                <w:rFonts w:hint="eastAsia"/>
                <w:b/>
                <w:bCs/>
                <w:i w:val="0"/>
                <w:iCs w:val="0"/>
                <w:snapToGrid w:val="0"/>
                <w:color w:val="000000"/>
                <w:kern w:val="0"/>
                <w:sz w:val="21"/>
                <w:szCs w:val="21"/>
              </w:rPr>
              <w:t>时间</w:t>
            </w:r>
          </w:p>
        </w:tc>
        <w:tc>
          <w:tcPr>
            <w:tcW w:w="2835" w:type="dxa"/>
            <w:noWrap w:val="0"/>
            <w:vAlign w:val="center"/>
          </w:tcPr>
          <w:p>
            <w:pPr>
              <w:widowControl/>
              <w:jc w:val="center"/>
              <w:rPr>
                <w:b/>
                <w:bCs/>
                <w:i w:val="0"/>
                <w:iCs w:val="0"/>
                <w:snapToGrid w:val="0"/>
                <w:color w:val="000000"/>
                <w:kern w:val="0"/>
                <w:sz w:val="21"/>
                <w:szCs w:val="21"/>
              </w:rPr>
            </w:pPr>
            <w:r>
              <w:rPr>
                <w:rFonts w:hint="eastAsia"/>
                <w:b/>
                <w:bCs/>
                <w:i w:val="0"/>
                <w:iCs w:val="0"/>
                <w:snapToGrid w:val="0"/>
                <w:color w:val="000000"/>
                <w:kern w:val="0"/>
                <w:sz w:val="21"/>
                <w:szCs w:val="21"/>
              </w:rPr>
              <w:t>事故描述</w:t>
            </w:r>
          </w:p>
        </w:tc>
        <w:tc>
          <w:tcPr>
            <w:tcW w:w="1747" w:type="dxa"/>
            <w:noWrap w:val="0"/>
            <w:vAlign w:val="center"/>
          </w:tcPr>
          <w:p>
            <w:pPr>
              <w:widowControl/>
              <w:jc w:val="center"/>
              <w:rPr>
                <w:b/>
                <w:bCs/>
                <w:i w:val="0"/>
                <w:iCs w:val="0"/>
                <w:snapToGrid w:val="0"/>
                <w:color w:val="000000"/>
                <w:kern w:val="0"/>
                <w:sz w:val="21"/>
                <w:szCs w:val="21"/>
              </w:rPr>
            </w:pPr>
            <w:r>
              <w:rPr>
                <w:rFonts w:hint="eastAsia"/>
                <w:b/>
                <w:bCs/>
                <w:i w:val="0"/>
                <w:iCs w:val="0"/>
                <w:snapToGrid w:val="0"/>
                <w:color w:val="000000"/>
                <w:kern w:val="0"/>
                <w:sz w:val="21"/>
                <w:szCs w:val="21"/>
              </w:rPr>
              <w:t>事故情况</w:t>
            </w:r>
          </w:p>
        </w:tc>
        <w:tc>
          <w:tcPr>
            <w:tcW w:w="1513" w:type="dxa"/>
            <w:noWrap w:val="0"/>
            <w:vAlign w:val="center"/>
          </w:tcPr>
          <w:p>
            <w:pPr>
              <w:widowControl/>
              <w:jc w:val="center"/>
              <w:rPr>
                <w:b/>
                <w:bCs/>
                <w:i w:val="0"/>
                <w:iCs w:val="0"/>
                <w:snapToGrid w:val="0"/>
                <w:color w:val="000000"/>
                <w:kern w:val="0"/>
                <w:sz w:val="21"/>
                <w:szCs w:val="21"/>
              </w:rPr>
            </w:pPr>
            <w:r>
              <w:rPr>
                <w:rFonts w:hint="eastAsia"/>
                <w:b/>
                <w:bCs/>
                <w:i w:val="0"/>
                <w:iCs w:val="0"/>
                <w:snapToGrid w:val="0"/>
                <w:color w:val="000000"/>
                <w:kern w:val="0"/>
                <w:sz w:val="21"/>
                <w:szCs w:val="21"/>
              </w:rPr>
              <w:t>伤亡人数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noWrap w:val="0"/>
            <w:vAlign w:val="center"/>
          </w:tcPr>
          <w:p>
            <w:pPr>
              <w:widowControl/>
              <w:jc w:val="center"/>
              <w:rPr>
                <w:i w:val="0"/>
                <w:iCs w:val="0"/>
                <w:snapToGrid w:val="0"/>
                <w:color w:val="000000"/>
                <w:kern w:val="0"/>
                <w:sz w:val="21"/>
                <w:szCs w:val="21"/>
              </w:rPr>
            </w:pPr>
            <w:r>
              <w:rPr>
                <w:rFonts w:hint="eastAsia"/>
                <w:i w:val="0"/>
                <w:iCs w:val="0"/>
                <w:snapToGrid w:val="0"/>
                <w:color w:val="000000"/>
                <w:kern w:val="0"/>
                <w:sz w:val="21"/>
                <w:szCs w:val="21"/>
              </w:rPr>
              <w:t>1</w:t>
            </w:r>
          </w:p>
        </w:tc>
        <w:tc>
          <w:tcPr>
            <w:tcW w:w="992" w:type="dxa"/>
            <w:noWrap w:val="0"/>
            <w:vAlign w:val="center"/>
          </w:tcPr>
          <w:p>
            <w:pPr>
              <w:widowControl/>
              <w:jc w:val="center"/>
              <w:rPr>
                <w:i w:val="0"/>
                <w:iCs w:val="0"/>
                <w:snapToGrid w:val="0"/>
                <w:color w:val="000000"/>
                <w:kern w:val="0"/>
                <w:sz w:val="21"/>
                <w:szCs w:val="21"/>
              </w:rPr>
            </w:pPr>
            <w:r>
              <w:rPr>
                <w:rFonts w:hint="eastAsia"/>
                <w:i w:val="0"/>
                <w:iCs w:val="0"/>
                <w:snapToGrid w:val="0"/>
                <w:color w:val="000000"/>
                <w:kern w:val="0"/>
                <w:sz w:val="21"/>
                <w:szCs w:val="21"/>
              </w:rPr>
              <w:t>丹阳</w:t>
            </w:r>
          </w:p>
        </w:tc>
        <w:tc>
          <w:tcPr>
            <w:tcW w:w="1276" w:type="dxa"/>
            <w:noWrap w:val="0"/>
            <w:vAlign w:val="center"/>
          </w:tcPr>
          <w:p>
            <w:pPr>
              <w:widowControl/>
              <w:jc w:val="center"/>
              <w:rPr>
                <w:i w:val="0"/>
                <w:iCs w:val="0"/>
                <w:snapToGrid w:val="0"/>
                <w:color w:val="000000"/>
                <w:kern w:val="0"/>
                <w:sz w:val="21"/>
                <w:szCs w:val="21"/>
              </w:rPr>
            </w:pPr>
            <w:r>
              <w:rPr>
                <w:rFonts w:hint="eastAsia"/>
                <w:i w:val="0"/>
                <w:iCs w:val="0"/>
                <w:snapToGrid w:val="0"/>
                <w:color w:val="000000"/>
                <w:kern w:val="0"/>
                <w:sz w:val="21"/>
                <w:szCs w:val="21"/>
              </w:rPr>
              <w:t>2</w:t>
            </w:r>
            <w:r>
              <w:rPr>
                <w:i w:val="0"/>
                <w:iCs w:val="0"/>
                <w:snapToGrid w:val="0"/>
                <w:color w:val="000000"/>
                <w:kern w:val="0"/>
                <w:sz w:val="21"/>
                <w:szCs w:val="21"/>
              </w:rPr>
              <w:t>005</w:t>
            </w:r>
            <w:r>
              <w:rPr>
                <w:rFonts w:hint="eastAsia"/>
                <w:i w:val="0"/>
                <w:iCs w:val="0"/>
                <w:snapToGrid w:val="0"/>
                <w:color w:val="000000"/>
                <w:kern w:val="0"/>
                <w:sz w:val="21"/>
                <w:szCs w:val="21"/>
              </w:rPr>
              <w:t>年5月1</w:t>
            </w:r>
            <w:r>
              <w:rPr>
                <w:i w:val="0"/>
                <w:iCs w:val="0"/>
                <w:snapToGrid w:val="0"/>
                <w:color w:val="000000"/>
                <w:kern w:val="0"/>
                <w:sz w:val="21"/>
                <w:szCs w:val="21"/>
              </w:rPr>
              <w:t>2</w:t>
            </w:r>
            <w:r>
              <w:rPr>
                <w:rFonts w:hint="eastAsia"/>
                <w:i w:val="0"/>
                <w:iCs w:val="0"/>
                <w:snapToGrid w:val="0"/>
                <w:color w:val="000000"/>
                <w:kern w:val="0"/>
                <w:sz w:val="21"/>
                <w:szCs w:val="21"/>
              </w:rPr>
              <w:t>日</w:t>
            </w:r>
          </w:p>
        </w:tc>
        <w:tc>
          <w:tcPr>
            <w:tcW w:w="2835" w:type="dxa"/>
            <w:noWrap w:val="0"/>
            <w:vAlign w:val="center"/>
          </w:tcPr>
          <w:p>
            <w:pPr>
              <w:widowControl/>
              <w:jc w:val="center"/>
              <w:rPr>
                <w:i w:val="0"/>
                <w:iCs w:val="0"/>
                <w:snapToGrid w:val="0"/>
                <w:color w:val="000000"/>
                <w:kern w:val="0"/>
                <w:sz w:val="21"/>
                <w:szCs w:val="21"/>
              </w:rPr>
            </w:pPr>
            <w:r>
              <w:rPr>
                <w:rFonts w:hint="eastAsia"/>
                <w:i w:val="0"/>
                <w:iCs w:val="0"/>
                <w:snapToGrid w:val="0"/>
                <w:color w:val="000000"/>
                <w:kern w:val="0"/>
                <w:sz w:val="21"/>
                <w:szCs w:val="21"/>
              </w:rPr>
              <w:t>河南化工场发生氨气泄露</w:t>
            </w:r>
          </w:p>
        </w:tc>
        <w:tc>
          <w:tcPr>
            <w:tcW w:w="1747" w:type="dxa"/>
            <w:noWrap w:val="0"/>
            <w:vAlign w:val="center"/>
          </w:tcPr>
          <w:p>
            <w:pPr>
              <w:widowControl/>
              <w:jc w:val="center"/>
              <w:rPr>
                <w:i w:val="0"/>
                <w:iCs w:val="0"/>
                <w:snapToGrid w:val="0"/>
                <w:color w:val="000000"/>
                <w:kern w:val="0"/>
                <w:sz w:val="21"/>
                <w:szCs w:val="21"/>
              </w:rPr>
            </w:pPr>
            <w:r>
              <w:rPr>
                <w:rFonts w:hint="eastAsia"/>
                <w:i w:val="0"/>
                <w:iCs w:val="0"/>
                <w:snapToGrid w:val="0"/>
                <w:color w:val="000000"/>
                <w:kern w:val="0"/>
                <w:sz w:val="21"/>
                <w:szCs w:val="21"/>
              </w:rPr>
              <w:t>1km内受影响</w:t>
            </w:r>
          </w:p>
        </w:tc>
        <w:tc>
          <w:tcPr>
            <w:tcW w:w="1513" w:type="dxa"/>
            <w:noWrap w:val="0"/>
            <w:vAlign w:val="center"/>
          </w:tcPr>
          <w:p>
            <w:pPr>
              <w:widowControl/>
              <w:jc w:val="center"/>
              <w:rPr>
                <w:i w:val="0"/>
                <w:iCs w:val="0"/>
                <w:snapToGrid w:val="0"/>
                <w:color w:val="000000"/>
                <w:kern w:val="0"/>
                <w:sz w:val="21"/>
                <w:szCs w:val="21"/>
              </w:rPr>
            </w:pPr>
            <w:r>
              <w:rPr>
                <w:rFonts w:hint="eastAsia"/>
                <w:i w:val="0"/>
                <w:iCs w:val="0"/>
                <w:snapToGrid w:val="0"/>
                <w:color w:val="000000"/>
                <w:kern w:val="0"/>
                <w:sz w:val="21"/>
                <w:szCs w:val="21"/>
              </w:rPr>
              <w:t>无伤亡，有66人轻度重毒，其中五人较严重需住院治疗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noWrap w:val="0"/>
            <w:vAlign w:val="center"/>
          </w:tcPr>
          <w:p>
            <w:pPr>
              <w:widowControl/>
              <w:jc w:val="center"/>
              <w:rPr>
                <w:i w:val="0"/>
                <w:iCs w:val="0"/>
                <w:snapToGrid w:val="0"/>
                <w:color w:val="000000"/>
                <w:kern w:val="0"/>
                <w:sz w:val="21"/>
                <w:szCs w:val="21"/>
              </w:rPr>
            </w:pPr>
            <w:r>
              <w:rPr>
                <w:rFonts w:hint="eastAsia"/>
                <w:i w:val="0"/>
                <w:iCs w:val="0"/>
                <w:snapToGrid w:val="0"/>
                <w:color w:val="000000"/>
                <w:kern w:val="0"/>
                <w:sz w:val="21"/>
                <w:szCs w:val="21"/>
              </w:rPr>
              <w:t>2</w:t>
            </w:r>
          </w:p>
        </w:tc>
        <w:tc>
          <w:tcPr>
            <w:tcW w:w="992" w:type="dxa"/>
            <w:noWrap w:val="0"/>
            <w:vAlign w:val="center"/>
          </w:tcPr>
          <w:p>
            <w:pPr>
              <w:widowControl/>
              <w:jc w:val="center"/>
              <w:rPr>
                <w:i w:val="0"/>
                <w:iCs w:val="0"/>
                <w:snapToGrid w:val="0"/>
                <w:color w:val="000000"/>
                <w:kern w:val="0"/>
                <w:sz w:val="21"/>
                <w:szCs w:val="21"/>
              </w:rPr>
            </w:pPr>
            <w:r>
              <w:rPr>
                <w:rFonts w:hint="eastAsia"/>
                <w:i w:val="0"/>
                <w:iCs w:val="0"/>
                <w:snapToGrid w:val="0"/>
                <w:color w:val="000000"/>
                <w:kern w:val="0"/>
                <w:sz w:val="21"/>
                <w:szCs w:val="21"/>
              </w:rPr>
              <w:t>辽宁某食品厂</w:t>
            </w:r>
          </w:p>
        </w:tc>
        <w:tc>
          <w:tcPr>
            <w:tcW w:w="1276" w:type="dxa"/>
            <w:noWrap w:val="0"/>
            <w:vAlign w:val="center"/>
          </w:tcPr>
          <w:p>
            <w:pPr>
              <w:widowControl/>
              <w:jc w:val="center"/>
              <w:rPr>
                <w:i w:val="0"/>
                <w:iCs w:val="0"/>
                <w:snapToGrid w:val="0"/>
                <w:color w:val="000000"/>
                <w:kern w:val="0"/>
                <w:sz w:val="21"/>
                <w:szCs w:val="21"/>
              </w:rPr>
            </w:pPr>
            <w:r>
              <w:rPr>
                <w:rFonts w:hint="eastAsia"/>
                <w:i w:val="0"/>
                <w:iCs w:val="0"/>
                <w:snapToGrid w:val="0"/>
                <w:color w:val="000000"/>
                <w:kern w:val="0"/>
                <w:sz w:val="21"/>
                <w:szCs w:val="21"/>
              </w:rPr>
              <w:t>2</w:t>
            </w:r>
            <w:r>
              <w:rPr>
                <w:i w:val="0"/>
                <w:iCs w:val="0"/>
                <w:snapToGrid w:val="0"/>
                <w:color w:val="000000"/>
                <w:kern w:val="0"/>
                <w:sz w:val="21"/>
                <w:szCs w:val="21"/>
              </w:rPr>
              <w:t>005</w:t>
            </w:r>
            <w:r>
              <w:rPr>
                <w:rFonts w:hint="eastAsia"/>
                <w:i w:val="0"/>
                <w:iCs w:val="0"/>
                <w:snapToGrid w:val="0"/>
                <w:color w:val="000000"/>
                <w:kern w:val="0"/>
                <w:sz w:val="21"/>
                <w:szCs w:val="21"/>
              </w:rPr>
              <w:t>年7月1</w:t>
            </w:r>
            <w:r>
              <w:rPr>
                <w:i w:val="0"/>
                <w:iCs w:val="0"/>
                <w:snapToGrid w:val="0"/>
                <w:color w:val="000000"/>
                <w:kern w:val="0"/>
                <w:sz w:val="21"/>
                <w:szCs w:val="21"/>
              </w:rPr>
              <w:t>2</w:t>
            </w:r>
            <w:r>
              <w:rPr>
                <w:rFonts w:hint="eastAsia"/>
                <w:i w:val="0"/>
                <w:iCs w:val="0"/>
                <w:snapToGrid w:val="0"/>
                <w:color w:val="000000"/>
                <w:kern w:val="0"/>
                <w:sz w:val="21"/>
                <w:szCs w:val="21"/>
              </w:rPr>
              <w:t>日</w:t>
            </w:r>
          </w:p>
        </w:tc>
        <w:tc>
          <w:tcPr>
            <w:tcW w:w="2835" w:type="dxa"/>
            <w:noWrap w:val="0"/>
            <w:vAlign w:val="center"/>
          </w:tcPr>
          <w:p>
            <w:pPr>
              <w:widowControl/>
              <w:jc w:val="center"/>
              <w:rPr>
                <w:i w:val="0"/>
                <w:iCs w:val="0"/>
                <w:snapToGrid w:val="0"/>
                <w:color w:val="000000"/>
                <w:kern w:val="0"/>
                <w:sz w:val="21"/>
                <w:szCs w:val="21"/>
              </w:rPr>
            </w:pPr>
            <w:r>
              <w:rPr>
                <w:rFonts w:hint="eastAsia"/>
                <w:i w:val="0"/>
                <w:iCs w:val="0"/>
                <w:snapToGrid w:val="0"/>
                <w:color w:val="000000"/>
                <w:kern w:val="0"/>
                <w:sz w:val="21"/>
                <w:szCs w:val="21"/>
              </w:rPr>
              <w:t>储罐阀门脱落</w:t>
            </w:r>
          </w:p>
        </w:tc>
        <w:tc>
          <w:tcPr>
            <w:tcW w:w="1747" w:type="dxa"/>
            <w:noWrap w:val="0"/>
            <w:vAlign w:val="center"/>
          </w:tcPr>
          <w:p>
            <w:pPr>
              <w:widowControl/>
              <w:jc w:val="center"/>
              <w:rPr>
                <w:i w:val="0"/>
                <w:iCs w:val="0"/>
                <w:snapToGrid w:val="0"/>
                <w:color w:val="000000"/>
                <w:kern w:val="0"/>
                <w:sz w:val="21"/>
                <w:szCs w:val="21"/>
              </w:rPr>
            </w:pPr>
            <w:r>
              <w:rPr>
                <w:rFonts w:hint="eastAsia"/>
                <w:i w:val="0"/>
                <w:iCs w:val="0"/>
                <w:snapToGrid w:val="0"/>
                <w:color w:val="000000"/>
                <w:kern w:val="0"/>
                <w:sz w:val="21"/>
                <w:szCs w:val="21"/>
              </w:rPr>
              <w:t>数百人连夜疏散</w:t>
            </w:r>
          </w:p>
        </w:tc>
        <w:tc>
          <w:tcPr>
            <w:tcW w:w="1513" w:type="dxa"/>
            <w:noWrap w:val="0"/>
            <w:vAlign w:val="center"/>
          </w:tcPr>
          <w:p>
            <w:pPr>
              <w:widowControl/>
              <w:jc w:val="center"/>
              <w:rPr>
                <w:i w:val="0"/>
                <w:iCs w:val="0"/>
                <w:snapToGrid w:val="0"/>
                <w:color w:val="000000"/>
                <w:kern w:val="0"/>
                <w:sz w:val="21"/>
                <w:szCs w:val="21"/>
              </w:rPr>
            </w:pPr>
            <w:r>
              <w:rPr>
                <w:rFonts w:hint="eastAsia"/>
                <w:i w:val="0"/>
                <w:iCs w:val="0"/>
                <w:snapToGrid w:val="0"/>
                <w:color w:val="000000"/>
                <w:kern w:val="0"/>
                <w:sz w:val="21"/>
                <w:szCs w:val="21"/>
              </w:rPr>
              <w:t>发生爆炸，四人急需治疗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noWrap w:val="0"/>
            <w:vAlign w:val="center"/>
          </w:tcPr>
          <w:p>
            <w:pPr>
              <w:widowControl/>
              <w:jc w:val="center"/>
              <w:rPr>
                <w:i w:val="0"/>
                <w:iCs w:val="0"/>
                <w:snapToGrid w:val="0"/>
                <w:color w:val="000000"/>
                <w:kern w:val="0"/>
                <w:sz w:val="21"/>
                <w:szCs w:val="21"/>
              </w:rPr>
            </w:pPr>
            <w:r>
              <w:rPr>
                <w:rFonts w:hint="eastAsia"/>
                <w:i w:val="0"/>
                <w:iCs w:val="0"/>
                <w:snapToGrid w:val="0"/>
                <w:color w:val="000000"/>
                <w:kern w:val="0"/>
                <w:sz w:val="21"/>
                <w:szCs w:val="21"/>
              </w:rPr>
              <w:t>3</w:t>
            </w:r>
          </w:p>
        </w:tc>
        <w:tc>
          <w:tcPr>
            <w:tcW w:w="992" w:type="dxa"/>
            <w:noWrap w:val="0"/>
            <w:vAlign w:val="center"/>
          </w:tcPr>
          <w:p>
            <w:pPr>
              <w:widowControl/>
              <w:jc w:val="center"/>
              <w:rPr>
                <w:i w:val="0"/>
                <w:iCs w:val="0"/>
                <w:snapToGrid w:val="0"/>
                <w:color w:val="000000"/>
                <w:kern w:val="0"/>
                <w:sz w:val="21"/>
                <w:szCs w:val="21"/>
              </w:rPr>
            </w:pPr>
            <w:r>
              <w:rPr>
                <w:rFonts w:hint="eastAsia"/>
                <w:i w:val="0"/>
                <w:iCs w:val="0"/>
                <w:snapToGrid w:val="0"/>
                <w:color w:val="000000"/>
                <w:kern w:val="0"/>
                <w:sz w:val="21"/>
                <w:szCs w:val="21"/>
              </w:rPr>
              <w:t>沈阳冷饮厂</w:t>
            </w:r>
          </w:p>
        </w:tc>
        <w:tc>
          <w:tcPr>
            <w:tcW w:w="1276" w:type="dxa"/>
            <w:noWrap w:val="0"/>
            <w:vAlign w:val="center"/>
          </w:tcPr>
          <w:p>
            <w:pPr>
              <w:widowControl/>
              <w:jc w:val="center"/>
              <w:rPr>
                <w:i w:val="0"/>
                <w:iCs w:val="0"/>
                <w:snapToGrid w:val="0"/>
                <w:color w:val="000000"/>
                <w:kern w:val="0"/>
                <w:sz w:val="21"/>
                <w:szCs w:val="21"/>
              </w:rPr>
            </w:pPr>
            <w:r>
              <w:rPr>
                <w:rFonts w:hint="eastAsia"/>
                <w:i w:val="0"/>
                <w:iCs w:val="0"/>
                <w:snapToGrid w:val="0"/>
                <w:color w:val="000000"/>
                <w:kern w:val="0"/>
                <w:sz w:val="21"/>
                <w:szCs w:val="21"/>
              </w:rPr>
              <w:t>2</w:t>
            </w:r>
            <w:r>
              <w:rPr>
                <w:i w:val="0"/>
                <w:iCs w:val="0"/>
                <w:snapToGrid w:val="0"/>
                <w:color w:val="000000"/>
                <w:kern w:val="0"/>
                <w:sz w:val="21"/>
                <w:szCs w:val="21"/>
              </w:rPr>
              <w:t>004</w:t>
            </w:r>
            <w:r>
              <w:rPr>
                <w:rFonts w:hint="eastAsia"/>
                <w:i w:val="0"/>
                <w:iCs w:val="0"/>
                <w:snapToGrid w:val="0"/>
                <w:color w:val="000000"/>
                <w:kern w:val="0"/>
                <w:sz w:val="21"/>
                <w:szCs w:val="21"/>
              </w:rPr>
              <w:t>年6月2</w:t>
            </w:r>
            <w:r>
              <w:rPr>
                <w:i w:val="0"/>
                <w:iCs w:val="0"/>
                <w:snapToGrid w:val="0"/>
                <w:color w:val="000000"/>
                <w:kern w:val="0"/>
                <w:sz w:val="21"/>
                <w:szCs w:val="21"/>
              </w:rPr>
              <w:t>0</w:t>
            </w:r>
            <w:r>
              <w:rPr>
                <w:rFonts w:hint="eastAsia"/>
                <w:i w:val="0"/>
                <w:iCs w:val="0"/>
                <w:snapToGrid w:val="0"/>
                <w:color w:val="000000"/>
                <w:kern w:val="0"/>
                <w:sz w:val="21"/>
                <w:szCs w:val="21"/>
              </w:rPr>
              <w:t>日</w:t>
            </w:r>
          </w:p>
        </w:tc>
        <w:tc>
          <w:tcPr>
            <w:tcW w:w="2835" w:type="dxa"/>
            <w:noWrap w:val="0"/>
            <w:vAlign w:val="center"/>
          </w:tcPr>
          <w:p>
            <w:pPr>
              <w:widowControl/>
              <w:jc w:val="center"/>
              <w:rPr>
                <w:i w:val="0"/>
                <w:iCs w:val="0"/>
                <w:snapToGrid w:val="0"/>
                <w:color w:val="000000"/>
                <w:kern w:val="0"/>
                <w:sz w:val="21"/>
                <w:szCs w:val="21"/>
              </w:rPr>
            </w:pPr>
            <w:r>
              <w:rPr>
                <w:rFonts w:hint="eastAsia"/>
                <w:i w:val="0"/>
                <w:iCs w:val="0"/>
                <w:snapToGrid w:val="0"/>
                <w:color w:val="000000"/>
                <w:kern w:val="0"/>
                <w:sz w:val="21"/>
                <w:szCs w:val="21"/>
              </w:rPr>
              <w:t>储罐阀门脱落</w:t>
            </w:r>
          </w:p>
        </w:tc>
        <w:tc>
          <w:tcPr>
            <w:tcW w:w="1747" w:type="dxa"/>
            <w:noWrap w:val="0"/>
            <w:vAlign w:val="center"/>
          </w:tcPr>
          <w:p>
            <w:pPr>
              <w:widowControl/>
              <w:jc w:val="center"/>
              <w:rPr>
                <w:i w:val="0"/>
                <w:iCs w:val="0"/>
                <w:snapToGrid w:val="0"/>
                <w:color w:val="000000"/>
                <w:kern w:val="0"/>
                <w:sz w:val="21"/>
                <w:szCs w:val="21"/>
              </w:rPr>
            </w:pPr>
            <w:r>
              <w:rPr>
                <w:rFonts w:hint="eastAsia"/>
                <w:i w:val="0"/>
                <w:iCs w:val="0"/>
                <w:snapToGrid w:val="0"/>
                <w:color w:val="000000"/>
                <w:kern w:val="0"/>
                <w:sz w:val="21"/>
                <w:szCs w:val="21"/>
              </w:rPr>
              <w:t>近距离人员受到影响</w:t>
            </w:r>
          </w:p>
        </w:tc>
        <w:tc>
          <w:tcPr>
            <w:tcW w:w="1513" w:type="dxa"/>
            <w:noWrap w:val="0"/>
            <w:vAlign w:val="center"/>
          </w:tcPr>
          <w:p>
            <w:pPr>
              <w:widowControl/>
              <w:jc w:val="center"/>
              <w:rPr>
                <w:i w:val="0"/>
                <w:iCs w:val="0"/>
                <w:snapToGrid w:val="0"/>
                <w:color w:val="000000"/>
                <w:kern w:val="0"/>
                <w:sz w:val="21"/>
                <w:szCs w:val="21"/>
              </w:rPr>
            </w:pPr>
            <w:r>
              <w:rPr>
                <w:rFonts w:hint="eastAsia"/>
                <w:i w:val="0"/>
                <w:iCs w:val="0"/>
                <w:snapToGrid w:val="0"/>
                <w:color w:val="000000"/>
                <w:kern w:val="0"/>
                <w:sz w:val="21"/>
                <w:szCs w:val="21"/>
              </w:rPr>
              <w:t>无伤亡</w:t>
            </w:r>
          </w:p>
        </w:tc>
      </w:tr>
    </w:tbl>
    <w:p>
      <w:pPr>
        <w:pStyle w:val="415"/>
        <w:spacing w:before="120" w:after="120"/>
        <w:rPr>
          <w:i w:val="0"/>
          <w:iCs w:val="0"/>
          <w:color w:val="000000"/>
        </w:rPr>
      </w:pPr>
      <w:bookmarkStart w:id="246" w:name="_Toc15193"/>
      <w:bookmarkStart w:id="247" w:name="_Toc123993302"/>
      <w:bookmarkStart w:id="248" w:name="_Toc101709085"/>
      <w:r>
        <w:rPr>
          <w:rFonts w:hint="eastAsia"/>
          <w:i w:val="0"/>
          <w:iCs w:val="0"/>
          <w:color w:val="000000"/>
        </w:rPr>
        <w:t>7.4 风险事故情形分析</w:t>
      </w:r>
      <w:bookmarkEnd w:id="246"/>
      <w:bookmarkEnd w:id="247"/>
      <w:bookmarkEnd w:id="248"/>
    </w:p>
    <w:p>
      <w:pPr>
        <w:keepNext/>
        <w:keepLines/>
        <w:spacing w:line="360" w:lineRule="auto"/>
        <w:outlineLvl w:val="2"/>
        <w:rPr>
          <w:b/>
          <w:i w:val="0"/>
          <w:iCs w:val="0"/>
          <w:color w:val="000000"/>
        </w:rPr>
      </w:pPr>
      <w:bookmarkStart w:id="249" w:name="_Toc123993303"/>
      <w:r>
        <w:rPr>
          <w:rFonts w:hint="eastAsia"/>
          <w:b/>
          <w:i w:val="0"/>
          <w:iCs w:val="0"/>
          <w:color w:val="000000"/>
        </w:rPr>
        <w:t xml:space="preserve">7.4.1 </w:t>
      </w:r>
      <w:r>
        <w:rPr>
          <w:b/>
          <w:i w:val="0"/>
          <w:iCs w:val="0"/>
          <w:color w:val="000000"/>
        </w:rPr>
        <w:t>风险事故情形设定</w:t>
      </w:r>
      <w:bookmarkEnd w:id="249"/>
    </w:p>
    <w:p>
      <w:pPr>
        <w:tabs>
          <w:tab w:val="left" w:pos="4095"/>
        </w:tabs>
        <w:topLinePunct/>
        <w:spacing w:line="360" w:lineRule="auto"/>
        <w:ind w:firstLine="480" w:firstLineChars="200"/>
        <w:jc w:val="left"/>
        <w:rPr>
          <w:rFonts w:cs="宋体"/>
          <w:i w:val="0"/>
          <w:iCs w:val="0"/>
          <w:snapToGrid w:val="0"/>
          <w:color w:val="000000"/>
          <w:lang w:val="zh-CN"/>
        </w:rPr>
      </w:pPr>
      <w:r>
        <w:rPr>
          <w:rFonts w:hint="eastAsia" w:cs="宋体"/>
          <w:i w:val="0"/>
          <w:iCs w:val="0"/>
          <w:snapToGrid w:val="0"/>
          <w:color w:val="000000"/>
          <w:lang w:val="zh-CN"/>
        </w:rPr>
        <w:t>根据风险识别确定本项目风险事故情形设定如表</w:t>
      </w:r>
      <w:r>
        <w:rPr>
          <w:rFonts w:hint="eastAsia" w:cs="宋体"/>
          <w:i w:val="0"/>
          <w:iCs w:val="0"/>
          <w:snapToGrid w:val="0"/>
          <w:color w:val="000000"/>
        </w:rPr>
        <w:t>7-23</w:t>
      </w:r>
      <w:r>
        <w:rPr>
          <w:rFonts w:hint="eastAsia" w:cs="宋体"/>
          <w:i w:val="0"/>
          <w:iCs w:val="0"/>
          <w:snapToGrid w:val="0"/>
          <w:color w:val="000000"/>
          <w:lang w:val="zh-CN"/>
        </w:rPr>
        <w:t>所示：</w:t>
      </w:r>
    </w:p>
    <w:p>
      <w:pPr>
        <w:widowControl/>
        <w:spacing w:before="120" w:beforeLines="50" w:after="120" w:afterLines="50"/>
        <w:jc w:val="center"/>
        <w:rPr>
          <w:rFonts w:hint="eastAsia"/>
          <w:b/>
          <w:bCs/>
          <w:i w:val="0"/>
          <w:iCs w:val="0"/>
          <w:color w:val="000000"/>
          <w:szCs w:val="20"/>
        </w:rPr>
      </w:pPr>
    </w:p>
    <w:p>
      <w:pPr>
        <w:widowControl/>
        <w:spacing w:before="120" w:beforeLines="50" w:after="120" w:afterLines="50"/>
        <w:jc w:val="center"/>
        <w:rPr>
          <w:rFonts w:hint="eastAsia"/>
          <w:b/>
          <w:bCs/>
          <w:i w:val="0"/>
          <w:iCs w:val="0"/>
          <w:color w:val="000000"/>
          <w:szCs w:val="20"/>
        </w:rPr>
      </w:pPr>
    </w:p>
    <w:p>
      <w:pPr>
        <w:widowControl/>
        <w:jc w:val="center"/>
        <w:rPr>
          <w:rFonts w:hint="eastAsia"/>
          <w:b/>
          <w:bCs/>
          <w:i w:val="0"/>
          <w:iCs w:val="0"/>
          <w:color w:val="000000"/>
          <w:szCs w:val="20"/>
        </w:rPr>
      </w:pPr>
      <w:r>
        <w:rPr>
          <w:rFonts w:hint="eastAsia"/>
          <w:b/>
          <w:bCs/>
          <w:i w:val="0"/>
          <w:iCs w:val="0"/>
          <w:color w:val="000000"/>
          <w:szCs w:val="20"/>
        </w:rPr>
        <w:t>表7-23   本项目环境风险事故类型及影响</w:t>
      </w:r>
    </w:p>
    <w:tbl>
      <w:tblPr>
        <w:tblStyle w:val="58"/>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2069"/>
        <w:gridCol w:w="3680"/>
        <w:gridCol w:w="20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20" w:type="dxa"/>
            <w:noWrap w:val="0"/>
            <w:vAlign w:val="center"/>
          </w:tcPr>
          <w:p>
            <w:pPr>
              <w:jc w:val="center"/>
              <w:rPr>
                <w:b/>
                <w:bCs/>
                <w:i w:val="0"/>
                <w:iCs w:val="0"/>
                <w:color w:val="000000"/>
                <w:sz w:val="21"/>
                <w:szCs w:val="21"/>
              </w:rPr>
            </w:pPr>
            <w:r>
              <w:rPr>
                <w:rFonts w:hint="eastAsia"/>
                <w:b/>
                <w:bCs/>
                <w:i w:val="0"/>
                <w:iCs w:val="0"/>
                <w:color w:val="000000"/>
                <w:sz w:val="21"/>
                <w:szCs w:val="21"/>
              </w:rPr>
              <w:t>危险单元</w:t>
            </w:r>
          </w:p>
        </w:tc>
        <w:tc>
          <w:tcPr>
            <w:tcW w:w="2069" w:type="dxa"/>
            <w:noWrap w:val="0"/>
            <w:vAlign w:val="center"/>
          </w:tcPr>
          <w:p>
            <w:pPr>
              <w:jc w:val="center"/>
              <w:rPr>
                <w:b/>
                <w:bCs/>
                <w:i w:val="0"/>
                <w:iCs w:val="0"/>
                <w:color w:val="000000"/>
                <w:sz w:val="21"/>
                <w:szCs w:val="21"/>
              </w:rPr>
            </w:pPr>
            <w:r>
              <w:rPr>
                <w:rFonts w:hint="eastAsia"/>
                <w:b/>
                <w:bCs/>
                <w:i w:val="0"/>
                <w:iCs w:val="0"/>
                <w:color w:val="000000"/>
                <w:sz w:val="21"/>
                <w:szCs w:val="21"/>
              </w:rPr>
              <w:t>风险事故类型</w:t>
            </w:r>
          </w:p>
        </w:tc>
        <w:tc>
          <w:tcPr>
            <w:tcW w:w="3680" w:type="dxa"/>
            <w:noWrap w:val="0"/>
            <w:vAlign w:val="center"/>
          </w:tcPr>
          <w:p>
            <w:pPr>
              <w:jc w:val="center"/>
              <w:rPr>
                <w:b/>
                <w:bCs/>
                <w:i w:val="0"/>
                <w:iCs w:val="0"/>
                <w:color w:val="000000"/>
                <w:sz w:val="21"/>
                <w:szCs w:val="21"/>
              </w:rPr>
            </w:pPr>
            <w:r>
              <w:rPr>
                <w:rFonts w:hint="eastAsia"/>
                <w:b/>
                <w:bCs/>
                <w:i w:val="0"/>
                <w:iCs w:val="0"/>
                <w:color w:val="000000"/>
                <w:sz w:val="21"/>
                <w:szCs w:val="21"/>
              </w:rPr>
              <w:t>事故原因</w:t>
            </w:r>
          </w:p>
        </w:tc>
        <w:tc>
          <w:tcPr>
            <w:tcW w:w="2002" w:type="dxa"/>
            <w:noWrap w:val="0"/>
            <w:vAlign w:val="center"/>
          </w:tcPr>
          <w:p>
            <w:pPr>
              <w:jc w:val="center"/>
              <w:rPr>
                <w:b/>
                <w:bCs/>
                <w:i w:val="0"/>
                <w:iCs w:val="0"/>
                <w:color w:val="000000"/>
                <w:sz w:val="21"/>
                <w:szCs w:val="21"/>
              </w:rPr>
            </w:pPr>
            <w:r>
              <w:rPr>
                <w:rFonts w:hint="eastAsia"/>
                <w:b/>
                <w:bCs/>
                <w:i w:val="0"/>
                <w:iCs w:val="0"/>
                <w:color w:val="000000"/>
                <w:sz w:val="21"/>
                <w:szCs w:val="21"/>
              </w:rPr>
              <w:t>环境影响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6" w:hRule="atLeast"/>
          <w:jc w:val="center"/>
        </w:trPr>
        <w:tc>
          <w:tcPr>
            <w:tcW w:w="1320" w:type="dxa"/>
            <w:noWrap w:val="0"/>
            <w:vAlign w:val="center"/>
          </w:tcPr>
          <w:p>
            <w:pPr>
              <w:widowControl/>
              <w:jc w:val="center"/>
              <w:rPr>
                <w:rFonts w:hint="eastAsia"/>
                <w:i w:val="0"/>
                <w:iCs w:val="0"/>
                <w:snapToGrid w:val="0"/>
                <w:color w:val="000000"/>
                <w:kern w:val="0"/>
                <w:sz w:val="21"/>
                <w:szCs w:val="21"/>
              </w:rPr>
            </w:pPr>
            <w:r>
              <w:rPr>
                <w:rFonts w:hint="eastAsia"/>
                <w:i w:val="0"/>
                <w:iCs w:val="0"/>
                <w:snapToGrid w:val="0"/>
                <w:color w:val="000000"/>
                <w:kern w:val="0"/>
                <w:sz w:val="21"/>
                <w:szCs w:val="21"/>
              </w:rPr>
              <w:t>储运单元</w:t>
            </w:r>
          </w:p>
        </w:tc>
        <w:tc>
          <w:tcPr>
            <w:tcW w:w="2069" w:type="dxa"/>
            <w:noWrap w:val="0"/>
            <w:vAlign w:val="center"/>
          </w:tcPr>
          <w:p>
            <w:pPr>
              <w:widowControl/>
              <w:jc w:val="center"/>
              <w:rPr>
                <w:rFonts w:hint="eastAsia"/>
                <w:i w:val="0"/>
                <w:iCs w:val="0"/>
                <w:snapToGrid w:val="0"/>
                <w:color w:val="000000"/>
                <w:kern w:val="0"/>
                <w:sz w:val="21"/>
                <w:szCs w:val="21"/>
              </w:rPr>
            </w:pPr>
            <w:r>
              <w:rPr>
                <w:rFonts w:hint="eastAsia"/>
                <w:i w:val="0"/>
                <w:iCs w:val="0"/>
                <w:snapToGrid w:val="0"/>
                <w:color w:val="000000"/>
                <w:kern w:val="0"/>
                <w:sz w:val="21"/>
                <w:szCs w:val="21"/>
              </w:rPr>
              <w:t>氨水及乙醇泄漏并引发火灾爆炸</w:t>
            </w:r>
          </w:p>
        </w:tc>
        <w:tc>
          <w:tcPr>
            <w:tcW w:w="3680" w:type="dxa"/>
            <w:noWrap w:val="0"/>
            <w:vAlign w:val="center"/>
          </w:tcPr>
          <w:p>
            <w:pPr>
              <w:widowControl/>
              <w:jc w:val="center"/>
              <w:rPr>
                <w:rFonts w:hint="eastAsia"/>
                <w:i w:val="0"/>
                <w:iCs w:val="0"/>
                <w:snapToGrid w:val="0"/>
                <w:color w:val="000000"/>
                <w:kern w:val="0"/>
                <w:sz w:val="21"/>
                <w:szCs w:val="21"/>
              </w:rPr>
            </w:pPr>
            <w:r>
              <w:rPr>
                <w:rFonts w:hint="eastAsia"/>
                <w:i w:val="0"/>
                <w:iCs w:val="0"/>
                <w:snapToGrid w:val="0"/>
                <w:color w:val="000000"/>
                <w:kern w:val="0"/>
                <w:sz w:val="21"/>
                <w:szCs w:val="21"/>
              </w:rPr>
              <w:t>操作失误、设备腐蚀泄漏、材质缺陷物料泄漏、遇火源发生火灾、爆炸</w:t>
            </w:r>
          </w:p>
        </w:tc>
        <w:tc>
          <w:tcPr>
            <w:tcW w:w="2002" w:type="dxa"/>
            <w:noWrap w:val="0"/>
            <w:vAlign w:val="center"/>
          </w:tcPr>
          <w:p>
            <w:pPr>
              <w:widowControl/>
              <w:jc w:val="center"/>
              <w:rPr>
                <w:rFonts w:hint="eastAsia"/>
                <w:i w:val="0"/>
                <w:iCs w:val="0"/>
                <w:snapToGrid w:val="0"/>
                <w:color w:val="000000"/>
                <w:kern w:val="0"/>
                <w:sz w:val="21"/>
                <w:szCs w:val="21"/>
              </w:rPr>
            </w:pPr>
            <w:r>
              <w:rPr>
                <w:rFonts w:hint="eastAsia"/>
                <w:i w:val="0"/>
                <w:iCs w:val="0"/>
                <w:snapToGrid w:val="0"/>
                <w:color w:val="000000"/>
                <w:kern w:val="0"/>
                <w:sz w:val="21"/>
                <w:szCs w:val="21"/>
              </w:rPr>
              <w:t>大气污染/水体污染/人体健康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1320" w:type="dxa"/>
            <w:noWrap w:val="0"/>
            <w:vAlign w:val="center"/>
          </w:tcPr>
          <w:p>
            <w:pPr>
              <w:widowControl/>
              <w:jc w:val="center"/>
              <w:rPr>
                <w:rFonts w:hint="eastAsia"/>
                <w:i w:val="0"/>
                <w:iCs w:val="0"/>
                <w:snapToGrid w:val="0"/>
                <w:color w:val="000000"/>
                <w:kern w:val="0"/>
                <w:sz w:val="21"/>
                <w:szCs w:val="21"/>
              </w:rPr>
            </w:pPr>
            <w:r>
              <w:rPr>
                <w:rFonts w:hint="eastAsia"/>
                <w:i w:val="0"/>
                <w:iCs w:val="0"/>
                <w:snapToGrid w:val="0"/>
                <w:color w:val="000000"/>
                <w:kern w:val="0"/>
                <w:sz w:val="21"/>
                <w:szCs w:val="21"/>
              </w:rPr>
              <w:t>公用单元</w:t>
            </w:r>
          </w:p>
        </w:tc>
        <w:tc>
          <w:tcPr>
            <w:tcW w:w="2069" w:type="dxa"/>
            <w:noWrap w:val="0"/>
            <w:vAlign w:val="center"/>
          </w:tcPr>
          <w:p>
            <w:pPr>
              <w:widowControl/>
              <w:jc w:val="center"/>
              <w:rPr>
                <w:rFonts w:hint="eastAsia"/>
                <w:i w:val="0"/>
                <w:iCs w:val="0"/>
                <w:snapToGrid w:val="0"/>
                <w:color w:val="000000"/>
                <w:kern w:val="0"/>
                <w:sz w:val="21"/>
                <w:szCs w:val="21"/>
              </w:rPr>
            </w:pPr>
            <w:r>
              <w:rPr>
                <w:rFonts w:hint="eastAsia"/>
                <w:i w:val="0"/>
                <w:iCs w:val="0"/>
                <w:snapToGrid w:val="0"/>
                <w:color w:val="000000"/>
                <w:kern w:val="0"/>
                <w:sz w:val="21"/>
                <w:szCs w:val="21"/>
              </w:rPr>
              <w:t>危品库储存氨水、乙醇、乙醚、盐酸、硫酸、三氯甲烷、甲苯、丙酮、硝酸泄露并引发火灾</w:t>
            </w:r>
          </w:p>
        </w:tc>
        <w:tc>
          <w:tcPr>
            <w:tcW w:w="3680" w:type="dxa"/>
            <w:noWrap w:val="0"/>
            <w:vAlign w:val="center"/>
          </w:tcPr>
          <w:p>
            <w:pPr>
              <w:widowControl/>
              <w:jc w:val="center"/>
              <w:rPr>
                <w:rFonts w:hint="eastAsia"/>
                <w:i w:val="0"/>
                <w:iCs w:val="0"/>
                <w:snapToGrid w:val="0"/>
                <w:color w:val="000000"/>
                <w:kern w:val="0"/>
                <w:sz w:val="21"/>
                <w:szCs w:val="21"/>
              </w:rPr>
            </w:pPr>
            <w:r>
              <w:rPr>
                <w:rFonts w:hint="eastAsia"/>
                <w:i w:val="0"/>
                <w:iCs w:val="0"/>
                <w:snapToGrid w:val="0"/>
                <w:color w:val="000000"/>
                <w:kern w:val="0"/>
                <w:sz w:val="21"/>
                <w:szCs w:val="21"/>
              </w:rPr>
              <w:t>材质缺陷物料泄漏、遇火源发生火灾、爆炸</w:t>
            </w:r>
          </w:p>
        </w:tc>
        <w:tc>
          <w:tcPr>
            <w:tcW w:w="2002" w:type="dxa"/>
            <w:noWrap w:val="0"/>
            <w:vAlign w:val="center"/>
          </w:tcPr>
          <w:p>
            <w:pPr>
              <w:widowControl/>
              <w:jc w:val="center"/>
              <w:rPr>
                <w:rFonts w:hint="eastAsia"/>
                <w:i w:val="0"/>
                <w:iCs w:val="0"/>
                <w:snapToGrid w:val="0"/>
                <w:color w:val="000000"/>
                <w:kern w:val="0"/>
                <w:sz w:val="21"/>
                <w:szCs w:val="21"/>
              </w:rPr>
            </w:pPr>
            <w:r>
              <w:rPr>
                <w:rFonts w:hint="eastAsia"/>
                <w:i w:val="0"/>
                <w:iCs w:val="0"/>
                <w:snapToGrid w:val="0"/>
                <w:color w:val="000000"/>
                <w:kern w:val="0"/>
                <w:sz w:val="21"/>
                <w:szCs w:val="21"/>
              </w:rPr>
              <w:t>大气污染/水体污染/人体健康</w:t>
            </w:r>
          </w:p>
        </w:tc>
      </w:tr>
    </w:tbl>
    <w:p>
      <w:pPr>
        <w:keepNext/>
        <w:keepLines/>
        <w:widowControl/>
        <w:spacing w:before="120" w:beforeLines="50" w:line="360" w:lineRule="auto"/>
        <w:outlineLvl w:val="2"/>
        <w:rPr>
          <w:b/>
          <w:bCs/>
          <w:i w:val="0"/>
          <w:iCs w:val="0"/>
          <w:color w:val="000000"/>
          <w:szCs w:val="32"/>
        </w:rPr>
      </w:pPr>
      <w:bookmarkStart w:id="250" w:name="_Toc123993304"/>
      <w:r>
        <w:rPr>
          <w:rFonts w:hint="eastAsia"/>
          <w:b/>
          <w:bCs/>
          <w:i w:val="0"/>
          <w:iCs w:val="0"/>
          <w:color w:val="000000"/>
          <w:szCs w:val="32"/>
        </w:rPr>
        <w:t>7.4.2 源项分析</w:t>
      </w:r>
      <w:bookmarkEnd w:id="250"/>
    </w:p>
    <w:p>
      <w:pPr>
        <w:tabs>
          <w:tab w:val="left" w:pos="4095"/>
        </w:tabs>
        <w:topLinePunct/>
        <w:spacing w:line="360" w:lineRule="auto"/>
        <w:ind w:firstLine="480" w:firstLineChars="200"/>
        <w:jc w:val="left"/>
        <w:rPr>
          <w:rFonts w:cs="宋体"/>
          <w:i w:val="0"/>
          <w:iCs w:val="0"/>
          <w:snapToGrid w:val="0"/>
          <w:color w:val="000000"/>
          <w:kern w:val="0"/>
          <w:lang w:val="zh-CN"/>
        </w:rPr>
      </w:pPr>
      <w:r>
        <w:rPr>
          <w:rFonts w:hint="eastAsia" w:ascii="宋体" w:hAnsi="宋体" w:cs="宋体"/>
          <w:i w:val="0"/>
          <w:iCs w:val="0"/>
          <w:snapToGrid w:val="0"/>
          <w:color w:val="000000"/>
          <w:kern w:val="0"/>
          <w:lang w:val="zh-CN"/>
        </w:rPr>
        <w:t>⑴</w:t>
      </w:r>
      <w:r>
        <w:rPr>
          <w:rFonts w:hint="eastAsia" w:cs="宋体"/>
          <w:i w:val="0"/>
          <w:iCs w:val="0"/>
          <w:snapToGrid w:val="0"/>
          <w:color w:val="000000"/>
          <w:kern w:val="0"/>
          <w:lang w:val="zh-CN"/>
        </w:rPr>
        <w:t>最大可信事故</w:t>
      </w:r>
    </w:p>
    <w:p>
      <w:pPr>
        <w:tabs>
          <w:tab w:val="left" w:pos="4095"/>
        </w:tabs>
        <w:topLinePunct/>
        <w:spacing w:line="360" w:lineRule="auto"/>
        <w:ind w:firstLine="480" w:firstLineChars="200"/>
        <w:jc w:val="left"/>
        <w:rPr>
          <w:rFonts w:cs="宋体"/>
          <w:i w:val="0"/>
          <w:iCs w:val="0"/>
          <w:snapToGrid w:val="0"/>
          <w:color w:val="000000"/>
          <w:kern w:val="0"/>
          <w:lang w:val="zh-CN"/>
        </w:rPr>
      </w:pPr>
      <w:r>
        <w:rPr>
          <w:rFonts w:hint="eastAsia" w:ascii="宋体" w:hAnsi="宋体" w:cs="宋体"/>
          <w:i w:val="0"/>
          <w:iCs w:val="0"/>
          <w:snapToGrid w:val="0"/>
          <w:color w:val="000000"/>
          <w:kern w:val="0"/>
          <w:lang w:val="zh-CN"/>
        </w:rPr>
        <w:t>①</w:t>
      </w:r>
      <w:r>
        <w:rPr>
          <w:rFonts w:hint="eastAsia" w:cs="宋体"/>
          <w:i w:val="0"/>
          <w:iCs w:val="0"/>
          <w:snapToGrid w:val="0"/>
          <w:color w:val="000000"/>
          <w:kern w:val="0"/>
          <w:lang w:val="zh-CN"/>
        </w:rPr>
        <w:t>泄露风险发生概率参考资料</w:t>
      </w:r>
    </w:p>
    <w:p>
      <w:pPr>
        <w:tabs>
          <w:tab w:val="left" w:pos="4095"/>
        </w:tabs>
        <w:topLinePunct/>
        <w:spacing w:line="360" w:lineRule="auto"/>
        <w:ind w:firstLine="480" w:firstLineChars="200"/>
        <w:jc w:val="left"/>
        <w:rPr>
          <w:rFonts w:cs="宋体"/>
          <w:i w:val="0"/>
          <w:iCs w:val="0"/>
          <w:snapToGrid w:val="0"/>
          <w:color w:val="000000"/>
          <w:kern w:val="0"/>
          <w:lang w:val="zh-CN"/>
        </w:rPr>
      </w:pPr>
      <w:r>
        <w:rPr>
          <w:rFonts w:hint="eastAsia" w:cs="宋体"/>
          <w:i w:val="0"/>
          <w:iCs w:val="0"/>
          <w:snapToGrid w:val="0"/>
          <w:color w:val="000000"/>
          <w:kern w:val="0"/>
          <w:lang w:val="zh-CN"/>
        </w:rPr>
        <w:t>根据《建设项目环境风险评价技术导则》（HJ169-2018）“附录E 泄漏频率表”见表</w:t>
      </w:r>
      <w:r>
        <w:rPr>
          <w:rFonts w:hint="eastAsia" w:cs="宋体"/>
          <w:i w:val="0"/>
          <w:iCs w:val="0"/>
          <w:snapToGrid w:val="0"/>
          <w:color w:val="000000"/>
          <w:kern w:val="0"/>
        </w:rPr>
        <w:t>7-24</w:t>
      </w:r>
      <w:r>
        <w:rPr>
          <w:rFonts w:hint="eastAsia" w:cs="宋体"/>
          <w:i w:val="0"/>
          <w:iCs w:val="0"/>
          <w:snapToGrid w:val="0"/>
          <w:color w:val="000000"/>
          <w:kern w:val="0"/>
          <w:lang w:val="zh-CN"/>
        </w:rPr>
        <w:t>。</w:t>
      </w:r>
    </w:p>
    <w:p>
      <w:pPr>
        <w:widowControl/>
        <w:jc w:val="center"/>
        <w:rPr>
          <w:rFonts w:hint="eastAsia"/>
          <w:b/>
          <w:bCs/>
          <w:i w:val="0"/>
          <w:iCs w:val="0"/>
          <w:color w:val="000000"/>
          <w:szCs w:val="20"/>
          <w:lang w:val="zh-CN"/>
        </w:rPr>
      </w:pPr>
      <w:r>
        <w:rPr>
          <w:rFonts w:hint="eastAsia"/>
          <w:b/>
          <w:bCs/>
          <w:i w:val="0"/>
          <w:iCs w:val="0"/>
          <w:color w:val="000000"/>
          <w:szCs w:val="20"/>
          <w:lang w:val="zh-CN"/>
        </w:rPr>
        <w:t>表</w:t>
      </w:r>
      <w:r>
        <w:rPr>
          <w:rFonts w:hint="eastAsia"/>
          <w:b/>
          <w:bCs/>
          <w:i w:val="0"/>
          <w:iCs w:val="0"/>
          <w:color w:val="000000"/>
          <w:szCs w:val="20"/>
        </w:rPr>
        <w:t>7</w:t>
      </w:r>
      <w:r>
        <w:rPr>
          <w:rFonts w:hint="eastAsia"/>
          <w:b/>
          <w:bCs/>
          <w:i w:val="0"/>
          <w:iCs w:val="0"/>
          <w:color w:val="000000"/>
          <w:szCs w:val="20"/>
          <w:lang w:val="zh-CN"/>
        </w:rPr>
        <w:t>-2</w:t>
      </w:r>
      <w:r>
        <w:rPr>
          <w:rFonts w:hint="eastAsia"/>
          <w:b/>
          <w:bCs/>
          <w:i w:val="0"/>
          <w:iCs w:val="0"/>
          <w:color w:val="000000"/>
          <w:szCs w:val="20"/>
        </w:rPr>
        <w:t>4</w:t>
      </w:r>
      <w:r>
        <w:rPr>
          <w:rFonts w:hint="eastAsia"/>
          <w:b/>
          <w:bCs/>
          <w:i w:val="0"/>
          <w:iCs w:val="0"/>
          <w:color w:val="000000"/>
          <w:szCs w:val="20"/>
          <w:lang w:val="zh-CN"/>
        </w:rPr>
        <w:t xml:space="preserve">  风险概率表</w:t>
      </w:r>
    </w:p>
    <w:tbl>
      <w:tblPr>
        <w:tblStyle w:val="58"/>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3213"/>
        <w:gridCol w:w="30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35" w:type="dxa"/>
            <w:noWrap w:val="0"/>
            <w:vAlign w:val="center"/>
          </w:tcPr>
          <w:p>
            <w:pPr>
              <w:tabs>
                <w:tab w:val="left" w:pos="4095"/>
              </w:tabs>
              <w:topLinePunct/>
              <w:jc w:val="center"/>
              <w:rPr>
                <w:rFonts w:cs="宋体"/>
                <w:b/>
                <w:bCs/>
                <w:i w:val="0"/>
                <w:iCs w:val="0"/>
                <w:snapToGrid w:val="0"/>
                <w:color w:val="000000"/>
                <w:kern w:val="0"/>
                <w:sz w:val="21"/>
                <w:szCs w:val="21"/>
                <w:lang w:val="zh-CN"/>
              </w:rPr>
            </w:pPr>
            <w:r>
              <w:rPr>
                <w:rFonts w:hint="eastAsia" w:cs="宋体"/>
                <w:b/>
                <w:bCs/>
                <w:i w:val="0"/>
                <w:iCs w:val="0"/>
                <w:snapToGrid w:val="0"/>
                <w:color w:val="000000"/>
                <w:kern w:val="0"/>
                <w:sz w:val="21"/>
                <w:szCs w:val="21"/>
                <w:lang w:val="zh-CN"/>
              </w:rPr>
              <w:t>部件类型</w:t>
            </w:r>
          </w:p>
        </w:tc>
        <w:tc>
          <w:tcPr>
            <w:tcW w:w="3213" w:type="dxa"/>
            <w:noWrap w:val="0"/>
            <w:vAlign w:val="center"/>
          </w:tcPr>
          <w:p>
            <w:pPr>
              <w:tabs>
                <w:tab w:val="left" w:pos="4095"/>
              </w:tabs>
              <w:topLinePunct/>
              <w:jc w:val="center"/>
              <w:rPr>
                <w:rFonts w:cs="宋体"/>
                <w:b/>
                <w:bCs/>
                <w:i w:val="0"/>
                <w:iCs w:val="0"/>
                <w:snapToGrid w:val="0"/>
                <w:color w:val="000000"/>
                <w:kern w:val="0"/>
                <w:sz w:val="21"/>
                <w:szCs w:val="21"/>
                <w:lang w:val="zh-CN"/>
              </w:rPr>
            </w:pPr>
            <w:r>
              <w:rPr>
                <w:rFonts w:hint="eastAsia" w:cs="宋体"/>
                <w:b/>
                <w:bCs/>
                <w:i w:val="0"/>
                <w:iCs w:val="0"/>
                <w:snapToGrid w:val="0"/>
                <w:color w:val="000000"/>
                <w:kern w:val="0"/>
                <w:sz w:val="21"/>
                <w:szCs w:val="21"/>
                <w:lang w:val="zh-CN"/>
              </w:rPr>
              <w:t>泄露模式</w:t>
            </w:r>
          </w:p>
        </w:tc>
        <w:tc>
          <w:tcPr>
            <w:tcW w:w="3024" w:type="dxa"/>
            <w:noWrap w:val="0"/>
            <w:vAlign w:val="center"/>
          </w:tcPr>
          <w:p>
            <w:pPr>
              <w:tabs>
                <w:tab w:val="left" w:pos="4095"/>
              </w:tabs>
              <w:topLinePunct/>
              <w:jc w:val="center"/>
              <w:rPr>
                <w:rFonts w:cs="宋体"/>
                <w:b/>
                <w:bCs/>
                <w:i w:val="0"/>
                <w:iCs w:val="0"/>
                <w:snapToGrid w:val="0"/>
                <w:color w:val="000000"/>
                <w:kern w:val="0"/>
                <w:sz w:val="21"/>
                <w:szCs w:val="21"/>
                <w:lang w:val="zh-CN"/>
              </w:rPr>
            </w:pPr>
            <w:r>
              <w:rPr>
                <w:rFonts w:hint="eastAsia" w:cs="宋体"/>
                <w:b/>
                <w:bCs/>
                <w:i w:val="0"/>
                <w:iCs w:val="0"/>
                <w:snapToGrid w:val="0"/>
                <w:color w:val="000000"/>
                <w:kern w:val="0"/>
                <w:sz w:val="21"/>
                <w:szCs w:val="21"/>
                <w:lang w:val="zh-CN"/>
              </w:rPr>
              <w:t>泄露频率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35"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反应器/工艺储罐/气体储罐/塔器</w:t>
            </w:r>
          </w:p>
        </w:tc>
        <w:tc>
          <w:tcPr>
            <w:tcW w:w="3213"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泄漏孔径为10mm孔径</w:t>
            </w:r>
          </w:p>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10min内储罐泄漏完</w:t>
            </w:r>
          </w:p>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储罐全破裂</w:t>
            </w:r>
          </w:p>
        </w:tc>
        <w:tc>
          <w:tcPr>
            <w:tcW w:w="3024" w:type="dxa"/>
            <w:noWrap w:val="0"/>
            <w:vAlign w:val="center"/>
          </w:tcPr>
          <w:p>
            <w:pPr>
              <w:tabs>
                <w:tab w:val="left" w:pos="4095"/>
              </w:tabs>
              <w:topLinePunct/>
              <w:jc w:val="center"/>
              <w:rPr>
                <w:rFonts w:cs="宋体"/>
                <w:i w:val="0"/>
                <w:iCs w:val="0"/>
                <w:snapToGrid w:val="0"/>
                <w:color w:val="000000"/>
                <w:kern w:val="0"/>
                <w:sz w:val="21"/>
                <w:szCs w:val="21"/>
                <w:lang w:val="zh-CN"/>
              </w:rPr>
            </w:pPr>
            <w:r>
              <w:rPr>
                <w:rFonts w:cs="宋体"/>
                <w:i w:val="0"/>
                <w:iCs w:val="0"/>
                <w:snapToGrid w:val="0"/>
                <w:color w:val="000000"/>
                <w:kern w:val="0"/>
                <w:sz w:val="21"/>
                <w:szCs w:val="21"/>
                <w:lang w:val="zh-CN"/>
              </w:rPr>
              <w:t>1.00×10</w:t>
            </w:r>
            <w:r>
              <w:rPr>
                <w:rFonts w:cs="宋体"/>
                <w:i w:val="0"/>
                <w:iCs w:val="0"/>
                <w:snapToGrid w:val="0"/>
                <w:color w:val="000000"/>
                <w:kern w:val="0"/>
                <w:sz w:val="21"/>
                <w:szCs w:val="21"/>
                <w:vertAlign w:val="superscript"/>
                <w:lang w:val="zh-CN"/>
              </w:rPr>
              <w:t>-4</w:t>
            </w:r>
            <w:r>
              <w:rPr>
                <w:rFonts w:cs="宋体"/>
                <w:i w:val="0"/>
                <w:iCs w:val="0"/>
                <w:snapToGrid w:val="0"/>
                <w:color w:val="000000"/>
                <w:kern w:val="0"/>
                <w:sz w:val="21"/>
                <w:szCs w:val="21"/>
                <w:lang w:val="zh-CN"/>
              </w:rPr>
              <w:t>/a</w:t>
            </w:r>
          </w:p>
          <w:p>
            <w:pPr>
              <w:tabs>
                <w:tab w:val="left" w:pos="4095"/>
              </w:tabs>
              <w:topLinePunct/>
              <w:jc w:val="center"/>
              <w:rPr>
                <w:rFonts w:cs="宋体"/>
                <w:i w:val="0"/>
                <w:iCs w:val="0"/>
                <w:snapToGrid w:val="0"/>
                <w:color w:val="000000"/>
                <w:kern w:val="0"/>
                <w:sz w:val="21"/>
                <w:szCs w:val="21"/>
                <w:lang w:val="zh-CN"/>
              </w:rPr>
            </w:pPr>
            <w:r>
              <w:rPr>
                <w:rFonts w:cs="宋体"/>
                <w:i w:val="0"/>
                <w:iCs w:val="0"/>
                <w:snapToGrid w:val="0"/>
                <w:color w:val="000000"/>
                <w:kern w:val="0"/>
                <w:sz w:val="21"/>
                <w:szCs w:val="21"/>
                <w:lang w:val="zh-CN"/>
              </w:rPr>
              <w:t>5.00×10</w:t>
            </w:r>
            <w:r>
              <w:rPr>
                <w:rFonts w:cs="宋体"/>
                <w:i w:val="0"/>
                <w:iCs w:val="0"/>
                <w:snapToGrid w:val="0"/>
                <w:color w:val="000000"/>
                <w:kern w:val="0"/>
                <w:sz w:val="21"/>
                <w:szCs w:val="21"/>
                <w:vertAlign w:val="superscript"/>
                <w:lang w:val="zh-CN"/>
              </w:rPr>
              <w:t>-6</w:t>
            </w:r>
            <w:r>
              <w:rPr>
                <w:rFonts w:cs="宋体"/>
                <w:i w:val="0"/>
                <w:iCs w:val="0"/>
                <w:snapToGrid w:val="0"/>
                <w:color w:val="000000"/>
                <w:kern w:val="0"/>
                <w:sz w:val="21"/>
                <w:szCs w:val="21"/>
                <w:lang w:val="zh-CN"/>
              </w:rPr>
              <w:t>/a</w:t>
            </w:r>
          </w:p>
          <w:p>
            <w:pPr>
              <w:tabs>
                <w:tab w:val="left" w:pos="4095"/>
              </w:tabs>
              <w:topLinePunct/>
              <w:jc w:val="center"/>
              <w:rPr>
                <w:rFonts w:cs="宋体"/>
                <w:i w:val="0"/>
                <w:iCs w:val="0"/>
                <w:snapToGrid w:val="0"/>
                <w:color w:val="000000"/>
                <w:kern w:val="0"/>
                <w:sz w:val="21"/>
                <w:szCs w:val="21"/>
                <w:lang w:val="zh-CN"/>
              </w:rPr>
            </w:pPr>
            <w:r>
              <w:rPr>
                <w:rFonts w:cs="宋体"/>
                <w:i w:val="0"/>
                <w:iCs w:val="0"/>
                <w:snapToGrid w:val="0"/>
                <w:color w:val="000000"/>
                <w:kern w:val="0"/>
                <w:sz w:val="21"/>
                <w:szCs w:val="21"/>
                <w:lang w:val="zh-CN"/>
              </w:rPr>
              <w:t>5.00×10</w:t>
            </w:r>
            <w:r>
              <w:rPr>
                <w:rFonts w:cs="宋体"/>
                <w:i w:val="0"/>
                <w:iCs w:val="0"/>
                <w:snapToGrid w:val="0"/>
                <w:color w:val="000000"/>
                <w:kern w:val="0"/>
                <w:sz w:val="21"/>
                <w:szCs w:val="21"/>
                <w:vertAlign w:val="superscript"/>
                <w:lang w:val="zh-CN"/>
              </w:rPr>
              <w:t>-6</w:t>
            </w:r>
            <w:r>
              <w:rPr>
                <w:rFonts w:cs="宋体"/>
                <w:i w:val="0"/>
                <w:iCs w:val="0"/>
                <w:snapToGrid w:val="0"/>
                <w:color w:val="000000"/>
                <w:kern w:val="0"/>
                <w:sz w:val="21"/>
                <w:szCs w:val="21"/>
                <w:lang w:val="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35"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常压单包容储罐</w:t>
            </w:r>
          </w:p>
        </w:tc>
        <w:tc>
          <w:tcPr>
            <w:tcW w:w="3213"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泄漏孔径为10mm孔径</w:t>
            </w:r>
          </w:p>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10min内储罐泄漏完</w:t>
            </w:r>
          </w:p>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储罐全破裂</w:t>
            </w:r>
          </w:p>
        </w:tc>
        <w:tc>
          <w:tcPr>
            <w:tcW w:w="3024" w:type="dxa"/>
            <w:noWrap w:val="0"/>
            <w:vAlign w:val="center"/>
          </w:tcPr>
          <w:p>
            <w:pPr>
              <w:tabs>
                <w:tab w:val="left" w:pos="4095"/>
              </w:tabs>
              <w:topLinePunct/>
              <w:jc w:val="center"/>
              <w:rPr>
                <w:rFonts w:cs="宋体"/>
                <w:i w:val="0"/>
                <w:iCs w:val="0"/>
                <w:snapToGrid w:val="0"/>
                <w:color w:val="000000"/>
                <w:kern w:val="0"/>
                <w:sz w:val="21"/>
                <w:szCs w:val="21"/>
                <w:lang w:val="zh-CN"/>
              </w:rPr>
            </w:pPr>
            <w:r>
              <w:rPr>
                <w:rFonts w:cs="宋体"/>
                <w:i w:val="0"/>
                <w:iCs w:val="0"/>
                <w:snapToGrid w:val="0"/>
                <w:color w:val="000000"/>
                <w:kern w:val="0"/>
                <w:sz w:val="21"/>
                <w:szCs w:val="21"/>
                <w:lang w:val="zh-CN"/>
              </w:rPr>
              <w:t>1.00×10</w:t>
            </w:r>
            <w:r>
              <w:rPr>
                <w:rFonts w:cs="宋体"/>
                <w:i w:val="0"/>
                <w:iCs w:val="0"/>
                <w:snapToGrid w:val="0"/>
                <w:color w:val="000000"/>
                <w:kern w:val="0"/>
                <w:sz w:val="21"/>
                <w:szCs w:val="21"/>
                <w:vertAlign w:val="superscript"/>
                <w:lang w:val="zh-CN"/>
              </w:rPr>
              <w:t>-4</w:t>
            </w:r>
            <w:r>
              <w:rPr>
                <w:rFonts w:cs="宋体"/>
                <w:i w:val="0"/>
                <w:iCs w:val="0"/>
                <w:snapToGrid w:val="0"/>
                <w:color w:val="000000"/>
                <w:kern w:val="0"/>
                <w:sz w:val="21"/>
                <w:szCs w:val="21"/>
                <w:lang w:val="zh-CN"/>
              </w:rPr>
              <w:t>/a</w:t>
            </w:r>
          </w:p>
          <w:p>
            <w:pPr>
              <w:tabs>
                <w:tab w:val="left" w:pos="4095"/>
              </w:tabs>
              <w:topLinePunct/>
              <w:jc w:val="center"/>
              <w:rPr>
                <w:rFonts w:cs="宋体"/>
                <w:i w:val="0"/>
                <w:iCs w:val="0"/>
                <w:snapToGrid w:val="0"/>
                <w:color w:val="000000"/>
                <w:kern w:val="0"/>
                <w:sz w:val="21"/>
                <w:szCs w:val="21"/>
                <w:lang w:val="zh-CN"/>
              </w:rPr>
            </w:pPr>
            <w:r>
              <w:rPr>
                <w:rFonts w:cs="宋体"/>
                <w:i w:val="0"/>
                <w:iCs w:val="0"/>
                <w:snapToGrid w:val="0"/>
                <w:color w:val="000000"/>
                <w:kern w:val="0"/>
                <w:sz w:val="21"/>
                <w:szCs w:val="21"/>
                <w:lang w:val="zh-CN"/>
              </w:rPr>
              <w:t>5.00×10</w:t>
            </w:r>
            <w:r>
              <w:rPr>
                <w:rFonts w:cs="宋体"/>
                <w:i w:val="0"/>
                <w:iCs w:val="0"/>
                <w:snapToGrid w:val="0"/>
                <w:color w:val="000000"/>
                <w:kern w:val="0"/>
                <w:sz w:val="21"/>
                <w:szCs w:val="21"/>
                <w:vertAlign w:val="superscript"/>
                <w:lang w:val="zh-CN"/>
              </w:rPr>
              <w:t>-6</w:t>
            </w:r>
            <w:r>
              <w:rPr>
                <w:rFonts w:cs="宋体"/>
                <w:i w:val="0"/>
                <w:iCs w:val="0"/>
                <w:snapToGrid w:val="0"/>
                <w:color w:val="000000"/>
                <w:kern w:val="0"/>
                <w:sz w:val="21"/>
                <w:szCs w:val="21"/>
                <w:lang w:val="zh-CN"/>
              </w:rPr>
              <w:t>/a</w:t>
            </w:r>
          </w:p>
          <w:p>
            <w:pPr>
              <w:tabs>
                <w:tab w:val="left" w:pos="4095"/>
              </w:tabs>
              <w:topLinePunct/>
              <w:jc w:val="center"/>
              <w:rPr>
                <w:rFonts w:cs="宋体"/>
                <w:i w:val="0"/>
                <w:iCs w:val="0"/>
                <w:snapToGrid w:val="0"/>
                <w:color w:val="000000"/>
                <w:kern w:val="0"/>
                <w:sz w:val="21"/>
                <w:szCs w:val="21"/>
                <w:lang w:val="zh-CN"/>
              </w:rPr>
            </w:pPr>
            <w:r>
              <w:rPr>
                <w:rFonts w:cs="宋体"/>
                <w:i w:val="0"/>
                <w:iCs w:val="0"/>
                <w:snapToGrid w:val="0"/>
                <w:color w:val="000000"/>
                <w:kern w:val="0"/>
                <w:sz w:val="21"/>
                <w:szCs w:val="21"/>
                <w:lang w:val="zh-CN"/>
              </w:rPr>
              <w:t>5.00×10</w:t>
            </w:r>
            <w:r>
              <w:rPr>
                <w:rFonts w:cs="宋体"/>
                <w:i w:val="0"/>
                <w:iCs w:val="0"/>
                <w:snapToGrid w:val="0"/>
                <w:color w:val="000000"/>
                <w:kern w:val="0"/>
                <w:sz w:val="21"/>
                <w:szCs w:val="21"/>
                <w:vertAlign w:val="superscript"/>
                <w:lang w:val="zh-CN"/>
              </w:rPr>
              <w:t>-6</w:t>
            </w:r>
            <w:r>
              <w:rPr>
                <w:rFonts w:cs="宋体"/>
                <w:i w:val="0"/>
                <w:iCs w:val="0"/>
                <w:snapToGrid w:val="0"/>
                <w:color w:val="000000"/>
                <w:kern w:val="0"/>
                <w:sz w:val="21"/>
                <w:szCs w:val="21"/>
                <w:lang w:val="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35"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常压双包容储罐</w:t>
            </w:r>
          </w:p>
        </w:tc>
        <w:tc>
          <w:tcPr>
            <w:tcW w:w="3213"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泄漏孔径为10mm孔径</w:t>
            </w:r>
          </w:p>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10min内储罐泄漏完</w:t>
            </w:r>
          </w:p>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储罐全破裂</w:t>
            </w:r>
          </w:p>
        </w:tc>
        <w:tc>
          <w:tcPr>
            <w:tcW w:w="3024" w:type="dxa"/>
            <w:noWrap w:val="0"/>
            <w:vAlign w:val="center"/>
          </w:tcPr>
          <w:p>
            <w:pPr>
              <w:tabs>
                <w:tab w:val="left" w:pos="4095"/>
              </w:tabs>
              <w:topLinePunct/>
              <w:jc w:val="center"/>
              <w:rPr>
                <w:rFonts w:cs="宋体"/>
                <w:i w:val="0"/>
                <w:iCs w:val="0"/>
                <w:snapToGrid w:val="0"/>
                <w:color w:val="000000"/>
                <w:kern w:val="0"/>
                <w:sz w:val="21"/>
                <w:szCs w:val="21"/>
                <w:lang w:val="zh-CN"/>
              </w:rPr>
            </w:pPr>
            <w:r>
              <w:rPr>
                <w:rFonts w:cs="宋体"/>
                <w:i w:val="0"/>
                <w:iCs w:val="0"/>
                <w:snapToGrid w:val="0"/>
                <w:color w:val="000000"/>
                <w:kern w:val="0"/>
                <w:sz w:val="21"/>
                <w:szCs w:val="21"/>
                <w:lang w:val="zh-CN"/>
              </w:rPr>
              <w:t>1.00×10</w:t>
            </w:r>
            <w:r>
              <w:rPr>
                <w:rFonts w:cs="宋体"/>
                <w:i w:val="0"/>
                <w:iCs w:val="0"/>
                <w:snapToGrid w:val="0"/>
                <w:color w:val="000000"/>
                <w:kern w:val="0"/>
                <w:sz w:val="21"/>
                <w:szCs w:val="21"/>
                <w:vertAlign w:val="superscript"/>
                <w:lang w:val="zh-CN"/>
              </w:rPr>
              <w:t>-4</w:t>
            </w:r>
            <w:r>
              <w:rPr>
                <w:rFonts w:cs="宋体"/>
                <w:i w:val="0"/>
                <w:iCs w:val="0"/>
                <w:snapToGrid w:val="0"/>
                <w:color w:val="000000"/>
                <w:kern w:val="0"/>
                <w:sz w:val="21"/>
                <w:szCs w:val="21"/>
                <w:lang w:val="zh-CN"/>
              </w:rPr>
              <w:t>/a</w:t>
            </w:r>
          </w:p>
          <w:p>
            <w:pPr>
              <w:tabs>
                <w:tab w:val="left" w:pos="4095"/>
              </w:tabs>
              <w:topLinePunct/>
              <w:jc w:val="center"/>
              <w:rPr>
                <w:rFonts w:cs="宋体"/>
                <w:i w:val="0"/>
                <w:iCs w:val="0"/>
                <w:snapToGrid w:val="0"/>
                <w:color w:val="000000"/>
                <w:kern w:val="0"/>
                <w:sz w:val="21"/>
                <w:szCs w:val="21"/>
                <w:lang w:val="zh-CN"/>
              </w:rPr>
            </w:pPr>
            <w:r>
              <w:rPr>
                <w:rFonts w:cs="宋体"/>
                <w:i w:val="0"/>
                <w:iCs w:val="0"/>
                <w:snapToGrid w:val="0"/>
                <w:color w:val="000000"/>
                <w:kern w:val="0"/>
                <w:sz w:val="21"/>
                <w:szCs w:val="21"/>
                <w:lang w:val="zh-CN"/>
              </w:rPr>
              <w:t>1.25×10</w:t>
            </w:r>
            <w:r>
              <w:rPr>
                <w:rFonts w:cs="宋体"/>
                <w:i w:val="0"/>
                <w:iCs w:val="0"/>
                <w:snapToGrid w:val="0"/>
                <w:color w:val="000000"/>
                <w:kern w:val="0"/>
                <w:sz w:val="21"/>
                <w:szCs w:val="21"/>
                <w:vertAlign w:val="superscript"/>
                <w:lang w:val="zh-CN"/>
              </w:rPr>
              <w:t>-8</w:t>
            </w:r>
            <w:r>
              <w:rPr>
                <w:rFonts w:cs="宋体"/>
                <w:i w:val="0"/>
                <w:iCs w:val="0"/>
                <w:snapToGrid w:val="0"/>
                <w:color w:val="000000"/>
                <w:kern w:val="0"/>
                <w:sz w:val="21"/>
                <w:szCs w:val="21"/>
                <w:lang w:val="zh-CN"/>
              </w:rPr>
              <w:t>/a</w:t>
            </w:r>
          </w:p>
          <w:p>
            <w:pPr>
              <w:tabs>
                <w:tab w:val="left" w:pos="4095"/>
              </w:tabs>
              <w:topLinePunct/>
              <w:jc w:val="center"/>
              <w:rPr>
                <w:rFonts w:cs="宋体"/>
                <w:i w:val="0"/>
                <w:iCs w:val="0"/>
                <w:snapToGrid w:val="0"/>
                <w:color w:val="000000"/>
                <w:kern w:val="0"/>
                <w:sz w:val="21"/>
                <w:szCs w:val="21"/>
                <w:lang w:val="zh-CN"/>
              </w:rPr>
            </w:pPr>
            <w:r>
              <w:rPr>
                <w:rFonts w:cs="宋体"/>
                <w:i w:val="0"/>
                <w:iCs w:val="0"/>
                <w:snapToGrid w:val="0"/>
                <w:color w:val="000000"/>
                <w:kern w:val="0"/>
                <w:sz w:val="21"/>
                <w:szCs w:val="21"/>
                <w:lang w:val="zh-CN"/>
              </w:rPr>
              <w:t>1.25×10</w:t>
            </w:r>
            <w:r>
              <w:rPr>
                <w:rFonts w:cs="宋体"/>
                <w:i w:val="0"/>
                <w:iCs w:val="0"/>
                <w:snapToGrid w:val="0"/>
                <w:color w:val="000000"/>
                <w:kern w:val="0"/>
                <w:sz w:val="21"/>
                <w:szCs w:val="21"/>
                <w:vertAlign w:val="superscript"/>
                <w:lang w:val="zh-CN"/>
              </w:rPr>
              <w:t>-8</w:t>
            </w:r>
            <w:r>
              <w:rPr>
                <w:rFonts w:cs="宋体"/>
                <w:i w:val="0"/>
                <w:iCs w:val="0"/>
                <w:snapToGrid w:val="0"/>
                <w:color w:val="000000"/>
                <w:kern w:val="0"/>
                <w:sz w:val="21"/>
                <w:szCs w:val="21"/>
                <w:lang w:val="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35"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常压全包容储罐</w:t>
            </w:r>
          </w:p>
        </w:tc>
        <w:tc>
          <w:tcPr>
            <w:tcW w:w="3213"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储罐全破裂</w:t>
            </w:r>
          </w:p>
        </w:tc>
        <w:tc>
          <w:tcPr>
            <w:tcW w:w="3024" w:type="dxa"/>
            <w:noWrap w:val="0"/>
            <w:vAlign w:val="center"/>
          </w:tcPr>
          <w:p>
            <w:pPr>
              <w:tabs>
                <w:tab w:val="left" w:pos="4095"/>
              </w:tabs>
              <w:topLinePunct/>
              <w:jc w:val="center"/>
              <w:rPr>
                <w:rFonts w:cs="宋体"/>
                <w:i w:val="0"/>
                <w:iCs w:val="0"/>
                <w:snapToGrid w:val="0"/>
                <w:color w:val="000000"/>
                <w:kern w:val="0"/>
                <w:sz w:val="21"/>
                <w:szCs w:val="21"/>
                <w:lang w:val="zh-CN"/>
              </w:rPr>
            </w:pPr>
            <w:r>
              <w:rPr>
                <w:rFonts w:cs="宋体"/>
                <w:i w:val="0"/>
                <w:iCs w:val="0"/>
                <w:snapToGrid w:val="0"/>
                <w:color w:val="000000"/>
                <w:kern w:val="0"/>
                <w:sz w:val="21"/>
                <w:szCs w:val="21"/>
                <w:lang w:val="zh-CN"/>
              </w:rPr>
              <w:t>1.00×10</w:t>
            </w:r>
            <w:r>
              <w:rPr>
                <w:rFonts w:cs="宋体"/>
                <w:i w:val="0"/>
                <w:iCs w:val="0"/>
                <w:snapToGrid w:val="0"/>
                <w:color w:val="000000"/>
                <w:kern w:val="0"/>
                <w:sz w:val="21"/>
                <w:szCs w:val="21"/>
                <w:vertAlign w:val="superscript"/>
                <w:lang w:val="zh-CN"/>
              </w:rPr>
              <w:t>-8</w:t>
            </w:r>
            <w:r>
              <w:rPr>
                <w:rFonts w:cs="宋体"/>
                <w:i w:val="0"/>
                <w:iCs w:val="0"/>
                <w:snapToGrid w:val="0"/>
                <w:color w:val="000000"/>
                <w:kern w:val="0"/>
                <w:sz w:val="21"/>
                <w:szCs w:val="21"/>
                <w:lang w:val="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35"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内径≤75mm的管道</w:t>
            </w:r>
          </w:p>
        </w:tc>
        <w:tc>
          <w:tcPr>
            <w:tcW w:w="3213"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泄漏孔径为10%孔径</w:t>
            </w:r>
          </w:p>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全管径泄漏</w:t>
            </w:r>
          </w:p>
        </w:tc>
        <w:tc>
          <w:tcPr>
            <w:tcW w:w="3024"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5.00×10</w:t>
            </w:r>
            <w:r>
              <w:rPr>
                <w:rFonts w:hint="eastAsia" w:cs="宋体"/>
                <w:i w:val="0"/>
                <w:iCs w:val="0"/>
                <w:snapToGrid w:val="0"/>
                <w:color w:val="000000"/>
                <w:kern w:val="0"/>
                <w:sz w:val="21"/>
                <w:szCs w:val="21"/>
                <w:vertAlign w:val="superscript"/>
                <w:lang w:val="zh-CN"/>
              </w:rPr>
              <w:t>-6</w:t>
            </w:r>
            <w:r>
              <w:rPr>
                <w:rFonts w:hint="eastAsia" w:cs="宋体"/>
                <w:i w:val="0"/>
                <w:iCs w:val="0"/>
                <w:snapToGrid w:val="0"/>
                <w:color w:val="000000"/>
                <w:kern w:val="0"/>
                <w:sz w:val="21"/>
                <w:szCs w:val="21"/>
                <w:lang w:val="zh-CN"/>
              </w:rPr>
              <w:t>/（m·a）</w:t>
            </w:r>
          </w:p>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1.00×10</w:t>
            </w:r>
            <w:r>
              <w:rPr>
                <w:rFonts w:hint="eastAsia" w:cs="宋体"/>
                <w:i w:val="0"/>
                <w:iCs w:val="0"/>
                <w:snapToGrid w:val="0"/>
                <w:color w:val="000000"/>
                <w:kern w:val="0"/>
                <w:sz w:val="21"/>
                <w:szCs w:val="21"/>
                <w:vertAlign w:val="superscript"/>
                <w:lang w:val="zh-CN"/>
              </w:rPr>
              <w:t>-6</w:t>
            </w:r>
            <w:r>
              <w:rPr>
                <w:rFonts w:hint="eastAsia" w:cs="宋体"/>
                <w:i w:val="0"/>
                <w:iCs w:val="0"/>
                <w:snapToGrid w:val="0"/>
                <w:color w:val="000000"/>
                <w:kern w:val="0"/>
                <w:sz w:val="21"/>
                <w:szCs w:val="21"/>
                <w:lang w:val="zh-CN"/>
              </w:rPr>
              <w:t>/（m·a）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35"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75mm&lt;内径≤150mm的管道</w:t>
            </w:r>
          </w:p>
        </w:tc>
        <w:tc>
          <w:tcPr>
            <w:tcW w:w="3213"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泄漏孔径为10%孔径</w:t>
            </w:r>
          </w:p>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全管径泄漏</w:t>
            </w:r>
          </w:p>
        </w:tc>
        <w:tc>
          <w:tcPr>
            <w:tcW w:w="3024"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2.00×10</w:t>
            </w:r>
            <w:r>
              <w:rPr>
                <w:rFonts w:hint="eastAsia" w:cs="宋体"/>
                <w:i w:val="0"/>
                <w:iCs w:val="0"/>
                <w:snapToGrid w:val="0"/>
                <w:color w:val="000000"/>
                <w:kern w:val="0"/>
                <w:sz w:val="21"/>
                <w:szCs w:val="21"/>
                <w:vertAlign w:val="superscript"/>
                <w:lang w:val="zh-CN"/>
              </w:rPr>
              <w:t>-6</w:t>
            </w:r>
            <w:r>
              <w:rPr>
                <w:rFonts w:hint="eastAsia" w:cs="宋体"/>
                <w:i w:val="0"/>
                <w:iCs w:val="0"/>
                <w:snapToGrid w:val="0"/>
                <w:color w:val="000000"/>
                <w:kern w:val="0"/>
                <w:sz w:val="21"/>
                <w:szCs w:val="21"/>
                <w:lang w:val="zh-CN"/>
              </w:rPr>
              <w:t>/（m·a）</w:t>
            </w:r>
          </w:p>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3.00×10</w:t>
            </w:r>
            <w:r>
              <w:rPr>
                <w:rFonts w:hint="eastAsia" w:cs="宋体"/>
                <w:i w:val="0"/>
                <w:iCs w:val="0"/>
                <w:snapToGrid w:val="0"/>
                <w:color w:val="000000"/>
                <w:kern w:val="0"/>
                <w:sz w:val="21"/>
                <w:szCs w:val="21"/>
                <w:vertAlign w:val="superscript"/>
                <w:lang w:val="zh-CN"/>
              </w:rPr>
              <w:t>-7</w:t>
            </w:r>
            <w:r>
              <w:rPr>
                <w:rFonts w:hint="eastAsia" w:cs="宋体"/>
                <w:i w:val="0"/>
                <w:iCs w:val="0"/>
                <w:snapToGrid w:val="0"/>
                <w:color w:val="000000"/>
                <w:kern w:val="0"/>
                <w:sz w:val="21"/>
                <w:szCs w:val="21"/>
                <w:lang w:val="zh-CN"/>
              </w:rPr>
              <w:t>/（m·a）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35"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b/>
                <w:bCs/>
                <w:i w:val="0"/>
                <w:iCs w:val="0"/>
                <w:snapToGrid w:val="0"/>
                <w:color w:val="000000"/>
                <w:kern w:val="0"/>
                <w:sz w:val="21"/>
                <w:szCs w:val="21"/>
                <w:lang w:val="zh-CN"/>
              </w:rPr>
              <w:t>部件类型</w:t>
            </w:r>
          </w:p>
        </w:tc>
        <w:tc>
          <w:tcPr>
            <w:tcW w:w="3213"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b/>
                <w:bCs/>
                <w:i w:val="0"/>
                <w:iCs w:val="0"/>
                <w:snapToGrid w:val="0"/>
                <w:color w:val="000000"/>
                <w:kern w:val="0"/>
                <w:sz w:val="21"/>
                <w:szCs w:val="21"/>
                <w:lang w:val="zh-CN"/>
              </w:rPr>
              <w:t>泄露模式</w:t>
            </w:r>
          </w:p>
        </w:tc>
        <w:tc>
          <w:tcPr>
            <w:tcW w:w="3024"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b/>
                <w:bCs/>
                <w:i w:val="0"/>
                <w:iCs w:val="0"/>
                <w:snapToGrid w:val="0"/>
                <w:color w:val="000000"/>
                <w:kern w:val="0"/>
                <w:sz w:val="21"/>
                <w:szCs w:val="21"/>
                <w:lang w:val="zh-CN"/>
              </w:rPr>
              <w:t>泄露频率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35"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内径&gt;150mm的管道</w:t>
            </w:r>
          </w:p>
        </w:tc>
        <w:tc>
          <w:tcPr>
            <w:tcW w:w="3213"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泄漏孔径为10%孔径(最大50mm)全管径泄漏</w:t>
            </w:r>
          </w:p>
        </w:tc>
        <w:tc>
          <w:tcPr>
            <w:tcW w:w="3024"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2.40×10</w:t>
            </w:r>
            <w:r>
              <w:rPr>
                <w:rFonts w:hint="eastAsia" w:cs="宋体"/>
                <w:i w:val="0"/>
                <w:iCs w:val="0"/>
                <w:snapToGrid w:val="0"/>
                <w:color w:val="000000"/>
                <w:kern w:val="0"/>
                <w:sz w:val="21"/>
                <w:szCs w:val="21"/>
                <w:vertAlign w:val="superscript"/>
                <w:lang w:val="zh-CN"/>
              </w:rPr>
              <w:t>-6</w:t>
            </w:r>
            <w:r>
              <w:rPr>
                <w:rFonts w:hint="eastAsia" w:cs="宋体"/>
                <w:i w:val="0"/>
                <w:iCs w:val="0"/>
                <w:snapToGrid w:val="0"/>
                <w:color w:val="000000"/>
                <w:kern w:val="0"/>
                <w:sz w:val="21"/>
                <w:szCs w:val="21"/>
                <w:lang w:val="zh-CN"/>
              </w:rPr>
              <w:t>/（m·a）</w:t>
            </w:r>
          </w:p>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1.00×10</w:t>
            </w:r>
            <w:r>
              <w:rPr>
                <w:rFonts w:hint="eastAsia" w:cs="宋体"/>
                <w:i w:val="0"/>
                <w:iCs w:val="0"/>
                <w:snapToGrid w:val="0"/>
                <w:color w:val="000000"/>
                <w:kern w:val="0"/>
                <w:sz w:val="21"/>
                <w:szCs w:val="21"/>
                <w:vertAlign w:val="superscript"/>
                <w:lang w:val="zh-CN"/>
              </w:rPr>
              <w:t>-7</w:t>
            </w:r>
            <w:r>
              <w:rPr>
                <w:rFonts w:hint="eastAsia" w:cs="宋体"/>
                <w:i w:val="0"/>
                <w:iCs w:val="0"/>
                <w:snapToGrid w:val="0"/>
                <w:color w:val="000000"/>
                <w:kern w:val="0"/>
                <w:sz w:val="21"/>
                <w:szCs w:val="21"/>
                <w:lang w:val="zh-CN"/>
              </w:rPr>
              <w:t>/（m·a）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35"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泵体和压缩机</w:t>
            </w:r>
          </w:p>
        </w:tc>
        <w:tc>
          <w:tcPr>
            <w:tcW w:w="3213"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泵体和压缩机最大连接管泄漏孔径为10%孔径(最大50mm)</w:t>
            </w:r>
          </w:p>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泵体和压缩机最大连接管全管径泄漏</w:t>
            </w:r>
          </w:p>
        </w:tc>
        <w:tc>
          <w:tcPr>
            <w:tcW w:w="3024" w:type="dxa"/>
            <w:noWrap w:val="0"/>
            <w:vAlign w:val="center"/>
          </w:tcPr>
          <w:p>
            <w:pPr>
              <w:tabs>
                <w:tab w:val="left" w:pos="4095"/>
              </w:tabs>
              <w:topLinePunct/>
              <w:jc w:val="center"/>
              <w:rPr>
                <w:rFonts w:cs="宋体"/>
                <w:i w:val="0"/>
                <w:iCs w:val="0"/>
                <w:snapToGrid w:val="0"/>
                <w:color w:val="000000"/>
                <w:kern w:val="0"/>
                <w:sz w:val="21"/>
                <w:szCs w:val="21"/>
                <w:lang w:val="zh-CN"/>
              </w:rPr>
            </w:pPr>
            <w:r>
              <w:rPr>
                <w:rFonts w:cs="宋体"/>
                <w:i w:val="0"/>
                <w:iCs w:val="0"/>
                <w:snapToGrid w:val="0"/>
                <w:color w:val="000000"/>
                <w:kern w:val="0"/>
                <w:sz w:val="21"/>
                <w:szCs w:val="21"/>
                <w:lang w:val="zh-CN"/>
              </w:rPr>
              <w:t>5.00×10</w:t>
            </w:r>
            <w:r>
              <w:rPr>
                <w:rFonts w:cs="宋体"/>
                <w:i w:val="0"/>
                <w:iCs w:val="0"/>
                <w:snapToGrid w:val="0"/>
                <w:color w:val="000000"/>
                <w:kern w:val="0"/>
                <w:sz w:val="21"/>
                <w:szCs w:val="21"/>
                <w:vertAlign w:val="superscript"/>
                <w:lang w:val="zh-CN"/>
              </w:rPr>
              <w:t>-4</w:t>
            </w:r>
            <w:r>
              <w:rPr>
                <w:rFonts w:cs="宋体"/>
                <w:i w:val="0"/>
                <w:iCs w:val="0"/>
                <w:snapToGrid w:val="0"/>
                <w:color w:val="000000"/>
                <w:kern w:val="0"/>
                <w:sz w:val="21"/>
                <w:szCs w:val="21"/>
                <w:lang w:val="zh-CN"/>
              </w:rPr>
              <w:t>/a</w:t>
            </w:r>
          </w:p>
          <w:p>
            <w:pPr>
              <w:tabs>
                <w:tab w:val="left" w:pos="4095"/>
              </w:tabs>
              <w:topLinePunct/>
              <w:jc w:val="center"/>
              <w:rPr>
                <w:rFonts w:cs="宋体"/>
                <w:i w:val="0"/>
                <w:iCs w:val="0"/>
                <w:snapToGrid w:val="0"/>
                <w:color w:val="000000"/>
                <w:kern w:val="0"/>
                <w:sz w:val="21"/>
                <w:szCs w:val="21"/>
                <w:lang w:val="zh-CN"/>
              </w:rPr>
            </w:pPr>
            <w:r>
              <w:rPr>
                <w:rFonts w:cs="宋体"/>
                <w:i w:val="0"/>
                <w:iCs w:val="0"/>
                <w:snapToGrid w:val="0"/>
                <w:color w:val="000000"/>
                <w:kern w:val="0"/>
                <w:sz w:val="21"/>
                <w:szCs w:val="21"/>
                <w:lang w:val="zh-CN"/>
              </w:rPr>
              <w:t>1.00×10</w:t>
            </w:r>
            <w:r>
              <w:rPr>
                <w:rFonts w:cs="宋体"/>
                <w:i w:val="0"/>
                <w:iCs w:val="0"/>
                <w:snapToGrid w:val="0"/>
                <w:color w:val="000000"/>
                <w:kern w:val="0"/>
                <w:sz w:val="21"/>
                <w:szCs w:val="21"/>
                <w:vertAlign w:val="superscript"/>
                <w:lang w:val="zh-CN"/>
              </w:rPr>
              <w:t>-4</w:t>
            </w:r>
            <w:r>
              <w:rPr>
                <w:rFonts w:cs="宋体"/>
                <w:i w:val="0"/>
                <w:iCs w:val="0"/>
                <w:snapToGrid w:val="0"/>
                <w:color w:val="000000"/>
                <w:kern w:val="0"/>
                <w:sz w:val="21"/>
                <w:szCs w:val="21"/>
                <w:lang w:val="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35"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装卸臂</w:t>
            </w:r>
          </w:p>
        </w:tc>
        <w:tc>
          <w:tcPr>
            <w:tcW w:w="3213"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装卸臂连接管泄漏孔径为 10%孔径(最大</w:t>
            </w:r>
            <w:r>
              <w:rPr>
                <w:rFonts w:cs="宋体"/>
                <w:i w:val="0"/>
                <w:iCs w:val="0"/>
                <w:snapToGrid w:val="0"/>
                <w:color w:val="000000"/>
                <w:kern w:val="0"/>
                <w:sz w:val="21"/>
                <w:szCs w:val="21"/>
                <w:lang w:val="zh-CN"/>
              </w:rPr>
              <w:t>50mm)</w:t>
            </w:r>
          </w:p>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装卸臂全管径泄漏</w:t>
            </w:r>
          </w:p>
        </w:tc>
        <w:tc>
          <w:tcPr>
            <w:tcW w:w="3024" w:type="dxa"/>
            <w:noWrap w:val="0"/>
            <w:vAlign w:val="center"/>
          </w:tcPr>
          <w:p>
            <w:pPr>
              <w:tabs>
                <w:tab w:val="left" w:pos="4095"/>
              </w:tabs>
              <w:topLinePunct/>
              <w:jc w:val="center"/>
              <w:rPr>
                <w:rFonts w:cs="宋体"/>
                <w:i w:val="0"/>
                <w:iCs w:val="0"/>
                <w:snapToGrid w:val="0"/>
                <w:color w:val="000000"/>
                <w:kern w:val="0"/>
                <w:sz w:val="21"/>
                <w:szCs w:val="21"/>
                <w:lang w:val="zh-CN"/>
              </w:rPr>
            </w:pPr>
            <w:r>
              <w:rPr>
                <w:rFonts w:cs="宋体"/>
                <w:i w:val="0"/>
                <w:iCs w:val="0"/>
                <w:snapToGrid w:val="0"/>
                <w:color w:val="000000"/>
                <w:kern w:val="0"/>
                <w:sz w:val="21"/>
                <w:szCs w:val="21"/>
                <w:lang w:val="zh-CN"/>
              </w:rPr>
              <w:t>3.00×10</w:t>
            </w:r>
            <w:r>
              <w:rPr>
                <w:rFonts w:cs="宋体"/>
                <w:i w:val="0"/>
                <w:iCs w:val="0"/>
                <w:snapToGrid w:val="0"/>
                <w:color w:val="000000"/>
                <w:kern w:val="0"/>
                <w:sz w:val="21"/>
                <w:szCs w:val="21"/>
                <w:vertAlign w:val="superscript"/>
                <w:lang w:val="zh-CN"/>
              </w:rPr>
              <w:t>-7</w:t>
            </w:r>
            <w:r>
              <w:rPr>
                <w:rFonts w:cs="宋体"/>
                <w:i w:val="0"/>
                <w:iCs w:val="0"/>
                <w:snapToGrid w:val="0"/>
                <w:color w:val="000000"/>
                <w:kern w:val="0"/>
                <w:sz w:val="21"/>
                <w:szCs w:val="21"/>
                <w:lang w:val="zh-CN"/>
              </w:rPr>
              <w:t>/h</w:t>
            </w:r>
          </w:p>
          <w:p>
            <w:pPr>
              <w:tabs>
                <w:tab w:val="left" w:pos="4095"/>
              </w:tabs>
              <w:topLinePunct/>
              <w:jc w:val="center"/>
              <w:rPr>
                <w:rFonts w:cs="宋体"/>
                <w:i w:val="0"/>
                <w:iCs w:val="0"/>
                <w:snapToGrid w:val="0"/>
                <w:color w:val="000000"/>
                <w:kern w:val="0"/>
                <w:sz w:val="21"/>
                <w:szCs w:val="21"/>
                <w:lang w:val="zh-CN"/>
              </w:rPr>
            </w:pPr>
            <w:r>
              <w:rPr>
                <w:rFonts w:cs="宋体"/>
                <w:i w:val="0"/>
                <w:iCs w:val="0"/>
                <w:snapToGrid w:val="0"/>
                <w:color w:val="000000"/>
                <w:kern w:val="0"/>
                <w:sz w:val="21"/>
                <w:szCs w:val="21"/>
                <w:lang w:val="zh-CN"/>
              </w:rPr>
              <w:t>3.00×10</w:t>
            </w:r>
            <w:r>
              <w:rPr>
                <w:rFonts w:cs="宋体"/>
                <w:i w:val="0"/>
                <w:iCs w:val="0"/>
                <w:snapToGrid w:val="0"/>
                <w:color w:val="000000"/>
                <w:kern w:val="0"/>
                <w:sz w:val="21"/>
                <w:szCs w:val="21"/>
                <w:vertAlign w:val="superscript"/>
                <w:lang w:val="zh-CN"/>
              </w:rPr>
              <w:t>-8</w:t>
            </w:r>
            <w:r>
              <w:rPr>
                <w:rFonts w:cs="宋体"/>
                <w:i w:val="0"/>
                <w:iCs w:val="0"/>
                <w:snapToGrid w:val="0"/>
                <w:color w:val="000000"/>
                <w:kern w:val="0"/>
                <w:sz w:val="21"/>
                <w:szCs w:val="21"/>
                <w:lang w:val="zh-CN"/>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35"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装卸软管</w:t>
            </w:r>
          </w:p>
        </w:tc>
        <w:tc>
          <w:tcPr>
            <w:tcW w:w="3213"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装卸软管连接管泄漏孔径为10%孔径(最大</w:t>
            </w:r>
            <w:r>
              <w:rPr>
                <w:rFonts w:cs="宋体"/>
                <w:i w:val="0"/>
                <w:iCs w:val="0"/>
                <w:snapToGrid w:val="0"/>
                <w:color w:val="000000"/>
                <w:kern w:val="0"/>
                <w:sz w:val="21"/>
                <w:szCs w:val="21"/>
                <w:lang w:val="zh-CN"/>
              </w:rPr>
              <w:t>50mm)</w:t>
            </w:r>
          </w:p>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装卸软管全管径泄漏</w:t>
            </w:r>
          </w:p>
        </w:tc>
        <w:tc>
          <w:tcPr>
            <w:tcW w:w="3024" w:type="dxa"/>
            <w:noWrap w:val="0"/>
            <w:vAlign w:val="center"/>
          </w:tcPr>
          <w:p>
            <w:pPr>
              <w:tabs>
                <w:tab w:val="left" w:pos="4095"/>
              </w:tabs>
              <w:topLinePunct/>
              <w:jc w:val="center"/>
              <w:rPr>
                <w:rFonts w:cs="宋体"/>
                <w:i w:val="0"/>
                <w:iCs w:val="0"/>
                <w:snapToGrid w:val="0"/>
                <w:color w:val="000000"/>
                <w:kern w:val="0"/>
                <w:sz w:val="21"/>
                <w:szCs w:val="21"/>
                <w:lang w:val="zh-CN"/>
              </w:rPr>
            </w:pPr>
            <w:r>
              <w:rPr>
                <w:rFonts w:cs="宋体"/>
                <w:i w:val="0"/>
                <w:iCs w:val="0"/>
                <w:snapToGrid w:val="0"/>
                <w:color w:val="000000"/>
                <w:kern w:val="0"/>
                <w:sz w:val="21"/>
                <w:szCs w:val="21"/>
                <w:lang w:val="zh-CN"/>
              </w:rPr>
              <w:t>4.00×10</w:t>
            </w:r>
            <w:r>
              <w:rPr>
                <w:rFonts w:cs="宋体"/>
                <w:i w:val="0"/>
                <w:iCs w:val="0"/>
                <w:snapToGrid w:val="0"/>
                <w:color w:val="000000"/>
                <w:kern w:val="0"/>
                <w:sz w:val="21"/>
                <w:szCs w:val="21"/>
                <w:vertAlign w:val="superscript"/>
                <w:lang w:val="zh-CN"/>
              </w:rPr>
              <w:t>-5</w:t>
            </w:r>
            <w:r>
              <w:rPr>
                <w:rFonts w:cs="宋体"/>
                <w:i w:val="0"/>
                <w:iCs w:val="0"/>
                <w:snapToGrid w:val="0"/>
                <w:color w:val="000000"/>
                <w:kern w:val="0"/>
                <w:sz w:val="21"/>
                <w:szCs w:val="21"/>
                <w:lang w:val="zh-CN"/>
              </w:rPr>
              <w:t>/h</w:t>
            </w:r>
          </w:p>
          <w:p>
            <w:pPr>
              <w:tabs>
                <w:tab w:val="left" w:pos="4095"/>
              </w:tabs>
              <w:topLinePunct/>
              <w:jc w:val="center"/>
              <w:rPr>
                <w:rFonts w:cs="宋体"/>
                <w:i w:val="0"/>
                <w:iCs w:val="0"/>
                <w:snapToGrid w:val="0"/>
                <w:color w:val="000000"/>
                <w:kern w:val="0"/>
                <w:sz w:val="21"/>
                <w:szCs w:val="21"/>
                <w:lang w:val="zh-CN"/>
              </w:rPr>
            </w:pPr>
            <w:r>
              <w:rPr>
                <w:rFonts w:cs="宋体"/>
                <w:i w:val="0"/>
                <w:iCs w:val="0"/>
                <w:snapToGrid w:val="0"/>
                <w:color w:val="000000"/>
                <w:kern w:val="0"/>
                <w:sz w:val="21"/>
                <w:szCs w:val="21"/>
                <w:lang w:val="zh-CN"/>
              </w:rPr>
              <w:t>4.00×10</w:t>
            </w:r>
            <w:r>
              <w:rPr>
                <w:rFonts w:cs="宋体"/>
                <w:i w:val="0"/>
                <w:iCs w:val="0"/>
                <w:snapToGrid w:val="0"/>
                <w:color w:val="000000"/>
                <w:kern w:val="0"/>
                <w:sz w:val="21"/>
                <w:szCs w:val="21"/>
                <w:vertAlign w:val="superscript"/>
                <w:lang w:val="zh-CN"/>
              </w:rPr>
              <w:t>-6</w:t>
            </w:r>
            <w:r>
              <w:rPr>
                <w:rFonts w:cs="宋体"/>
                <w:i w:val="0"/>
                <w:iCs w:val="0"/>
                <w:snapToGrid w:val="0"/>
                <w:color w:val="000000"/>
                <w:kern w:val="0"/>
                <w:sz w:val="21"/>
                <w:szCs w:val="21"/>
                <w:lang w:val="zh-CN"/>
              </w:rPr>
              <w:t>/h</w:t>
            </w:r>
          </w:p>
        </w:tc>
      </w:tr>
    </w:tbl>
    <w:p>
      <w:pPr>
        <w:tabs>
          <w:tab w:val="left" w:pos="4095"/>
        </w:tabs>
        <w:topLinePunct/>
        <w:spacing w:before="120" w:beforeLines="50" w:line="360" w:lineRule="auto"/>
        <w:ind w:firstLine="480" w:firstLineChars="200"/>
        <w:rPr>
          <w:rFonts w:cs="宋体"/>
          <w:i w:val="0"/>
          <w:iCs w:val="0"/>
          <w:snapToGrid w:val="0"/>
          <w:color w:val="000000"/>
          <w:kern w:val="0"/>
        </w:rPr>
      </w:pPr>
      <w:r>
        <w:rPr>
          <w:rFonts w:hint="eastAsia" w:ascii="宋体" w:hAnsi="宋体" w:cs="宋体"/>
          <w:i w:val="0"/>
          <w:iCs w:val="0"/>
          <w:snapToGrid w:val="0"/>
          <w:color w:val="000000"/>
          <w:kern w:val="0"/>
        </w:rPr>
        <w:t>②</w:t>
      </w:r>
      <w:r>
        <w:rPr>
          <w:rFonts w:hint="eastAsia" w:cs="宋体"/>
          <w:i w:val="0"/>
          <w:iCs w:val="0"/>
          <w:snapToGrid w:val="0"/>
          <w:color w:val="000000"/>
          <w:kern w:val="0"/>
          <w:lang w:val="zh-CN"/>
        </w:rPr>
        <w:t>最大可信事故的确定</w:t>
      </w:r>
    </w:p>
    <w:p>
      <w:pPr>
        <w:tabs>
          <w:tab w:val="left" w:pos="4095"/>
        </w:tabs>
        <w:topLinePunct/>
        <w:spacing w:line="360" w:lineRule="auto"/>
        <w:ind w:firstLine="480" w:firstLineChars="200"/>
        <w:rPr>
          <w:rFonts w:cs="宋体"/>
          <w:i w:val="0"/>
          <w:iCs w:val="0"/>
          <w:snapToGrid w:val="0"/>
          <w:color w:val="000000"/>
          <w:kern w:val="0"/>
          <w:lang w:val="zh-CN"/>
        </w:rPr>
      </w:pPr>
      <w:r>
        <w:rPr>
          <w:rFonts w:hint="eastAsia" w:cs="宋体"/>
          <w:i w:val="0"/>
          <w:iCs w:val="0"/>
          <w:snapToGrid w:val="0"/>
          <w:color w:val="000000"/>
          <w:kern w:val="0"/>
          <w:lang w:val="zh-CN"/>
        </w:rPr>
        <w:t>根据风险识别分析及附录E最大可信事故设定参考，本项目环境风险最大可信事故情形设定详见表</w:t>
      </w:r>
      <w:r>
        <w:rPr>
          <w:rFonts w:hint="eastAsia" w:cs="宋体"/>
          <w:i w:val="0"/>
          <w:iCs w:val="0"/>
          <w:snapToGrid w:val="0"/>
          <w:color w:val="000000"/>
          <w:kern w:val="0"/>
        </w:rPr>
        <w:t>7</w:t>
      </w:r>
      <w:r>
        <w:rPr>
          <w:rFonts w:cs="宋体"/>
          <w:i w:val="0"/>
          <w:iCs w:val="0"/>
          <w:snapToGrid w:val="0"/>
          <w:color w:val="000000"/>
          <w:kern w:val="0"/>
          <w:lang w:val="zh-CN"/>
        </w:rPr>
        <w:t>-2</w:t>
      </w:r>
      <w:r>
        <w:rPr>
          <w:rFonts w:hint="eastAsia" w:cs="宋体"/>
          <w:i w:val="0"/>
          <w:iCs w:val="0"/>
          <w:snapToGrid w:val="0"/>
          <w:color w:val="000000"/>
          <w:kern w:val="0"/>
        </w:rPr>
        <w:t>5</w:t>
      </w:r>
      <w:r>
        <w:rPr>
          <w:rFonts w:hint="eastAsia" w:cs="宋体"/>
          <w:i w:val="0"/>
          <w:iCs w:val="0"/>
          <w:snapToGrid w:val="0"/>
          <w:color w:val="000000"/>
          <w:kern w:val="0"/>
          <w:lang w:val="zh-CN"/>
        </w:rPr>
        <w:t>。</w:t>
      </w:r>
    </w:p>
    <w:p>
      <w:pPr>
        <w:widowControl/>
        <w:jc w:val="center"/>
        <w:rPr>
          <w:rFonts w:hint="eastAsia"/>
          <w:b/>
          <w:bCs/>
          <w:i w:val="0"/>
          <w:iCs w:val="0"/>
          <w:color w:val="000000"/>
          <w:szCs w:val="20"/>
          <w:lang w:val="zh-CN"/>
        </w:rPr>
      </w:pPr>
      <w:r>
        <w:rPr>
          <w:rFonts w:hint="eastAsia"/>
          <w:b/>
          <w:bCs/>
          <w:i w:val="0"/>
          <w:iCs w:val="0"/>
          <w:color w:val="000000"/>
          <w:szCs w:val="20"/>
          <w:lang w:val="zh-CN"/>
        </w:rPr>
        <w:t>表</w:t>
      </w:r>
      <w:r>
        <w:rPr>
          <w:rFonts w:hint="eastAsia"/>
          <w:b/>
          <w:bCs/>
          <w:i w:val="0"/>
          <w:iCs w:val="0"/>
          <w:color w:val="000000"/>
          <w:szCs w:val="20"/>
        </w:rPr>
        <w:t>7</w:t>
      </w:r>
      <w:r>
        <w:rPr>
          <w:rFonts w:hint="eastAsia"/>
          <w:b/>
          <w:bCs/>
          <w:i w:val="0"/>
          <w:iCs w:val="0"/>
          <w:color w:val="000000"/>
          <w:szCs w:val="20"/>
          <w:lang w:val="zh-CN"/>
        </w:rPr>
        <w:t>-2</w:t>
      </w:r>
      <w:r>
        <w:rPr>
          <w:rFonts w:hint="eastAsia"/>
          <w:b/>
          <w:bCs/>
          <w:i w:val="0"/>
          <w:iCs w:val="0"/>
          <w:color w:val="000000"/>
          <w:szCs w:val="20"/>
        </w:rPr>
        <w:t>5</w:t>
      </w:r>
      <w:r>
        <w:rPr>
          <w:rFonts w:hint="eastAsia"/>
          <w:b/>
          <w:bCs/>
          <w:i w:val="0"/>
          <w:iCs w:val="0"/>
          <w:color w:val="000000"/>
          <w:szCs w:val="20"/>
          <w:lang w:val="zh-CN"/>
        </w:rPr>
        <w:t xml:space="preserve">   环境风险最大可信事故情形设定</w:t>
      </w:r>
    </w:p>
    <w:tbl>
      <w:tblPr>
        <w:tblStyle w:val="58"/>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1412"/>
        <w:gridCol w:w="1130"/>
        <w:gridCol w:w="3240"/>
        <w:gridCol w:w="1314"/>
        <w:gridCol w:w="12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7" w:type="dxa"/>
            <w:noWrap w:val="0"/>
            <w:vAlign w:val="center"/>
          </w:tcPr>
          <w:p>
            <w:pPr>
              <w:tabs>
                <w:tab w:val="left" w:pos="4095"/>
              </w:tabs>
              <w:topLinePunct/>
              <w:jc w:val="center"/>
              <w:rPr>
                <w:rFonts w:cs="宋体"/>
                <w:b/>
                <w:bCs/>
                <w:i w:val="0"/>
                <w:iCs w:val="0"/>
                <w:snapToGrid w:val="0"/>
                <w:color w:val="000000"/>
                <w:kern w:val="0"/>
                <w:sz w:val="21"/>
                <w:szCs w:val="21"/>
                <w:lang w:val="zh-CN"/>
              </w:rPr>
            </w:pPr>
            <w:r>
              <w:rPr>
                <w:rFonts w:hint="eastAsia" w:cs="宋体"/>
                <w:b/>
                <w:bCs/>
                <w:i w:val="0"/>
                <w:iCs w:val="0"/>
                <w:snapToGrid w:val="0"/>
                <w:color w:val="000000"/>
                <w:kern w:val="0"/>
                <w:sz w:val="21"/>
                <w:szCs w:val="21"/>
                <w:lang w:val="zh-CN"/>
              </w:rPr>
              <w:t>危险单元</w:t>
            </w:r>
          </w:p>
        </w:tc>
        <w:tc>
          <w:tcPr>
            <w:tcW w:w="1412" w:type="dxa"/>
            <w:noWrap w:val="0"/>
            <w:vAlign w:val="center"/>
          </w:tcPr>
          <w:p>
            <w:pPr>
              <w:tabs>
                <w:tab w:val="left" w:pos="4095"/>
              </w:tabs>
              <w:topLinePunct/>
              <w:jc w:val="center"/>
              <w:rPr>
                <w:rFonts w:cs="宋体"/>
                <w:b/>
                <w:bCs/>
                <w:i w:val="0"/>
                <w:iCs w:val="0"/>
                <w:snapToGrid w:val="0"/>
                <w:color w:val="000000"/>
                <w:kern w:val="0"/>
                <w:sz w:val="21"/>
                <w:szCs w:val="21"/>
                <w:lang w:val="zh-CN"/>
              </w:rPr>
            </w:pPr>
            <w:r>
              <w:rPr>
                <w:rFonts w:hint="eastAsia" w:cs="宋体"/>
                <w:b/>
                <w:bCs/>
                <w:i w:val="0"/>
                <w:iCs w:val="0"/>
                <w:snapToGrid w:val="0"/>
                <w:color w:val="000000"/>
                <w:kern w:val="0"/>
                <w:sz w:val="21"/>
                <w:szCs w:val="21"/>
                <w:lang w:val="zh-CN"/>
              </w:rPr>
              <w:t>风险源</w:t>
            </w:r>
          </w:p>
        </w:tc>
        <w:tc>
          <w:tcPr>
            <w:tcW w:w="1130" w:type="dxa"/>
            <w:noWrap w:val="0"/>
            <w:vAlign w:val="center"/>
          </w:tcPr>
          <w:p>
            <w:pPr>
              <w:tabs>
                <w:tab w:val="left" w:pos="4095"/>
              </w:tabs>
              <w:topLinePunct/>
              <w:jc w:val="center"/>
              <w:rPr>
                <w:rFonts w:cs="宋体"/>
                <w:b/>
                <w:bCs/>
                <w:i w:val="0"/>
                <w:iCs w:val="0"/>
                <w:snapToGrid w:val="0"/>
                <w:color w:val="000000"/>
                <w:kern w:val="0"/>
                <w:sz w:val="21"/>
                <w:szCs w:val="21"/>
                <w:lang w:val="zh-CN"/>
              </w:rPr>
            </w:pPr>
            <w:r>
              <w:rPr>
                <w:rFonts w:hint="eastAsia" w:cs="宋体"/>
                <w:b/>
                <w:bCs/>
                <w:i w:val="0"/>
                <w:iCs w:val="0"/>
                <w:snapToGrid w:val="0"/>
                <w:color w:val="000000"/>
                <w:kern w:val="0"/>
                <w:sz w:val="21"/>
                <w:szCs w:val="21"/>
                <w:lang w:val="zh-CN"/>
              </w:rPr>
              <w:t>主要危险</w:t>
            </w:r>
          </w:p>
          <w:p>
            <w:pPr>
              <w:tabs>
                <w:tab w:val="left" w:pos="4095"/>
              </w:tabs>
              <w:topLinePunct/>
              <w:jc w:val="center"/>
              <w:rPr>
                <w:rFonts w:cs="宋体"/>
                <w:b/>
                <w:bCs/>
                <w:i w:val="0"/>
                <w:iCs w:val="0"/>
                <w:snapToGrid w:val="0"/>
                <w:color w:val="000000"/>
                <w:kern w:val="0"/>
                <w:sz w:val="21"/>
                <w:szCs w:val="21"/>
                <w:lang w:val="zh-CN"/>
              </w:rPr>
            </w:pPr>
            <w:r>
              <w:rPr>
                <w:rFonts w:hint="eastAsia" w:cs="宋体"/>
                <w:b/>
                <w:bCs/>
                <w:i w:val="0"/>
                <w:iCs w:val="0"/>
                <w:snapToGrid w:val="0"/>
                <w:color w:val="000000"/>
                <w:kern w:val="0"/>
                <w:sz w:val="21"/>
                <w:szCs w:val="21"/>
                <w:lang w:val="zh-CN"/>
              </w:rPr>
              <w:t>物质</w:t>
            </w:r>
          </w:p>
        </w:tc>
        <w:tc>
          <w:tcPr>
            <w:tcW w:w="3240" w:type="dxa"/>
            <w:noWrap w:val="0"/>
            <w:vAlign w:val="center"/>
          </w:tcPr>
          <w:p>
            <w:pPr>
              <w:tabs>
                <w:tab w:val="left" w:pos="4095"/>
              </w:tabs>
              <w:topLinePunct/>
              <w:jc w:val="center"/>
              <w:rPr>
                <w:rFonts w:cs="宋体"/>
                <w:b/>
                <w:bCs/>
                <w:i w:val="0"/>
                <w:iCs w:val="0"/>
                <w:snapToGrid w:val="0"/>
                <w:color w:val="000000"/>
                <w:kern w:val="0"/>
                <w:sz w:val="21"/>
                <w:szCs w:val="21"/>
                <w:lang w:val="zh-CN"/>
              </w:rPr>
            </w:pPr>
            <w:r>
              <w:rPr>
                <w:rFonts w:hint="eastAsia" w:cs="宋体"/>
                <w:b/>
                <w:bCs/>
                <w:i w:val="0"/>
                <w:iCs w:val="0"/>
                <w:snapToGrid w:val="0"/>
                <w:color w:val="000000"/>
                <w:kern w:val="0"/>
                <w:sz w:val="21"/>
                <w:szCs w:val="21"/>
                <w:lang w:val="zh-CN"/>
              </w:rPr>
              <w:t>风险事故情形描述</w:t>
            </w:r>
          </w:p>
        </w:tc>
        <w:tc>
          <w:tcPr>
            <w:tcW w:w="1314" w:type="dxa"/>
            <w:noWrap w:val="0"/>
            <w:vAlign w:val="center"/>
          </w:tcPr>
          <w:p>
            <w:pPr>
              <w:tabs>
                <w:tab w:val="left" w:pos="4095"/>
              </w:tabs>
              <w:topLinePunct/>
              <w:jc w:val="center"/>
              <w:rPr>
                <w:rFonts w:cs="宋体"/>
                <w:b/>
                <w:bCs/>
                <w:i w:val="0"/>
                <w:iCs w:val="0"/>
                <w:snapToGrid w:val="0"/>
                <w:color w:val="000000"/>
                <w:kern w:val="0"/>
                <w:sz w:val="21"/>
                <w:szCs w:val="21"/>
                <w:lang w:val="zh-CN"/>
              </w:rPr>
            </w:pPr>
            <w:r>
              <w:rPr>
                <w:rFonts w:hint="eastAsia" w:cs="宋体"/>
                <w:b/>
                <w:bCs/>
                <w:i w:val="0"/>
                <w:iCs w:val="0"/>
                <w:snapToGrid w:val="0"/>
                <w:color w:val="000000"/>
                <w:kern w:val="0"/>
                <w:sz w:val="21"/>
                <w:szCs w:val="21"/>
                <w:lang w:val="zh-CN"/>
              </w:rPr>
              <w:t>泄露频率</w:t>
            </w:r>
          </w:p>
        </w:tc>
        <w:tc>
          <w:tcPr>
            <w:tcW w:w="1269" w:type="dxa"/>
            <w:noWrap w:val="0"/>
            <w:vAlign w:val="center"/>
          </w:tcPr>
          <w:p>
            <w:pPr>
              <w:tabs>
                <w:tab w:val="left" w:pos="4095"/>
              </w:tabs>
              <w:topLinePunct/>
              <w:jc w:val="center"/>
              <w:rPr>
                <w:rFonts w:cs="宋体"/>
                <w:b/>
                <w:bCs/>
                <w:i w:val="0"/>
                <w:iCs w:val="0"/>
                <w:snapToGrid w:val="0"/>
                <w:color w:val="000000"/>
                <w:kern w:val="0"/>
                <w:sz w:val="21"/>
                <w:szCs w:val="21"/>
                <w:lang w:val="zh-CN"/>
              </w:rPr>
            </w:pPr>
            <w:r>
              <w:rPr>
                <w:rFonts w:hint="eastAsia" w:cs="宋体"/>
                <w:b/>
                <w:bCs/>
                <w:i w:val="0"/>
                <w:iCs w:val="0"/>
                <w:snapToGrid w:val="0"/>
                <w:color w:val="000000"/>
                <w:kern w:val="0"/>
                <w:sz w:val="21"/>
                <w:szCs w:val="21"/>
                <w:lang w:val="zh-CN"/>
              </w:rPr>
              <w:t>是否为最大可信事故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7" w:type="dxa"/>
            <w:vMerge w:val="restart"/>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储存单元</w:t>
            </w:r>
          </w:p>
        </w:tc>
        <w:tc>
          <w:tcPr>
            <w:tcW w:w="1412" w:type="dxa"/>
            <w:vMerge w:val="restart"/>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氨水储罐</w:t>
            </w:r>
          </w:p>
        </w:tc>
        <w:tc>
          <w:tcPr>
            <w:tcW w:w="1130" w:type="dxa"/>
            <w:vMerge w:val="restart"/>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氨水</w:t>
            </w:r>
          </w:p>
        </w:tc>
        <w:tc>
          <w:tcPr>
            <w:tcW w:w="3240"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泄漏孔径为10mm孔径</w:t>
            </w:r>
          </w:p>
        </w:tc>
        <w:tc>
          <w:tcPr>
            <w:tcW w:w="1314" w:type="dxa"/>
            <w:noWrap w:val="0"/>
            <w:vAlign w:val="center"/>
          </w:tcPr>
          <w:p>
            <w:pPr>
              <w:tabs>
                <w:tab w:val="left" w:pos="4095"/>
              </w:tabs>
              <w:topLinePunct/>
              <w:jc w:val="center"/>
              <w:rPr>
                <w:rFonts w:cs="宋体"/>
                <w:i w:val="0"/>
                <w:iCs w:val="0"/>
                <w:snapToGrid w:val="0"/>
                <w:color w:val="000000"/>
                <w:kern w:val="0"/>
                <w:sz w:val="21"/>
                <w:szCs w:val="21"/>
                <w:lang w:val="zh-CN"/>
              </w:rPr>
            </w:pPr>
            <w:r>
              <w:rPr>
                <w:rFonts w:cs="宋体"/>
                <w:i w:val="0"/>
                <w:iCs w:val="0"/>
                <w:snapToGrid w:val="0"/>
                <w:color w:val="000000"/>
                <w:kern w:val="0"/>
                <w:sz w:val="21"/>
                <w:szCs w:val="21"/>
                <w:lang w:val="zh-CN"/>
              </w:rPr>
              <w:t>1.00×10</w:t>
            </w:r>
            <w:r>
              <w:rPr>
                <w:rFonts w:cs="宋体"/>
                <w:i w:val="0"/>
                <w:iCs w:val="0"/>
                <w:snapToGrid w:val="0"/>
                <w:color w:val="000000"/>
                <w:kern w:val="0"/>
                <w:sz w:val="21"/>
                <w:szCs w:val="21"/>
                <w:vertAlign w:val="superscript"/>
                <w:lang w:val="zh-CN"/>
              </w:rPr>
              <w:t>-4</w:t>
            </w:r>
            <w:r>
              <w:rPr>
                <w:rFonts w:cs="宋体"/>
                <w:i w:val="0"/>
                <w:iCs w:val="0"/>
                <w:snapToGrid w:val="0"/>
                <w:color w:val="000000"/>
                <w:kern w:val="0"/>
                <w:sz w:val="21"/>
                <w:szCs w:val="21"/>
                <w:lang w:val="zh-CN"/>
              </w:rPr>
              <w:t>/a</w:t>
            </w:r>
          </w:p>
        </w:tc>
        <w:tc>
          <w:tcPr>
            <w:tcW w:w="1269"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7" w:type="dxa"/>
            <w:vMerge w:val="continue"/>
            <w:noWrap w:val="0"/>
            <w:vAlign w:val="center"/>
          </w:tcPr>
          <w:p>
            <w:pPr>
              <w:tabs>
                <w:tab w:val="left" w:pos="4095"/>
              </w:tabs>
              <w:topLinePunct/>
              <w:jc w:val="center"/>
              <w:rPr>
                <w:rFonts w:cs="宋体"/>
                <w:i w:val="0"/>
                <w:iCs w:val="0"/>
                <w:snapToGrid w:val="0"/>
                <w:color w:val="000000"/>
                <w:kern w:val="0"/>
                <w:sz w:val="21"/>
                <w:szCs w:val="21"/>
                <w:lang w:val="zh-CN"/>
              </w:rPr>
            </w:pPr>
          </w:p>
        </w:tc>
        <w:tc>
          <w:tcPr>
            <w:tcW w:w="1412" w:type="dxa"/>
            <w:vMerge w:val="continue"/>
            <w:noWrap w:val="0"/>
            <w:vAlign w:val="center"/>
          </w:tcPr>
          <w:p>
            <w:pPr>
              <w:tabs>
                <w:tab w:val="left" w:pos="4095"/>
              </w:tabs>
              <w:topLinePunct/>
              <w:jc w:val="center"/>
              <w:rPr>
                <w:rFonts w:cs="宋体"/>
                <w:i w:val="0"/>
                <w:iCs w:val="0"/>
                <w:snapToGrid w:val="0"/>
                <w:color w:val="000000"/>
                <w:kern w:val="0"/>
                <w:sz w:val="21"/>
                <w:szCs w:val="21"/>
                <w:lang w:val="zh-CN"/>
              </w:rPr>
            </w:pPr>
          </w:p>
        </w:tc>
        <w:tc>
          <w:tcPr>
            <w:tcW w:w="1130" w:type="dxa"/>
            <w:vMerge w:val="continue"/>
            <w:noWrap w:val="0"/>
            <w:vAlign w:val="center"/>
          </w:tcPr>
          <w:p>
            <w:pPr>
              <w:tabs>
                <w:tab w:val="left" w:pos="4095"/>
              </w:tabs>
              <w:topLinePunct/>
              <w:jc w:val="center"/>
              <w:rPr>
                <w:rFonts w:cs="宋体"/>
                <w:i w:val="0"/>
                <w:iCs w:val="0"/>
                <w:snapToGrid w:val="0"/>
                <w:color w:val="000000"/>
                <w:kern w:val="0"/>
                <w:sz w:val="21"/>
                <w:szCs w:val="21"/>
                <w:lang w:val="zh-CN"/>
              </w:rPr>
            </w:pPr>
          </w:p>
        </w:tc>
        <w:tc>
          <w:tcPr>
            <w:tcW w:w="3240"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10min内储罐泄漏完</w:t>
            </w:r>
          </w:p>
        </w:tc>
        <w:tc>
          <w:tcPr>
            <w:tcW w:w="1314" w:type="dxa"/>
            <w:noWrap w:val="0"/>
            <w:vAlign w:val="center"/>
          </w:tcPr>
          <w:p>
            <w:pPr>
              <w:tabs>
                <w:tab w:val="left" w:pos="4095"/>
              </w:tabs>
              <w:topLinePunct/>
              <w:jc w:val="center"/>
              <w:rPr>
                <w:rFonts w:cs="宋体"/>
                <w:i w:val="0"/>
                <w:iCs w:val="0"/>
                <w:snapToGrid w:val="0"/>
                <w:color w:val="000000"/>
                <w:kern w:val="0"/>
                <w:sz w:val="21"/>
                <w:szCs w:val="21"/>
                <w:lang w:val="zh-CN"/>
              </w:rPr>
            </w:pPr>
            <w:r>
              <w:rPr>
                <w:rFonts w:cs="宋体"/>
                <w:i w:val="0"/>
                <w:iCs w:val="0"/>
                <w:snapToGrid w:val="0"/>
                <w:color w:val="000000"/>
                <w:kern w:val="0"/>
                <w:sz w:val="21"/>
                <w:szCs w:val="21"/>
                <w:lang w:val="zh-CN"/>
              </w:rPr>
              <w:t>5.00×10</w:t>
            </w:r>
            <w:r>
              <w:rPr>
                <w:rFonts w:cs="宋体"/>
                <w:i w:val="0"/>
                <w:iCs w:val="0"/>
                <w:snapToGrid w:val="0"/>
                <w:color w:val="000000"/>
                <w:kern w:val="0"/>
                <w:sz w:val="21"/>
                <w:szCs w:val="21"/>
                <w:vertAlign w:val="superscript"/>
                <w:lang w:val="zh-CN"/>
              </w:rPr>
              <w:t>-6</w:t>
            </w:r>
            <w:r>
              <w:rPr>
                <w:rFonts w:cs="宋体"/>
                <w:i w:val="0"/>
                <w:iCs w:val="0"/>
                <w:snapToGrid w:val="0"/>
                <w:color w:val="000000"/>
                <w:kern w:val="0"/>
                <w:sz w:val="21"/>
                <w:szCs w:val="21"/>
                <w:lang w:val="zh-CN"/>
              </w:rPr>
              <w:t>/a</w:t>
            </w:r>
          </w:p>
        </w:tc>
        <w:tc>
          <w:tcPr>
            <w:tcW w:w="1269"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7" w:type="dxa"/>
            <w:vMerge w:val="continue"/>
            <w:noWrap w:val="0"/>
            <w:vAlign w:val="center"/>
          </w:tcPr>
          <w:p>
            <w:pPr>
              <w:tabs>
                <w:tab w:val="left" w:pos="4095"/>
              </w:tabs>
              <w:topLinePunct/>
              <w:jc w:val="center"/>
              <w:rPr>
                <w:rFonts w:cs="宋体"/>
                <w:i w:val="0"/>
                <w:iCs w:val="0"/>
                <w:snapToGrid w:val="0"/>
                <w:color w:val="000000"/>
                <w:kern w:val="0"/>
                <w:sz w:val="21"/>
                <w:szCs w:val="21"/>
                <w:lang w:val="zh-CN"/>
              </w:rPr>
            </w:pPr>
          </w:p>
        </w:tc>
        <w:tc>
          <w:tcPr>
            <w:tcW w:w="1412" w:type="dxa"/>
            <w:vMerge w:val="continue"/>
            <w:noWrap w:val="0"/>
            <w:vAlign w:val="center"/>
          </w:tcPr>
          <w:p>
            <w:pPr>
              <w:tabs>
                <w:tab w:val="left" w:pos="4095"/>
              </w:tabs>
              <w:topLinePunct/>
              <w:jc w:val="center"/>
              <w:rPr>
                <w:rFonts w:cs="宋体"/>
                <w:i w:val="0"/>
                <w:iCs w:val="0"/>
                <w:snapToGrid w:val="0"/>
                <w:color w:val="000000"/>
                <w:kern w:val="0"/>
                <w:sz w:val="21"/>
                <w:szCs w:val="21"/>
                <w:lang w:val="zh-CN"/>
              </w:rPr>
            </w:pPr>
          </w:p>
        </w:tc>
        <w:tc>
          <w:tcPr>
            <w:tcW w:w="1130" w:type="dxa"/>
            <w:vMerge w:val="continue"/>
            <w:noWrap w:val="0"/>
            <w:vAlign w:val="center"/>
          </w:tcPr>
          <w:p>
            <w:pPr>
              <w:tabs>
                <w:tab w:val="left" w:pos="4095"/>
              </w:tabs>
              <w:topLinePunct/>
              <w:jc w:val="center"/>
              <w:rPr>
                <w:rFonts w:cs="宋体"/>
                <w:i w:val="0"/>
                <w:iCs w:val="0"/>
                <w:snapToGrid w:val="0"/>
                <w:color w:val="000000"/>
                <w:kern w:val="0"/>
                <w:sz w:val="21"/>
                <w:szCs w:val="21"/>
                <w:lang w:val="zh-CN"/>
              </w:rPr>
            </w:pPr>
          </w:p>
        </w:tc>
        <w:tc>
          <w:tcPr>
            <w:tcW w:w="3240"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储罐全破裂</w:t>
            </w:r>
          </w:p>
        </w:tc>
        <w:tc>
          <w:tcPr>
            <w:tcW w:w="1314" w:type="dxa"/>
            <w:noWrap w:val="0"/>
            <w:vAlign w:val="center"/>
          </w:tcPr>
          <w:p>
            <w:pPr>
              <w:tabs>
                <w:tab w:val="left" w:pos="4095"/>
              </w:tabs>
              <w:topLinePunct/>
              <w:jc w:val="center"/>
              <w:rPr>
                <w:rFonts w:cs="宋体"/>
                <w:i w:val="0"/>
                <w:iCs w:val="0"/>
                <w:snapToGrid w:val="0"/>
                <w:color w:val="000000"/>
                <w:kern w:val="0"/>
                <w:sz w:val="21"/>
                <w:szCs w:val="21"/>
                <w:lang w:val="zh-CN"/>
              </w:rPr>
            </w:pPr>
            <w:r>
              <w:rPr>
                <w:rFonts w:cs="宋体"/>
                <w:i w:val="0"/>
                <w:iCs w:val="0"/>
                <w:snapToGrid w:val="0"/>
                <w:color w:val="000000"/>
                <w:kern w:val="0"/>
                <w:sz w:val="21"/>
                <w:szCs w:val="21"/>
                <w:lang w:val="zh-CN"/>
              </w:rPr>
              <w:t>5.00×10</w:t>
            </w:r>
            <w:r>
              <w:rPr>
                <w:rFonts w:cs="宋体"/>
                <w:i w:val="0"/>
                <w:iCs w:val="0"/>
                <w:snapToGrid w:val="0"/>
                <w:color w:val="000000"/>
                <w:kern w:val="0"/>
                <w:sz w:val="21"/>
                <w:szCs w:val="21"/>
                <w:vertAlign w:val="superscript"/>
                <w:lang w:val="zh-CN"/>
              </w:rPr>
              <w:t>-6</w:t>
            </w:r>
            <w:r>
              <w:rPr>
                <w:rFonts w:cs="宋体"/>
                <w:i w:val="0"/>
                <w:iCs w:val="0"/>
                <w:snapToGrid w:val="0"/>
                <w:color w:val="000000"/>
                <w:kern w:val="0"/>
                <w:sz w:val="21"/>
                <w:szCs w:val="21"/>
                <w:lang w:val="zh-CN"/>
              </w:rPr>
              <w:t>/a</w:t>
            </w:r>
          </w:p>
        </w:tc>
        <w:tc>
          <w:tcPr>
            <w:tcW w:w="1269"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7" w:type="dxa"/>
            <w:vMerge w:val="continue"/>
            <w:noWrap w:val="0"/>
            <w:vAlign w:val="center"/>
          </w:tcPr>
          <w:p>
            <w:pPr>
              <w:tabs>
                <w:tab w:val="left" w:pos="4095"/>
              </w:tabs>
              <w:topLinePunct/>
              <w:jc w:val="center"/>
              <w:rPr>
                <w:rFonts w:cs="宋体"/>
                <w:i w:val="0"/>
                <w:iCs w:val="0"/>
                <w:snapToGrid w:val="0"/>
                <w:color w:val="000000"/>
                <w:kern w:val="0"/>
                <w:sz w:val="21"/>
                <w:szCs w:val="21"/>
                <w:lang w:val="zh-CN"/>
              </w:rPr>
            </w:pPr>
          </w:p>
        </w:tc>
        <w:tc>
          <w:tcPr>
            <w:tcW w:w="1412" w:type="dxa"/>
            <w:vMerge w:val="continue"/>
            <w:noWrap w:val="0"/>
            <w:vAlign w:val="center"/>
          </w:tcPr>
          <w:p>
            <w:pPr>
              <w:tabs>
                <w:tab w:val="left" w:pos="4095"/>
              </w:tabs>
              <w:topLinePunct/>
              <w:jc w:val="center"/>
              <w:rPr>
                <w:rFonts w:cs="宋体"/>
                <w:i w:val="0"/>
                <w:iCs w:val="0"/>
                <w:snapToGrid w:val="0"/>
                <w:color w:val="000000"/>
                <w:kern w:val="0"/>
                <w:sz w:val="21"/>
                <w:szCs w:val="21"/>
                <w:lang w:val="zh-CN"/>
              </w:rPr>
            </w:pPr>
          </w:p>
        </w:tc>
        <w:tc>
          <w:tcPr>
            <w:tcW w:w="1130" w:type="dxa"/>
            <w:vMerge w:val="continue"/>
            <w:noWrap w:val="0"/>
            <w:vAlign w:val="center"/>
          </w:tcPr>
          <w:p>
            <w:pPr>
              <w:tabs>
                <w:tab w:val="left" w:pos="4095"/>
              </w:tabs>
              <w:topLinePunct/>
              <w:jc w:val="center"/>
              <w:rPr>
                <w:rFonts w:cs="宋体"/>
                <w:i w:val="0"/>
                <w:iCs w:val="0"/>
                <w:snapToGrid w:val="0"/>
                <w:color w:val="000000"/>
                <w:kern w:val="0"/>
                <w:sz w:val="21"/>
                <w:szCs w:val="21"/>
                <w:lang w:val="zh-CN"/>
              </w:rPr>
            </w:pPr>
          </w:p>
        </w:tc>
        <w:tc>
          <w:tcPr>
            <w:tcW w:w="3240"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储罐破损后，物质挥发的蒸汽与空气形成爆炸性混合物，与明火、高热引起燃烧爆炸</w:t>
            </w:r>
          </w:p>
        </w:tc>
        <w:tc>
          <w:tcPr>
            <w:tcW w:w="1314" w:type="dxa"/>
            <w:noWrap w:val="0"/>
            <w:vAlign w:val="center"/>
          </w:tcPr>
          <w:p>
            <w:pPr>
              <w:tabs>
                <w:tab w:val="left" w:pos="4095"/>
              </w:tabs>
              <w:topLinePunct/>
              <w:jc w:val="center"/>
              <w:rPr>
                <w:rFonts w:cs="宋体"/>
                <w:i w:val="0"/>
                <w:iCs w:val="0"/>
                <w:snapToGrid w:val="0"/>
                <w:color w:val="000000"/>
                <w:kern w:val="0"/>
                <w:sz w:val="21"/>
                <w:szCs w:val="21"/>
                <w:lang w:val="zh-CN"/>
              </w:rPr>
            </w:pPr>
            <w:r>
              <w:rPr>
                <w:rFonts w:cs="宋体"/>
                <w:i w:val="0"/>
                <w:iCs w:val="0"/>
                <w:snapToGrid w:val="0"/>
                <w:color w:val="000000"/>
                <w:kern w:val="0"/>
                <w:sz w:val="21"/>
                <w:szCs w:val="21"/>
                <w:lang w:val="zh-CN"/>
              </w:rPr>
              <w:t>5.00×10</w:t>
            </w:r>
            <w:r>
              <w:rPr>
                <w:rFonts w:cs="宋体"/>
                <w:i w:val="0"/>
                <w:iCs w:val="0"/>
                <w:snapToGrid w:val="0"/>
                <w:color w:val="000000"/>
                <w:kern w:val="0"/>
                <w:sz w:val="21"/>
                <w:szCs w:val="21"/>
                <w:vertAlign w:val="superscript"/>
                <w:lang w:val="zh-CN"/>
              </w:rPr>
              <w:t>-6</w:t>
            </w:r>
            <w:r>
              <w:rPr>
                <w:rFonts w:cs="宋体"/>
                <w:i w:val="0"/>
                <w:iCs w:val="0"/>
                <w:snapToGrid w:val="0"/>
                <w:color w:val="000000"/>
                <w:kern w:val="0"/>
                <w:sz w:val="21"/>
                <w:szCs w:val="21"/>
                <w:lang w:val="zh-CN"/>
              </w:rPr>
              <w:t>/a</w:t>
            </w:r>
          </w:p>
        </w:tc>
        <w:tc>
          <w:tcPr>
            <w:tcW w:w="1269"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7" w:type="dxa"/>
            <w:vMerge w:val="continue"/>
            <w:noWrap w:val="0"/>
            <w:vAlign w:val="center"/>
          </w:tcPr>
          <w:p>
            <w:pPr>
              <w:tabs>
                <w:tab w:val="left" w:pos="4095"/>
              </w:tabs>
              <w:topLinePunct/>
              <w:jc w:val="center"/>
              <w:rPr>
                <w:rFonts w:cs="宋体"/>
                <w:i w:val="0"/>
                <w:iCs w:val="0"/>
                <w:snapToGrid w:val="0"/>
                <w:color w:val="000000"/>
                <w:kern w:val="0"/>
                <w:sz w:val="21"/>
                <w:szCs w:val="21"/>
                <w:lang w:val="zh-CN"/>
              </w:rPr>
            </w:pPr>
          </w:p>
        </w:tc>
        <w:tc>
          <w:tcPr>
            <w:tcW w:w="1412" w:type="dxa"/>
            <w:vMerge w:val="continue"/>
            <w:noWrap w:val="0"/>
            <w:vAlign w:val="center"/>
          </w:tcPr>
          <w:p>
            <w:pPr>
              <w:tabs>
                <w:tab w:val="left" w:pos="4095"/>
              </w:tabs>
              <w:topLinePunct/>
              <w:jc w:val="center"/>
              <w:rPr>
                <w:rFonts w:cs="宋体"/>
                <w:i w:val="0"/>
                <w:iCs w:val="0"/>
                <w:snapToGrid w:val="0"/>
                <w:color w:val="000000"/>
                <w:kern w:val="0"/>
                <w:sz w:val="21"/>
                <w:szCs w:val="21"/>
                <w:lang w:val="zh-CN"/>
              </w:rPr>
            </w:pPr>
          </w:p>
        </w:tc>
        <w:tc>
          <w:tcPr>
            <w:tcW w:w="1130" w:type="dxa"/>
            <w:vMerge w:val="continue"/>
            <w:noWrap w:val="0"/>
            <w:vAlign w:val="center"/>
          </w:tcPr>
          <w:p>
            <w:pPr>
              <w:tabs>
                <w:tab w:val="left" w:pos="4095"/>
              </w:tabs>
              <w:topLinePunct/>
              <w:jc w:val="center"/>
              <w:rPr>
                <w:rFonts w:cs="宋体"/>
                <w:i w:val="0"/>
                <w:iCs w:val="0"/>
                <w:snapToGrid w:val="0"/>
                <w:color w:val="000000"/>
                <w:kern w:val="0"/>
                <w:sz w:val="21"/>
                <w:szCs w:val="21"/>
                <w:lang w:val="zh-CN"/>
              </w:rPr>
            </w:pPr>
          </w:p>
        </w:tc>
        <w:tc>
          <w:tcPr>
            <w:tcW w:w="3240"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发生火灾事故中产生的消防废水未能及时收集，漫流，废水污染地下水、土壤、地表水环境</w:t>
            </w:r>
          </w:p>
        </w:tc>
        <w:tc>
          <w:tcPr>
            <w:tcW w:w="1314" w:type="dxa"/>
            <w:noWrap w:val="0"/>
            <w:vAlign w:val="center"/>
          </w:tcPr>
          <w:p>
            <w:pPr>
              <w:tabs>
                <w:tab w:val="left" w:pos="4095"/>
              </w:tabs>
              <w:topLinePunct/>
              <w:jc w:val="center"/>
              <w:rPr>
                <w:rFonts w:cs="宋体"/>
                <w:i w:val="0"/>
                <w:iCs w:val="0"/>
                <w:snapToGrid w:val="0"/>
                <w:color w:val="000000"/>
                <w:kern w:val="0"/>
                <w:sz w:val="21"/>
                <w:szCs w:val="21"/>
                <w:lang w:val="zh-CN"/>
              </w:rPr>
            </w:pPr>
            <w:r>
              <w:rPr>
                <w:rFonts w:cs="宋体"/>
                <w:i w:val="0"/>
                <w:iCs w:val="0"/>
                <w:snapToGrid w:val="0"/>
                <w:color w:val="000000"/>
                <w:kern w:val="0"/>
                <w:sz w:val="21"/>
                <w:szCs w:val="21"/>
                <w:lang w:val="zh-CN"/>
              </w:rPr>
              <w:t>5.00×10</w:t>
            </w:r>
            <w:r>
              <w:rPr>
                <w:rFonts w:cs="宋体"/>
                <w:i w:val="0"/>
                <w:iCs w:val="0"/>
                <w:snapToGrid w:val="0"/>
                <w:color w:val="000000"/>
                <w:kern w:val="0"/>
                <w:sz w:val="21"/>
                <w:szCs w:val="21"/>
                <w:vertAlign w:val="superscript"/>
                <w:lang w:val="zh-CN"/>
              </w:rPr>
              <w:t>-6</w:t>
            </w:r>
            <w:r>
              <w:rPr>
                <w:rFonts w:cs="宋体"/>
                <w:i w:val="0"/>
                <w:iCs w:val="0"/>
                <w:snapToGrid w:val="0"/>
                <w:color w:val="000000"/>
                <w:kern w:val="0"/>
                <w:sz w:val="21"/>
                <w:szCs w:val="21"/>
                <w:lang w:val="zh-CN"/>
              </w:rPr>
              <w:t>/a</w:t>
            </w:r>
          </w:p>
        </w:tc>
        <w:tc>
          <w:tcPr>
            <w:tcW w:w="1269"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7" w:type="dxa"/>
            <w:vMerge w:val="continue"/>
            <w:noWrap w:val="0"/>
            <w:vAlign w:val="center"/>
          </w:tcPr>
          <w:p>
            <w:pPr>
              <w:tabs>
                <w:tab w:val="left" w:pos="4095"/>
              </w:tabs>
              <w:topLinePunct/>
              <w:jc w:val="center"/>
              <w:rPr>
                <w:rFonts w:cs="宋体"/>
                <w:i w:val="0"/>
                <w:iCs w:val="0"/>
                <w:snapToGrid w:val="0"/>
                <w:color w:val="000000"/>
                <w:kern w:val="0"/>
                <w:sz w:val="21"/>
                <w:szCs w:val="21"/>
                <w:lang w:val="zh-CN"/>
              </w:rPr>
            </w:pPr>
          </w:p>
        </w:tc>
        <w:tc>
          <w:tcPr>
            <w:tcW w:w="1412" w:type="dxa"/>
            <w:vMerge w:val="restart"/>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乙醇储罐</w:t>
            </w:r>
          </w:p>
        </w:tc>
        <w:tc>
          <w:tcPr>
            <w:tcW w:w="1130" w:type="dxa"/>
            <w:vMerge w:val="restart"/>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乙醇</w:t>
            </w:r>
          </w:p>
        </w:tc>
        <w:tc>
          <w:tcPr>
            <w:tcW w:w="3240" w:type="dxa"/>
            <w:noWrap w:val="0"/>
            <w:vAlign w:val="center"/>
          </w:tcPr>
          <w:p>
            <w:pPr>
              <w:tabs>
                <w:tab w:val="left" w:pos="4095"/>
              </w:tabs>
              <w:topLinePunct/>
              <w:jc w:val="center"/>
              <w:rPr>
                <w:rFonts w:hint="eastAsia"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泄漏孔径为10mm孔径</w:t>
            </w:r>
          </w:p>
        </w:tc>
        <w:tc>
          <w:tcPr>
            <w:tcW w:w="1314" w:type="dxa"/>
            <w:noWrap w:val="0"/>
            <w:vAlign w:val="center"/>
          </w:tcPr>
          <w:p>
            <w:pPr>
              <w:tabs>
                <w:tab w:val="left" w:pos="4095"/>
              </w:tabs>
              <w:topLinePunct/>
              <w:jc w:val="center"/>
              <w:rPr>
                <w:rFonts w:cs="宋体"/>
                <w:i w:val="0"/>
                <w:iCs w:val="0"/>
                <w:snapToGrid w:val="0"/>
                <w:color w:val="000000"/>
                <w:kern w:val="0"/>
                <w:sz w:val="21"/>
                <w:szCs w:val="21"/>
                <w:lang w:val="zh-CN"/>
              </w:rPr>
            </w:pPr>
            <w:r>
              <w:rPr>
                <w:rFonts w:cs="宋体"/>
                <w:i w:val="0"/>
                <w:iCs w:val="0"/>
                <w:snapToGrid w:val="0"/>
                <w:color w:val="000000"/>
                <w:kern w:val="0"/>
                <w:sz w:val="21"/>
                <w:szCs w:val="21"/>
                <w:lang w:val="zh-CN"/>
              </w:rPr>
              <w:t>1.00×10</w:t>
            </w:r>
            <w:r>
              <w:rPr>
                <w:rFonts w:cs="宋体"/>
                <w:i w:val="0"/>
                <w:iCs w:val="0"/>
                <w:snapToGrid w:val="0"/>
                <w:color w:val="000000"/>
                <w:kern w:val="0"/>
                <w:sz w:val="21"/>
                <w:szCs w:val="21"/>
                <w:vertAlign w:val="superscript"/>
                <w:lang w:val="zh-CN"/>
              </w:rPr>
              <w:t>-</w:t>
            </w:r>
            <w:r>
              <w:rPr>
                <w:rFonts w:hint="eastAsia" w:cs="宋体"/>
                <w:i w:val="0"/>
                <w:iCs w:val="0"/>
                <w:snapToGrid w:val="0"/>
                <w:color w:val="000000"/>
                <w:kern w:val="0"/>
                <w:sz w:val="21"/>
                <w:szCs w:val="21"/>
                <w:vertAlign w:val="superscript"/>
                <w:lang w:val="en-US" w:eastAsia="zh-CN"/>
              </w:rPr>
              <w:t>4</w:t>
            </w:r>
            <w:r>
              <w:rPr>
                <w:rFonts w:cs="宋体"/>
                <w:i w:val="0"/>
                <w:iCs w:val="0"/>
                <w:snapToGrid w:val="0"/>
                <w:color w:val="000000"/>
                <w:kern w:val="0"/>
                <w:sz w:val="21"/>
                <w:szCs w:val="21"/>
                <w:lang w:val="zh-CN"/>
              </w:rPr>
              <w:t>/a</w:t>
            </w:r>
          </w:p>
        </w:tc>
        <w:tc>
          <w:tcPr>
            <w:tcW w:w="1269" w:type="dxa"/>
            <w:noWrap w:val="0"/>
            <w:vAlign w:val="center"/>
          </w:tcPr>
          <w:p>
            <w:pPr>
              <w:tabs>
                <w:tab w:val="left" w:pos="4095"/>
              </w:tabs>
              <w:topLinePunct/>
              <w:jc w:val="center"/>
              <w:rPr>
                <w:rFonts w:hint="eastAsia"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7" w:type="dxa"/>
            <w:vMerge w:val="continue"/>
            <w:noWrap w:val="0"/>
            <w:vAlign w:val="center"/>
          </w:tcPr>
          <w:p>
            <w:pPr>
              <w:tabs>
                <w:tab w:val="left" w:pos="4095"/>
              </w:tabs>
              <w:topLinePunct/>
              <w:jc w:val="center"/>
              <w:rPr>
                <w:rFonts w:cs="宋体"/>
                <w:i w:val="0"/>
                <w:iCs w:val="0"/>
                <w:snapToGrid w:val="0"/>
                <w:color w:val="000000"/>
                <w:kern w:val="0"/>
                <w:sz w:val="21"/>
                <w:szCs w:val="21"/>
                <w:lang w:val="zh-CN"/>
              </w:rPr>
            </w:pPr>
          </w:p>
        </w:tc>
        <w:tc>
          <w:tcPr>
            <w:tcW w:w="1412" w:type="dxa"/>
            <w:vMerge w:val="continue"/>
            <w:noWrap w:val="0"/>
            <w:vAlign w:val="center"/>
          </w:tcPr>
          <w:p>
            <w:pPr>
              <w:tabs>
                <w:tab w:val="left" w:pos="4095"/>
              </w:tabs>
              <w:topLinePunct/>
              <w:jc w:val="center"/>
              <w:rPr>
                <w:rFonts w:cs="宋体"/>
                <w:i w:val="0"/>
                <w:iCs w:val="0"/>
                <w:snapToGrid w:val="0"/>
                <w:color w:val="000000"/>
                <w:kern w:val="0"/>
                <w:sz w:val="21"/>
                <w:szCs w:val="21"/>
                <w:lang w:val="zh-CN"/>
              </w:rPr>
            </w:pPr>
          </w:p>
        </w:tc>
        <w:tc>
          <w:tcPr>
            <w:tcW w:w="1130" w:type="dxa"/>
            <w:vMerge w:val="continue"/>
            <w:noWrap w:val="0"/>
            <w:vAlign w:val="center"/>
          </w:tcPr>
          <w:p>
            <w:pPr>
              <w:tabs>
                <w:tab w:val="left" w:pos="4095"/>
              </w:tabs>
              <w:topLinePunct/>
              <w:jc w:val="center"/>
              <w:rPr>
                <w:rFonts w:cs="宋体"/>
                <w:i w:val="0"/>
                <w:iCs w:val="0"/>
                <w:snapToGrid w:val="0"/>
                <w:color w:val="000000"/>
                <w:kern w:val="0"/>
                <w:sz w:val="21"/>
                <w:szCs w:val="21"/>
                <w:lang w:val="zh-CN"/>
              </w:rPr>
            </w:pPr>
          </w:p>
        </w:tc>
        <w:tc>
          <w:tcPr>
            <w:tcW w:w="3240" w:type="dxa"/>
            <w:noWrap w:val="0"/>
            <w:vAlign w:val="center"/>
          </w:tcPr>
          <w:p>
            <w:pPr>
              <w:tabs>
                <w:tab w:val="left" w:pos="4095"/>
              </w:tabs>
              <w:topLinePunct/>
              <w:jc w:val="center"/>
              <w:rPr>
                <w:rFonts w:hint="eastAsia"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10min内储罐泄漏完</w:t>
            </w:r>
          </w:p>
        </w:tc>
        <w:tc>
          <w:tcPr>
            <w:tcW w:w="1314" w:type="dxa"/>
            <w:noWrap w:val="0"/>
            <w:vAlign w:val="center"/>
          </w:tcPr>
          <w:p>
            <w:pPr>
              <w:tabs>
                <w:tab w:val="left" w:pos="4095"/>
              </w:tabs>
              <w:topLinePunct/>
              <w:jc w:val="center"/>
              <w:rPr>
                <w:rFonts w:cs="宋体"/>
                <w:i w:val="0"/>
                <w:iCs w:val="0"/>
                <w:snapToGrid w:val="0"/>
                <w:color w:val="000000"/>
                <w:kern w:val="0"/>
                <w:sz w:val="21"/>
                <w:szCs w:val="21"/>
                <w:lang w:val="zh-CN"/>
              </w:rPr>
            </w:pPr>
            <w:r>
              <w:rPr>
                <w:rFonts w:cs="宋体"/>
                <w:i w:val="0"/>
                <w:iCs w:val="0"/>
                <w:snapToGrid w:val="0"/>
                <w:color w:val="000000"/>
                <w:kern w:val="0"/>
                <w:sz w:val="21"/>
                <w:szCs w:val="21"/>
                <w:lang w:val="zh-CN"/>
              </w:rPr>
              <w:t>5.00×10</w:t>
            </w:r>
            <w:r>
              <w:rPr>
                <w:rFonts w:cs="宋体"/>
                <w:i w:val="0"/>
                <w:iCs w:val="0"/>
                <w:snapToGrid w:val="0"/>
                <w:color w:val="000000"/>
                <w:kern w:val="0"/>
                <w:sz w:val="21"/>
                <w:szCs w:val="21"/>
                <w:vertAlign w:val="superscript"/>
                <w:lang w:val="zh-CN"/>
              </w:rPr>
              <w:t>-6</w:t>
            </w:r>
            <w:r>
              <w:rPr>
                <w:rFonts w:cs="宋体"/>
                <w:i w:val="0"/>
                <w:iCs w:val="0"/>
                <w:snapToGrid w:val="0"/>
                <w:color w:val="000000"/>
                <w:kern w:val="0"/>
                <w:sz w:val="21"/>
                <w:szCs w:val="21"/>
                <w:lang w:val="zh-CN"/>
              </w:rPr>
              <w:t>/a</w:t>
            </w:r>
          </w:p>
        </w:tc>
        <w:tc>
          <w:tcPr>
            <w:tcW w:w="1269" w:type="dxa"/>
            <w:noWrap w:val="0"/>
            <w:vAlign w:val="center"/>
          </w:tcPr>
          <w:p>
            <w:pPr>
              <w:tabs>
                <w:tab w:val="left" w:pos="4095"/>
              </w:tabs>
              <w:topLinePunct/>
              <w:jc w:val="center"/>
              <w:rPr>
                <w:rFonts w:hint="eastAsia"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7" w:type="dxa"/>
            <w:vMerge w:val="continue"/>
            <w:noWrap w:val="0"/>
            <w:vAlign w:val="center"/>
          </w:tcPr>
          <w:p>
            <w:pPr>
              <w:tabs>
                <w:tab w:val="left" w:pos="4095"/>
              </w:tabs>
              <w:topLinePunct/>
              <w:jc w:val="center"/>
              <w:rPr>
                <w:rFonts w:cs="宋体"/>
                <w:i w:val="0"/>
                <w:iCs w:val="0"/>
                <w:snapToGrid w:val="0"/>
                <w:color w:val="000000"/>
                <w:kern w:val="0"/>
                <w:sz w:val="21"/>
                <w:szCs w:val="21"/>
                <w:lang w:val="zh-CN"/>
              </w:rPr>
            </w:pPr>
          </w:p>
        </w:tc>
        <w:tc>
          <w:tcPr>
            <w:tcW w:w="1412" w:type="dxa"/>
            <w:vMerge w:val="continue"/>
            <w:noWrap w:val="0"/>
            <w:vAlign w:val="center"/>
          </w:tcPr>
          <w:p>
            <w:pPr>
              <w:tabs>
                <w:tab w:val="left" w:pos="4095"/>
              </w:tabs>
              <w:topLinePunct/>
              <w:jc w:val="center"/>
              <w:rPr>
                <w:rFonts w:cs="宋体"/>
                <w:i w:val="0"/>
                <w:iCs w:val="0"/>
                <w:snapToGrid w:val="0"/>
                <w:color w:val="000000"/>
                <w:kern w:val="0"/>
                <w:sz w:val="21"/>
                <w:szCs w:val="21"/>
                <w:lang w:val="zh-CN"/>
              </w:rPr>
            </w:pPr>
          </w:p>
        </w:tc>
        <w:tc>
          <w:tcPr>
            <w:tcW w:w="1130" w:type="dxa"/>
            <w:vMerge w:val="continue"/>
            <w:noWrap w:val="0"/>
            <w:vAlign w:val="center"/>
          </w:tcPr>
          <w:p>
            <w:pPr>
              <w:tabs>
                <w:tab w:val="left" w:pos="4095"/>
              </w:tabs>
              <w:topLinePunct/>
              <w:jc w:val="center"/>
              <w:rPr>
                <w:rFonts w:cs="宋体"/>
                <w:i w:val="0"/>
                <w:iCs w:val="0"/>
                <w:snapToGrid w:val="0"/>
                <w:color w:val="000000"/>
                <w:kern w:val="0"/>
                <w:sz w:val="21"/>
                <w:szCs w:val="21"/>
                <w:lang w:val="zh-CN"/>
              </w:rPr>
            </w:pPr>
          </w:p>
        </w:tc>
        <w:tc>
          <w:tcPr>
            <w:tcW w:w="3240" w:type="dxa"/>
            <w:noWrap w:val="0"/>
            <w:vAlign w:val="center"/>
          </w:tcPr>
          <w:p>
            <w:pPr>
              <w:tabs>
                <w:tab w:val="left" w:pos="4095"/>
              </w:tabs>
              <w:topLinePunct/>
              <w:jc w:val="center"/>
              <w:rPr>
                <w:rFonts w:hint="eastAsia"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储罐全破裂</w:t>
            </w:r>
          </w:p>
        </w:tc>
        <w:tc>
          <w:tcPr>
            <w:tcW w:w="1314" w:type="dxa"/>
            <w:noWrap w:val="0"/>
            <w:vAlign w:val="center"/>
          </w:tcPr>
          <w:p>
            <w:pPr>
              <w:tabs>
                <w:tab w:val="left" w:pos="4095"/>
              </w:tabs>
              <w:topLinePunct/>
              <w:jc w:val="center"/>
              <w:rPr>
                <w:rFonts w:cs="宋体"/>
                <w:i w:val="0"/>
                <w:iCs w:val="0"/>
                <w:snapToGrid w:val="0"/>
                <w:color w:val="000000"/>
                <w:kern w:val="0"/>
                <w:sz w:val="21"/>
                <w:szCs w:val="21"/>
                <w:lang w:val="zh-CN"/>
              </w:rPr>
            </w:pPr>
            <w:r>
              <w:rPr>
                <w:rFonts w:cs="宋体"/>
                <w:i w:val="0"/>
                <w:iCs w:val="0"/>
                <w:snapToGrid w:val="0"/>
                <w:color w:val="000000"/>
                <w:kern w:val="0"/>
                <w:sz w:val="21"/>
                <w:szCs w:val="21"/>
                <w:lang w:val="zh-CN"/>
              </w:rPr>
              <w:t>5.00×10</w:t>
            </w:r>
            <w:r>
              <w:rPr>
                <w:rFonts w:cs="宋体"/>
                <w:i w:val="0"/>
                <w:iCs w:val="0"/>
                <w:snapToGrid w:val="0"/>
                <w:color w:val="000000"/>
                <w:kern w:val="0"/>
                <w:sz w:val="21"/>
                <w:szCs w:val="21"/>
                <w:vertAlign w:val="superscript"/>
                <w:lang w:val="zh-CN"/>
              </w:rPr>
              <w:t>-6</w:t>
            </w:r>
            <w:r>
              <w:rPr>
                <w:rFonts w:cs="宋体"/>
                <w:i w:val="0"/>
                <w:iCs w:val="0"/>
                <w:snapToGrid w:val="0"/>
                <w:color w:val="000000"/>
                <w:kern w:val="0"/>
                <w:sz w:val="21"/>
                <w:szCs w:val="21"/>
                <w:lang w:val="zh-CN"/>
              </w:rPr>
              <w:t>/a</w:t>
            </w:r>
          </w:p>
        </w:tc>
        <w:tc>
          <w:tcPr>
            <w:tcW w:w="1269" w:type="dxa"/>
            <w:noWrap w:val="0"/>
            <w:vAlign w:val="center"/>
          </w:tcPr>
          <w:p>
            <w:pPr>
              <w:tabs>
                <w:tab w:val="left" w:pos="4095"/>
              </w:tabs>
              <w:topLinePunct/>
              <w:jc w:val="center"/>
              <w:rPr>
                <w:rFonts w:hint="eastAsia"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7" w:type="dxa"/>
            <w:vMerge w:val="continue"/>
            <w:noWrap w:val="0"/>
            <w:vAlign w:val="center"/>
          </w:tcPr>
          <w:p>
            <w:pPr>
              <w:tabs>
                <w:tab w:val="left" w:pos="4095"/>
              </w:tabs>
              <w:topLinePunct/>
              <w:jc w:val="center"/>
              <w:rPr>
                <w:rFonts w:cs="宋体"/>
                <w:i w:val="0"/>
                <w:iCs w:val="0"/>
                <w:snapToGrid w:val="0"/>
                <w:color w:val="000000"/>
                <w:kern w:val="0"/>
                <w:sz w:val="21"/>
                <w:szCs w:val="21"/>
                <w:lang w:val="zh-CN"/>
              </w:rPr>
            </w:pPr>
          </w:p>
        </w:tc>
        <w:tc>
          <w:tcPr>
            <w:tcW w:w="1412" w:type="dxa"/>
            <w:vMerge w:val="continue"/>
            <w:noWrap w:val="0"/>
            <w:vAlign w:val="center"/>
          </w:tcPr>
          <w:p>
            <w:pPr>
              <w:tabs>
                <w:tab w:val="left" w:pos="4095"/>
              </w:tabs>
              <w:topLinePunct/>
              <w:jc w:val="center"/>
              <w:rPr>
                <w:rFonts w:cs="宋体"/>
                <w:i w:val="0"/>
                <w:iCs w:val="0"/>
                <w:snapToGrid w:val="0"/>
                <w:color w:val="000000"/>
                <w:kern w:val="0"/>
                <w:sz w:val="21"/>
                <w:szCs w:val="21"/>
                <w:lang w:val="zh-CN"/>
              </w:rPr>
            </w:pPr>
          </w:p>
        </w:tc>
        <w:tc>
          <w:tcPr>
            <w:tcW w:w="1130" w:type="dxa"/>
            <w:vMerge w:val="continue"/>
            <w:noWrap w:val="0"/>
            <w:vAlign w:val="center"/>
          </w:tcPr>
          <w:p>
            <w:pPr>
              <w:tabs>
                <w:tab w:val="left" w:pos="4095"/>
              </w:tabs>
              <w:topLinePunct/>
              <w:jc w:val="center"/>
              <w:rPr>
                <w:rFonts w:cs="宋体"/>
                <w:i w:val="0"/>
                <w:iCs w:val="0"/>
                <w:snapToGrid w:val="0"/>
                <w:color w:val="000000"/>
                <w:kern w:val="0"/>
                <w:sz w:val="21"/>
                <w:szCs w:val="21"/>
                <w:lang w:val="zh-CN"/>
              </w:rPr>
            </w:pPr>
          </w:p>
        </w:tc>
        <w:tc>
          <w:tcPr>
            <w:tcW w:w="3240" w:type="dxa"/>
            <w:noWrap w:val="0"/>
            <w:vAlign w:val="center"/>
          </w:tcPr>
          <w:p>
            <w:pPr>
              <w:tabs>
                <w:tab w:val="left" w:pos="4095"/>
              </w:tabs>
              <w:topLinePunct/>
              <w:jc w:val="center"/>
              <w:rPr>
                <w:rFonts w:hint="eastAsia"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储罐破损后，物质挥发的蒸汽与空气形成爆炸性混合物，与明火、高热引起燃烧爆炸</w:t>
            </w:r>
          </w:p>
        </w:tc>
        <w:tc>
          <w:tcPr>
            <w:tcW w:w="1314" w:type="dxa"/>
            <w:noWrap w:val="0"/>
            <w:vAlign w:val="center"/>
          </w:tcPr>
          <w:p>
            <w:pPr>
              <w:tabs>
                <w:tab w:val="left" w:pos="4095"/>
              </w:tabs>
              <w:topLinePunct/>
              <w:jc w:val="center"/>
              <w:rPr>
                <w:rFonts w:cs="宋体"/>
                <w:i w:val="0"/>
                <w:iCs w:val="0"/>
                <w:snapToGrid w:val="0"/>
                <w:color w:val="000000"/>
                <w:kern w:val="0"/>
                <w:sz w:val="21"/>
                <w:szCs w:val="21"/>
                <w:lang w:val="zh-CN"/>
              </w:rPr>
            </w:pPr>
            <w:r>
              <w:rPr>
                <w:rFonts w:cs="宋体"/>
                <w:i w:val="0"/>
                <w:iCs w:val="0"/>
                <w:snapToGrid w:val="0"/>
                <w:color w:val="000000"/>
                <w:kern w:val="0"/>
                <w:sz w:val="21"/>
                <w:szCs w:val="21"/>
                <w:lang w:val="zh-CN"/>
              </w:rPr>
              <w:t>5.00×10</w:t>
            </w:r>
            <w:r>
              <w:rPr>
                <w:rFonts w:cs="宋体"/>
                <w:i w:val="0"/>
                <w:iCs w:val="0"/>
                <w:snapToGrid w:val="0"/>
                <w:color w:val="000000"/>
                <w:kern w:val="0"/>
                <w:sz w:val="21"/>
                <w:szCs w:val="21"/>
                <w:vertAlign w:val="superscript"/>
                <w:lang w:val="zh-CN"/>
              </w:rPr>
              <w:t>-6</w:t>
            </w:r>
            <w:r>
              <w:rPr>
                <w:rFonts w:cs="宋体"/>
                <w:i w:val="0"/>
                <w:iCs w:val="0"/>
                <w:snapToGrid w:val="0"/>
                <w:color w:val="000000"/>
                <w:kern w:val="0"/>
                <w:sz w:val="21"/>
                <w:szCs w:val="21"/>
                <w:lang w:val="zh-CN"/>
              </w:rPr>
              <w:t>/a</w:t>
            </w:r>
          </w:p>
        </w:tc>
        <w:tc>
          <w:tcPr>
            <w:tcW w:w="1269" w:type="dxa"/>
            <w:noWrap w:val="0"/>
            <w:vAlign w:val="center"/>
          </w:tcPr>
          <w:p>
            <w:pPr>
              <w:tabs>
                <w:tab w:val="left" w:pos="4095"/>
              </w:tabs>
              <w:topLinePunct/>
              <w:jc w:val="center"/>
              <w:rPr>
                <w:rFonts w:hint="eastAsia"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7" w:type="dxa"/>
            <w:vMerge w:val="continue"/>
            <w:noWrap w:val="0"/>
            <w:vAlign w:val="center"/>
          </w:tcPr>
          <w:p>
            <w:pPr>
              <w:tabs>
                <w:tab w:val="left" w:pos="4095"/>
              </w:tabs>
              <w:topLinePunct/>
              <w:jc w:val="center"/>
              <w:rPr>
                <w:rFonts w:cs="宋体"/>
                <w:i w:val="0"/>
                <w:iCs w:val="0"/>
                <w:snapToGrid w:val="0"/>
                <w:color w:val="000000"/>
                <w:kern w:val="0"/>
                <w:sz w:val="21"/>
                <w:szCs w:val="21"/>
                <w:lang w:val="zh-CN"/>
              </w:rPr>
            </w:pPr>
          </w:p>
        </w:tc>
        <w:tc>
          <w:tcPr>
            <w:tcW w:w="1412" w:type="dxa"/>
            <w:vMerge w:val="continue"/>
            <w:noWrap w:val="0"/>
            <w:vAlign w:val="center"/>
          </w:tcPr>
          <w:p>
            <w:pPr>
              <w:tabs>
                <w:tab w:val="left" w:pos="4095"/>
              </w:tabs>
              <w:topLinePunct/>
              <w:jc w:val="center"/>
              <w:rPr>
                <w:rFonts w:cs="宋体"/>
                <w:i w:val="0"/>
                <w:iCs w:val="0"/>
                <w:snapToGrid w:val="0"/>
                <w:color w:val="000000"/>
                <w:kern w:val="0"/>
                <w:sz w:val="21"/>
                <w:szCs w:val="21"/>
                <w:lang w:val="zh-CN"/>
              </w:rPr>
            </w:pPr>
          </w:p>
        </w:tc>
        <w:tc>
          <w:tcPr>
            <w:tcW w:w="1130" w:type="dxa"/>
            <w:vMerge w:val="continue"/>
            <w:noWrap w:val="0"/>
            <w:vAlign w:val="center"/>
          </w:tcPr>
          <w:p>
            <w:pPr>
              <w:tabs>
                <w:tab w:val="left" w:pos="4095"/>
              </w:tabs>
              <w:topLinePunct/>
              <w:jc w:val="center"/>
              <w:rPr>
                <w:rFonts w:cs="宋体"/>
                <w:i w:val="0"/>
                <w:iCs w:val="0"/>
                <w:snapToGrid w:val="0"/>
                <w:color w:val="000000"/>
                <w:kern w:val="0"/>
                <w:sz w:val="21"/>
                <w:szCs w:val="21"/>
                <w:lang w:val="zh-CN"/>
              </w:rPr>
            </w:pPr>
          </w:p>
        </w:tc>
        <w:tc>
          <w:tcPr>
            <w:tcW w:w="3240" w:type="dxa"/>
            <w:noWrap w:val="0"/>
            <w:vAlign w:val="center"/>
          </w:tcPr>
          <w:p>
            <w:pPr>
              <w:tabs>
                <w:tab w:val="left" w:pos="4095"/>
              </w:tabs>
              <w:topLinePunct/>
              <w:jc w:val="center"/>
              <w:rPr>
                <w:rFonts w:hint="eastAsia"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发生火灾事故中产生的消防废水未能及时收集，漫流，废水污染地下水、土壤、地表水环境</w:t>
            </w:r>
          </w:p>
        </w:tc>
        <w:tc>
          <w:tcPr>
            <w:tcW w:w="1314" w:type="dxa"/>
            <w:noWrap w:val="0"/>
            <w:vAlign w:val="center"/>
          </w:tcPr>
          <w:p>
            <w:pPr>
              <w:tabs>
                <w:tab w:val="left" w:pos="4095"/>
              </w:tabs>
              <w:topLinePunct/>
              <w:jc w:val="center"/>
              <w:rPr>
                <w:rFonts w:cs="宋体"/>
                <w:i w:val="0"/>
                <w:iCs w:val="0"/>
                <w:snapToGrid w:val="0"/>
                <w:color w:val="000000"/>
                <w:kern w:val="0"/>
                <w:sz w:val="21"/>
                <w:szCs w:val="21"/>
                <w:lang w:val="zh-CN"/>
              </w:rPr>
            </w:pPr>
            <w:r>
              <w:rPr>
                <w:rFonts w:cs="宋体"/>
                <w:i w:val="0"/>
                <w:iCs w:val="0"/>
                <w:snapToGrid w:val="0"/>
                <w:color w:val="000000"/>
                <w:kern w:val="0"/>
                <w:sz w:val="21"/>
                <w:szCs w:val="21"/>
                <w:lang w:val="zh-CN"/>
              </w:rPr>
              <w:t>5.00×10</w:t>
            </w:r>
            <w:r>
              <w:rPr>
                <w:rFonts w:cs="宋体"/>
                <w:i w:val="0"/>
                <w:iCs w:val="0"/>
                <w:snapToGrid w:val="0"/>
                <w:color w:val="000000"/>
                <w:kern w:val="0"/>
                <w:sz w:val="21"/>
                <w:szCs w:val="21"/>
                <w:vertAlign w:val="superscript"/>
                <w:lang w:val="zh-CN"/>
              </w:rPr>
              <w:t>-6</w:t>
            </w:r>
            <w:r>
              <w:rPr>
                <w:rFonts w:cs="宋体"/>
                <w:i w:val="0"/>
                <w:iCs w:val="0"/>
                <w:snapToGrid w:val="0"/>
                <w:color w:val="000000"/>
                <w:kern w:val="0"/>
                <w:sz w:val="21"/>
                <w:szCs w:val="21"/>
                <w:lang w:val="zh-CN"/>
              </w:rPr>
              <w:t>/a</w:t>
            </w:r>
          </w:p>
        </w:tc>
        <w:tc>
          <w:tcPr>
            <w:tcW w:w="1269" w:type="dxa"/>
            <w:noWrap w:val="0"/>
            <w:vAlign w:val="center"/>
          </w:tcPr>
          <w:p>
            <w:pPr>
              <w:tabs>
                <w:tab w:val="left" w:pos="4095"/>
              </w:tabs>
              <w:topLinePunct/>
              <w:jc w:val="center"/>
              <w:rPr>
                <w:rFonts w:hint="eastAsia"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7"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公用单元</w:t>
            </w:r>
          </w:p>
        </w:tc>
        <w:tc>
          <w:tcPr>
            <w:tcW w:w="1412"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危品库</w:t>
            </w:r>
          </w:p>
        </w:tc>
        <w:tc>
          <w:tcPr>
            <w:tcW w:w="1130" w:type="dxa"/>
            <w:noWrap w:val="0"/>
            <w:vAlign w:val="center"/>
          </w:tcPr>
          <w:p>
            <w:pPr>
              <w:tabs>
                <w:tab w:val="left" w:pos="4095"/>
              </w:tabs>
              <w:topLinePunct/>
              <w:jc w:val="center"/>
              <w:rPr>
                <w:rFonts w:hint="eastAsia"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氨水、乙醇、乙醚、盐酸、硫酸、三氯甲烷、甲苯、丙酮、</w:t>
            </w:r>
          </w:p>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硝酸、</w:t>
            </w:r>
          </w:p>
        </w:tc>
        <w:tc>
          <w:tcPr>
            <w:tcW w:w="3240"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发生火灾事故中产生的消防废水未能及时收集，漫流，废水污染地下水、土壤、地表水环境</w:t>
            </w:r>
          </w:p>
        </w:tc>
        <w:tc>
          <w:tcPr>
            <w:tcW w:w="1314" w:type="dxa"/>
            <w:noWrap w:val="0"/>
            <w:vAlign w:val="center"/>
          </w:tcPr>
          <w:p>
            <w:pPr>
              <w:tabs>
                <w:tab w:val="left" w:pos="4095"/>
              </w:tabs>
              <w:topLinePunct/>
              <w:jc w:val="center"/>
              <w:rPr>
                <w:rFonts w:cs="宋体"/>
                <w:i w:val="0"/>
                <w:iCs w:val="0"/>
                <w:snapToGrid w:val="0"/>
                <w:color w:val="000000"/>
                <w:kern w:val="0"/>
                <w:sz w:val="21"/>
                <w:szCs w:val="21"/>
                <w:lang w:val="zh-CN"/>
              </w:rPr>
            </w:pPr>
            <w:r>
              <w:rPr>
                <w:rFonts w:cs="宋体"/>
                <w:i w:val="0"/>
                <w:iCs w:val="0"/>
                <w:snapToGrid w:val="0"/>
                <w:color w:val="000000"/>
                <w:kern w:val="0"/>
                <w:sz w:val="21"/>
                <w:szCs w:val="21"/>
                <w:lang w:val="zh-CN"/>
              </w:rPr>
              <w:t>5.00×10</w:t>
            </w:r>
            <w:r>
              <w:rPr>
                <w:rFonts w:cs="宋体"/>
                <w:i w:val="0"/>
                <w:iCs w:val="0"/>
                <w:snapToGrid w:val="0"/>
                <w:color w:val="000000"/>
                <w:kern w:val="0"/>
                <w:sz w:val="21"/>
                <w:szCs w:val="21"/>
                <w:vertAlign w:val="superscript"/>
                <w:lang w:val="zh-CN"/>
              </w:rPr>
              <w:t>-6</w:t>
            </w:r>
            <w:r>
              <w:rPr>
                <w:rFonts w:cs="宋体"/>
                <w:i w:val="0"/>
                <w:iCs w:val="0"/>
                <w:snapToGrid w:val="0"/>
                <w:color w:val="000000"/>
                <w:kern w:val="0"/>
                <w:sz w:val="21"/>
                <w:szCs w:val="21"/>
                <w:lang w:val="zh-CN"/>
              </w:rPr>
              <w:t>/a</w:t>
            </w:r>
          </w:p>
        </w:tc>
        <w:tc>
          <w:tcPr>
            <w:tcW w:w="1269"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否</w:t>
            </w:r>
          </w:p>
        </w:tc>
      </w:tr>
    </w:tbl>
    <w:p>
      <w:pPr>
        <w:tabs>
          <w:tab w:val="left" w:pos="4095"/>
        </w:tabs>
        <w:topLinePunct/>
        <w:spacing w:before="120" w:beforeLines="50" w:line="360" w:lineRule="auto"/>
        <w:ind w:firstLine="480" w:firstLineChars="200"/>
        <w:rPr>
          <w:rFonts w:cs="宋体"/>
          <w:i w:val="0"/>
          <w:iCs w:val="0"/>
          <w:snapToGrid w:val="0"/>
          <w:color w:val="000000"/>
          <w:kern w:val="0"/>
          <w:lang w:val="zh-CN"/>
        </w:rPr>
      </w:pPr>
      <w:r>
        <w:rPr>
          <w:rFonts w:hint="eastAsia" w:cs="宋体"/>
          <w:i w:val="0"/>
          <w:iCs w:val="0"/>
          <w:snapToGrid w:val="0"/>
          <w:color w:val="000000"/>
          <w:kern w:val="0"/>
          <w:lang w:val="zh-CN"/>
        </w:rPr>
        <w:t>根据上表最终确定本项目最大可行事故详见下表。</w:t>
      </w:r>
    </w:p>
    <w:p>
      <w:pPr>
        <w:widowControl/>
        <w:jc w:val="center"/>
        <w:rPr>
          <w:rFonts w:hint="eastAsia"/>
          <w:b/>
          <w:bCs/>
          <w:i w:val="0"/>
          <w:iCs w:val="0"/>
          <w:color w:val="000000"/>
          <w:szCs w:val="20"/>
          <w:lang w:val="zh-CN"/>
        </w:rPr>
      </w:pPr>
      <w:r>
        <w:rPr>
          <w:rFonts w:hint="eastAsia"/>
          <w:b/>
          <w:bCs/>
          <w:i w:val="0"/>
          <w:iCs w:val="0"/>
          <w:color w:val="000000"/>
          <w:szCs w:val="20"/>
          <w:lang w:val="zh-CN"/>
        </w:rPr>
        <w:t>表</w:t>
      </w:r>
      <w:r>
        <w:rPr>
          <w:rFonts w:hint="eastAsia"/>
          <w:b/>
          <w:bCs/>
          <w:i w:val="0"/>
          <w:iCs w:val="0"/>
          <w:color w:val="000000"/>
          <w:szCs w:val="20"/>
        </w:rPr>
        <w:t>7</w:t>
      </w:r>
      <w:r>
        <w:rPr>
          <w:rFonts w:hint="eastAsia"/>
          <w:b/>
          <w:bCs/>
          <w:i w:val="0"/>
          <w:iCs w:val="0"/>
          <w:color w:val="000000"/>
          <w:szCs w:val="20"/>
          <w:lang w:val="zh-CN"/>
        </w:rPr>
        <w:t>-2</w:t>
      </w:r>
      <w:r>
        <w:rPr>
          <w:rFonts w:hint="eastAsia"/>
          <w:b/>
          <w:bCs/>
          <w:i w:val="0"/>
          <w:iCs w:val="0"/>
          <w:color w:val="000000"/>
          <w:szCs w:val="20"/>
        </w:rPr>
        <w:t>6</w:t>
      </w:r>
      <w:r>
        <w:rPr>
          <w:rFonts w:hint="eastAsia"/>
          <w:b/>
          <w:bCs/>
          <w:i w:val="0"/>
          <w:iCs w:val="0"/>
          <w:color w:val="000000"/>
          <w:szCs w:val="20"/>
          <w:lang w:val="zh-CN"/>
        </w:rPr>
        <w:t xml:space="preserve">   环境风险最大可信事故一览表</w:t>
      </w:r>
    </w:p>
    <w:tbl>
      <w:tblPr>
        <w:tblStyle w:val="58"/>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1693"/>
        <w:gridCol w:w="1271"/>
        <w:gridCol w:w="2397"/>
        <w:gridCol w:w="1314"/>
        <w:gridCol w:w="12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dxa"/>
            <w:noWrap w:val="0"/>
            <w:vAlign w:val="center"/>
          </w:tcPr>
          <w:p>
            <w:pPr>
              <w:tabs>
                <w:tab w:val="left" w:pos="4095"/>
              </w:tabs>
              <w:topLinePunct/>
              <w:jc w:val="center"/>
              <w:rPr>
                <w:rFonts w:cs="宋体"/>
                <w:b/>
                <w:bCs/>
                <w:i w:val="0"/>
                <w:iCs w:val="0"/>
                <w:snapToGrid w:val="0"/>
                <w:color w:val="000000"/>
                <w:kern w:val="0"/>
                <w:sz w:val="21"/>
                <w:szCs w:val="21"/>
                <w:lang w:val="zh-CN"/>
              </w:rPr>
            </w:pPr>
            <w:r>
              <w:rPr>
                <w:rFonts w:hint="eastAsia" w:cs="宋体"/>
                <w:b/>
                <w:bCs/>
                <w:i w:val="0"/>
                <w:iCs w:val="0"/>
                <w:snapToGrid w:val="0"/>
                <w:color w:val="000000"/>
                <w:kern w:val="0"/>
                <w:sz w:val="21"/>
                <w:szCs w:val="21"/>
                <w:lang w:val="zh-CN"/>
              </w:rPr>
              <w:t>危险单元</w:t>
            </w:r>
          </w:p>
        </w:tc>
        <w:tc>
          <w:tcPr>
            <w:tcW w:w="1693" w:type="dxa"/>
            <w:noWrap w:val="0"/>
            <w:vAlign w:val="center"/>
          </w:tcPr>
          <w:p>
            <w:pPr>
              <w:tabs>
                <w:tab w:val="left" w:pos="4095"/>
              </w:tabs>
              <w:topLinePunct/>
              <w:jc w:val="center"/>
              <w:rPr>
                <w:rFonts w:cs="宋体"/>
                <w:b/>
                <w:bCs/>
                <w:i w:val="0"/>
                <w:iCs w:val="0"/>
                <w:snapToGrid w:val="0"/>
                <w:color w:val="000000"/>
                <w:kern w:val="0"/>
                <w:sz w:val="21"/>
                <w:szCs w:val="21"/>
                <w:lang w:val="zh-CN"/>
              </w:rPr>
            </w:pPr>
            <w:r>
              <w:rPr>
                <w:rFonts w:hint="eastAsia" w:cs="宋体"/>
                <w:b/>
                <w:bCs/>
                <w:i w:val="0"/>
                <w:iCs w:val="0"/>
                <w:snapToGrid w:val="0"/>
                <w:color w:val="000000"/>
                <w:kern w:val="0"/>
                <w:sz w:val="21"/>
                <w:szCs w:val="21"/>
                <w:lang w:val="zh-CN"/>
              </w:rPr>
              <w:t>风险源</w:t>
            </w:r>
          </w:p>
        </w:tc>
        <w:tc>
          <w:tcPr>
            <w:tcW w:w="1271" w:type="dxa"/>
            <w:noWrap w:val="0"/>
            <w:vAlign w:val="center"/>
          </w:tcPr>
          <w:p>
            <w:pPr>
              <w:tabs>
                <w:tab w:val="left" w:pos="4095"/>
              </w:tabs>
              <w:topLinePunct/>
              <w:jc w:val="center"/>
              <w:rPr>
                <w:rFonts w:cs="宋体"/>
                <w:b/>
                <w:bCs/>
                <w:i w:val="0"/>
                <w:iCs w:val="0"/>
                <w:snapToGrid w:val="0"/>
                <w:color w:val="000000"/>
                <w:kern w:val="0"/>
                <w:sz w:val="21"/>
                <w:szCs w:val="21"/>
                <w:lang w:val="zh-CN"/>
              </w:rPr>
            </w:pPr>
            <w:r>
              <w:rPr>
                <w:rFonts w:hint="eastAsia" w:cs="宋体"/>
                <w:b/>
                <w:bCs/>
                <w:i w:val="0"/>
                <w:iCs w:val="0"/>
                <w:snapToGrid w:val="0"/>
                <w:color w:val="000000"/>
                <w:kern w:val="0"/>
                <w:sz w:val="21"/>
                <w:szCs w:val="21"/>
                <w:lang w:val="zh-CN"/>
              </w:rPr>
              <w:t>主要危险</w:t>
            </w:r>
          </w:p>
          <w:p>
            <w:pPr>
              <w:tabs>
                <w:tab w:val="left" w:pos="4095"/>
              </w:tabs>
              <w:topLinePunct/>
              <w:jc w:val="center"/>
              <w:rPr>
                <w:rFonts w:cs="宋体"/>
                <w:b/>
                <w:bCs/>
                <w:i w:val="0"/>
                <w:iCs w:val="0"/>
                <w:snapToGrid w:val="0"/>
                <w:color w:val="000000"/>
                <w:kern w:val="0"/>
                <w:sz w:val="21"/>
                <w:szCs w:val="21"/>
                <w:lang w:val="zh-CN"/>
              </w:rPr>
            </w:pPr>
            <w:r>
              <w:rPr>
                <w:rFonts w:hint="eastAsia" w:cs="宋体"/>
                <w:b/>
                <w:bCs/>
                <w:i w:val="0"/>
                <w:iCs w:val="0"/>
                <w:snapToGrid w:val="0"/>
                <w:color w:val="000000"/>
                <w:kern w:val="0"/>
                <w:sz w:val="21"/>
                <w:szCs w:val="21"/>
                <w:lang w:val="zh-CN"/>
              </w:rPr>
              <w:t>物质</w:t>
            </w:r>
          </w:p>
        </w:tc>
        <w:tc>
          <w:tcPr>
            <w:tcW w:w="2397" w:type="dxa"/>
            <w:noWrap w:val="0"/>
            <w:vAlign w:val="center"/>
          </w:tcPr>
          <w:p>
            <w:pPr>
              <w:tabs>
                <w:tab w:val="left" w:pos="4095"/>
              </w:tabs>
              <w:topLinePunct/>
              <w:jc w:val="center"/>
              <w:rPr>
                <w:rFonts w:cs="宋体"/>
                <w:b/>
                <w:bCs/>
                <w:i w:val="0"/>
                <w:iCs w:val="0"/>
                <w:snapToGrid w:val="0"/>
                <w:color w:val="000000"/>
                <w:kern w:val="0"/>
                <w:sz w:val="21"/>
                <w:szCs w:val="21"/>
                <w:lang w:val="zh-CN"/>
              </w:rPr>
            </w:pPr>
            <w:r>
              <w:rPr>
                <w:rFonts w:hint="eastAsia" w:cs="宋体"/>
                <w:b/>
                <w:bCs/>
                <w:i w:val="0"/>
                <w:iCs w:val="0"/>
                <w:snapToGrid w:val="0"/>
                <w:color w:val="000000"/>
                <w:kern w:val="0"/>
                <w:sz w:val="21"/>
                <w:szCs w:val="21"/>
                <w:lang w:val="zh-CN"/>
              </w:rPr>
              <w:t>风险事故情形描述</w:t>
            </w:r>
          </w:p>
        </w:tc>
        <w:tc>
          <w:tcPr>
            <w:tcW w:w="1314" w:type="dxa"/>
            <w:noWrap w:val="0"/>
            <w:vAlign w:val="center"/>
          </w:tcPr>
          <w:p>
            <w:pPr>
              <w:tabs>
                <w:tab w:val="left" w:pos="4095"/>
              </w:tabs>
              <w:topLinePunct/>
              <w:jc w:val="center"/>
              <w:rPr>
                <w:rFonts w:cs="宋体"/>
                <w:b/>
                <w:bCs/>
                <w:i w:val="0"/>
                <w:iCs w:val="0"/>
                <w:snapToGrid w:val="0"/>
                <w:color w:val="000000"/>
                <w:kern w:val="0"/>
                <w:sz w:val="21"/>
                <w:szCs w:val="21"/>
                <w:lang w:val="zh-CN"/>
              </w:rPr>
            </w:pPr>
            <w:r>
              <w:rPr>
                <w:rFonts w:hint="eastAsia" w:cs="宋体"/>
                <w:b/>
                <w:bCs/>
                <w:i w:val="0"/>
                <w:iCs w:val="0"/>
                <w:snapToGrid w:val="0"/>
                <w:color w:val="000000"/>
                <w:kern w:val="0"/>
                <w:sz w:val="21"/>
                <w:szCs w:val="21"/>
                <w:lang w:val="zh-CN"/>
              </w:rPr>
              <w:t>泄露频率</w:t>
            </w:r>
          </w:p>
        </w:tc>
        <w:tc>
          <w:tcPr>
            <w:tcW w:w="1269" w:type="dxa"/>
            <w:noWrap w:val="0"/>
            <w:vAlign w:val="center"/>
          </w:tcPr>
          <w:p>
            <w:pPr>
              <w:tabs>
                <w:tab w:val="left" w:pos="4095"/>
              </w:tabs>
              <w:topLinePunct/>
              <w:jc w:val="center"/>
              <w:rPr>
                <w:rFonts w:cs="宋体"/>
                <w:b/>
                <w:bCs/>
                <w:i w:val="0"/>
                <w:iCs w:val="0"/>
                <w:snapToGrid w:val="0"/>
                <w:color w:val="000000"/>
                <w:kern w:val="0"/>
                <w:sz w:val="21"/>
                <w:szCs w:val="21"/>
                <w:lang w:val="zh-CN"/>
              </w:rPr>
            </w:pPr>
            <w:r>
              <w:rPr>
                <w:rFonts w:hint="eastAsia" w:cs="宋体"/>
                <w:b/>
                <w:bCs/>
                <w:i w:val="0"/>
                <w:iCs w:val="0"/>
                <w:snapToGrid w:val="0"/>
                <w:color w:val="000000"/>
                <w:kern w:val="0"/>
                <w:sz w:val="21"/>
                <w:szCs w:val="21"/>
                <w:lang w:val="zh-CN"/>
              </w:rPr>
              <w:t>是否为最大可信事故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储存单元</w:t>
            </w:r>
          </w:p>
        </w:tc>
        <w:tc>
          <w:tcPr>
            <w:tcW w:w="1693"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氨水储罐</w:t>
            </w:r>
          </w:p>
        </w:tc>
        <w:tc>
          <w:tcPr>
            <w:tcW w:w="1271"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氨水</w:t>
            </w:r>
          </w:p>
        </w:tc>
        <w:tc>
          <w:tcPr>
            <w:tcW w:w="2397"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泄漏孔径为10mm孔径</w:t>
            </w:r>
          </w:p>
        </w:tc>
        <w:tc>
          <w:tcPr>
            <w:tcW w:w="1314" w:type="dxa"/>
            <w:noWrap w:val="0"/>
            <w:vAlign w:val="center"/>
          </w:tcPr>
          <w:p>
            <w:pPr>
              <w:tabs>
                <w:tab w:val="left" w:pos="4095"/>
              </w:tabs>
              <w:topLinePunct/>
              <w:jc w:val="center"/>
              <w:rPr>
                <w:rFonts w:cs="宋体"/>
                <w:i w:val="0"/>
                <w:iCs w:val="0"/>
                <w:snapToGrid w:val="0"/>
                <w:color w:val="000000"/>
                <w:kern w:val="0"/>
                <w:sz w:val="21"/>
                <w:szCs w:val="21"/>
                <w:lang w:val="zh-CN"/>
              </w:rPr>
            </w:pPr>
            <w:r>
              <w:rPr>
                <w:rFonts w:cs="宋体"/>
                <w:i w:val="0"/>
                <w:iCs w:val="0"/>
                <w:snapToGrid w:val="0"/>
                <w:color w:val="000000"/>
                <w:kern w:val="0"/>
                <w:sz w:val="21"/>
                <w:szCs w:val="21"/>
                <w:lang w:val="zh-CN"/>
              </w:rPr>
              <w:t>1.00×10</w:t>
            </w:r>
            <w:r>
              <w:rPr>
                <w:rFonts w:cs="宋体"/>
                <w:i w:val="0"/>
                <w:iCs w:val="0"/>
                <w:snapToGrid w:val="0"/>
                <w:color w:val="000000"/>
                <w:kern w:val="0"/>
                <w:sz w:val="21"/>
                <w:szCs w:val="21"/>
                <w:vertAlign w:val="superscript"/>
                <w:lang w:val="zh-CN"/>
              </w:rPr>
              <w:t>-4</w:t>
            </w:r>
            <w:r>
              <w:rPr>
                <w:rFonts w:cs="宋体"/>
                <w:i w:val="0"/>
                <w:iCs w:val="0"/>
                <w:snapToGrid w:val="0"/>
                <w:color w:val="000000"/>
                <w:kern w:val="0"/>
                <w:sz w:val="21"/>
                <w:szCs w:val="21"/>
                <w:lang w:val="zh-CN"/>
              </w:rPr>
              <w:t>/a</w:t>
            </w:r>
          </w:p>
        </w:tc>
        <w:tc>
          <w:tcPr>
            <w:tcW w:w="1269" w:type="dxa"/>
            <w:noWrap w:val="0"/>
            <w:vAlign w:val="center"/>
          </w:tcPr>
          <w:p>
            <w:pPr>
              <w:tabs>
                <w:tab w:val="left" w:pos="4095"/>
              </w:tabs>
              <w:topLinePunct/>
              <w:jc w:val="center"/>
              <w:rPr>
                <w:rFonts w:cs="宋体"/>
                <w:i w:val="0"/>
                <w:iCs w:val="0"/>
                <w:snapToGrid w:val="0"/>
                <w:color w:val="000000"/>
                <w:kern w:val="0"/>
                <w:sz w:val="21"/>
                <w:szCs w:val="21"/>
                <w:lang w:val="zh-CN"/>
              </w:rPr>
            </w:pPr>
            <w:r>
              <w:rPr>
                <w:rFonts w:hint="eastAsia" w:cs="宋体"/>
                <w:i w:val="0"/>
                <w:iCs w:val="0"/>
                <w:snapToGrid w:val="0"/>
                <w:color w:val="000000"/>
                <w:kern w:val="0"/>
                <w:sz w:val="21"/>
                <w:szCs w:val="21"/>
                <w:lang w:val="zh-CN"/>
              </w:rPr>
              <w:t>是</w:t>
            </w:r>
          </w:p>
        </w:tc>
      </w:tr>
    </w:tbl>
    <w:p>
      <w:pPr>
        <w:tabs>
          <w:tab w:val="left" w:pos="4095"/>
        </w:tabs>
        <w:topLinePunct/>
        <w:spacing w:before="120" w:beforeLines="50" w:line="360" w:lineRule="auto"/>
        <w:ind w:firstLine="480" w:firstLineChars="200"/>
        <w:rPr>
          <w:rFonts w:cs="宋体"/>
          <w:i w:val="0"/>
          <w:iCs w:val="0"/>
          <w:snapToGrid w:val="0"/>
          <w:color w:val="000000"/>
          <w:kern w:val="0"/>
          <w:lang w:val="zh-CN"/>
        </w:rPr>
      </w:pPr>
      <w:r>
        <w:rPr>
          <w:rFonts w:hint="eastAsia" w:cs="宋体"/>
          <w:i w:val="0"/>
          <w:iCs w:val="0"/>
          <w:snapToGrid w:val="0"/>
          <w:color w:val="000000"/>
          <w:kern w:val="0"/>
          <w:lang w:val="zh-CN"/>
        </w:rPr>
        <w:t>由上表可知，本项目储存单元各储存系统泄露孔径为1</w:t>
      </w:r>
      <w:r>
        <w:rPr>
          <w:rFonts w:cs="宋体"/>
          <w:i w:val="0"/>
          <w:iCs w:val="0"/>
          <w:snapToGrid w:val="0"/>
          <w:color w:val="000000"/>
          <w:kern w:val="0"/>
          <w:lang w:val="zh-CN"/>
        </w:rPr>
        <w:t>0mm</w:t>
      </w:r>
      <w:r>
        <w:rPr>
          <w:rFonts w:hint="eastAsia" w:cs="宋体"/>
          <w:i w:val="0"/>
          <w:iCs w:val="0"/>
          <w:snapToGrid w:val="0"/>
          <w:color w:val="000000"/>
          <w:kern w:val="0"/>
          <w:lang w:val="zh-CN"/>
        </w:rPr>
        <w:t>孔径导致氨水泄露，发生概率为1</w:t>
      </w:r>
      <w:r>
        <w:rPr>
          <w:rFonts w:cs="宋体"/>
          <w:i w:val="0"/>
          <w:iCs w:val="0"/>
          <w:snapToGrid w:val="0"/>
          <w:color w:val="000000"/>
          <w:kern w:val="0"/>
          <w:lang w:val="zh-CN"/>
        </w:rPr>
        <w:t>.</w:t>
      </w:r>
      <w:r>
        <w:rPr>
          <w:rFonts w:hint="eastAsia" w:cs="宋体"/>
          <w:i w:val="0"/>
          <w:iCs w:val="0"/>
          <w:snapToGrid w:val="0"/>
          <w:color w:val="000000"/>
          <w:kern w:val="0"/>
          <w:lang w:val="zh-CN"/>
        </w:rPr>
        <w:t>0×10</w:t>
      </w:r>
      <w:r>
        <w:rPr>
          <w:rFonts w:hint="eastAsia" w:cs="宋体"/>
          <w:i w:val="0"/>
          <w:iCs w:val="0"/>
          <w:snapToGrid w:val="0"/>
          <w:color w:val="000000"/>
          <w:kern w:val="0"/>
          <w:vertAlign w:val="superscript"/>
          <w:lang w:val="zh-CN"/>
        </w:rPr>
        <w:t>-4</w:t>
      </w:r>
      <w:r>
        <w:rPr>
          <w:rFonts w:hint="eastAsia" w:cs="宋体"/>
          <w:i w:val="0"/>
          <w:iCs w:val="0"/>
          <w:snapToGrid w:val="0"/>
          <w:color w:val="000000"/>
          <w:kern w:val="0"/>
          <w:lang w:val="zh-CN"/>
        </w:rPr>
        <w:t>为最大可行事故。</w:t>
      </w:r>
    </w:p>
    <w:p>
      <w:pPr>
        <w:keepNext/>
        <w:keepLines/>
        <w:widowControl/>
        <w:spacing w:before="120" w:beforeLines="50" w:line="360" w:lineRule="auto"/>
        <w:outlineLvl w:val="2"/>
        <w:rPr>
          <w:b/>
          <w:bCs/>
          <w:i w:val="0"/>
          <w:iCs w:val="0"/>
          <w:color w:val="000000"/>
          <w:szCs w:val="32"/>
        </w:rPr>
      </w:pPr>
      <w:bookmarkStart w:id="251" w:name="_Toc123993305"/>
      <w:r>
        <w:rPr>
          <w:rFonts w:hint="eastAsia"/>
          <w:b/>
          <w:bCs/>
          <w:i w:val="0"/>
          <w:iCs w:val="0"/>
          <w:color w:val="000000"/>
          <w:szCs w:val="32"/>
        </w:rPr>
        <w:t>7.4.3 最大可信事故源项</w:t>
      </w:r>
      <w:bookmarkEnd w:id="251"/>
    </w:p>
    <w:p>
      <w:pPr>
        <w:widowControl/>
        <w:spacing w:line="360" w:lineRule="auto"/>
        <w:ind w:firstLine="480" w:firstLineChars="200"/>
        <w:rPr>
          <w:rFonts w:ascii="宋体" w:hAnsi="宋体"/>
          <w:i w:val="0"/>
          <w:iCs w:val="0"/>
          <w:color w:val="000000"/>
          <w:szCs w:val="20"/>
        </w:rPr>
      </w:pPr>
      <w:r>
        <w:rPr>
          <w:i w:val="0"/>
          <w:iCs w:val="0"/>
          <w:color w:val="000000"/>
          <w:szCs w:val="20"/>
        </w:rPr>
        <w:t>最大可信事故源项是对所识别选出的危险物质，在最大可信事故情况下的释放率和释放时间的设定。事故发生具有随机性，服从一定的概率分布，最大可信事故的设定是在与经济技术水平相适应，结合大量统计资料基础上的一种合理假设，并不能代表全部可能的环境风险，但具有一定的代表性。</w:t>
      </w:r>
      <w:r>
        <w:rPr>
          <w:rFonts w:hint="eastAsia"/>
          <w:i w:val="0"/>
          <w:iCs w:val="0"/>
          <w:color w:val="000000"/>
          <w:szCs w:val="20"/>
        </w:rPr>
        <w:t>根据</w:t>
      </w:r>
      <w:r>
        <w:rPr>
          <w:i w:val="0"/>
          <w:iCs w:val="0"/>
          <w:color w:val="000000"/>
          <w:szCs w:val="20"/>
        </w:rPr>
        <w:t>《</w:t>
      </w:r>
      <w:r>
        <w:rPr>
          <w:rFonts w:hint="eastAsia"/>
          <w:i w:val="0"/>
          <w:iCs w:val="0"/>
          <w:color w:val="000000"/>
          <w:szCs w:val="20"/>
        </w:rPr>
        <w:t>建设项目</w:t>
      </w:r>
      <w:r>
        <w:rPr>
          <w:i w:val="0"/>
          <w:iCs w:val="0"/>
          <w:color w:val="000000"/>
          <w:szCs w:val="20"/>
        </w:rPr>
        <w:t>环境风险评价</w:t>
      </w:r>
      <w:r>
        <w:rPr>
          <w:rFonts w:hint="eastAsia"/>
          <w:i w:val="0"/>
          <w:iCs w:val="0"/>
          <w:color w:val="000000"/>
          <w:szCs w:val="20"/>
        </w:rPr>
        <w:t>技术导则</w:t>
      </w:r>
      <w:r>
        <w:rPr>
          <w:i w:val="0"/>
          <w:iCs w:val="0"/>
          <w:color w:val="000000"/>
          <w:szCs w:val="20"/>
        </w:rPr>
        <w:t>》</w:t>
      </w:r>
      <w:r>
        <w:rPr>
          <w:rFonts w:hint="eastAsia"/>
          <w:i w:val="0"/>
          <w:iCs w:val="0"/>
          <w:color w:val="000000"/>
          <w:szCs w:val="20"/>
        </w:rPr>
        <w:t>（HJ169-2018）中</w:t>
      </w:r>
      <w:r>
        <w:rPr>
          <w:i w:val="0"/>
          <w:iCs w:val="0"/>
          <w:color w:val="000000"/>
          <w:szCs w:val="20"/>
        </w:rPr>
        <w:t>规定</w:t>
      </w:r>
      <w:r>
        <w:rPr>
          <w:rFonts w:ascii="宋体" w:hAnsi="宋体"/>
          <w:i w:val="0"/>
          <w:iCs w:val="0"/>
          <w:color w:val="000000"/>
          <w:szCs w:val="20"/>
        </w:rPr>
        <w:t>“</w:t>
      </w:r>
      <w:r>
        <w:rPr>
          <w:rFonts w:hint="eastAsia"/>
          <w:i w:val="0"/>
          <w:iCs w:val="0"/>
          <w:color w:val="000000"/>
          <w:szCs w:val="20"/>
        </w:rPr>
        <w:t>泄漏时间应结合建设项目探测和隔离系统的设计原则确定。一般情况下，设置紧急隔离系统的单元，泄漏时间可设定为10min；未设置紧急隔离系统的单元，泄漏时间可设定为30min。</w:t>
      </w:r>
      <w:r>
        <w:rPr>
          <w:rFonts w:ascii="宋体" w:hAnsi="宋体"/>
          <w:i w:val="0"/>
          <w:iCs w:val="0"/>
          <w:color w:val="000000"/>
          <w:szCs w:val="20"/>
        </w:rPr>
        <w:t>”</w:t>
      </w:r>
      <w:r>
        <w:rPr>
          <w:rFonts w:hint="eastAsia" w:ascii="宋体" w:hAnsi="宋体"/>
          <w:i w:val="0"/>
          <w:iCs w:val="0"/>
          <w:color w:val="000000"/>
          <w:szCs w:val="20"/>
        </w:rPr>
        <w:t>根据本项目罐区安全设计，本项目罐区已设有液位和紧急切断阀的连锁装置，且周边设有多个气体检测仪报警装置，因此本项目罐区符合“设置紧急隔离系统的单元”要求，故泄漏时间依据导则规定，按</w:t>
      </w:r>
      <w:r>
        <w:rPr>
          <w:i w:val="0"/>
          <w:iCs w:val="0"/>
          <w:color w:val="000000"/>
          <w:szCs w:val="20"/>
        </w:rPr>
        <w:t>10</w:t>
      </w:r>
      <w:r>
        <w:rPr>
          <w:rFonts w:hint="eastAsia" w:ascii="宋体" w:hAnsi="宋体"/>
          <w:i w:val="0"/>
          <w:iCs w:val="0"/>
          <w:color w:val="000000"/>
          <w:szCs w:val="20"/>
        </w:rPr>
        <w:t>分钟计。</w:t>
      </w:r>
    </w:p>
    <w:p>
      <w:pPr>
        <w:widowControl/>
        <w:spacing w:line="360" w:lineRule="auto"/>
        <w:ind w:firstLine="480" w:firstLineChars="200"/>
        <w:rPr>
          <w:i w:val="0"/>
          <w:iCs w:val="0"/>
          <w:color w:val="000000"/>
          <w:szCs w:val="20"/>
        </w:rPr>
      </w:pPr>
      <w:r>
        <w:rPr>
          <w:rFonts w:hint="eastAsia" w:ascii="宋体" w:hAnsi="宋体"/>
          <w:i w:val="0"/>
          <w:iCs w:val="0"/>
          <w:color w:val="000000"/>
          <w:szCs w:val="20"/>
        </w:rPr>
        <w:t>根据</w:t>
      </w:r>
      <w:r>
        <w:rPr>
          <w:i w:val="0"/>
          <w:iCs w:val="0"/>
          <w:color w:val="000000"/>
          <w:szCs w:val="20"/>
        </w:rPr>
        <w:t>《</w:t>
      </w:r>
      <w:r>
        <w:rPr>
          <w:rFonts w:hint="eastAsia"/>
          <w:i w:val="0"/>
          <w:iCs w:val="0"/>
          <w:color w:val="000000"/>
          <w:szCs w:val="20"/>
        </w:rPr>
        <w:t>建设项目</w:t>
      </w:r>
      <w:r>
        <w:rPr>
          <w:i w:val="0"/>
          <w:iCs w:val="0"/>
          <w:color w:val="000000"/>
          <w:szCs w:val="20"/>
        </w:rPr>
        <w:t>环境风险评价</w:t>
      </w:r>
      <w:r>
        <w:rPr>
          <w:rFonts w:hint="eastAsia"/>
          <w:i w:val="0"/>
          <w:iCs w:val="0"/>
          <w:color w:val="000000"/>
          <w:szCs w:val="20"/>
        </w:rPr>
        <w:t>技术导则</w:t>
      </w:r>
      <w:r>
        <w:rPr>
          <w:i w:val="0"/>
          <w:iCs w:val="0"/>
          <w:color w:val="000000"/>
          <w:szCs w:val="20"/>
        </w:rPr>
        <w:t>》</w:t>
      </w:r>
      <w:r>
        <w:rPr>
          <w:rFonts w:hint="eastAsia"/>
          <w:i w:val="0"/>
          <w:iCs w:val="0"/>
          <w:color w:val="000000"/>
          <w:szCs w:val="20"/>
        </w:rPr>
        <w:t>（HJ169-2018）中</w:t>
      </w:r>
      <w:r>
        <w:rPr>
          <w:i w:val="0"/>
          <w:iCs w:val="0"/>
          <w:color w:val="000000"/>
          <w:szCs w:val="20"/>
        </w:rPr>
        <w:t>附录</w:t>
      </w:r>
      <w:r>
        <w:rPr>
          <w:rFonts w:hint="eastAsia"/>
          <w:i w:val="0"/>
          <w:iCs w:val="0"/>
          <w:color w:val="000000"/>
          <w:szCs w:val="20"/>
        </w:rPr>
        <w:t>F，</w:t>
      </w:r>
      <w:r>
        <w:rPr>
          <w:i w:val="0"/>
          <w:iCs w:val="0"/>
          <w:color w:val="000000"/>
          <w:szCs w:val="20"/>
        </w:rPr>
        <w:t>本项目的最大可信事故源项计算过程如下：</w:t>
      </w:r>
    </w:p>
    <w:p>
      <w:pPr>
        <w:widowControl/>
        <w:spacing w:line="360" w:lineRule="auto"/>
        <w:ind w:firstLine="480" w:firstLineChars="200"/>
        <w:rPr>
          <w:i w:val="0"/>
          <w:iCs w:val="0"/>
          <w:color w:val="000000"/>
          <w:szCs w:val="20"/>
        </w:rPr>
      </w:pPr>
      <w:r>
        <w:rPr>
          <w:i w:val="0"/>
          <w:iCs w:val="0"/>
          <w:color w:val="000000"/>
          <w:szCs w:val="20"/>
        </w:rPr>
        <w:t>1、源强核定方</w:t>
      </w:r>
      <w:r>
        <w:rPr>
          <w:rFonts w:hint="eastAsia"/>
          <w:i w:val="0"/>
          <w:iCs w:val="0"/>
          <w:color w:val="000000"/>
          <w:szCs w:val="20"/>
        </w:rPr>
        <w:t>法</w:t>
      </w:r>
    </w:p>
    <w:p>
      <w:pPr>
        <w:pStyle w:val="6"/>
        <w:ind w:firstLine="480"/>
        <w:rPr>
          <w:i w:val="0"/>
          <w:iCs w:val="0"/>
          <w:kern w:val="21"/>
        </w:rPr>
      </w:pPr>
      <w:bookmarkStart w:id="252" w:name="_Toc123993306"/>
      <w:bookmarkStart w:id="253" w:name="_Toc101709086"/>
      <w:r>
        <w:rPr>
          <w:i w:val="0"/>
          <w:iCs w:val="0"/>
          <w:kern w:val="21"/>
        </w:rPr>
        <w:t>（1）储罐泄露源项计算</w:t>
      </w:r>
    </w:p>
    <w:p>
      <w:pPr>
        <w:pStyle w:val="6"/>
        <w:ind w:firstLine="480"/>
        <w:rPr>
          <w:i w:val="0"/>
          <w:iCs w:val="0"/>
          <w:kern w:val="21"/>
        </w:rPr>
      </w:pPr>
      <w:r>
        <w:rPr>
          <w:i w:val="0"/>
          <w:iCs w:val="0"/>
          <w:kern w:val="21"/>
        </w:rPr>
        <w:fldChar w:fldCharType="begin"/>
      </w:r>
      <w:r>
        <w:rPr>
          <w:i w:val="0"/>
          <w:iCs w:val="0"/>
          <w:kern w:val="21"/>
        </w:rPr>
        <w:instrText xml:space="preserve"> = 1 \* GB3 \* MERGEFORMAT </w:instrText>
      </w:r>
      <w:r>
        <w:rPr>
          <w:i w:val="0"/>
          <w:iCs w:val="0"/>
          <w:kern w:val="21"/>
        </w:rPr>
        <w:fldChar w:fldCharType="separate"/>
      </w:r>
      <w:r>
        <w:rPr>
          <w:rFonts w:hint="eastAsia" w:ascii="宋体" w:hAnsi="宋体" w:cs="宋体"/>
          <w:i w:val="0"/>
          <w:iCs w:val="0"/>
        </w:rPr>
        <w:t>①</w:t>
      </w:r>
      <w:r>
        <w:rPr>
          <w:i w:val="0"/>
          <w:iCs w:val="0"/>
          <w:kern w:val="21"/>
        </w:rPr>
        <w:fldChar w:fldCharType="end"/>
      </w:r>
      <w:r>
        <w:rPr>
          <w:i w:val="0"/>
          <w:iCs w:val="0"/>
          <w:kern w:val="21"/>
        </w:rPr>
        <w:t>计算公式</w:t>
      </w:r>
    </w:p>
    <w:p>
      <w:pPr>
        <w:pStyle w:val="6"/>
        <w:ind w:firstLine="480"/>
        <w:rPr>
          <w:i w:val="0"/>
          <w:iCs w:val="0"/>
          <w:kern w:val="21"/>
        </w:rPr>
      </w:pPr>
      <w:r>
        <w:rPr>
          <w:i w:val="0"/>
          <w:iCs w:val="0"/>
          <w:kern w:val="21"/>
        </w:rPr>
        <w:t>当阀门、管线破裂时，液体泄露速度可用液体力学的伯努利方程计算，其泄露速度为：</w:t>
      </w:r>
    </w:p>
    <w:p>
      <w:pPr>
        <w:pStyle w:val="47"/>
        <w:spacing w:line="360" w:lineRule="auto"/>
        <w:ind w:firstLine="2700" w:firstLineChars="900"/>
        <w:rPr>
          <w:i w:val="0"/>
          <w:iCs w:val="0"/>
          <w:kern w:val="21"/>
        </w:rPr>
      </w:pPr>
      <w:r>
        <w:rPr>
          <w:i w:val="0"/>
          <w:iCs w:val="0"/>
          <w:position w:val="-30"/>
        </w:rPr>
        <w:object>
          <v:shape id="_x0000_i1028" o:spt="75" type="#_x0000_t75" style="height:36.65pt;width:145.35pt;" o:ole="t" filled="f" o:preferrelative="t" stroked="f" coordsize="21600,21600">
            <v:path/>
            <v:fill on="f" focussize="0,0"/>
            <v:stroke on="f"/>
            <v:imagedata r:id="rId54" o:title=""/>
            <o:lock v:ext="edit" aspectratio="t"/>
            <w10:wrap type="none"/>
            <w10:anchorlock/>
          </v:shape>
          <o:OLEObject Type="Embed" ProgID="Equation.3" ShapeID="_x0000_i1028" DrawAspect="Content" ObjectID="_1468075731" r:id="rId53">
            <o:LockedField>false</o:LockedField>
          </o:OLEObject>
        </w:object>
      </w:r>
    </w:p>
    <w:p>
      <w:pPr>
        <w:pStyle w:val="6"/>
        <w:ind w:firstLine="480"/>
        <w:rPr>
          <w:i w:val="0"/>
          <w:iCs w:val="0"/>
        </w:rPr>
      </w:pPr>
      <w:r>
        <w:rPr>
          <w:i w:val="0"/>
          <w:iCs w:val="0"/>
        </w:rPr>
        <w:t>式中：Q—有毒危险品排除速率（kg/s）；</w:t>
      </w:r>
    </w:p>
    <w:p>
      <w:pPr>
        <w:pStyle w:val="6"/>
        <w:ind w:firstLine="480"/>
        <w:rPr>
          <w:i w:val="0"/>
          <w:iCs w:val="0"/>
        </w:rPr>
      </w:pPr>
      <w:r>
        <w:rPr>
          <w:i w:val="0"/>
          <w:iCs w:val="0"/>
        </w:rPr>
        <w:t xml:space="preserve">      C</w:t>
      </w:r>
      <w:r>
        <w:rPr>
          <w:i w:val="0"/>
          <w:iCs w:val="0"/>
          <w:vertAlign w:val="subscript"/>
        </w:rPr>
        <w:t>d</w:t>
      </w:r>
      <w:r>
        <w:rPr>
          <w:i w:val="0"/>
          <w:iCs w:val="0"/>
        </w:rPr>
        <w:t>—流量系数，本项目取0.65；</w:t>
      </w:r>
    </w:p>
    <w:p>
      <w:pPr>
        <w:pStyle w:val="6"/>
        <w:ind w:firstLine="480"/>
        <w:rPr>
          <w:i w:val="0"/>
          <w:iCs w:val="0"/>
        </w:rPr>
      </w:pPr>
      <w:r>
        <w:rPr>
          <w:i w:val="0"/>
          <w:iCs w:val="0"/>
        </w:rPr>
        <w:t xml:space="preserve">      A</w:t>
      </w:r>
      <w:r>
        <w:rPr>
          <w:i w:val="0"/>
          <w:iCs w:val="0"/>
          <w:vertAlign w:val="subscript"/>
        </w:rPr>
        <w:t>r</w:t>
      </w:r>
      <w:r>
        <w:rPr>
          <w:i w:val="0"/>
          <w:iCs w:val="0"/>
        </w:rPr>
        <w:t>—裂口有效面积（m</w:t>
      </w:r>
      <w:r>
        <w:rPr>
          <w:i w:val="0"/>
          <w:iCs w:val="0"/>
          <w:vertAlign w:val="superscript"/>
        </w:rPr>
        <w:t>2</w:t>
      </w:r>
      <w:r>
        <w:rPr>
          <w:i w:val="0"/>
          <w:iCs w:val="0"/>
        </w:rPr>
        <w:t>），本项目取0.0033m</w:t>
      </w:r>
      <w:r>
        <w:rPr>
          <w:i w:val="0"/>
          <w:iCs w:val="0"/>
          <w:vertAlign w:val="superscript"/>
        </w:rPr>
        <w:t>2</w:t>
      </w:r>
      <w:r>
        <w:rPr>
          <w:i w:val="0"/>
          <w:iCs w:val="0"/>
        </w:rPr>
        <w:t>；</w:t>
      </w:r>
    </w:p>
    <w:p>
      <w:pPr>
        <w:pStyle w:val="6"/>
        <w:ind w:firstLine="480"/>
        <w:rPr>
          <w:i w:val="0"/>
          <w:iCs w:val="0"/>
        </w:rPr>
      </w:pPr>
      <w:r>
        <w:rPr>
          <w:i w:val="0"/>
          <w:iCs w:val="0"/>
        </w:rPr>
        <w:t xml:space="preserve">      ƿ—液体密度，本项目取</w:t>
      </w:r>
      <w:r>
        <w:rPr>
          <w:rFonts w:hint="eastAsia"/>
          <w:i w:val="0"/>
          <w:iCs w:val="0"/>
        </w:rPr>
        <w:t>910</w:t>
      </w:r>
      <w:r>
        <w:rPr>
          <w:i w:val="0"/>
          <w:iCs w:val="0"/>
        </w:rPr>
        <w:t>kg/m</w:t>
      </w:r>
      <w:r>
        <w:rPr>
          <w:i w:val="0"/>
          <w:iCs w:val="0"/>
          <w:vertAlign w:val="superscript"/>
        </w:rPr>
        <w:t>3</w:t>
      </w:r>
      <w:r>
        <w:rPr>
          <w:i w:val="0"/>
          <w:iCs w:val="0"/>
        </w:rPr>
        <w:t>；</w:t>
      </w:r>
    </w:p>
    <w:p>
      <w:pPr>
        <w:pStyle w:val="6"/>
        <w:ind w:firstLine="480"/>
        <w:rPr>
          <w:i w:val="0"/>
          <w:iCs w:val="0"/>
        </w:rPr>
      </w:pPr>
      <w:r>
        <w:rPr>
          <w:i w:val="0"/>
          <w:iCs w:val="0"/>
        </w:rPr>
        <w:t xml:space="preserve">      P</w:t>
      </w:r>
      <w:r>
        <w:rPr>
          <w:i w:val="0"/>
          <w:iCs w:val="0"/>
          <w:vertAlign w:val="subscript"/>
        </w:rPr>
        <w:t>0</w:t>
      </w:r>
      <w:r>
        <w:rPr>
          <w:i w:val="0"/>
          <w:iCs w:val="0"/>
        </w:rPr>
        <w:t>—操作压力或容器压力（pa），本项目取10132</w:t>
      </w:r>
      <w:r>
        <w:rPr>
          <w:rFonts w:hint="eastAsia"/>
          <w:i w:val="0"/>
          <w:iCs w:val="0"/>
        </w:rPr>
        <w:t>5</w:t>
      </w:r>
      <w:r>
        <w:rPr>
          <w:i w:val="0"/>
          <w:iCs w:val="0"/>
        </w:rPr>
        <w:t>MPa;</w:t>
      </w:r>
    </w:p>
    <w:p>
      <w:pPr>
        <w:pStyle w:val="6"/>
        <w:ind w:firstLine="480"/>
        <w:rPr>
          <w:i w:val="0"/>
          <w:iCs w:val="0"/>
        </w:rPr>
      </w:pPr>
      <w:r>
        <w:rPr>
          <w:i w:val="0"/>
          <w:iCs w:val="0"/>
        </w:rPr>
        <w:t xml:space="preserve">      Pa—外界压力（pa），本项目取101325pa；</w:t>
      </w:r>
    </w:p>
    <w:p>
      <w:pPr>
        <w:pStyle w:val="6"/>
        <w:ind w:firstLine="480"/>
        <w:rPr>
          <w:i w:val="0"/>
          <w:iCs w:val="0"/>
        </w:rPr>
      </w:pPr>
      <w:r>
        <w:rPr>
          <w:i w:val="0"/>
          <w:iCs w:val="0"/>
        </w:rPr>
        <w:t xml:space="preserve">      g—重力加速度，9.8m/s</w:t>
      </w:r>
      <w:r>
        <w:rPr>
          <w:i w:val="0"/>
          <w:iCs w:val="0"/>
          <w:vertAlign w:val="superscript"/>
        </w:rPr>
        <w:t>2</w:t>
      </w:r>
      <w:r>
        <w:rPr>
          <w:i w:val="0"/>
          <w:iCs w:val="0"/>
        </w:rPr>
        <w:t>；</w:t>
      </w:r>
    </w:p>
    <w:p>
      <w:pPr>
        <w:pStyle w:val="6"/>
        <w:ind w:firstLine="480"/>
        <w:rPr>
          <w:i w:val="0"/>
          <w:iCs w:val="0"/>
        </w:rPr>
      </w:pPr>
      <w:r>
        <w:rPr>
          <w:i w:val="0"/>
          <w:iCs w:val="0"/>
        </w:rPr>
        <w:t xml:space="preserve">      H—槽（液体在排放点以上的高速），m，本项目取</w:t>
      </w:r>
      <w:r>
        <w:rPr>
          <w:rFonts w:hint="eastAsia"/>
          <w:i w:val="0"/>
          <w:iCs w:val="0"/>
        </w:rPr>
        <w:t>1.3m</w:t>
      </w:r>
      <w:r>
        <w:rPr>
          <w:i w:val="0"/>
          <w:iCs w:val="0"/>
        </w:rPr>
        <w:t>。</w:t>
      </w:r>
    </w:p>
    <w:p>
      <w:pPr>
        <w:pStyle w:val="6"/>
        <w:ind w:firstLine="480"/>
        <w:rPr>
          <w:i w:val="0"/>
          <w:iCs w:val="0"/>
        </w:rPr>
      </w:pPr>
      <w:r>
        <w:rPr>
          <w:i w:val="0"/>
          <w:iCs w:val="0"/>
        </w:rPr>
        <w:t>根据公式计算可得各危险物料泄露量核算值，见</w:t>
      </w:r>
      <w:r>
        <w:rPr>
          <w:rFonts w:hint="eastAsia"/>
          <w:i w:val="0"/>
          <w:iCs w:val="0"/>
        </w:rPr>
        <w:t>下表</w:t>
      </w:r>
      <w:r>
        <w:rPr>
          <w:i w:val="0"/>
          <w:iCs w:val="0"/>
        </w:rPr>
        <w:t>。</w:t>
      </w:r>
    </w:p>
    <w:p>
      <w:pPr>
        <w:widowControl/>
        <w:jc w:val="center"/>
        <w:rPr>
          <w:rFonts w:hint="eastAsia"/>
          <w:b/>
          <w:bCs/>
          <w:i w:val="0"/>
          <w:iCs w:val="0"/>
          <w:color w:val="000000"/>
          <w:szCs w:val="20"/>
          <w:lang w:val="zh-CN"/>
        </w:rPr>
      </w:pPr>
      <w:r>
        <w:rPr>
          <w:rFonts w:hint="eastAsia"/>
          <w:b/>
          <w:bCs/>
          <w:i w:val="0"/>
          <w:iCs w:val="0"/>
          <w:color w:val="000000"/>
          <w:szCs w:val="20"/>
          <w:lang w:val="zh-CN"/>
        </w:rPr>
        <w:t>表</w:t>
      </w:r>
      <w:r>
        <w:rPr>
          <w:rFonts w:hint="eastAsia"/>
          <w:b/>
          <w:bCs/>
          <w:i w:val="0"/>
          <w:iCs w:val="0"/>
          <w:color w:val="000000"/>
          <w:szCs w:val="20"/>
        </w:rPr>
        <w:t xml:space="preserve">7-27 </w:t>
      </w:r>
      <w:r>
        <w:rPr>
          <w:rFonts w:hint="eastAsia"/>
          <w:b/>
          <w:bCs/>
          <w:i w:val="0"/>
          <w:iCs w:val="0"/>
          <w:color w:val="000000"/>
          <w:szCs w:val="20"/>
          <w:lang w:val="zh-CN"/>
        </w:rPr>
        <w:t>本项目风险事故危险物质泄露量核算一览表</w:t>
      </w:r>
    </w:p>
    <w:tbl>
      <w:tblPr>
        <w:tblStyle w:val="5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2703"/>
        <w:gridCol w:w="1470"/>
        <w:gridCol w:w="1771"/>
        <w:gridCol w:w="25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402" w:type="pct"/>
            <w:noWrap w:val="0"/>
            <w:vAlign w:val="top"/>
          </w:tcPr>
          <w:p>
            <w:pPr>
              <w:pStyle w:val="317"/>
              <w:rPr>
                <w:i w:val="0"/>
                <w:iCs w:val="0"/>
                <w:sz w:val="21"/>
                <w:szCs w:val="21"/>
              </w:rPr>
            </w:pPr>
            <w:r>
              <w:rPr>
                <w:i w:val="0"/>
                <w:iCs w:val="0"/>
                <w:sz w:val="21"/>
                <w:szCs w:val="21"/>
              </w:rPr>
              <w:t>序号</w:t>
            </w:r>
          </w:p>
        </w:tc>
        <w:tc>
          <w:tcPr>
            <w:tcW w:w="1454" w:type="pct"/>
            <w:noWrap w:val="0"/>
            <w:vAlign w:val="top"/>
          </w:tcPr>
          <w:p>
            <w:pPr>
              <w:pStyle w:val="317"/>
              <w:rPr>
                <w:i w:val="0"/>
                <w:iCs w:val="0"/>
                <w:sz w:val="21"/>
                <w:szCs w:val="21"/>
              </w:rPr>
            </w:pPr>
            <w:r>
              <w:rPr>
                <w:i w:val="0"/>
                <w:iCs w:val="0"/>
                <w:sz w:val="21"/>
                <w:szCs w:val="21"/>
              </w:rPr>
              <w:t>发生泄露设备</w:t>
            </w:r>
          </w:p>
        </w:tc>
        <w:tc>
          <w:tcPr>
            <w:tcW w:w="791" w:type="pct"/>
            <w:noWrap w:val="0"/>
            <w:vAlign w:val="top"/>
          </w:tcPr>
          <w:p>
            <w:pPr>
              <w:pStyle w:val="317"/>
              <w:rPr>
                <w:i w:val="0"/>
                <w:iCs w:val="0"/>
                <w:sz w:val="21"/>
                <w:szCs w:val="21"/>
              </w:rPr>
            </w:pPr>
            <w:r>
              <w:rPr>
                <w:i w:val="0"/>
                <w:iCs w:val="0"/>
                <w:sz w:val="21"/>
                <w:szCs w:val="21"/>
              </w:rPr>
              <w:t>泄露物质</w:t>
            </w:r>
          </w:p>
        </w:tc>
        <w:tc>
          <w:tcPr>
            <w:tcW w:w="953" w:type="pct"/>
            <w:noWrap w:val="0"/>
            <w:vAlign w:val="top"/>
          </w:tcPr>
          <w:p>
            <w:pPr>
              <w:pStyle w:val="317"/>
              <w:rPr>
                <w:i w:val="0"/>
                <w:iCs w:val="0"/>
                <w:sz w:val="21"/>
                <w:szCs w:val="21"/>
              </w:rPr>
            </w:pPr>
            <w:r>
              <w:rPr>
                <w:i w:val="0"/>
                <w:iCs w:val="0"/>
                <w:sz w:val="21"/>
                <w:szCs w:val="21"/>
              </w:rPr>
              <w:t>泄露时间</w:t>
            </w:r>
          </w:p>
        </w:tc>
        <w:tc>
          <w:tcPr>
            <w:tcW w:w="1397" w:type="pct"/>
            <w:noWrap w:val="0"/>
            <w:vAlign w:val="top"/>
          </w:tcPr>
          <w:p>
            <w:pPr>
              <w:pStyle w:val="317"/>
              <w:rPr>
                <w:i w:val="0"/>
                <w:iCs w:val="0"/>
                <w:sz w:val="21"/>
                <w:szCs w:val="21"/>
              </w:rPr>
            </w:pPr>
            <w:r>
              <w:rPr>
                <w:i w:val="0"/>
                <w:iCs w:val="0"/>
                <w:sz w:val="21"/>
                <w:szCs w:val="21"/>
              </w:rPr>
              <w:t>泄漏量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 w:type="pct"/>
            <w:noWrap w:val="0"/>
            <w:vAlign w:val="top"/>
          </w:tcPr>
          <w:p>
            <w:pPr>
              <w:pStyle w:val="317"/>
              <w:rPr>
                <w:i w:val="0"/>
                <w:iCs w:val="0"/>
                <w:sz w:val="21"/>
                <w:szCs w:val="21"/>
              </w:rPr>
            </w:pPr>
            <w:r>
              <w:rPr>
                <w:i w:val="0"/>
                <w:iCs w:val="0"/>
                <w:sz w:val="21"/>
                <w:szCs w:val="21"/>
              </w:rPr>
              <w:t>1</w:t>
            </w:r>
          </w:p>
        </w:tc>
        <w:tc>
          <w:tcPr>
            <w:tcW w:w="1454" w:type="pct"/>
            <w:noWrap w:val="0"/>
            <w:vAlign w:val="center"/>
          </w:tcPr>
          <w:p>
            <w:pPr>
              <w:pStyle w:val="317"/>
              <w:rPr>
                <w:i w:val="0"/>
                <w:iCs w:val="0"/>
                <w:sz w:val="21"/>
                <w:szCs w:val="21"/>
              </w:rPr>
            </w:pPr>
            <w:r>
              <w:rPr>
                <w:rFonts w:hint="eastAsia"/>
                <w:i w:val="0"/>
                <w:iCs w:val="0"/>
                <w:sz w:val="21"/>
                <w:szCs w:val="21"/>
              </w:rPr>
              <w:t>氨储罐</w:t>
            </w:r>
          </w:p>
        </w:tc>
        <w:tc>
          <w:tcPr>
            <w:tcW w:w="791" w:type="pct"/>
            <w:noWrap w:val="0"/>
            <w:vAlign w:val="center"/>
          </w:tcPr>
          <w:p>
            <w:pPr>
              <w:pStyle w:val="317"/>
              <w:rPr>
                <w:rFonts w:hint="eastAsia"/>
                <w:i w:val="0"/>
                <w:iCs w:val="0"/>
                <w:sz w:val="21"/>
                <w:szCs w:val="21"/>
              </w:rPr>
            </w:pPr>
            <w:r>
              <w:rPr>
                <w:rFonts w:hint="eastAsia"/>
                <w:i w:val="0"/>
                <w:iCs w:val="0"/>
                <w:sz w:val="21"/>
                <w:szCs w:val="21"/>
              </w:rPr>
              <w:t>氨气</w:t>
            </w:r>
          </w:p>
        </w:tc>
        <w:tc>
          <w:tcPr>
            <w:tcW w:w="953" w:type="pct"/>
            <w:noWrap w:val="0"/>
            <w:vAlign w:val="center"/>
          </w:tcPr>
          <w:p>
            <w:pPr>
              <w:pStyle w:val="317"/>
              <w:rPr>
                <w:i w:val="0"/>
                <w:iCs w:val="0"/>
                <w:sz w:val="21"/>
                <w:szCs w:val="21"/>
              </w:rPr>
            </w:pPr>
            <w:r>
              <w:rPr>
                <w:i w:val="0"/>
                <w:iCs w:val="0"/>
                <w:sz w:val="21"/>
                <w:szCs w:val="21"/>
              </w:rPr>
              <w:t>10min</w:t>
            </w:r>
          </w:p>
        </w:tc>
        <w:tc>
          <w:tcPr>
            <w:tcW w:w="1397" w:type="pct"/>
            <w:noWrap w:val="0"/>
            <w:vAlign w:val="center"/>
          </w:tcPr>
          <w:p>
            <w:pPr>
              <w:pStyle w:val="317"/>
              <w:rPr>
                <w:i w:val="0"/>
                <w:iCs w:val="0"/>
                <w:sz w:val="21"/>
                <w:szCs w:val="21"/>
              </w:rPr>
            </w:pPr>
            <w:r>
              <w:rPr>
                <w:rFonts w:hint="eastAsia"/>
                <w:i w:val="0"/>
                <w:iCs w:val="0"/>
                <w:sz w:val="21"/>
                <w:szCs w:val="21"/>
              </w:rPr>
              <w:t>9.84kg</w:t>
            </w:r>
            <w:r>
              <w:rPr>
                <w:i w:val="0"/>
                <w:iCs w:val="0"/>
                <w:sz w:val="21"/>
                <w:szCs w:val="21"/>
              </w:rPr>
              <w:t>/s</w:t>
            </w:r>
          </w:p>
        </w:tc>
      </w:tr>
    </w:tbl>
    <w:p>
      <w:pPr>
        <w:pStyle w:val="6"/>
        <w:spacing w:line="360" w:lineRule="auto"/>
        <w:ind w:firstLine="480"/>
        <w:rPr>
          <w:i w:val="0"/>
          <w:iCs w:val="0"/>
        </w:rPr>
      </w:pPr>
      <w:r>
        <w:rPr>
          <w:i w:val="0"/>
          <w:iCs w:val="0"/>
        </w:rPr>
        <w:t>（2）大气环境风险事故源项分析</w:t>
      </w:r>
    </w:p>
    <w:p>
      <w:pPr>
        <w:pStyle w:val="6"/>
        <w:spacing w:line="360" w:lineRule="auto"/>
        <w:ind w:firstLine="480"/>
        <w:rPr>
          <w:i w:val="0"/>
          <w:iCs w:val="0"/>
        </w:rPr>
      </w:pPr>
      <w:r>
        <w:rPr>
          <w:i w:val="0"/>
          <w:iCs w:val="0"/>
        </w:rPr>
        <w:t>危险物质泄露事故对大气环境的影响途径主要通过泄露物质蒸发进入大气环境。根据泄露危险物质的挥发性，本次气环境风险事故预测情景主要考虑</w:t>
      </w:r>
      <w:r>
        <w:rPr>
          <w:rFonts w:hint="eastAsia"/>
          <w:i w:val="0"/>
          <w:iCs w:val="0"/>
        </w:rPr>
        <w:t>氨</w:t>
      </w:r>
      <w:r>
        <w:rPr>
          <w:i w:val="0"/>
          <w:iCs w:val="0"/>
        </w:rPr>
        <w:t>储罐泄露事故。</w:t>
      </w:r>
    </w:p>
    <w:p>
      <w:pPr>
        <w:pStyle w:val="6"/>
        <w:spacing w:line="360" w:lineRule="auto"/>
        <w:ind w:firstLine="480"/>
        <w:rPr>
          <w:i w:val="0"/>
          <w:iCs w:val="0"/>
        </w:rPr>
      </w:pPr>
      <w:r>
        <w:rPr>
          <w:rFonts w:hint="eastAsia"/>
          <w:i w:val="0"/>
          <w:iCs w:val="0"/>
        </w:rPr>
        <w:t>由于氨水为室温常压贮存，本评价不考虑其泄露后闪蒸蒸发和热量蒸发现象，仅考虑液池表面气流运动使液体蒸发的质量蒸发现象。</w:t>
      </w:r>
    </w:p>
    <w:p>
      <w:pPr>
        <w:pStyle w:val="6"/>
        <w:spacing w:line="360" w:lineRule="auto"/>
        <w:ind w:firstLine="480"/>
        <w:rPr>
          <w:i w:val="0"/>
          <w:iCs w:val="0"/>
        </w:rPr>
      </w:pPr>
      <w:r>
        <w:rPr>
          <w:i w:val="0"/>
          <w:iCs w:val="0"/>
        </w:rPr>
        <w:t>根据HJ169-2018附录F，质量蒸发速率按下式计算:</w:t>
      </w:r>
    </w:p>
    <w:p>
      <w:pPr>
        <w:pStyle w:val="6"/>
        <w:spacing w:line="360" w:lineRule="auto"/>
        <w:ind w:firstLine="480"/>
        <w:rPr>
          <w:i w:val="0"/>
          <w:iCs w:val="0"/>
        </w:rPr>
      </w:pPr>
      <w:r>
        <w:rPr>
          <w:i w:val="0"/>
          <w:iCs w:val="0"/>
        </w:rPr>
        <w:t>Q</w:t>
      </w:r>
      <w:r>
        <w:rPr>
          <w:i w:val="0"/>
          <w:iCs w:val="0"/>
          <w:vertAlign w:val="subscript"/>
        </w:rPr>
        <w:t>3</w:t>
      </w:r>
      <w:r>
        <w:rPr>
          <w:i w:val="0"/>
          <w:iCs w:val="0"/>
        </w:rPr>
        <w:t>=α×ƿ×M/（R×T</w:t>
      </w:r>
      <w:r>
        <w:rPr>
          <w:i w:val="0"/>
          <w:iCs w:val="0"/>
          <w:vertAlign w:val="subscript"/>
        </w:rPr>
        <w:t>0</w:t>
      </w:r>
      <w:r>
        <w:rPr>
          <w:i w:val="0"/>
          <w:iCs w:val="0"/>
        </w:rPr>
        <w:t>）×u</w:t>
      </w:r>
      <w:r>
        <w:rPr>
          <w:i w:val="0"/>
          <w:iCs w:val="0"/>
          <w:vertAlign w:val="superscript"/>
        </w:rPr>
        <w:t>(2-n)/(2+n)</w:t>
      </w:r>
      <w:r>
        <w:rPr>
          <w:i w:val="0"/>
          <w:iCs w:val="0"/>
        </w:rPr>
        <w:t>×r</w:t>
      </w:r>
      <w:r>
        <w:rPr>
          <w:i w:val="0"/>
          <w:iCs w:val="0"/>
          <w:vertAlign w:val="superscript"/>
        </w:rPr>
        <w:t>(4+n)/(2+n)</w:t>
      </w:r>
    </w:p>
    <w:p>
      <w:pPr>
        <w:pStyle w:val="6"/>
        <w:spacing w:line="360" w:lineRule="auto"/>
        <w:ind w:firstLine="480"/>
        <w:rPr>
          <w:i w:val="0"/>
          <w:iCs w:val="0"/>
        </w:rPr>
      </w:pPr>
      <w:r>
        <w:rPr>
          <w:i w:val="0"/>
          <w:iCs w:val="0"/>
        </w:rPr>
        <w:t>其中：Q</w:t>
      </w:r>
      <w:r>
        <w:rPr>
          <w:i w:val="0"/>
          <w:iCs w:val="0"/>
          <w:vertAlign w:val="subscript"/>
        </w:rPr>
        <w:t>3</w:t>
      </w:r>
      <w:r>
        <w:rPr>
          <w:i w:val="0"/>
          <w:iCs w:val="0"/>
        </w:rPr>
        <w:t>—质量蒸发速度，kg/s；</w:t>
      </w:r>
    </w:p>
    <w:p>
      <w:pPr>
        <w:pStyle w:val="6"/>
        <w:spacing w:line="360" w:lineRule="auto"/>
        <w:ind w:firstLine="480"/>
        <w:rPr>
          <w:i w:val="0"/>
          <w:iCs w:val="0"/>
        </w:rPr>
      </w:pPr>
      <w:r>
        <w:rPr>
          <w:i w:val="0"/>
          <w:iCs w:val="0"/>
        </w:rPr>
        <w:t>n—大气稳定度系数，大气稳定度为F，n取0.</w:t>
      </w:r>
      <w:r>
        <w:rPr>
          <w:rFonts w:hint="eastAsia"/>
          <w:i w:val="0"/>
          <w:iCs w:val="0"/>
        </w:rPr>
        <w:t>25</w:t>
      </w:r>
      <w:r>
        <w:rPr>
          <w:i w:val="0"/>
          <w:iCs w:val="0"/>
        </w:rPr>
        <w:t>，a取</w:t>
      </w:r>
      <w:r>
        <w:rPr>
          <w:rFonts w:hint="eastAsia"/>
          <w:i w:val="0"/>
          <w:iCs w:val="0"/>
        </w:rPr>
        <w:t>4.685</w:t>
      </w:r>
      <w:r>
        <w:rPr>
          <w:i w:val="0"/>
          <w:iCs w:val="0"/>
        </w:rPr>
        <w:t>×10</w:t>
      </w:r>
      <w:r>
        <w:rPr>
          <w:i w:val="0"/>
          <w:iCs w:val="0"/>
          <w:vertAlign w:val="superscript"/>
        </w:rPr>
        <w:t>-3</w:t>
      </w:r>
      <w:r>
        <w:rPr>
          <w:i w:val="0"/>
          <w:iCs w:val="0"/>
        </w:rPr>
        <w:t>；</w:t>
      </w:r>
    </w:p>
    <w:p>
      <w:pPr>
        <w:pStyle w:val="6"/>
        <w:spacing w:line="360" w:lineRule="auto"/>
        <w:ind w:firstLine="480"/>
        <w:rPr>
          <w:i w:val="0"/>
          <w:iCs w:val="0"/>
        </w:rPr>
      </w:pPr>
      <w:r>
        <w:rPr>
          <w:i w:val="0"/>
          <w:iCs w:val="0"/>
        </w:rPr>
        <w:t>P—液体表面蒸汽压，pa</w:t>
      </w:r>
      <w:r>
        <w:rPr>
          <w:rFonts w:hint="eastAsia"/>
          <w:i w:val="0"/>
          <w:iCs w:val="0"/>
        </w:rPr>
        <w:t>，130</w:t>
      </w:r>
      <w:r>
        <w:rPr>
          <w:i w:val="0"/>
          <w:iCs w:val="0"/>
        </w:rPr>
        <w:t>pa；</w:t>
      </w:r>
    </w:p>
    <w:p>
      <w:pPr>
        <w:pStyle w:val="6"/>
        <w:spacing w:line="360" w:lineRule="auto"/>
        <w:ind w:firstLine="480"/>
        <w:rPr>
          <w:i w:val="0"/>
          <w:iCs w:val="0"/>
        </w:rPr>
      </w:pPr>
      <w:r>
        <w:rPr>
          <w:i w:val="0"/>
          <w:iCs w:val="0"/>
        </w:rPr>
        <w:t xml:space="preserve">      R—气体常熟；8.</w:t>
      </w:r>
      <w:r>
        <w:rPr>
          <w:rFonts w:hint="eastAsia"/>
          <w:i w:val="0"/>
          <w:iCs w:val="0"/>
        </w:rPr>
        <w:t>14</w:t>
      </w:r>
      <w:r>
        <w:rPr>
          <w:i w:val="0"/>
          <w:iCs w:val="0"/>
        </w:rPr>
        <w:t>J/mol.K；</w:t>
      </w:r>
    </w:p>
    <w:p>
      <w:pPr>
        <w:pStyle w:val="6"/>
        <w:spacing w:line="360" w:lineRule="auto"/>
        <w:ind w:firstLine="480"/>
        <w:rPr>
          <w:rFonts w:hint="eastAsia"/>
          <w:i w:val="0"/>
          <w:iCs w:val="0"/>
        </w:rPr>
      </w:pPr>
      <w:r>
        <w:rPr>
          <w:i w:val="0"/>
          <w:iCs w:val="0"/>
        </w:rPr>
        <w:t xml:space="preserve">     </w:t>
      </w:r>
      <w:r>
        <w:rPr>
          <w:rFonts w:hint="eastAsia"/>
          <w:i w:val="0"/>
          <w:iCs w:val="0"/>
        </w:rPr>
        <w:t>M</w:t>
      </w:r>
      <w:r>
        <w:rPr>
          <w:i w:val="0"/>
          <w:iCs w:val="0"/>
        </w:rPr>
        <w:t>—</w:t>
      </w:r>
      <w:r>
        <w:rPr>
          <w:rFonts w:hint="eastAsia"/>
          <w:i w:val="0"/>
          <w:iCs w:val="0"/>
        </w:rPr>
        <w:t>物质的摩尔质量，kg/mol；氨水：0.035；</w:t>
      </w:r>
    </w:p>
    <w:p>
      <w:pPr>
        <w:pStyle w:val="6"/>
        <w:spacing w:line="360" w:lineRule="auto"/>
        <w:ind w:firstLine="1200" w:firstLineChars="500"/>
        <w:rPr>
          <w:i w:val="0"/>
          <w:iCs w:val="0"/>
        </w:rPr>
      </w:pPr>
      <w:r>
        <w:rPr>
          <w:i w:val="0"/>
          <w:iCs w:val="0"/>
        </w:rPr>
        <w:t>T</w:t>
      </w:r>
      <w:r>
        <w:rPr>
          <w:i w:val="0"/>
          <w:iCs w:val="0"/>
          <w:vertAlign w:val="subscript"/>
        </w:rPr>
        <w:t>0</w:t>
      </w:r>
      <w:r>
        <w:rPr>
          <w:i w:val="0"/>
          <w:iCs w:val="0"/>
        </w:rPr>
        <w:t>—环境温度，298K；</w:t>
      </w:r>
    </w:p>
    <w:p>
      <w:pPr>
        <w:pStyle w:val="6"/>
        <w:spacing w:line="360" w:lineRule="auto"/>
        <w:ind w:firstLine="480"/>
        <w:rPr>
          <w:i w:val="0"/>
          <w:iCs w:val="0"/>
        </w:rPr>
      </w:pPr>
      <w:r>
        <w:rPr>
          <w:i w:val="0"/>
          <w:iCs w:val="0"/>
        </w:rPr>
        <w:t xml:space="preserve">      u—风速，m/s，本项目取</w:t>
      </w:r>
      <w:r>
        <w:rPr>
          <w:rFonts w:hint="eastAsia"/>
          <w:i w:val="0"/>
          <w:iCs w:val="0"/>
        </w:rPr>
        <w:t>0.5</w:t>
      </w:r>
      <w:r>
        <w:rPr>
          <w:i w:val="0"/>
          <w:iCs w:val="0"/>
        </w:rPr>
        <w:t>m。</w:t>
      </w:r>
    </w:p>
    <w:p>
      <w:pPr>
        <w:pStyle w:val="6"/>
        <w:spacing w:line="360" w:lineRule="auto"/>
        <w:ind w:firstLine="480"/>
        <w:rPr>
          <w:i w:val="0"/>
          <w:iCs w:val="0"/>
        </w:rPr>
      </w:pPr>
      <w:r>
        <w:rPr>
          <w:i w:val="0"/>
          <w:iCs w:val="0"/>
        </w:rPr>
        <w:t xml:space="preserve">      r—液池半径，m。</w:t>
      </w:r>
    </w:p>
    <w:p>
      <w:pPr>
        <w:pStyle w:val="6"/>
        <w:spacing w:line="360" w:lineRule="auto"/>
        <w:ind w:firstLine="480"/>
        <w:rPr>
          <w:i w:val="0"/>
          <w:iCs w:val="0"/>
        </w:rPr>
      </w:pPr>
      <w:r>
        <w:rPr>
          <w:i w:val="0"/>
          <w:iCs w:val="0"/>
        </w:rPr>
        <w:t>液池最大直径取决于泄露点附近的地域构型、泄露的连续性或瞬时性。企业储罐区设置围堰，根据导则，可取围堰最大等效半径为液池半径，各储罐等效围堰半径为</w:t>
      </w:r>
      <w:r>
        <w:rPr>
          <w:rFonts w:hint="eastAsia"/>
          <w:i w:val="0"/>
          <w:iCs w:val="0"/>
        </w:rPr>
        <w:t>3</w:t>
      </w:r>
      <w:r>
        <w:rPr>
          <w:i w:val="0"/>
          <w:iCs w:val="0"/>
        </w:rPr>
        <w:t>.</w:t>
      </w:r>
      <w:r>
        <w:rPr>
          <w:rFonts w:hint="eastAsia"/>
          <w:i w:val="0"/>
          <w:iCs w:val="0"/>
        </w:rPr>
        <w:t>6</w:t>
      </w:r>
      <w:r>
        <w:rPr>
          <w:i w:val="0"/>
          <w:iCs w:val="0"/>
        </w:rPr>
        <w:t>m；</w:t>
      </w:r>
    </w:p>
    <w:p>
      <w:pPr>
        <w:pStyle w:val="6"/>
        <w:spacing w:line="360" w:lineRule="auto"/>
        <w:ind w:firstLine="480"/>
        <w:rPr>
          <w:i w:val="0"/>
          <w:iCs w:val="0"/>
        </w:rPr>
      </w:pPr>
      <w:r>
        <w:rPr>
          <w:i w:val="0"/>
          <w:iCs w:val="0"/>
        </w:rPr>
        <w:t>根据以上公式计算得到</w:t>
      </w:r>
      <w:r>
        <w:rPr>
          <w:rFonts w:hint="eastAsia"/>
          <w:i w:val="0"/>
          <w:iCs w:val="0"/>
        </w:rPr>
        <w:t>氨水</w:t>
      </w:r>
      <w:r>
        <w:rPr>
          <w:i w:val="0"/>
          <w:iCs w:val="0"/>
        </w:rPr>
        <w:t>储罐泄露事故源项见表</w:t>
      </w:r>
      <w:r>
        <w:rPr>
          <w:rFonts w:hint="eastAsia"/>
          <w:i w:val="0"/>
          <w:iCs w:val="0"/>
        </w:rPr>
        <w:t>7</w:t>
      </w:r>
      <w:r>
        <w:rPr>
          <w:i w:val="0"/>
          <w:iCs w:val="0"/>
        </w:rPr>
        <w:t>-</w:t>
      </w:r>
      <w:r>
        <w:rPr>
          <w:rFonts w:hint="eastAsia"/>
          <w:i w:val="0"/>
          <w:iCs w:val="0"/>
        </w:rPr>
        <w:t>28</w:t>
      </w:r>
      <w:r>
        <w:rPr>
          <w:i w:val="0"/>
          <w:iCs w:val="0"/>
        </w:rPr>
        <w:t>。泄露时间以10分钟计，蒸发时间以15分钟计。</w:t>
      </w:r>
    </w:p>
    <w:p>
      <w:pPr>
        <w:pStyle w:val="413"/>
        <w:numPr>
          <w:ilvl w:val="4"/>
          <w:numId w:val="0"/>
        </w:numPr>
        <w:spacing w:line="240" w:lineRule="auto"/>
        <w:rPr>
          <w:i w:val="0"/>
          <w:iCs w:val="0"/>
        </w:rPr>
      </w:pPr>
      <w:r>
        <w:rPr>
          <w:rFonts w:hint="eastAsia"/>
          <w:i w:val="0"/>
          <w:iCs w:val="0"/>
        </w:rPr>
        <w:t>表7-28</w:t>
      </w:r>
      <w:r>
        <w:rPr>
          <w:i w:val="0"/>
          <w:iCs w:val="0"/>
        </w:rPr>
        <w:t>本项目大气环境风险事故源强一览表</w:t>
      </w:r>
    </w:p>
    <w:tbl>
      <w:tblPr>
        <w:tblStyle w:val="5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548"/>
        <w:gridCol w:w="1708"/>
        <w:gridCol w:w="802"/>
        <w:gridCol w:w="914"/>
        <w:gridCol w:w="976"/>
        <w:gridCol w:w="1158"/>
        <w:gridCol w:w="1007"/>
        <w:gridCol w:w="824"/>
        <w:gridCol w:w="119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300" w:type="pct"/>
            <w:noWrap w:val="0"/>
            <w:vAlign w:val="center"/>
          </w:tcPr>
          <w:p>
            <w:pPr>
              <w:pStyle w:val="317"/>
              <w:rPr>
                <w:i w:val="0"/>
                <w:iCs w:val="0"/>
                <w:sz w:val="21"/>
                <w:szCs w:val="21"/>
              </w:rPr>
            </w:pPr>
            <w:r>
              <w:rPr>
                <w:i w:val="0"/>
                <w:iCs w:val="0"/>
                <w:sz w:val="21"/>
                <w:szCs w:val="21"/>
              </w:rPr>
              <w:t>序号</w:t>
            </w:r>
          </w:p>
        </w:tc>
        <w:tc>
          <w:tcPr>
            <w:tcW w:w="935" w:type="pct"/>
            <w:noWrap w:val="0"/>
            <w:vAlign w:val="center"/>
          </w:tcPr>
          <w:p>
            <w:pPr>
              <w:pStyle w:val="317"/>
              <w:rPr>
                <w:i w:val="0"/>
                <w:iCs w:val="0"/>
                <w:sz w:val="21"/>
                <w:szCs w:val="21"/>
              </w:rPr>
            </w:pPr>
            <w:r>
              <w:rPr>
                <w:i w:val="0"/>
                <w:iCs w:val="0"/>
                <w:sz w:val="21"/>
                <w:szCs w:val="21"/>
              </w:rPr>
              <w:t>风险事故情形描述</w:t>
            </w:r>
          </w:p>
        </w:tc>
        <w:tc>
          <w:tcPr>
            <w:tcW w:w="439" w:type="pct"/>
            <w:noWrap w:val="0"/>
            <w:vAlign w:val="center"/>
          </w:tcPr>
          <w:p>
            <w:pPr>
              <w:pStyle w:val="317"/>
              <w:rPr>
                <w:i w:val="0"/>
                <w:iCs w:val="0"/>
                <w:sz w:val="21"/>
                <w:szCs w:val="21"/>
              </w:rPr>
            </w:pPr>
            <w:r>
              <w:rPr>
                <w:i w:val="0"/>
                <w:iCs w:val="0"/>
                <w:sz w:val="21"/>
                <w:szCs w:val="21"/>
              </w:rPr>
              <w:t>危险单元</w:t>
            </w:r>
          </w:p>
        </w:tc>
        <w:tc>
          <w:tcPr>
            <w:tcW w:w="500" w:type="pct"/>
            <w:noWrap w:val="0"/>
            <w:vAlign w:val="center"/>
          </w:tcPr>
          <w:p>
            <w:pPr>
              <w:pStyle w:val="317"/>
              <w:rPr>
                <w:i w:val="0"/>
                <w:iCs w:val="0"/>
                <w:sz w:val="21"/>
                <w:szCs w:val="21"/>
              </w:rPr>
            </w:pPr>
            <w:r>
              <w:rPr>
                <w:i w:val="0"/>
                <w:iCs w:val="0"/>
                <w:sz w:val="21"/>
                <w:szCs w:val="21"/>
              </w:rPr>
              <w:t>危险物质</w:t>
            </w:r>
          </w:p>
        </w:tc>
        <w:tc>
          <w:tcPr>
            <w:tcW w:w="534" w:type="pct"/>
            <w:noWrap w:val="0"/>
            <w:vAlign w:val="center"/>
          </w:tcPr>
          <w:p>
            <w:pPr>
              <w:pStyle w:val="317"/>
              <w:rPr>
                <w:i w:val="0"/>
                <w:iCs w:val="0"/>
                <w:sz w:val="21"/>
                <w:szCs w:val="21"/>
              </w:rPr>
            </w:pPr>
            <w:r>
              <w:rPr>
                <w:i w:val="0"/>
                <w:iCs w:val="0"/>
                <w:sz w:val="21"/>
                <w:szCs w:val="21"/>
              </w:rPr>
              <w:t>影响途径</w:t>
            </w:r>
          </w:p>
        </w:tc>
        <w:tc>
          <w:tcPr>
            <w:tcW w:w="634" w:type="pct"/>
            <w:noWrap w:val="0"/>
            <w:vAlign w:val="center"/>
          </w:tcPr>
          <w:p>
            <w:pPr>
              <w:pStyle w:val="317"/>
              <w:rPr>
                <w:i w:val="0"/>
                <w:iCs w:val="0"/>
                <w:sz w:val="21"/>
                <w:szCs w:val="21"/>
              </w:rPr>
            </w:pPr>
            <w:r>
              <w:rPr>
                <w:i w:val="0"/>
                <w:iCs w:val="0"/>
                <w:sz w:val="21"/>
                <w:szCs w:val="21"/>
              </w:rPr>
              <w:t>泄露速率kg/s</w:t>
            </w:r>
          </w:p>
        </w:tc>
        <w:tc>
          <w:tcPr>
            <w:tcW w:w="551" w:type="pct"/>
            <w:noWrap w:val="0"/>
            <w:vAlign w:val="center"/>
          </w:tcPr>
          <w:p>
            <w:pPr>
              <w:pStyle w:val="317"/>
              <w:rPr>
                <w:i w:val="0"/>
                <w:iCs w:val="0"/>
                <w:sz w:val="21"/>
                <w:szCs w:val="21"/>
              </w:rPr>
            </w:pPr>
            <w:r>
              <w:rPr>
                <w:i w:val="0"/>
                <w:iCs w:val="0"/>
                <w:sz w:val="21"/>
                <w:szCs w:val="21"/>
              </w:rPr>
              <w:t>蒸发速率kg/s</w:t>
            </w:r>
          </w:p>
        </w:tc>
        <w:tc>
          <w:tcPr>
            <w:tcW w:w="451" w:type="pct"/>
            <w:noWrap w:val="0"/>
            <w:vAlign w:val="center"/>
          </w:tcPr>
          <w:p>
            <w:pPr>
              <w:pStyle w:val="317"/>
              <w:rPr>
                <w:i w:val="0"/>
                <w:iCs w:val="0"/>
                <w:sz w:val="21"/>
                <w:szCs w:val="21"/>
              </w:rPr>
            </w:pPr>
            <w:r>
              <w:rPr>
                <w:i w:val="0"/>
                <w:iCs w:val="0"/>
                <w:sz w:val="21"/>
                <w:szCs w:val="21"/>
              </w:rPr>
              <w:t>泄露时间</w:t>
            </w:r>
          </w:p>
        </w:tc>
        <w:tc>
          <w:tcPr>
            <w:tcW w:w="652" w:type="pct"/>
            <w:noWrap w:val="0"/>
            <w:vAlign w:val="center"/>
          </w:tcPr>
          <w:p>
            <w:pPr>
              <w:pStyle w:val="317"/>
              <w:rPr>
                <w:i w:val="0"/>
                <w:iCs w:val="0"/>
                <w:sz w:val="21"/>
                <w:szCs w:val="21"/>
              </w:rPr>
            </w:pPr>
            <w:r>
              <w:rPr>
                <w:i w:val="0"/>
                <w:iCs w:val="0"/>
                <w:sz w:val="21"/>
                <w:szCs w:val="21"/>
              </w:rPr>
              <w:t>泄露液体蒸发量kg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300" w:type="pct"/>
            <w:noWrap w:val="0"/>
            <w:vAlign w:val="center"/>
          </w:tcPr>
          <w:p>
            <w:pPr>
              <w:pStyle w:val="317"/>
              <w:rPr>
                <w:i w:val="0"/>
                <w:iCs w:val="0"/>
                <w:sz w:val="21"/>
                <w:szCs w:val="21"/>
              </w:rPr>
            </w:pPr>
            <w:r>
              <w:rPr>
                <w:i w:val="0"/>
                <w:iCs w:val="0"/>
                <w:sz w:val="21"/>
                <w:szCs w:val="21"/>
              </w:rPr>
              <w:t>1</w:t>
            </w:r>
          </w:p>
        </w:tc>
        <w:tc>
          <w:tcPr>
            <w:tcW w:w="935" w:type="pct"/>
            <w:noWrap w:val="0"/>
            <w:vAlign w:val="center"/>
          </w:tcPr>
          <w:p>
            <w:pPr>
              <w:pStyle w:val="317"/>
              <w:rPr>
                <w:i w:val="0"/>
                <w:iCs w:val="0"/>
                <w:sz w:val="21"/>
                <w:szCs w:val="21"/>
              </w:rPr>
            </w:pPr>
            <w:r>
              <w:rPr>
                <w:rFonts w:hint="eastAsia"/>
                <w:i w:val="0"/>
                <w:iCs w:val="0"/>
                <w:kern w:val="21"/>
                <w:sz w:val="21"/>
                <w:szCs w:val="21"/>
              </w:rPr>
              <w:t>氨水</w:t>
            </w:r>
            <w:r>
              <w:rPr>
                <w:i w:val="0"/>
                <w:iCs w:val="0"/>
                <w:sz w:val="21"/>
                <w:szCs w:val="21"/>
              </w:rPr>
              <w:t>储罐泄露至围堰中</w:t>
            </w:r>
          </w:p>
        </w:tc>
        <w:tc>
          <w:tcPr>
            <w:tcW w:w="439" w:type="pct"/>
            <w:noWrap w:val="0"/>
            <w:vAlign w:val="center"/>
          </w:tcPr>
          <w:p>
            <w:pPr>
              <w:pStyle w:val="317"/>
              <w:rPr>
                <w:i w:val="0"/>
                <w:iCs w:val="0"/>
                <w:sz w:val="21"/>
                <w:szCs w:val="21"/>
              </w:rPr>
            </w:pPr>
            <w:r>
              <w:rPr>
                <w:i w:val="0"/>
                <w:iCs w:val="0"/>
                <w:sz w:val="21"/>
                <w:szCs w:val="21"/>
              </w:rPr>
              <w:t>罐区</w:t>
            </w:r>
          </w:p>
        </w:tc>
        <w:tc>
          <w:tcPr>
            <w:tcW w:w="500" w:type="pct"/>
            <w:noWrap w:val="0"/>
            <w:vAlign w:val="center"/>
          </w:tcPr>
          <w:p>
            <w:pPr>
              <w:pStyle w:val="317"/>
              <w:rPr>
                <w:i w:val="0"/>
                <w:iCs w:val="0"/>
                <w:sz w:val="21"/>
                <w:szCs w:val="21"/>
              </w:rPr>
            </w:pPr>
            <w:r>
              <w:rPr>
                <w:rFonts w:hint="eastAsia"/>
                <w:i w:val="0"/>
                <w:iCs w:val="0"/>
                <w:kern w:val="21"/>
                <w:sz w:val="21"/>
                <w:szCs w:val="21"/>
              </w:rPr>
              <w:t>氨水</w:t>
            </w:r>
          </w:p>
        </w:tc>
        <w:tc>
          <w:tcPr>
            <w:tcW w:w="534" w:type="pct"/>
            <w:noWrap w:val="0"/>
            <w:vAlign w:val="center"/>
          </w:tcPr>
          <w:p>
            <w:pPr>
              <w:pStyle w:val="317"/>
              <w:rPr>
                <w:i w:val="0"/>
                <w:iCs w:val="0"/>
                <w:sz w:val="21"/>
                <w:szCs w:val="21"/>
              </w:rPr>
            </w:pPr>
            <w:r>
              <w:rPr>
                <w:i w:val="0"/>
                <w:iCs w:val="0"/>
                <w:sz w:val="21"/>
                <w:szCs w:val="21"/>
              </w:rPr>
              <w:t>进入空气</w:t>
            </w:r>
          </w:p>
        </w:tc>
        <w:tc>
          <w:tcPr>
            <w:tcW w:w="634" w:type="pct"/>
            <w:noWrap w:val="0"/>
            <w:vAlign w:val="center"/>
          </w:tcPr>
          <w:p>
            <w:pPr>
              <w:pStyle w:val="317"/>
              <w:rPr>
                <w:i w:val="0"/>
                <w:iCs w:val="0"/>
                <w:sz w:val="21"/>
                <w:szCs w:val="21"/>
              </w:rPr>
            </w:pPr>
            <w:r>
              <w:rPr>
                <w:rFonts w:hint="eastAsia"/>
                <w:i w:val="0"/>
                <w:iCs w:val="0"/>
                <w:kern w:val="21"/>
                <w:sz w:val="21"/>
                <w:szCs w:val="21"/>
              </w:rPr>
              <w:t>9.84</w:t>
            </w:r>
          </w:p>
        </w:tc>
        <w:tc>
          <w:tcPr>
            <w:tcW w:w="551" w:type="pct"/>
            <w:noWrap w:val="0"/>
            <w:vAlign w:val="center"/>
          </w:tcPr>
          <w:p>
            <w:pPr>
              <w:pStyle w:val="317"/>
              <w:rPr>
                <w:i w:val="0"/>
                <w:iCs w:val="0"/>
                <w:sz w:val="21"/>
                <w:szCs w:val="21"/>
              </w:rPr>
            </w:pPr>
            <w:r>
              <w:rPr>
                <w:rFonts w:hint="eastAsia"/>
                <w:i w:val="0"/>
                <w:iCs w:val="0"/>
                <w:sz w:val="21"/>
                <w:szCs w:val="21"/>
              </w:rPr>
              <w:t>0.007</w:t>
            </w:r>
          </w:p>
        </w:tc>
        <w:tc>
          <w:tcPr>
            <w:tcW w:w="451" w:type="pct"/>
            <w:noWrap w:val="0"/>
            <w:vAlign w:val="center"/>
          </w:tcPr>
          <w:p>
            <w:pPr>
              <w:pStyle w:val="317"/>
              <w:rPr>
                <w:i w:val="0"/>
                <w:iCs w:val="0"/>
                <w:sz w:val="21"/>
                <w:szCs w:val="21"/>
              </w:rPr>
            </w:pPr>
            <w:r>
              <w:rPr>
                <w:i w:val="0"/>
                <w:iCs w:val="0"/>
                <w:sz w:val="21"/>
                <w:szCs w:val="21"/>
              </w:rPr>
              <w:t>10min</w:t>
            </w:r>
          </w:p>
        </w:tc>
        <w:tc>
          <w:tcPr>
            <w:tcW w:w="652" w:type="pct"/>
            <w:noWrap w:val="0"/>
            <w:vAlign w:val="center"/>
          </w:tcPr>
          <w:p>
            <w:pPr>
              <w:pStyle w:val="317"/>
              <w:rPr>
                <w:i w:val="0"/>
                <w:iCs w:val="0"/>
                <w:sz w:val="21"/>
                <w:szCs w:val="21"/>
              </w:rPr>
            </w:pPr>
            <w:r>
              <w:rPr>
                <w:rFonts w:hint="eastAsia"/>
                <w:i w:val="0"/>
                <w:iCs w:val="0"/>
                <w:sz w:val="21"/>
                <w:szCs w:val="21"/>
              </w:rPr>
              <w:t>4.2</w:t>
            </w:r>
          </w:p>
        </w:tc>
      </w:tr>
    </w:tbl>
    <w:p>
      <w:pPr>
        <w:keepNext/>
        <w:keepLines/>
        <w:widowControl/>
        <w:spacing w:before="240" w:beforeLines="100" w:after="120" w:afterLines="50" w:line="360" w:lineRule="auto"/>
        <w:outlineLvl w:val="1"/>
        <w:rPr>
          <w:b/>
          <w:i w:val="0"/>
          <w:iCs w:val="0"/>
          <w:color w:val="000000"/>
          <w:sz w:val="28"/>
        </w:rPr>
      </w:pPr>
      <w:bookmarkStart w:id="254" w:name="_Toc19438"/>
      <w:r>
        <w:rPr>
          <w:rFonts w:hint="eastAsia"/>
          <w:b/>
          <w:i w:val="0"/>
          <w:iCs w:val="0"/>
          <w:color w:val="000000"/>
          <w:sz w:val="28"/>
        </w:rPr>
        <w:t>7.5 风险预测与评价</w:t>
      </w:r>
      <w:bookmarkEnd w:id="252"/>
      <w:bookmarkEnd w:id="253"/>
      <w:bookmarkEnd w:id="254"/>
    </w:p>
    <w:p>
      <w:pPr>
        <w:keepNext/>
        <w:keepLines/>
        <w:widowControl/>
        <w:spacing w:line="360" w:lineRule="auto"/>
        <w:outlineLvl w:val="2"/>
        <w:rPr>
          <w:b/>
          <w:i w:val="0"/>
          <w:iCs w:val="0"/>
          <w:color w:val="000000"/>
        </w:rPr>
      </w:pPr>
      <w:bookmarkStart w:id="255" w:name="_Toc123993307"/>
      <w:r>
        <w:rPr>
          <w:rFonts w:hint="eastAsia"/>
          <w:b/>
          <w:i w:val="0"/>
          <w:iCs w:val="0"/>
          <w:color w:val="000000"/>
        </w:rPr>
        <w:t xml:space="preserve">7.5.1 </w:t>
      </w:r>
      <w:r>
        <w:rPr>
          <w:b/>
          <w:i w:val="0"/>
          <w:iCs w:val="0"/>
          <w:color w:val="000000"/>
        </w:rPr>
        <w:t>大气环境风险预测评价</w:t>
      </w:r>
      <w:bookmarkEnd w:id="255"/>
    </w:p>
    <w:p>
      <w:pPr>
        <w:widowControl/>
        <w:spacing w:line="360" w:lineRule="auto"/>
        <w:ind w:firstLine="480" w:firstLineChars="200"/>
        <w:rPr>
          <w:i w:val="0"/>
          <w:iCs w:val="0"/>
          <w:color w:val="000000"/>
          <w:szCs w:val="20"/>
        </w:rPr>
      </w:pPr>
      <w:r>
        <w:rPr>
          <w:i w:val="0"/>
          <w:iCs w:val="0"/>
          <w:color w:val="000000"/>
          <w:szCs w:val="20"/>
        </w:rPr>
        <w:t>1、计算模式</w:t>
      </w:r>
    </w:p>
    <w:p>
      <w:pPr>
        <w:widowControl/>
        <w:spacing w:line="360" w:lineRule="auto"/>
        <w:ind w:firstLine="480" w:firstLineChars="200"/>
        <w:rPr>
          <w:i w:val="0"/>
          <w:iCs w:val="0"/>
          <w:color w:val="000000"/>
          <w:szCs w:val="20"/>
        </w:rPr>
      </w:pPr>
      <w:r>
        <w:rPr>
          <w:i w:val="0"/>
          <w:iCs w:val="0"/>
          <w:color w:val="000000"/>
          <w:szCs w:val="20"/>
        </w:rPr>
        <w:t>环境风险影响预测模式采用《建设项目环境风险评价技术导则》（HJ169-2018）推荐的风险预测模型，计算不同气象条件下泄漏的氨水在下风向上的地面浓度。</w:t>
      </w:r>
    </w:p>
    <w:p>
      <w:pPr>
        <w:widowControl/>
        <w:spacing w:line="360" w:lineRule="auto"/>
        <w:ind w:firstLine="480" w:firstLineChars="200"/>
        <w:rPr>
          <w:i w:val="0"/>
          <w:iCs w:val="0"/>
          <w:color w:val="000000"/>
          <w:szCs w:val="20"/>
        </w:rPr>
      </w:pPr>
      <w:r>
        <w:rPr>
          <w:i w:val="0"/>
          <w:iCs w:val="0"/>
          <w:color w:val="000000"/>
          <w:szCs w:val="20"/>
        </w:rPr>
        <w:t>采用理查德森数、风险源强参数对各风险进行推荐模型筛选，经筛选确定</w:t>
      </w:r>
      <w:r>
        <w:rPr>
          <w:rFonts w:hint="eastAsia"/>
          <w:i w:val="0"/>
          <w:iCs w:val="0"/>
          <w:color w:val="000000"/>
          <w:szCs w:val="20"/>
        </w:rPr>
        <w:t>氨水</w:t>
      </w:r>
      <w:r>
        <w:rPr>
          <w:i w:val="0"/>
          <w:iCs w:val="0"/>
          <w:color w:val="000000"/>
          <w:szCs w:val="20"/>
        </w:rPr>
        <w:t>储罐泄漏</w:t>
      </w:r>
      <w:r>
        <w:rPr>
          <w:rFonts w:hint="eastAsia"/>
          <w:i w:val="0"/>
          <w:iCs w:val="0"/>
          <w:color w:val="000000"/>
          <w:szCs w:val="20"/>
        </w:rPr>
        <w:t>氨气</w:t>
      </w:r>
      <w:r>
        <w:rPr>
          <w:i w:val="0"/>
          <w:iCs w:val="0"/>
          <w:color w:val="000000"/>
          <w:szCs w:val="20"/>
        </w:rPr>
        <w:t>扩散的环境风险采用AFTOX模型进行预测。</w:t>
      </w:r>
    </w:p>
    <w:p>
      <w:pPr>
        <w:widowControl/>
        <w:spacing w:line="360" w:lineRule="auto"/>
        <w:ind w:firstLine="480" w:firstLineChars="200"/>
        <w:rPr>
          <w:i w:val="0"/>
          <w:iCs w:val="0"/>
          <w:color w:val="000000"/>
          <w:szCs w:val="20"/>
        </w:rPr>
      </w:pPr>
      <w:r>
        <w:rPr>
          <w:i w:val="0"/>
          <w:iCs w:val="0"/>
          <w:color w:val="000000"/>
          <w:szCs w:val="20"/>
        </w:rPr>
        <w:t>2、预测范围与计算点</w:t>
      </w:r>
    </w:p>
    <w:p>
      <w:pPr>
        <w:widowControl/>
        <w:spacing w:line="360" w:lineRule="auto"/>
        <w:ind w:firstLine="480" w:firstLineChars="200"/>
        <w:rPr>
          <w:i w:val="0"/>
          <w:iCs w:val="0"/>
          <w:color w:val="000000"/>
          <w:szCs w:val="20"/>
        </w:rPr>
      </w:pPr>
      <w:r>
        <w:rPr>
          <w:i w:val="0"/>
          <w:iCs w:val="0"/>
          <w:color w:val="000000"/>
          <w:szCs w:val="20"/>
        </w:rPr>
        <w:t>预测范围根据《建设项目环境风险评价技术导则》（HJ169-2018）确定，厂区边界外5km。</w:t>
      </w:r>
    </w:p>
    <w:p>
      <w:pPr>
        <w:widowControl/>
        <w:spacing w:line="360" w:lineRule="auto"/>
        <w:ind w:firstLine="480" w:firstLineChars="200"/>
        <w:rPr>
          <w:i w:val="0"/>
          <w:iCs w:val="0"/>
          <w:color w:val="000000"/>
          <w:szCs w:val="20"/>
        </w:rPr>
      </w:pPr>
      <w:r>
        <w:rPr>
          <w:i w:val="0"/>
          <w:iCs w:val="0"/>
          <w:color w:val="000000"/>
          <w:szCs w:val="20"/>
        </w:rPr>
        <w:t>计算点考虑下风向不同距离点。一般计算点的设置应具有一定分辨率，距离风险源500m范围内设置50m间距，大于500m范围内设置100m间距。同时，选取项目厂区边界5km范围内的关心点进行预测。</w:t>
      </w:r>
    </w:p>
    <w:p>
      <w:pPr>
        <w:widowControl/>
        <w:spacing w:line="360" w:lineRule="auto"/>
        <w:ind w:firstLine="480" w:firstLineChars="200"/>
        <w:rPr>
          <w:i w:val="0"/>
          <w:iCs w:val="0"/>
          <w:color w:val="000000"/>
          <w:szCs w:val="20"/>
        </w:rPr>
      </w:pPr>
      <w:r>
        <w:rPr>
          <w:i w:val="0"/>
          <w:iCs w:val="0"/>
          <w:color w:val="000000"/>
          <w:szCs w:val="20"/>
        </w:rPr>
        <w:t>3、气象参数</w:t>
      </w:r>
    </w:p>
    <w:p>
      <w:pPr>
        <w:widowControl/>
        <w:spacing w:line="360" w:lineRule="auto"/>
        <w:ind w:firstLine="480" w:firstLineChars="200"/>
        <w:rPr>
          <w:i w:val="0"/>
          <w:iCs w:val="0"/>
          <w:color w:val="000000"/>
          <w:szCs w:val="20"/>
        </w:rPr>
      </w:pPr>
      <w:r>
        <w:rPr>
          <w:i w:val="0"/>
          <w:iCs w:val="0"/>
          <w:color w:val="000000"/>
          <w:szCs w:val="20"/>
        </w:rPr>
        <w:t>本项目大气环境风险为二级评价，根据风险导则要求，本次评价选取最不利气象条件进行后果预测。其中最不利气象条件取F类稳定度，1.5m/s风速，温度25</w:t>
      </w:r>
      <w:r>
        <w:rPr>
          <w:i w:val="0"/>
          <w:iCs w:val="0"/>
          <w:color w:val="000000"/>
          <w:szCs w:val="20"/>
          <w:lang w:eastAsia="ja-JP"/>
        </w:rPr>
        <w:t>℃</w:t>
      </w:r>
      <w:r>
        <w:rPr>
          <w:i w:val="0"/>
          <w:iCs w:val="0"/>
          <w:color w:val="000000"/>
          <w:szCs w:val="20"/>
        </w:rPr>
        <w:t>，相对湿度50%。</w:t>
      </w:r>
    </w:p>
    <w:p>
      <w:pPr>
        <w:widowControl/>
        <w:spacing w:line="360" w:lineRule="auto"/>
        <w:ind w:firstLine="480" w:firstLineChars="200"/>
        <w:rPr>
          <w:i w:val="0"/>
          <w:iCs w:val="0"/>
          <w:color w:val="000000"/>
          <w:szCs w:val="20"/>
        </w:rPr>
      </w:pPr>
      <w:r>
        <w:rPr>
          <w:i w:val="0"/>
          <w:iCs w:val="0"/>
          <w:color w:val="000000"/>
          <w:szCs w:val="20"/>
        </w:rPr>
        <w:t>4、预测结果</w:t>
      </w:r>
    </w:p>
    <w:p>
      <w:pPr>
        <w:widowControl/>
        <w:spacing w:line="360" w:lineRule="auto"/>
        <w:ind w:firstLine="480" w:firstLineChars="200"/>
        <w:rPr>
          <w:i w:val="0"/>
          <w:iCs w:val="0"/>
          <w:color w:val="000000"/>
          <w:szCs w:val="20"/>
        </w:rPr>
      </w:pPr>
      <w:r>
        <w:rPr>
          <w:i w:val="0"/>
          <w:iCs w:val="0"/>
          <w:color w:val="000000"/>
          <w:szCs w:val="20"/>
        </w:rPr>
        <w:t>本项目氨水储罐泄露大气事故源强及事故后果预测结果详见下表7-29。</w:t>
      </w:r>
    </w:p>
    <w:p>
      <w:pPr>
        <w:pStyle w:val="413"/>
        <w:numPr>
          <w:ilvl w:val="4"/>
          <w:numId w:val="0"/>
        </w:numPr>
        <w:spacing w:line="240" w:lineRule="auto"/>
        <w:rPr>
          <w:rFonts w:hint="eastAsia"/>
          <w:i w:val="0"/>
          <w:iCs w:val="0"/>
        </w:rPr>
      </w:pPr>
      <w:r>
        <w:rPr>
          <w:rFonts w:hint="eastAsia"/>
          <w:i w:val="0"/>
          <w:iCs w:val="0"/>
        </w:rPr>
        <w:t>表7-29   氨水泄漏事故源强及事故后果预测结果一览表</w:t>
      </w:r>
    </w:p>
    <w:tbl>
      <w:tblPr>
        <w:tblStyle w:val="58"/>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35"/>
        <w:gridCol w:w="565"/>
        <w:gridCol w:w="777"/>
        <w:gridCol w:w="1138"/>
        <w:gridCol w:w="563"/>
        <w:gridCol w:w="1051"/>
        <w:gridCol w:w="88"/>
        <w:gridCol w:w="1666"/>
        <w:gridCol w:w="30"/>
        <w:gridCol w:w="15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71" w:type="dxa"/>
            <w:gridSpan w:val="10"/>
            <w:noWrap w:val="0"/>
            <w:vAlign w:val="center"/>
          </w:tcPr>
          <w:p>
            <w:pPr>
              <w:jc w:val="center"/>
              <w:rPr>
                <w:b/>
                <w:i w:val="0"/>
                <w:iCs w:val="0"/>
                <w:snapToGrid w:val="0"/>
                <w:color w:val="000000"/>
                <w:sz w:val="21"/>
                <w:szCs w:val="21"/>
              </w:rPr>
            </w:pPr>
            <w:r>
              <w:rPr>
                <w:rFonts w:hint="eastAsia"/>
                <w:b/>
                <w:i w:val="0"/>
                <w:iCs w:val="0"/>
                <w:snapToGrid w:val="0"/>
                <w:color w:val="000000"/>
                <w:sz w:val="21"/>
                <w:szCs w:val="21"/>
              </w:rPr>
              <w:t>风险事故情形分析</w:t>
            </w:r>
            <w:r>
              <w:rPr>
                <w:rFonts w:hint="eastAsia"/>
                <w:b/>
                <w:i w:val="0"/>
                <w:iCs w:val="0"/>
                <w:snapToGrid w:val="0"/>
                <w:color w:val="000000"/>
                <w:sz w:val="21"/>
                <w:szCs w:val="21"/>
                <w:vertAlign w:val="superscript"/>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5" w:type="dxa"/>
            <w:noWrap w:val="0"/>
            <w:vAlign w:val="center"/>
          </w:tcPr>
          <w:p>
            <w:pPr>
              <w:jc w:val="center"/>
              <w:rPr>
                <w:i w:val="0"/>
                <w:iCs w:val="0"/>
                <w:snapToGrid w:val="0"/>
                <w:color w:val="000000"/>
                <w:sz w:val="21"/>
                <w:szCs w:val="21"/>
              </w:rPr>
            </w:pPr>
            <w:r>
              <w:rPr>
                <w:rFonts w:hint="eastAsia"/>
                <w:i w:val="0"/>
                <w:iCs w:val="0"/>
                <w:snapToGrid w:val="0"/>
                <w:color w:val="000000"/>
                <w:sz w:val="21"/>
                <w:szCs w:val="21"/>
              </w:rPr>
              <w:t>代表性风险事故情形描述</w:t>
            </w:r>
          </w:p>
        </w:tc>
        <w:tc>
          <w:tcPr>
            <w:tcW w:w="7436" w:type="dxa"/>
            <w:gridSpan w:val="9"/>
            <w:noWrap w:val="0"/>
            <w:vAlign w:val="center"/>
          </w:tcPr>
          <w:p>
            <w:pPr>
              <w:jc w:val="center"/>
              <w:rPr>
                <w:i w:val="0"/>
                <w:iCs w:val="0"/>
                <w:snapToGrid w:val="0"/>
                <w:color w:val="000000"/>
                <w:sz w:val="21"/>
                <w:szCs w:val="21"/>
              </w:rPr>
            </w:pPr>
            <w:r>
              <w:rPr>
                <w:rFonts w:hint="eastAsia"/>
                <w:i w:val="0"/>
                <w:iCs w:val="0"/>
                <w:snapToGrid w:val="0"/>
                <w:color w:val="000000"/>
                <w:sz w:val="21"/>
                <w:szCs w:val="21"/>
              </w:rPr>
              <w:t>氨水泄漏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35" w:type="dxa"/>
            <w:noWrap w:val="0"/>
            <w:vAlign w:val="center"/>
          </w:tcPr>
          <w:p>
            <w:pPr>
              <w:jc w:val="center"/>
              <w:rPr>
                <w:i w:val="0"/>
                <w:iCs w:val="0"/>
                <w:snapToGrid w:val="0"/>
                <w:color w:val="000000"/>
                <w:sz w:val="21"/>
                <w:szCs w:val="21"/>
              </w:rPr>
            </w:pPr>
            <w:r>
              <w:rPr>
                <w:rFonts w:hint="eastAsia"/>
                <w:i w:val="0"/>
                <w:iCs w:val="0"/>
                <w:snapToGrid w:val="0"/>
                <w:color w:val="000000"/>
                <w:sz w:val="21"/>
                <w:szCs w:val="21"/>
              </w:rPr>
              <w:t>环境风险类型</w:t>
            </w:r>
          </w:p>
        </w:tc>
        <w:tc>
          <w:tcPr>
            <w:tcW w:w="7436" w:type="dxa"/>
            <w:gridSpan w:val="9"/>
            <w:noWrap w:val="0"/>
            <w:vAlign w:val="center"/>
          </w:tcPr>
          <w:p>
            <w:pPr>
              <w:jc w:val="center"/>
              <w:rPr>
                <w:i w:val="0"/>
                <w:iCs w:val="0"/>
                <w:snapToGrid w:val="0"/>
                <w:color w:val="000000"/>
                <w:sz w:val="21"/>
                <w:szCs w:val="21"/>
              </w:rPr>
            </w:pPr>
            <w:r>
              <w:rPr>
                <w:rFonts w:hint="eastAsia"/>
                <w:i w:val="0"/>
                <w:iCs w:val="0"/>
                <w:snapToGrid w:val="0"/>
                <w:color w:val="000000"/>
                <w:sz w:val="21"/>
                <w:szCs w:val="21"/>
              </w:rPr>
              <w:t>泄露污染环境空气/威胁人体健康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5" w:type="dxa"/>
            <w:noWrap w:val="0"/>
            <w:vAlign w:val="center"/>
          </w:tcPr>
          <w:p>
            <w:pPr>
              <w:jc w:val="center"/>
              <w:rPr>
                <w:i w:val="0"/>
                <w:iCs w:val="0"/>
                <w:snapToGrid w:val="0"/>
                <w:color w:val="000000"/>
                <w:sz w:val="21"/>
                <w:szCs w:val="21"/>
              </w:rPr>
            </w:pPr>
            <w:r>
              <w:rPr>
                <w:rFonts w:hint="eastAsia"/>
                <w:i w:val="0"/>
                <w:iCs w:val="0"/>
                <w:snapToGrid w:val="0"/>
                <w:color w:val="000000"/>
                <w:sz w:val="21"/>
                <w:szCs w:val="21"/>
              </w:rPr>
              <w:t>泄露设备类型</w:t>
            </w:r>
          </w:p>
        </w:tc>
        <w:tc>
          <w:tcPr>
            <w:tcW w:w="1342" w:type="dxa"/>
            <w:gridSpan w:val="2"/>
            <w:noWrap w:val="0"/>
            <w:vAlign w:val="center"/>
          </w:tcPr>
          <w:p>
            <w:pPr>
              <w:jc w:val="center"/>
              <w:rPr>
                <w:i w:val="0"/>
                <w:iCs w:val="0"/>
                <w:snapToGrid w:val="0"/>
                <w:color w:val="000000"/>
                <w:sz w:val="21"/>
                <w:szCs w:val="21"/>
              </w:rPr>
            </w:pPr>
            <w:r>
              <w:rPr>
                <w:rFonts w:hint="eastAsia"/>
                <w:i w:val="0"/>
                <w:iCs w:val="0"/>
                <w:snapToGrid w:val="0"/>
                <w:color w:val="000000"/>
                <w:sz w:val="21"/>
                <w:szCs w:val="21"/>
              </w:rPr>
              <w:t>管道接头</w:t>
            </w:r>
          </w:p>
        </w:tc>
        <w:tc>
          <w:tcPr>
            <w:tcW w:w="1701" w:type="dxa"/>
            <w:gridSpan w:val="2"/>
            <w:noWrap w:val="0"/>
            <w:vAlign w:val="center"/>
          </w:tcPr>
          <w:p>
            <w:pPr>
              <w:jc w:val="center"/>
              <w:rPr>
                <w:i w:val="0"/>
                <w:iCs w:val="0"/>
                <w:snapToGrid w:val="0"/>
                <w:color w:val="000000"/>
                <w:sz w:val="21"/>
                <w:szCs w:val="21"/>
              </w:rPr>
            </w:pPr>
            <w:r>
              <w:rPr>
                <w:rFonts w:hint="eastAsia"/>
                <w:i w:val="0"/>
                <w:iCs w:val="0"/>
                <w:snapToGrid w:val="0"/>
                <w:color w:val="000000"/>
                <w:sz w:val="21"/>
                <w:szCs w:val="21"/>
              </w:rPr>
              <w:t>操作温度/℃</w:t>
            </w:r>
          </w:p>
        </w:tc>
        <w:tc>
          <w:tcPr>
            <w:tcW w:w="1139" w:type="dxa"/>
            <w:gridSpan w:val="2"/>
            <w:noWrap w:val="0"/>
            <w:vAlign w:val="center"/>
          </w:tcPr>
          <w:p>
            <w:pPr>
              <w:jc w:val="center"/>
              <w:rPr>
                <w:i w:val="0"/>
                <w:iCs w:val="0"/>
                <w:snapToGrid w:val="0"/>
                <w:color w:val="000000"/>
                <w:sz w:val="21"/>
                <w:szCs w:val="21"/>
              </w:rPr>
            </w:pPr>
            <w:r>
              <w:rPr>
                <w:rFonts w:hint="eastAsia"/>
                <w:i w:val="0"/>
                <w:iCs w:val="0"/>
                <w:snapToGrid w:val="0"/>
                <w:color w:val="000000"/>
                <w:sz w:val="21"/>
                <w:szCs w:val="21"/>
              </w:rPr>
              <w:t>2</w:t>
            </w:r>
            <w:r>
              <w:rPr>
                <w:i w:val="0"/>
                <w:iCs w:val="0"/>
                <w:snapToGrid w:val="0"/>
                <w:color w:val="000000"/>
                <w:sz w:val="21"/>
                <w:szCs w:val="21"/>
              </w:rPr>
              <w:t>5</w:t>
            </w:r>
          </w:p>
        </w:tc>
        <w:tc>
          <w:tcPr>
            <w:tcW w:w="1666" w:type="dxa"/>
            <w:noWrap w:val="0"/>
            <w:vAlign w:val="center"/>
          </w:tcPr>
          <w:p>
            <w:pPr>
              <w:jc w:val="center"/>
              <w:rPr>
                <w:i w:val="0"/>
                <w:iCs w:val="0"/>
                <w:snapToGrid w:val="0"/>
                <w:color w:val="000000"/>
                <w:sz w:val="21"/>
                <w:szCs w:val="21"/>
              </w:rPr>
            </w:pPr>
            <w:r>
              <w:rPr>
                <w:rFonts w:hint="eastAsia"/>
                <w:i w:val="0"/>
                <w:iCs w:val="0"/>
                <w:snapToGrid w:val="0"/>
                <w:color w:val="000000"/>
                <w:sz w:val="21"/>
                <w:szCs w:val="21"/>
              </w:rPr>
              <w:t>操作压力/Mpa</w:t>
            </w:r>
          </w:p>
        </w:tc>
        <w:tc>
          <w:tcPr>
            <w:tcW w:w="1588" w:type="dxa"/>
            <w:gridSpan w:val="2"/>
            <w:noWrap w:val="0"/>
            <w:vAlign w:val="center"/>
          </w:tcPr>
          <w:p>
            <w:pPr>
              <w:jc w:val="center"/>
              <w:rPr>
                <w:i w:val="0"/>
                <w:iCs w:val="0"/>
                <w:snapToGrid w:val="0"/>
                <w:color w:val="000000"/>
                <w:sz w:val="21"/>
                <w:szCs w:val="21"/>
              </w:rPr>
            </w:pPr>
            <w:r>
              <w:rPr>
                <w:rFonts w:hint="eastAsia"/>
                <w:i w:val="0"/>
                <w:iCs w:val="0"/>
                <w:snapToGrid w:val="0"/>
                <w:color w:val="000000"/>
                <w:sz w:val="21"/>
                <w:szCs w:val="21"/>
              </w:rPr>
              <w:t>0</w:t>
            </w:r>
            <w:r>
              <w:rPr>
                <w:i w:val="0"/>
                <w:iCs w:val="0"/>
                <w:snapToGrid w:val="0"/>
                <w:color w:val="000000"/>
                <w:sz w:val="21"/>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35" w:type="dxa"/>
            <w:noWrap w:val="0"/>
            <w:vAlign w:val="center"/>
          </w:tcPr>
          <w:p>
            <w:pPr>
              <w:jc w:val="center"/>
              <w:rPr>
                <w:i w:val="0"/>
                <w:iCs w:val="0"/>
                <w:snapToGrid w:val="0"/>
                <w:color w:val="000000"/>
                <w:sz w:val="21"/>
                <w:szCs w:val="21"/>
              </w:rPr>
            </w:pPr>
            <w:r>
              <w:rPr>
                <w:rFonts w:hint="eastAsia"/>
                <w:i w:val="0"/>
                <w:iCs w:val="0"/>
                <w:snapToGrid w:val="0"/>
                <w:color w:val="000000"/>
                <w:sz w:val="21"/>
                <w:szCs w:val="21"/>
              </w:rPr>
              <w:t>泄露危险物质</w:t>
            </w:r>
          </w:p>
        </w:tc>
        <w:tc>
          <w:tcPr>
            <w:tcW w:w="1342" w:type="dxa"/>
            <w:gridSpan w:val="2"/>
            <w:noWrap w:val="0"/>
            <w:vAlign w:val="center"/>
          </w:tcPr>
          <w:p>
            <w:pPr>
              <w:jc w:val="center"/>
              <w:rPr>
                <w:rFonts w:hint="eastAsia"/>
                <w:i w:val="0"/>
                <w:iCs w:val="0"/>
                <w:snapToGrid w:val="0"/>
                <w:color w:val="000000"/>
                <w:sz w:val="21"/>
                <w:szCs w:val="21"/>
              </w:rPr>
            </w:pPr>
            <w:r>
              <w:rPr>
                <w:rFonts w:hint="eastAsia"/>
                <w:i w:val="0"/>
                <w:iCs w:val="0"/>
                <w:snapToGrid w:val="0"/>
                <w:color w:val="000000"/>
                <w:sz w:val="21"/>
                <w:szCs w:val="21"/>
              </w:rPr>
              <w:t>氨气</w:t>
            </w:r>
          </w:p>
        </w:tc>
        <w:tc>
          <w:tcPr>
            <w:tcW w:w="1701" w:type="dxa"/>
            <w:gridSpan w:val="2"/>
            <w:noWrap w:val="0"/>
            <w:vAlign w:val="center"/>
          </w:tcPr>
          <w:p>
            <w:pPr>
              <w:jc w:val="center"/>
              <w:rPr>
                <w:i w:val="0"/>
                <w:iCs w:val="0"/>
                <w:snapToGrid w:val="0"/>
                <w:color w:val="000000"/>
                <w:sz w:val="21"/>
                <w:szCs w:val="21"/>
              </w:rPr>
            </w:pPr>
            <w:r>
              <w:rPr>
                <w:rFonts w:hint="eastAsia"/>
                <w:i w:val="0"/>
                <w:iCs w:val="0"/>
                <w:snapToGrid w:val="0"/>
                <w:color w:val="000000"/>
                <w:sz w:val="21"/>
                <w:szCs w:val="21"/>
              </w:rPr>
              <w:t>最大存在量/kg</w:t>
            </w:r>
          </w:p>
        </w:tc>
        <w:tc>
          <w:tcPr>
            <w:tcW w:w="1139" w:type="dxa"/>
            <w:gridSpan w:val="2"/>
            <w:noWrap w:val="0"/>
            <w:vAlign w:val="center"/>
          </w:tcPr>
          <w:p>
            <w:pPr>
              <w:jc w:val="center"/>
              <w:rPr>
                <w:i w:val="0"/>
                <w:iCs w:val="0"/>
                <w:snapToGrid w:val="0"/>
                <w:color w:val="000000"/>
                <w:sz w:val="21"/>
                <w:szCs w:val="21"/>
              </w:rPr>
            </w:pPr>
            <w:r>
              <w:rPr>
                <w:rFonts w:hint="eastAsia"/>
                <w:i w:val="0"/>
                <w:iCs w:val="0"/>
                <w:snapToGrid w:val="0"/>
                <w:color w:val="000000"/>
                <w:sz w:val="21"/>
                <w:szCs w:val="21"/>
              </w:rPr>
              <w:t>5070</w:t>
            </w:r>
          </w:p>
        </w:tc>
        <w:tc>
          <w:tcPr>
            <w:tcW w:w="1666" w:type="dxa"/>
            <w:noWrap w:val="0"/>
            <w:vAlign w:val="center"/>
          </w:tcPr>
          <w:p>
            <w:pPr>
              <w:jc w:val="center"/>
              <w:rPr>
                <w:i w:val="0"/>
                <w:iCs w:val="0"/>
                <w:snapToGrid w:val="0"/>
                <w:color w:val="000000"/>
                <w:sz w:val="21"/>
                <w:szCs w:val="21"/>
              </w:rPr>
            </w:pPr>
            <w:r>
              <w:rPr>
                <w:rFonts w:hint="eastAsia"/>
                <w:i w:val="0"/>
                <w:iCs w:val="0"/>
                <w:snapToGrid w:val="0"/>
                <w:color w:val="000000"/>
                <w:sz w:val="21"/>
                <w:szCs w:val="21"/>
              </w:rPr>
              <w:t>泄露孔径/mm</w:t>
            </w:r>
          </w:p>
        </w:tc>
        <w:tc>
          <w:tcPr>
            <w:tcW w:w="1588" w:type="dxa"/>
            <w:gridSpan w:val="2"/>
            <w:noWrap w:val="0"/>
            <w:vAlign w:val="center"/>
          </w:tcPr>
          <w:p>
            <w:pPr>
              <w:jc w:val="center"/>
              <w:rPr>
                <w:i w:val="0"/>
                <w:iCs w:val="0"/>
                <w:snapToGrid w:val="0"/>
                <w:color w:val="000000"/>
                <w:sz w:val="21"/>
                <w:szCs w:val="21"/>
              </w:rPr>
            </w:pPr>
            <w:r>
              <w:rPr>
                <w:rFonts w:hint="eastAsia"/>
                <w:i w:val="0"/>
                <w:iCs w:val="0"/>
                <w:snapToGrid w:val="0"/>
                <w:color w:val="000000"/>
                <w:sz w:val="21"/>
                <w:szCs w:val="21"/>
              </w:rPr>
              <w:t>1</w:t>
            </w:r>
            <w:r>
              <w:rPr>
                <w:i w:val="0"/>
                <w:iCs w:val="0"/>
                <w:snapToGrid w:val="0"/>
                <w:color w:val="000000"/>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35" w:type="dxa"/>
            <w:noWrap w:val="0"/>
            <w:vAlign w:val="center"/>
          </w:tcPr>
          <w:p>
            <w:pPr>
              <w:jc w:val="center"/>
              <w:rPr>
                <w:i w:val="0"/>
                <w:iCs w:val="0"/>
                <w:snapToGrid w:val="0"/>
                <w:color w:val="000000"/>
                <w:sz w:val="21"/>
                <w:szCs w:val="21"/>
              </w:rPr>
            </w:pPr>
            <w:r>
              <w:rPr>
                <w:rFonts w:hint="eastAsia"/>
                <w:i w:val="0"/>
                <w:iCs w:val="0"/>
                <w:snapToGrid w:val="0"/>
                <w:color w:val="000000"/>
                <w:sz w:val="21"/>
                <w:szCs w:val="21"/>
              </w:rPr>
              <w:t>泄露速率（kg/s）</w:t>
            </w:r>
          </w:p>
        </w:tc>
        <w:tc>
          <w:tcPr>
            <w:tcW w:w="1342" w:type="dxa"/>
            <w:gridSpan w:val="2"/>
            <w:noWrap w:val="0"/>
            <w:vAlign w:val="center"/>
          </w:tcPr>
          <w:p>
            <w:pPr>
              <w:jc w:val="center"/>
              <w:rPr>
                <w:i w:val="0"/>
                <w:iCs w:val="0"/>
                <w:snapToGrid w:val="0"/>
                <w:color w:val="000000"/>
                <w:sz w:val="21"/>
                <w:szCs w:val="21"/>
              </w:rPr>
            </w:pPr>
            <w:r>
              <w:rPr>
                <w:rFonts w:hint="eastAsia"/>
                <w:i w:val="0"/>
                <w:iCs w:val="0"/>
                <w:snapToGrid w:val="0"/>
                <w:color w:val="000000"/>
                <w:sz w:val="21"/>
                <w:szCs w:val="21"/>
              </w:rPr>
              <w:t>9.84</w:t>
            </w:r>
          </w:p>
        </w:tc>
        <w:tc>
          <w:tcPr>
            <w:tcW w:w="1701" w:type="dxa"/>
            <w:gridSpan w:val="2"/>
            <w:noWrap w:val="0"/>
            <w:vAlign w:val="center"/>
          </w:tcPr>
          <w:p>
            <w:pPr>
              <w:jc w:val="center"/>
              <w:rPr>
                <w:i w:val="0"/>
                <w:iCs w:val="0"/>
                <w:snapToGrid w:val="0"/>
                <w:color w:val="000000"/>
                <w:sz w:val="21"/>
                <w:szCs w:val="21"/>
              </w:rPr>
            </w:pPr>
            <w:r>
              <w:rPr>
                <w:rFonts w:hint="eastAsia"/>
                <w:i w:val="0"/>
                <w:iCs w:val="0"/>
                <w:snapToGrid w:val="0"/>
                <w:color w:val="000000"/>
                <w:sz w:val="21"/>
                <w:szCs w:val="21"/>
              </w:rPr>
              <w:t>泄露时间/min</w:t>
            </w:r>
          </w:p>
        </w:tc>
        <w:tc>
          <w:tcPr>
            <w:tcW w:w="1139" w:type="dxa"/>
            <w:gridSpan w:val="2"/>
            <w:noWrap w:val="0"/>
            <w:vAlign w:val="center"/>
          </w:tcPr>
          <w:p>
            <w:pPr>
              <w:jc w:val="center"/>
              <w:rPr>
                <w:i w:val="0"/>
                <w:iCs w:val="0"/>
                <w:snapToGrid w:val="0"/>
                <w:color w:val="000000"/>
                <w:sz w:val="21"/>
                <w:szCs w:val="21"/>
              </w:rPr>
            </w:pPr>
            <w:r>
              <w:rPr>
                <w:rFonts w:hint="eastAsia"/>
                <w:i w:val="0"/>
                <w:iCs w:val="0"/>
                <w:snapToGrid w:val="0"/>
                <w:color w:val="000000"/>
                <w:sz w:val="21"/>
                <w:szCs w:val="21"/>
              </w:rPr>
              <w:t>1</w:t>
            </w:r>
            <w:r>
              <w:rPr>
                <w:i w:val="0"/>
                <w:iCs w:val="0"/>
                <w:snapToGrid w:val="0"/>
                <w:color w:val="000000"/>
                <w:sz w:val="21"/>
                <w:szCs w:val="21"/>
              </w:rPr>
              <w:t>0</w:t>
            </w:r>
          </w:p>
        </w:tc>
        <w:tc>
          <w:tcPr>
            <w:tcW w:w="1666" w:type="dxa"/>
            <w:noWrap w:val="0"/>
            <w:vAlign w:val="center"/>
          </w:tcPr>
          <w:p>
            <w:pPr>
              <w:jc w:val="center"/>
              <w:rPr>
                <w:i w:val="0"/>
                <w:iCs w:val="0"/>
                <w:snapToGrid w:val="0"/>
                <w:color w:val="000000"/>
                <w:sz w:val="21"/>
                <w:szCs w:val="21"/>
              </w:rPr>
            </w:pPr>
            <w:r>
              <w:rPr>
                <w:rFonts w:hint="eastAsia"/>
                <w:i w:val="0"/>
                <w:iCs w:val="0"/>
                <w:snapToGrid w:val="0"/>
                <w:color w:val="000000"/>
                <w:sz w:val="21"/>
                <w:szCs w:val="21"/>
              </w:rPr>
              <w:t>泄漏量/kg</w:t>
            </w:r>
          </w:p>
        </w:tc>
        <w:tc>
          <w:tcPr>
            <w:tcW w:w="1588" w:type="dxa"/>
            <w:gridSpan w:val="2"/>
            <w:noWrap w:val="0"/>
            <w:vAlign w:val="center"/>
          </w:tcPr>
          <w:p>
            <w:pPr>
              <w:jc w:val="center"/>
              <w:rPr>
                <w:i w:val="0"/>
                <w:iCs w:val="0"/>
                <w:snapToGrid w:val="0"/>
                <w:color w:val="000000"/>
                <w:sz w:val="21"/>
                <w:szCs w:val="21"/>
              </w:rPr>
            </w:pPr>
            <w:r>
              <w:rPr>
                <w:rFonts w:hint="eastAsia"/>
                <w:i w:val="0"/>
                <w:iCs w:val="0"/>
                <w:snapToGrid w:val="0"/>
                <w:color w:val="000000"/>
                <w:sz w:val="21"/>
                <w:szCs w:val="21"/>
              </w:rPr>
              <w:t>3</w:t>
            </w:r>
            <w:r>
              <w:rPr>
                <w:i w:val="0"/>
                <w:iCs w:val="0"/>
                <w:snapToGrid w:val="0"/>
                <w:color w:val="000000"/>
                <w:sz w:val="21"/>
                <w:szCs w:val="21"/>
              </w:rPr>
              <w:t>480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35" w:type="dxa"/>
            <w:noWrap w:val="0"/>
            <w:vAlign w:val="center"/>
          </w:tcPr>
          <w:p>
            <w:pPr>
              <w:jc w:val="center"/>
              <w:rPr>
                <w:i w:val="0"/>
                <w:iCs w:val="0"/>
                <w:snapToGrid w:val="0"/>
                <w:color w:val="000000"/>
                <w:sz w:val="21"/>
                <w:szCs w:val="21"/>
              </w:rPr>
            </w:pPr>
            <w:r>
              <w:rPr>
                <w:rFonts w:hint="eastAsia"/>
                <w:i w:val="0"/>
                <w:iCs w:val="0"/>
                <w:snapToGrid w:val="0"/>
                <w:color w:val="000000"/>
                <w:sz w:val="21"/>
                <w:szCs w:val="21"/>
              </w:rPr>
              <w:t>泄露高度m</w:t>
            </w:r>
          </w:p>
        </w:tc>
        <w:tc>
          <w:tcPr>
            <w:tcW w:w="1342" w:type="dxa"/>
            <w:gridSpan w:val="2"/>
            <w:noWrap w:val="0"/>
            <w:vAlign w:val="center"/>
          </w:tcPr>
          <w:p>
            <w:pPr>
              <w:jc w:val="center"/>
              <w:rPr>
                <w:i w:val="0"/>
                <w:iCs w:val="0"/>
                <w:snapToGrid w:val="0"/>
                <w:color w:val="000000"/>
                <w:sz w:val="21"/>
                <w:szCs w:val="21"/>
              </w:rPr>
            </w:pPr>
            <w:r>
              <w:rPr>
                <w:i w:val="0"/>
                <w:iCs w:val="0"/>
                <w:snapToGrid w:val="0"/>
                <w:color w:val="000000"/>
                <w:sz w:val="21"/>
                <w:szCs w:val="21"/>
              </w:rPr>
              <w:t>0.5</w:t>
            </w:r>
          </w:p>
        </w:tc>
        <w:tc>
          <w:tcPr>
            <w:tcW w:w="1701" w:type="dxa"/>
            <w:gridSpan w:val="2"/>
            <w:noWrap w:val="0"/>
            <w:vAlign w:val="center"/>
          </w:tcPr>
          <w:p>
            <w:pPr>
              <w:jc w:val="center"/>
              <w:rPr>
                <w:i w:val="0"/>
                <w:iCs w:val="0"/>
                <w:snapToGrid w:val="0"/>
                <w:color w:val="000000"/>
                <w:sz w:val="21"/>
                <w:szCs w:val="21"/>
              </w:rPr>
            </w:pPr>
            <w:r>
              <w:rPr>
                <w:rFonts w:hint="eastAsia"/>
                <w:i w:val="0"/>
                <w:iCs w:val="0"/>
                <w:snapToGrid w:val="0"/>
                <w:color w:val="000000"/>
                <w:sz w:val="21"/>
                <w:szCs w:val="21"/>
              </w:rPr>
              <w:t>最大释放量kg</w:t>
            </w:r>
          </w:p>
        </w:tc>
        <w:tc>
          <w:tcPr>
            <w:tcW w:w="1139" w:type="dxa"/>
            <w:gridSpan w:val="2"/>
            <w:noWrap w:val="0"/>
            <w:vAlign w:val="center"/>
          </w:tcPr>
          <w:p>
            <w:pPr>
              <w:jc w:val="center"/>
              <w:rPr>
                <w:i w:val="0"/>
                <w:iCs w:val="0"/>
                <w:snapToGrid w:val="0"/>
                <w:color w:val="000000"/>
                <w:sz w:val="21"/>
                <w:szCs w:val="21"/>
              </w:rPr>
            </w:pPr>
            <w:r>
              <w:rPr>
                <w:rFonts w:hint="eastAsia"/>
                <w:i w:val="0"/>
                <w:iCs w:val="0"/>
                <w:snapToGrid w:val="0"/>
                <w:color w:val="000000"/>
                <w:sz w:val="21"/>
                <w:szCs w:val="21"/>
              </w:rPr>
              <w:t>5070</w:t>
            </w:r>
          </w:p>
        </w:tc>
        <w:tc>
          <w:tcPr>
            <w:tcW w:w="1666" w:type="dxa"/>
            <w:noWrap w:val="0"/>
            <w:vAlign w:val="center"/>
          </w:tcPr>
          <w:p>
            <w:pPr>
              <w:jc w:val="center"/>
              <w:rPr>
                <w:i w:val="0"/>
                <w:iCs w:val="0"/>
                <w:snapToGrid w:val="0"/>
                <w:color w:val="000000"/>
                <w:sz w:val="21"/>
                <w:szCs w:val="21"/>
              </w:rPr>
            </w:pPr>
            <w:r>
              <w:rPr>
                <w:rFonts w:hint="eastAsia"/>
                <w:i w:val="0"/>
                <w:iCs w:val="0"/>
                <w:snapToGrid w:val="0"/>
                <w:color w:val="000000"/>
                <w:sz w:val="21"/>
                <w:szCs w:val="21"/>
              </w:rPr>
              <w:t>火灾发生频率</w:t>
            </w:r>
          </w:p>
        </w:tc>
        <w:tc>
          <w:tcPr>
            <w:tcW w:w="1588" w:type="dxa"/>
            <w:gridSpan w:val="2"/>
            <w:noWrap w:val="0"/>
            <w:vAlign w:val="center"/>
          </w:tcPr>
          <w:p>
            <w:pPr>
              <w:jc w:val="center"/>
              <w:rPr>
                <w:i w:val="0"/>
                <w:iCs w:val="0"/>
                <w:snapToGrid w:val="0"/>
                <w:color w:val="000000"/>
                <w:sz w:val="21"/>
                <w:szCs w:val="21"/>
              </w:rPr>
            </w:pPr>
            <w:r>
              <w:rPr>
                <w:rFonts w:hint="eastAsia"/>
                <w:i w:val="0"/>
                <w:iCs w:val="0"/>
                <w:snapToGrid w:val="0"/>
                <w:color w:val="000000"/>
                <w:sz w:val="21"/>
                <w:szCs w:val="21"/>
              </w:rPr>
              <w:t>1.5×10</w:t>
            </w:r>
            <w:r>
              <w:rPr>
                <w:rFonts w:hint="eastAsia"/>
                <w:i w:val="0"/>
                <w:iCs w:val="0"/>
                <w:snapToGrid w:val="0"/>
                <w:color w:val="000000"/>
                <w:sz w:val="21"/>
                <w:szCs w:val="21"/>
                <w:vertAlign w:val="superscript"/>
              </w:rPr>
              <w:t>-5</w:t>
            </w:r>
            <w:r>
              <w:rPr>
                <w:rFonts w:hint="eastAsia"/>
                <w:i w:val="0"/>
                <w:iCs w:val="0"/>
                <w:snapToGrid w:val="0"/>
                <w:color w:val="000000"/>
                <w:sz w:val="21"/>
                <w:szCs w:val="21"/>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71" w:type="dxa"/>
            <w:gridSpan w:val="10"/>
            <w:noWrap w:val="0"/>
            <w:vAlign w:val="center"/>
          </w:tcPr>
          <w:p>
            <w:pPr>
              <w:jc w:val="center"/>
              <w:rPr>
                <w:b/>
                <w:i w:val="0"/>
                <w:iCs w:val="0"/>
                <w:snapToGrid w:val="0"/>
                <w:color w:val="000000"/>
                <w:sz w:val="21"/>
                <w:szCs w:val="21"/>
              </w:rPr>
            </w:pPr>
            <w:r>
              <w:rPr>
                <w:rFonts w:hint="eastAsia"/>
                <w:b/>
                <w:i w:val="0"/>
                <w:iCs w:val="0"/>
                <w:snapToGrid w:val="0"/>
                <w:color w:val="000000"/>
                <w:sz w:val="21"/>
                <w:szCs w:val="21"/>
              </w:rPr>
              <w:t>事故后果预测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635" w:type="dxa"/>
            <w:vMerge w:val="restart"/>
            <w:noWrap w:val="0"/>
            <w:vAlign w:val="center"/>
          </w:tcPr>
          <w:p>
            <w:pPr>
              <w:jc w:val="center"/>
              <w:rPr>
                <w:i w:val="0"/>
                <w:iCs w:val="0"/>
                <w:snapToGrid w:val="0"/>
                <w:color w:val="000000"/>
                <w:sz w:val="21"/>
                <w:szCs w:val="21"/>
              </w:rPr>
            </w:pPr>
            <w:r>
              <w:rPr>
                <w:rFonts w:hint="eastAsia"/>
                <w:i w:val="0"/>
                <w:iCs w:val="0"/>
                <w:snapToGrid w:val="0"/>
                <w:color w:val="000000"/>
                <w:sz w:val="21"/>
                <w:szCs w:val="21"/>
              </w:rPr>
              <w:t>大气</w:t>
            </w:r>
          </w:p>
        </w:tc>
        <w:tc>
          <w:tcPr>
            <w:tcW w:w="565" w:type="dxa"/>
            <w:noWrap w:val="0"/>
            <w:vAlign w:val="center"/>
          </w:tcPr>
          <w:p>
            <w:pPr>
              <w:jc w:val="center"/>
              <w:rPr>
                <w:i w:val="0"/>
                <w:iCs w:val="0"/>
                <w:snapToGrid w:val="0"/>
                <w:color w:val="000000"/>
                <w:sz w:val="21"/>
                <w:szCs w:val="21"/>
              </w:rPr>
            </w:pPr>
            <w:r>
              <w:rPr>
                <w:rFonts w:hint="eastAsia"/>
                <w:i w:val="0"/>
                <w:iCs w:val="0"/>
                <w:snapToGrid w:val="0"/>
                <w:color w:val="000000"/>
                <w:sz w:val="21"/>
                <w:szCs w:val="21"/>
              </w:rPr>
              <w:t>危险</w:t>
            </w:r>
          </w:p>
          <w:p>
            <w:pPr>
              <w:jc w:val="center"/>
              <w:rPr>
                <w:i w:val="0"/>
                <w:iCs w:val="0"/>
                <w:snapToGrid w:val="0"/>
                <w:color w:val="000000"/>
                <w:sz w:val="21"/>
                <w:szCs w:val="21"/>
              </w:rPr>
            </w:pPr>
            <w:r>
              <w:rPr>
                <w:rFonts w:hint="eastAsia"/>
                <w:i w:val="0"/>
                <w:iCs w:val="0"/>
                <w:snapToGrid w:val="0"/>
                <w:color w:val="000000"/>
                <w:sz w:val="21"/>
                <w:szCs w:val="21"/>
              </w:rPr>
              <w:t>物质</w:t>
            </w:r>
          </w:p>
        </w:tc>
        <w:tc>
          <w:tcPr>
            <w:tcW w:w="777" w:type="dxa"/>
            <w:noWrap w:val="0"/>
            <w:vAlign w:val="center"/>
          </w:tcPr>
          <w:p>
            <w:pPr>
              <w:jc w:val="center"/>
              <w:rPr>
                <w:i w:val="0"/>
                <w:iCs w:val="0"/>
                <w:snapToGrid w:val="0"/>
                <w:color w:val="000000"/>
                <w:sz w:val="21"/>
                <w:szCs w:val="21"/>
              </w:rPr>
            </w:pPr>
            <w:r>
              <w:rPr>
                <w:rFonts w:hint="eastAsia"/>
                <w:i w:val="0"/>
                <w:iCs w:val="0"/>
                <w:snapToGrid w:val="0"/>
                <w:color w:val="000000"/>
                <w:sz w:val="21"/>
                <w:szCs w:val="21"/>
              </w:rPr>
              <w:t>气象条件</w:t>
            </w:r>
          </w:p>
        </w:tc>
        <w:tc>
          <w:tcPr>
            <w:tcW w:w="6094" w:type="dxa"/>
            <w:gridSpan w:val="7"/>
            <w:noWrap w:val="0"/>
            <w:vAlign w:val="center"/>
          </w:tcPr>
          <w:p>
            <w:pPr>
              <w:jc w:val="center"/>
              <w:rPr>
                <w:i w:val="0"/>
                <w:iCs w:val="0"/>
                <w:snapToGrid w:val="0"/>
                <w:color w:val="000000"/>
                <w:sz w:val="21"/>
                <w:szCs w:val="21"/>
              </w:rPr>
            </w:pPr>
            <w:r>
              <w:rPr>
                <w:rFonts w:hint="eastAsia"/>
                <w:i w:val="0"/>
                <w:iCs w:val="0"/>
                <w:snapToGrid w:val="0"/>
                <w:color w:val="000000"/>
                <w:sz w:val="21"/>
                <w:szCs w:val="21"/>
              </w:rPr>
              <w:t>大气环境影响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35" w:type="dxa"/>
            <w:vMerge w:val="continue"/>
            <w:noWrap w:val="0"/>
            <w:vAlign w:val="center"/>
          </w:tcPr>
          <w:p>
            <w:pPr>
              <w:jc w:val="center"/>
              <w:rPr>
                <w:i w:val="0"/>
                <w:iCs w:val="0"/>
                <w:snapToGrid w:val="0"/>
                <w:color w:val="000000"/>
                <w:sz w:val="21"/>
                <w:szCs w:val="21"/>
              </w:rPr>
            </w:pPr>
          </w:p>
        </w:tc>
        <w:tc>
          <w:tcPr>
            <w:tcW w:w="565" w:type="dxa"/>
            <w:vMerge w:val="restart"/>
            <w:noWrap w:val="0"/>
            <w:vAlign w:val="center"/>
          </w:tcPr>
          <w:p>
            <w:pPr>
              <w:jc w:val="center"/>
              <w:rPr>
                <w:rFonts w:hint="eastAsia"/>
                <w:i w:val="0"/>
                <w:iCs w:val="0"/>
                <w:snapToGrid w:val="0"/>
                <w:color w:val="000000"/>
                <w:sz w:val="21"/>
                <w:szCs w:val="21"/>
              </w:rPr>
            </w:pPr>
            <w:r>
              <w:rPr>
                <w:rFonts w:hint="eastAsia"/>
                <w:i w:val="0"/>
                <w:iCs w:val="0"/>
                <w:snapToGrid w:val="0"/>
                <w:color w:val="000000"/>
                <w:sz w:val="21"/>
                <w:szCs w:val="21"/>
              </w:rPr>
              <w:t>氨气</w:t>
            </w:r>
          </w:p>
        </w:tc>
        <w:tc>
          <w:tcPr>
            <w:tcW w:w="777" w:type="dxa"/>
            <w:vMerge w:val="restart"/>
            <w:noWrap w:val="0"/>
            <w:vAlign w:val="center"/>
          </w:tcPr>
          <w:p>
            <w:pPr>
              <w:jc w:val="center"/>
              <w:rPr>
                <w:i w:val="0"/>
                <w:iCs w:val="0"/>
                <w:snapToGrid w:val="0"/>
                <w:color w:val="000000"/>
                <w:sz w:val="21"/>
                <w:szCs w:val="21"/>
              </w:rPr>
            </w:pPr>
            <w:r>
              <w:rPr>
                <w:rFonts w:hint="eastAsia"/>
                <w:i w:val="0"/>
                <w:iCs w:val="0"/>
                <w:snapToGrid w:val="0"/>
                <w:color w:val="000000"/>
                <w:sz w:val="21"/>
                <w:szCs w:val="21"/>
              </w:rPr>
              <w:t>最不利</w:t>
            </w:r>
          </w:p>
        </w:tc>
        <w:tc>
          <w:tcPr>
            <w:tcW w:w="1138" w:type="dxa"/>
            <w:noWrap w:val="0"/>
            <w:vAlign w:val="center"/>
          </w:tcPr>
          <w:p>
            <w:pPr>
              <w:jc w:val="center"/>
              <w:rPr>
                <w:i w:val="0"/>
                <w:iCs w:val="0"/>
                <w:snapToGrid w:val="0"/>
                <w:color w:val="000000"/>
                <w:sz w:val="21"/>
                <w:szCs w:val="21"/>
              </w:rPr>
            </w:pPr>
            <w:r>
              <w:rPr>
                <w:rFonts w:hint="eastAsia"/>
                <w:i w:val="0"/>
                <w:iCs w:val="0"/>
                <w:snapToGrid w:val="0"/>
                <w:color w:val="000000"/>
                <w:sz w:val="21"/>
                <w:szCs w:val="21"/>
              </w:rPr>
              <w:t>指标</w:t>
            </w:r>
          </w:p>
        </w:tc>
        <w:tc>
          <w:tcPr>
            <w:tcW w:w="1614" w:type="dxa"/>
            <w:gridSpan w:val="2"/>
            <w:noWrap w:val="0"/>
            <w:vAlign w:val="center"/>
          </w:tcPr>
          <w:p>
            <w:pPr>
              <w:jc w:val="center"/>
              <w:rPr>
                <w:i w:val="0"/>
                <w:iCs w:val="0"/>
                <w:snapToGrid w:val="0"/>
                <w:color w:val="000000"/>
                <w:sz w:val="21"/>
                <w:szCs w:val="21"/>
              </w:rPr>
            </w:pPr>
            <w:r>
              <w:rPr>
                <w:rFonts w:hint="eastAsia"/>
                <w:i w:val="0"/>
                <w:iCs w:val="0"/>
                <w:snapToGrid w:val="0"/>
                <w:color w:val="000000"/>
                <w:sz w:val="21"/>
                <w:szCs w:val="21"/>
              </w:rPr>
              <w:t>浓度/(mg/m</w:t>
            </w:r>
            <w:r>
              <w:rPr>
                <w:rFonts w:hint="eastAsia"/>
                <w:i w:val="0"/>
                <w:iCs w:val="0"/>
                <w:snapToGrid w:val="0"/>
                <w:color w:val="000000"/>
                <w:sz w:val="21"/>
                <w:szCs w:val="21"/>
                <w:vertAlign w:val="superscript"/>
              </w:rPr>
              <w:t>3</w:t>
            </w:r>
            <w:r>
              <w:rPr>
                <w:rFonts w:hint="eastAsia"/>
                <w:i w:val="0"/>
                <w:iCs w:val="0"/>
                <w:snapToGrid w:val="0"/>
                <w:color w:val="000000"/>
                <w:sz w:val="21"/>
                <w:szCs w:val="21"/>
              </w:rPr>
              <w:t>)</w:t>
            </w:r>
          </w:p>
        </w:tc>
        <w:tc>
          <w:tcPr>
            <w:tcW w:w="1784" w:type="dxa"/>
            <w:gridSpan w:val="3"/>
            <w:noWrap w:val="0"/>
            <w:vAlign w:val="center"/>
          </w:tcPr>
          <w:p>
            <w:pPr>
              <w:jc w:val="center"/>
              <w:rPr>
                <w:i w:val="0"/>
                <w:iCs w:val="0"/>
                <w:snapToGrid w:val="0"/>
                <w:color w:val="000000"/>
                <w:sz w:val="21"/>
                <w:szCs w:val="21"/>
              </w:rPr>
            </w:pPr>
            <w:r>
              <w:rPr>
                <w:rFonts w:hint="eastAsia"/>
                <w:i w:val="0"/>
                <w:iCs w:val="0"/>
                <w:snapToGrid w:val="0"/>
                <w:color w:val="000000"/>
                <w:sz w:val="21"/>
                <w:szCs w:val="21"/>
              </w:rPr>
              <w:t>最远影响距离/m</w:t>
            </w:r>
          </w:p>
        </w:tc>
        <w:tc>
          <w:tcPr>
            <w:tcW w:w="1558" w:type="dxa"/>
            <w:noWrap w:val="0"/>
            <w:vAlign w:val="center"/>
          </w:tcPr>
          <w:p>
            <w:pPr>
              <w:jc w:val="center"/>
              <w:rPr>
                <w:i w:val="0"/>
                <w:iCs w:val="0"/>
                <w:snapToGrid w:val="0"/>
                <w:color w:val="000000"/>
                <w:sz w:val="21"/>
                <w:szCs w:val="21"/>
              </w:rPr>
            </w:pPr>
            <w:r>
              <w:rPr>
                <w:rFonts w:hint="eastAsia"/>
                <w:i w:val="0"/>
                <w:iCs w:val="0"/>
                <w:snapToGrid w:val="0"/>
                <w:color w:val="000000"/>
                <w:sz w:val="21"/>
                <w:szCs w:val="21"/>
              </w:rPr>
              <w:t>到达时间/min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635" w:type="dxa"/>
            <w:vMerge w:val="continue"/>
            <w:noWrap w:val="0"/>
            <w:vAlign w:val="center"/>
          </w:tcPr>
          <w:p>
            <w:pPr>
              <w:jc w:val="center"/>
              <w:rPr>
                <w:i w:val="0"/>
                <w:iCs w:val="0"/>
                <w:snapToGrid w:val="0"/>
                <w:color w:val="000000"/>
                <w:sz w:val="21"/>
                <w:szCs w:val="21"/>
              </w:rPr>
            </w:pPr>
          </w:p>
        </w:tc>
        <w:tc>
          <w:tcPr>
            <w:tcW w:w="565" w:type="dxa"/>
            <w:vMerge w:val="continue"/>
            <w:noWrap w:val="0"/>
            <w:vAlign w:val="center"/>
          </w:tcPr>
          <w:p>
            <w:pPr>
              <w:jc w:val="center"/>
              <w:rPr>
                <w:i w:val="0"/>
                <w:iCs w:val="0"/>
                <w:snapToGrid w:val="0"/>
                <w:color w:val="000000"/>
                <w:sz w:val="21"/>
                <w:szCs w:val="21"/>
              </w:rPr>
            </w:pPr>
          </w:p>
        </w:tc>
        <w:tc>
          <w:tcPr>
            <w:tcW w:w="777" w:type="dxa"/>
            <w:vMerge w:val="continue"/>
            <w:noWrap w:val="0"/>
            <w:vAlign w:val="center"/>
          </w:tcPr>
          <w:p>
            <w:pPr>
              <w:jc w:val="center"/>
              <w:rPr>
                <w:i w:val="0"/>
                <w:iCs w:val="0"/>
                <w:snapToGrid w:val="0"/>
                <w:color w:val="000000"/>
                <w:sz w:val="21"/>
                <w:szCs w:val="21"/>
              </w:rPr>
            </w:pPr>
          </w:p>
        </w:tc>
        <w:tc>
          <w:tcPr>
            <w:tcW w:w="1138" w:type="dxa"/>
            <w:noWrap w:val="0"/>
            <w:vAlign w:val="center"/>
          </w:tcPr>
          <w:p>
            <w:pPr>
              <w:jc w:val="center"/>
              <w:rPr>
                <w:i w:val="0"/>
                <w:iCs w:val="0"/>
                <w:snapToGrid w:val="0"/>
                <w:color w:val="000000"/>
                <w:sz w:val="21"/>
                <w:szCs w:val="21"/>
              </w:rPr>
            </w:pPr>
            <w:r>
              <w:rPr>
                <w:rFonts w:hint="eastAsia"/>
                <w:i w:val="0"/>
                <w:iCs w:val="0"/>
                <w:snapToGrid w:val="0"/>
                <w:color w:val="000000"/>
                <w:sz w:val="21"/>
                <w:szCs w:val="21"/>
              </w:rPr>
              <w:t>大气毒性终点浓度-1</w:t>
            </w:r>
          </w:p>
        </w:tc>
        <w:tc>
          <w:tcPr>
            <w:tcW w:w="1614" w:type="dxa"/>
            <w:gridSpan w:val="2"/>
            <w:noWrap w:val="0"/>
            <w:vAlign w:val="center"/>
          </w:tcPr>
          <w:p>
            <w:pPr>
              <w:jc w:val="center"/>
              <w:rPr>
                <w:i w:val="0"/>
                <w:iCs w:val="0"/>
                <w:snapToGrid w:val="0"/>
                <w:color w:val="000000"/>
                <w:sz w:val="21"/>
                <w:szCs w:val="21"/>
              </w:rPr>
            </w:pPr>
            <w:r>
              <w:rPr>
                <w:rFonts w:hint="eastAsia"/>
                <w:i w:val="0"/>
                <w:iCs w:val="0"/>
                <w:snapToGrid w:val="0"/>
                <w:color w:val="000000"/>
                <w:sz w:val="21"/>
                <w:szCs w:val="21"/>
              </w:rPr>
              <w:t>770</w:t>
            </w:r>
          </w:p>
        </w:tc>
        <w:tc>
          <w:tcPr>
            <w:tcW w:w="1784" w:type="dxa"/>
            <w:gridSpan w:val="3"/>
            <w:noWrap w:val="0"/>
            <w:vAlign w:val="center"/>
          </w:tcPr>
          <w:p>
            <w:pPr>
              <w:jc w:val="center"/>
              <w:rPr>
                <w:rFonts w:hint="default" w:eastAsia="宋体"/>
                <w:i w:val="0"/>
                <w:iCs w:val="0"/>
                <w:snapToGrid w:val="0"/>
                <w:color w:val="000000"/>
                <w:sz w:val="21"/>
                <w:szCs w:val="21"/>
                <w:lang w:val="en-US" w:eastAsia="zh-CN"/>
              </w:rPr>
            </w:pPr>
            <w:r>
              <w:rPr>
                <w:rFonts w:hint="eastAsia"/>
                <w:i w:val="0"/>
                <w:iCs w:val="0"/>
                <w:snapToGrid w:val="0"/>
                <w:color w:val="000000"/>
                <w:sz w:val="21"/>
                <w:szCs w:val="21"/>
                <w:lang w:val="en-US" w:eastAsia="zh-CN"/>
              </w:rPr>
              <w:t>30</w:t>
            </w:r>
          </w:p>
        </w:tc>
        <w:tc>
          <w:tcPr>
            <w:tcW w:w="1558" w:type="dxa"/>
            <w:noWrap w:val="0"/>
            <w:vAlign w:val="center"/>
          </w:tcPr>
          <w:p>
            <w:pPr>
              <w:jc w:val="center"/>
              <w:rPr>
                <w:i w:val="0"/>
                <w:iCs w:val="0"/>
                <w:snapToGrid w:val="0"/>
                <w:color w:val="000000"/>
                <w:sz w:val="21"/>
                <w:szCs w:val="21"/>
              </w:rPr>
            </w:pPr>
            <w:r>
              <w:rPr>
                <w:i w:val="0"/>
                <w:iCs w:val="0"/>
                <w:snapToGrid w:val="0"/>
                <w:color w:val="000000"/>
                <w:sz w:val="21"/>
                <w:szCs w:val="21"/>
              </w:rPr>
              <w:t>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5" w:type="dxa"/>
            <w:vMerge w:val="continue"/>
            <w:noWrap w:val="0"/>
            <w:vAlign w:val="center"/>
          </w:tcPr>
          <w:p>
            <w:pPr>
              <w:jc w:val="center"/>
              <w:rPr>
                <w:i w:val="0"/>
                <w:iCs w:val="0"/>
                <w:snapToGrid w:val="0"/>
                <w:color w:val="000000"/>
                <w:sz w:val="21"/>
                <w:szCs w:val="21"/>
              </w:rPr>
            </w:pPr>
          </w:p>
        </w:tc>
        <w:tc>
          <w:tcPr>
            <w:tcW w:w="565" w:type="dxa"/>
            <w:vMerge w:val="continue"/>
            <w:noWrap w:val="0"/>
            <w:vAlign w:val="center"/>
          </w:tcPr>
          <w:p>
            <w:pPr>
              <w:jc w:val="center"/>
              <w:rPr>
                <w:i w:val="0"/>
                <w:iCs w:val="0"/>
                <w:snapToGrid w:val="0"/>
                <w:color w:val="000000"/>
                <w:sz w:val="21"/>
                <w:szCs w:val="21"/>
              </w:rPr>
            </w:pPr>
          </w:p>
        </w:tc>
        <w:tc>
          <w:tcPr>
            <w:tcW w:w="777" w:type="dxa"/>
            <w:vMerge w:val="continue"/>
            <w:noWrap w:val="0"/>
            <w:vAlign w:val="center"/>
          </w:tcPr>
          <w:p>
            <w:pPr>
              <w:jc w:val="center"/>
              <w:rPr>
                <w:i w:val="0"/>
                <w:iCs w:val="0"/>
                <w:snapToGrid w:val="0"/>
                <w:color w:val="000000"/>
                <w:sz w:val="21"/>
                <w:szCs w:val="21"/>
              </w:rPr>
            </w:pPr>
          </w:p>
        </w:tc>
        <w:tc>
          <w:tcPr>
            <w:tcW w:w="1138" w:type="dxa"/>
            <w:noWrap w:val="0"/>
            <w:vAlign w:val="center"/>
          </w:tcPr>
          <w:p>
            <w:pPr>
              <w:jc w:val="center"/>
              <w:rPr>
                <w:i w:val="0"/>
                <w:iCs w:val="0"/>
                <w:snapToGrid w:val="0"/>
                <w:color w:val="000000"/>
                <w:sz w:val="21"/>
                <w:szCs w:val="21"/>
              </w:rPr>
            </w:pPr>
            <w:r>
              <w:rPr>
                <w:rFonts w:hint="eastAsia"/>
                <w:i w:val="0"/>
                <w:iCs w:val="0"/>
                <w:snapToGrid w:val="0"/>
                <w:color w:val="000000"/>
                <w:sz w:val="21"/>
                <w:szCs w:val="21"/>
              </w:rPr>
              <w:t>大气毒性终点浓度-2</w:t>
            </w:r>
          </w:p>
        </w:tc>
        <w:tc>
          <w:tcPr>
            <w:tcW w:w="1614" w:type="dxa"/>
            <w:gridSpan w:val="2"/>
            <w:noWrap w:val="0"/>
            <w:vAlign w:val="center"/>
          </w:tcPr>
          <w:p>
            <w:pPr>
              <w:jc w:val="center"/>
              <w:rPr>
                <w:i w:val="0"/>
                <w:iCs w:val="0"/>
                <w:snapToGrid w:val="0"/>
                <w:color w:val="000000"/>
                <w:sz w:val="21"/>
                <w:szCs w:val="21"/>
              </w:rPr>
            </w:pPr>
            <w:r>
              <w:rPr>
                <w:rFonts w:hint="eastAsia"/>
                <w:i w:val="0"/>
                <w:iCs w:val="0"/>
                <w:snapToGrid w:val="0"/>
                <w:color w:val="000000"/>
                <w:sz w:val="21"/>
                <w:szCs w:val="21"/>
              </w:rPr>
              <w:t>110</w:t>
            </w:r>
          </w:p>
        </w:tc>
        <w:tc>
          <w:tcPr>
            <w:tcW w:w="1784" w:type="dxa"/>
            <w:gridSpan w:val="3"/>
            <w:noWrap w:val="0"/>
            <w:vAlign w:val="center"/>
          </w:tcPr>
          <w:p>
            <w:pPr>
              <w:jc w:val="center"/>
              <w:rPr>
                <w:rFonts w:hint="default" w:eastAsia="宋体"/>
                <w:i w:val="0"/>
                <w:iCs w:val="0"/>
                <w:snapToGrid w:val="0"/>
                <w:color w:val="000000"/>
                <w:sz w:val="21"/>
                <w:szCs w:val="21"/>
                <w:lang w:val="en-US" w:eastAsia="zh-CN"/>
              </w:rPr>
            </w:pPr>
            <w:r>
              <w:rPr>
                <w:rFonts w:hint="eastAsia"/>
                <w:i w:val="0"/>
                <w:iCs w:val="0"/>
                <w:snapToGrid w:val="0"/>
                <w:color w:val="000000"/>
                <w:sz w:val="21"/>
                <w:szCs w:val="21"/>
                <w:lang w:val="en-US" w:eastAsia="zh-CN"/>
              </w:rPr>
              <w:t>60</w:t>
            </w:r>
          </w:p>
        </w:tc>
        <w:tc>
          <w:tcPr>
            <w:tcW w:w="1558" w:type="dxa"/>
            <w:noWrap w:val="0"/>
            <w:vAlign w:val="center"/>
          </w:tcPr>
          <w:p>
            <w:pPr>
              <w:jc w:val="center"/>
              <w:rPr>
                <w:i w:val="0"/>
                <w:iCs w:val="0"/>
                <w:snapToGrid w:val="0"/>
                <w:color w:val="000000"/>
                <w:sz w:val="21"/>
                <w:szCs w:val="21"/>
              </w:rPr>
            </w:pPr>
            <w:r>
              <w:rPr>
                <w:i w:val="0"/>
                <w:iCs w:val="0"/>
                <w:snapToGrid w:val="0"/>
                <w:color w:val="000000"/>
                <w:sz w:val="21"/>
                <w:szCs w:val="21"/>
              </w:rPr>
              <w:t>0.17</w:t>
            </w:r>
          </w:p>
        </w:tc>
      </w:tr>
    </w:tbl>
    <w:p>
      <w:pPr>
        <w:widowControl/>
        <w:spacing w:before="120" w:beforeLines="50" w:line="360" w:lineRule="auto"/>
        <w:ind w:firstLine="480" w:firstLineChars="200"/>
        <w:rPr>
          <w:i w:val="0"/>
          <w:iCs w:val="0"/>
          <w:snapToGrid w:val="0"/>
          <w:color w:val="000000"/>
        </w:rPr>
      </w:pPr>
      <w:r>
        <w:rPr>
          <w:rFonts w:hint="eastAsia"/>
          <w:i w:val="0"/>
          <w:iCs w:val="0"/>
          <w:snapToGrid w:val="0"/>
          <w:color w:val="000000"/>
        </w:rPr>
        <w:t>通过预测，在最不利气象条件下，储罐泄露并引发火灾事故时，CO下风向最大浓度为800</w:t>
      </w:r>
      <w:r>
        <w:rPr>
          <w:i w:val="0"/>
          <w:iCs w:val="0"/>
          <w:color w:val="000000"/>
          <w:szCs w:val="20"/>
        </w:rPr>
        <w:t>mg/m</w:t>
      </w:r>
      <w:r>
        <w:rPr>
          <w:i w:val="0"/>
          <w:iCs w:val="0"/>
          <w:color w:val="000000"/>
          <w:szCs w:val="20"/>
          <w:vertAlign w:val="superscript"/>
        </w:rPr>
        <w:t>3</w:t>
      </w:r>
      <w:r>
        <w:rPr>
          <w:i w:val="0"/>
          <w:iCs w:val="0"/>
          <w:color w:val="000000"/>
          <w:szCs w:val="20"/>
        </w:rPr>
        <w:t>，</w:t>
      </w:r>
      <w:r>
        <w:rPr>
          <w:rFonts w:hint="eastAsia"/>
          <w:i w:val="0"/>
          <w:iCs w:val="0"/>
          <w:snapToGrid w:val="0"/>
          <w:color w:val="000000"/>
        </w:rPr>
        <w:t>大气毒性终点浓度-1的最远影响距离为</w:t>
      </w:r>
      <w:r>
        <w:rPr>
          <w:rFonts w:hint="eastAsia"/>
          <w:i w:val="0"/>
          <w:iCs w:val="0"/>
          <w:snapToGrid w:val="0"/>
          <w:color w:val="000000"/>
          <w:lang w:val="en-US" w:eastAsia="zh-CN"/>
        </w:rPr>
        <w:t>30</w:t>
      </w:r>
      <w:r>
        <w:rPr>
          <w:rFonts w:hint="eastAsia"/>
          <w:i w:val="0"/>
          <w:iCs w:val="0"/>
          <w:snapToGrid w:val="0"/>
          <w:color w:val="000000"/>
        </w:rPr>
        <w:t>m，到达时间约为</w:t>
      </w:r>
      <w:r>
        <w:rPr>
          <w:i w:val="0"/>
          <w:iCs w:val="0"/>
          <w:snapToGrid w:val="0"/>
          <w:color w:val="000000"/>
        </w:rPr>
        <w:t>0.08</w:t>
      </w:r>
      <w:r>
        <w:rPr>
          <w:rFonts w:hint="eastAsia"/>
          <w:i w:val="0"/>
          <w:iCs w:val="0"/>
          <w:snapToGrid w:val="0"/>
          <w:color w:val="000000"/>
        </w:rPr>
        <w:t>min；大气毒性终点浓度-2的最远影响距离为</w:t>
      </w:r>
      <w:r>
        <w:rPr>
          <w:rFonts w:hint="eastAsia"/>
          <w:i w:val="0"/>
          <w:iCs w:val="0"/>
          <w:snapToGrid w:val="0"/>
          <w:color w:val="000000"/>
          <w:lang w:val="en-US" w:eastAsia="zh-CN"/>
        </w:rPr>
        <w:t>60</w:t>
      </w:r>
      <w:r>
        <w:rPr>
          <w:rFonts w:hint="eastAsia"/>
          <w:i w:val="0"/>
          <w:iCs w:val="0"/>
          <w:snapToGrid w:val="0"/>
          <w:color w:val="000000"/>
        </w:rPr>
        <w:t>m，到达时间约为</w:t>
      </w:r>
      <w:r>
        <w:rPr>
          <w:i w:val="0"/>
          <w:iCs w:val="0"/>
          <w:snapToGrid w:val="0"/>
          <w:color w:val="000000"/>
        </w:rPr>
        <w:t>0.17</w:t>
      </w:r>
      <w:r>
        <w:rPr>
          <w:rFonts w:hint="eastAsia"/>
          <w:i w:val="0"/>
          <w:iCs w:val="0"/>
          <w:snapToGrid w:val="0"/>
          <w:color w:val="000000"/>
        </w:rPr>
        <w:t>min。大气毒性终点浓度-1、大气毒性终点浓度-2的影响范围内无关心点。</w:t>
      </w:r>
    </w:p>
    <w:p>
      <w:pPr>
        <w:keepNext/>
        <w:keepLines/>
        <w:widowControl/>
        <w:spacing w:line="360" w:lineRule="auto"/>
        <w:outlineLvl w:val="2"/>
        <w:rPr>
          <w:b/>
          <w:i w:val="0"/>
          <w:iCs w:val="0"/>
          <w:color w:val="000000"/>
        </w:rPr>
      </w:pPr>
      <w:bookmarkStart w:id="256" w:name="_Toc123993308"/>
      <w:r>
        <w:rPr>
          <w:rFonts w:hint="eastAsia"/>
          <w:b/>
          <w:i w:val="0"/>
          <w:iCs w:val="0"/>
          <w:color w:val="000000"/>
        </w:rPr>
        <w:t>7.5.2 地表水</w:t>
      </w:r>
      <w:r>
        <w:rPr>
          <w:b/>
          <w:i w:val="0"/>
          <w:iCs w:val="0"/>
          <w:color w:val="000000"/>
        </w:rPr>
        <w:t>环境风险预测评价</w:t>
      </w:r>
      <w:bookmarkEnd w:id="256"/>
    </w:p>
    <w:p>
      <w:pPr>
        <w:widowControl/>
        <w:spacing w:line="360" w:lineRule="auto"/>
        <w:ind w:firstLine="480" w:firstLineChars="200"/>
        <w:rPr>
          <w:i w:val="0"/>
          <w:iCs w:val="0"/>
          <w:color w:val="000000"/>
          <w:szCs w:val="20"/>
        </w:rPr>
      </w:pPr>
      <w:r>
        <w:rPr>
          <w:i w:val="0"/>
          <w:iCs w:val="0"/>
          <w:color w:val="000000"/>
          <w:szCs w:val="20"/>
        </w:rPr>
        <w:t>1、事故泄漏排放分析</w:t>
      </w:r>
    </w:p>
    <w:p>
      <w:pPr>
        <w:widowControl/>
        <w:spacing w:line="360" w:lineRule="auto"/>
        <w:ind w:firstLine="480" w:firstLineChars="200"/>
        <w:rPr>
          <w:i w:val="0"/>
          <w:iCs w:val="0"/>
          <w:color w:val="000000"/>
          <w:szCs w:val="20"/>
        </w:rPr>
      </w:pPr>
      <w:r>
        <w:rPr>
          <w:i w:val="0"/>
          <w:iCs w:val="0"/>
          <w:color w:val="000000"/>
          <w:szCs w:val="20"/>
        </w:rPr>
        <w:t>项目生产过程中，储罐破裂会造成液体泄漏。本项目建成运行后，项目场地能做到地坪防腐、防渗处理。储罐区</w:t>
      </w:r>
      <w:r>
        <w:rPr>
          <w:rFonts w:hint="eastAsia"/>
          <w:i w:val="0"/>
          <w:iCs w:val="0"/>
          <w:color w:val="000000"/>
          <w:szCs w:val="20"/>
          <w:lang w:eastAsia="zh-CN"/>
        </w:rPr>
        <w:t>为半地下灌区</w:t>
      </w:r>
      <w:r>
        <w:rPr>
          <w:i w:val="0"/>
          <w:iCs w:val="0"/>
          <w:color w:val="000000"/>
          <w:szCs w:val="20"/>
        </w:rPr>
        <w:t>，当储罐罐体破裂时，泄漏的液体经围堰收集后可进入事故池；事故水排至厂区新建污水站处理达标后排放。</w:t>
      </w:r>
    </w:p>
    <w:p>
      <w:pPr>
        <w:widowControl/>
        <w:spacing w:line="360" w:lineRule="auto"/>
        <w:ind w:firstLine="480" w:firstLineChars="200"/>
        <w:rPr>
          <w:i w:val="0"/>
          <w:iCs w:val="0"/>
          <w:color w:val="000000"/>
          <w:szCs w:val="20"/>
        </w:rPr>
      </w:pPr>
      <w:r>
        <w:rPr>
          <w:i w:val="0"/>
          <w:iCs w:val="0"/>
          <w:color w:val="000000"/>
          <w:szCs w:val="20"/>
        </w:rPr>
        <w:t>2、雨水系统污染排放</w:t>
      </w:r>
    </w:p>
    <w:p>
      <w:pPr>
        <w:widowControl/>
        <w:spacing w:line="360" w:lineRule="auto"/>
        <w:ind w:firstLine="480" w:firstLineChars="200"/>
        <w:rPr>
          <w:i w:val="0"/>
          <w:iCs w:val="0"/>
          <w:color w:val="000000"/>
          <w:szCs w:val="20"/>
        </w:rPr>
      </w:pPr>
      <w:r>
        <w:rPr>
          <w:i w:val="0"/>
          <w:iCs w:val="0"/>
          <w:color w:val="000000"/>
          <w:szCs w:val="20"/>
        </w:rPr>
        <w:t>在事故状态下，由于管理、失误操作等原因，可能会导致泄漏的物料、冲洗污染水和消防污水通过雨水系统从雨水排口进入外部水体，污染地表水体。</w:t>
      </w:r>
    </w:p>
    <w:p>
      <w:pPr>
        <w:widowControl/>
        <w:spacing w:line="360" w:lineRule="auto"/>
        <w:ind w:firstLine="480" w:firstLineChars="200"/>
        <w:rPr>
          <w:i w:val="0"/>
          <w:iCs w:val="0"/>
          <w:color w:val="000000"/>
          <w:szCs w:val="20"/>
        </w:rPr>
      </w:pPr>
      <w:r>
        <w:rPr>
          <w:i w:val="0"/>
          <w:iCs w:val="0"/>
          <w:color w:val="000000"/>
          <w:szCs w:val="20"/>
        </w:rPr>
        <w:t>为防止消防废水等从雨排口直接排出，在排水管网全部设置切断装置，必要时立即切断所有排水管网，严防未经处理的事故废水外排。</w:t>
      </w:r>
    </w:p>
    <w:p>
      <w:pPr>
        <w:widowControl/>
        <w:spacing w:line="360" w:lineRule="auto"/>
        <w:ind w:firstLine="480" w:firstLineChars="200"/>
        <w:rPr>
          <w:i w:val="0"/>
          <w:iCs w:val="0"/>
          <w:color w:val="000000"/>
          <w:szCs w:val="20"/>
        </w:rPr>
      </w:pPr>
      <w:r>
        <w:rPr>
          <w:i w:val="0"/>
          <w:iCs w:val="0"/>
          <w:color w:val="000000"/>
          <w:szCs w:val="20"/>
        </w:rPr>
        <w:t>3、事故污水应急储存能力核算</w:t>
      </w:r>
    </w:p>
    <w:p>
      <w:pPr>
        <w:pStyle w:val="6"/>
        <w:spacing w:line="360" w:lineRule="auto"/>
        <w:ind w:firstLine="480"/>
        <w:rPr>
          <w:i w:val="0"/>
          <w:iCs w:val="0"/>
        </w:rPr>
      </w:pPr>
      <w:r>
        <w:rPr>
          <w:i w:val="0"/>
          <w:iCs w:val="0"/>
        </w:rPr>
        <w:t>本项目厂界附近地表水体为厂区东侧的浑江，距厂界最近距离为460km。企业正常工况下废水均不外排。</w:t>
      </w:r>
      <w:r>
        <w:rPr>
          <w:i w:val="0"/>
          <w:iCs w:val="0"/>
          <w:color w:val="000000"/>
        </w:rPr>
        <w:t>项目产生的食堂废水由油水分离器处理后与生活污水、生产废水经厂内污水管道收集，经过厂内污水处理站</w:t>
      </w:r>
      <w:r>
        <w:rPr>
          <w:rFonts w:hint="eastAsia"/>
          <w:i w:val="0"/>
          <w:iCs w:val="0"/>
          <w:color w:val="000000"/>
        </w:rPr>
        <w:t>处理达标后</w:t>
      </w:r>
      <w:r>
        <w:rPr>
          <w:i w:val="0"/>
          <w:iCs w:val="0"/>
          <w:color w:val="000000"/>
        </w:rPr>
        <w:t>排入污水管网内，进入园区污水处理厂处理后排放。</w:t>
      </w:r>
    </w:p>
    <w:p>
      <w:pPr>
        <w:pStyle w:val="6"/>
        <w:spacing w:line="360" w:lineRule="auto"/>
        <w:ind w:firstLine="480"/>
        <w:rPr>
          <w:i w:val="0"/>
          <w:iCs w:val="0"/>
        </w:rPr>
      </w:pPr>
      <w:r>
        <w:rPr>
          <w:i w:val="0"/>
          <w:iCs w:val="0"/>
        </w:rPr>
        <w:t>故正常情况下企业废水不会直接排放至环境水体。</w:t>
      </w:r>
    </w:p>
    <w:p>
      <w:pPr>
        <w:pStyle w:val="6"/>
        <w:spacing w:line="360" w:lineRule="auto"/>
        <w:ind w:firstLine="480"/>
        <w:rPr>
          <w:i w:val="0"/>
          <w:iCs w:val="0"/>
        </w:rPr>
      </w:pPr>
      <w:r>
        <w:rPr>
          <w:i w:val="0"/>
          <w:iCs w:val="0"/>
        </w:rPr>
        <w:t>根据《建筑设计防火规范》、《石油化工企业设计防火规范》、《化工建设项目环境保护设施规范》有关规定，本项目的一次消防水约为50m</w:t>
      </w:r>
      <w:r>
        <w:rPr>
          <w:i w:val="0"/>
          <w:iCs w:val="0"/>
          <w:vertAlign w:val="superscript"/>
        </w:rPr>
        <w:t>3</w:t>
      </w:r>
      <w:r>
        <w:rPr>
          <w:i w:val="0"/>
          <w:iCs w:val="0"/>
        </w:rPr>
        <w:t>/h。</w:t>
      </w:r>
    </w:p>
    <w:p>
      <w:pPr>
        <w:pStyle w:val="6"/>
        <w:spacing w:line="360" w:lineRule="auto"/>
        <w:ind w:firstLine="480"/>
        <w:rPr>
          <w:i w:val="0"/>
          <w:iCs w:val="0"/>
        </w:rPr>
      </w:pPr>
      <w:r>
        <w:rPr>
          <w:i w:val="0"/>
          <w:iCs w:val="0"/>
        </w:rPr>
        <w:t>V总=（V</w:t>
      </w:r>
      <w:r>
        <w:rPr>
          <w:i w:val="0"/>
          <w:iCs w:val="0"/>
          <w:vertAlign w:val="subscript"/>
        </w:rPr>
        <w:t>1</w:t>
      </w:r>
      <w:r>
        <w:rPr>
          <w:i w:val="0"/>
          <w:iCs w:val="0"/>
        </w:rPr>
        <w:t>+ V</w:t>
      </w:r>
      <w:r>
        <w:rPr>
          <w:i w:val="0"/>
          <w:iCs w:val="0"/>
          <w:vertAlign w:val="subscript"/>
        </w:rPr>
        <w:t>2</w:t>
      </w:r>
      <w:r>
        <w:rPr>
          <w:i w:val="0"/>
          <w:iCs w:val="0"/>
        </w:rPr>
        <w:t>- V</w:t>
      </w:r>
      <w:r>
        <w:rPr>
          <w:i w:val="0"/>
          <w:iCs w:val="0"/>
          <w:vertAlign w:val="subscript"/>
        </w:rPr>
        <w:t>3</w:t>
      </w:r>
      <w:r>
        <w:rPr>
          <w:i w:val="0"/>
          <w:iCs w:val="0"/>
        </w:rPr>
        <w:t>）</w:t>
      </w:r>
      <w:r>
        <w:rPr>
          <w:i w:val="0"/>
          <w:iCs w:val="0"/>
          <w:vertAlign w:val="subscript"/>
        </w:rPr>
        <w:t>max</w:t>
      </w:r>
      <w:r>
        <w:rPr>
          <w:i w:val="0"/>
          <w:iCs w:val="0"/>
        </w:rPr>
        <w:t xml:space="preserve"> + V</w:t>
      </w:r>
      <w:r>
        <w:rPr>
          <w:i w:val="0"/>
          <w:iCs w:val="0"/>
          <w:vertAlign w:val="subscript"/>
        </w:rPr>
        <w:t>4</w:t>
      </w:r>
      <w:r>
        <w:rPr>
          <w:i w:val="0"/>
          <w:iCs w:val="0"/>
        </w:rPr>
        <w:t>+ V</w:t>
      </w:r>
      <w:r>
        <w:rPr>
          <w:i w:val="0"/>
          <w:iCs w:val="0"/>
          <w:vertAlign w:val="subscript"/>
        </w:rPr>
        <w:t>5</w:t>
      </w:r>
    </w:p>
    <w:p>
      <w:pPr>
        <w:pStyle w:val="6"/>
        <w:spacing w:line="360" w:lineRule="auto"/>
        <w:ind w:firstLine="480"/>
        <w:rPr>
          <w:i w:val="0"/>
          <w:iCs w:val="0"/>
        </w:rPr>
      </w:pPr>
      <w:r>
        <w:rPr>
          <w:i w:val="0"/>
          <w:iCs w:val="0"/>
        </w:rPr>
        <w:t>注：（V</w:t>
      </w:r>
      <w:r>
        <w:rPr>
          <w:i w:val="0"/>
          <w:iCs w:val="0"/>
          <w:vertAlign w:val="subscript"/>
        </w:rPr>
        <w:t>1</w:t>
      </w:r>
      <w:r>
        <w:rPr>
          <w:i w:val="0"/>
          <w:iCs w:val="0"/>
        </w:rPr>
        <w:t>+ V</w:t>
      </w:r>
      <w:r>
        <w:rPr>
          <w:i w:val="0"/>
          <w:iCs w:val="0"/>
          <w:vertAlign w:val="subscript"/>
        </w:rPr>
        <w:t>2</w:t>
      </w:r>
      <w:r>
        <w:rPr>
          <w:i w:val="0"/>
          <w:iCs w:val="0"/>
        </w:rPr>
        <w:t>- V</w:t>
      </w:r>
      <w:r>
        <w:rPr>
          <w:i w:val="0"/>
          <w:iCs w:val="0"/>
          <w:vertAlign w:val="subscript"/>
        </w:rPr>
        <w:t>3</w:t>
      </w:r>
      <w:r>
        <w:rPr>
          <w:i w:val="0"/>
          <w:iCs w:val="0"/>
        </w:rPr>
        <w:t>）</w:t>
      </w:r>
      <w:r>
        <w:rPr>
          <w:i w:val="0"/>
          <w:iCs w:val="0"/>
          <w:vertAlign w:val="subscript"/>
        </w:rPr>
        <w:t>max</w:t>
      </w:r>
      <w:r>
        <w:rPr>
          <w:i w:val="0"/>
          <w:iCs w:val="0"/>
        </w:rPr>
        <w:t>是指对收集系统范围内不同罐组或装置分别计算V</w:t>
      </w:r>
      <w:r>
        <w:rPr>
          <w:i w:val="0"/>
          <w:iCs w:val="0"/>
          <w:vertAlign w:val="subscript"/>
        </w:rPr>
        <w:t>1</w:t>
      </w:r>
      <w:r>
        <w:rPr>
          <w:i w:val="0"/>
          <w:iCs w:val="0"/>
        </w:rPr>
        <w:t>+ V</w:t>
      </w:r>
      <w:r>
        <w:rPr>
          <w:i w:val="0"/>
          <w:iCs w:val="0"/>
          <w:vertAlign w:val="subscript"/>
        </w:rPr>
        <w:t>2</w:t>
      </w:r>
      <w:r>
        <w:rPr>
          <w:i w:val="0"/>
          <w:iCs w:val="0"/>
        </w:rPr>
        <w:t>- V</w:t>
      </w:r>
      <w:r>
        <w:rPr>
          <w:i w:val="0"/>
          <w:iCs w:val="0"/>
          <w:vertAlign w:val="subscript"/>
        </w:rPr>
        <w:t>3</w:t>
      </w:r>
      <w:r>
        <w:rPr>
          <w:i w:val="0"/>
          <w:iCs w:val="0"/>
        </w:rPr>
        <w:t>，取其中最大值；</w:t>
      </w:r>
    </w:p>
    <w:p>
      <w:pPr>
        <w:pStyle w:val="6"/>
        <w:spacing w:line="360" w:lineRule="auto"/>
        <w:ind w:firstLine="480"/>
        <w:rPr>
          <w:i w:val="0"/>
          <w:iCs w:val="0"/>
        </w:rPr>
      </w:pPr>
      <w:r>
        <w:rPr>
          <w:i w:val="0"/>
          <w:iCs w:val="0"/>
        </w:rPr>
        <w:t>V</w:t>
      </w:r>
      <w:r>
        <w:rPr>
          <w:i w:val="0"/>
          <w:iCs w:val="0"/>
          <w:vertAlign w:val="subscript"/>
        </w:rPr>
        <w:t>1</w:t>
      </w:r>
      <w:r>
        <w:rPr>
          <w:i w:val="0"/>
          <w:iCs w:val="0"/>
        </w:rPr>
        <w:t>—收集系统范围内发生事故的一个罐组或一套装置的物料量；</w:t>
      </w:r>
    </w:p>
    <w:p>
      <w:pPr>
        <w:pStyle w:val="6"/>
        <w:spacing w:line="360" w:lineRule="auto"/>
        <w:ind w:firstLine="480"/>
        <w:rPr>
          <w:i w:val="0"/>
          <w:iCs w:val="0"/>
        </w:rPr>
      </w:pPr>
      <w:r>
        <w:rPr>
          <w:i w:val="0"/>
          <w:iCs w:val="0"/>
        </w:rPr>
        <w:t>注：储存相同物料的罐组按一个最大储罐计，装置物料量按存留最大物料量的一台反应器或中间储罐计；</w:t>
      </w:r>
      <w:r>
        <w:rPr>
          <w:rFonts w:hint="eastAsia"/>
          <w:i w:val="0"/>
          <w:iCs w:val="0"/>
        </w:rPr>
        <w:t>生产过程中罐组的物料量为</w:t>
      </w:r>
      <w:r>
        <w:rPr>
          <w:rFonts w:hint="eastAsia"/>
          <w:i w:val="0"/>
          <w:iCs w:val="0"/>
          <w:lang w:val="en-US" w:eastAsia="zh-CN"/>
        </w:rPr>
        <w:t>17.2</w:t>
      </w:r>
      <w:r>
        <w:rPr>
          <w:i w:val="0"/>
          <w:iCs w:val="0"/>
        </w:rPr>
        <w:t>m</w:t>
      </w:r>
      <w:r>
        <w:rPr>
          <w:i w:val="0"/>
          <w:iCs w:val="0"/>
          <w:vertAlign w:val="superscript"/>
        </w:rPr>
        <w:t>3</w:t>
      </w:r>
      <w:r>
        <w:rPr>
          <w:i w:val="0"/>
          <w:iCs w:val="0"/>
        </w:rPr>
        <w:t xml:space="preserve">； </w:t>
      </w:r>
    </w:p>
    <w:p>
      <w:pPr>
        <w:pStyle w:val="6"/>
        <w:spacing w:line="360" w:lineRule="auto"/>
        <w:ind w:firstLine="480"/>
        <w:rPr>
          <w:i w:val="0"/>
          <w:iCs w:val="0"/>
        </w:rPr>
      </w:pPr>
      <w:r>
        <w:rPr>
          <w:i w:val="0"/>
          <w:iCs w:val="0"/>
        </w:rPr>
        <w:t>V</w:t>
      </w:r>
      <w:r>
        <w:rPr>
          <w:i w:val="0"/>
          <w:iCs w:val="0"/>
          <w:vertAlign w:val="subscript"/>
        </w:rPr>
        <w:t>2</w:t>
      </w:r>
      <w:r>
        <w:rPr>
          <w:i w:val="0"/>
          <w:iCs w:val="0"/>
        </w:rPr>
        <w:t>—发生事故的储罐或装置的消防水量，m</w:t>
      </w:r>
      <w:r>
        <w:rPr>
          <w:i w:val="0"/>
          <w:iCs w:val="0"/>
          <w:vertAlign w:val="superscript"/>
        </w:rPr>
        <w:t>3</w:t>
      </w:r>
      <w:r>
        <w:rPr>
          <w:i w:val="0"/>
          <w:iCs w:val="0"/>
        </w:rPr>
        <w:t>； 根据消防水量设计，消防废水量按照</w:t>
      </w:r>
      <w:r>
        <w:rPr>
          <w:rFonts w:hint="eastAsia"/>
          <w:i w:val="0"/>
          <w:iCs w:val="0"/>
        </w:rPr>
        <w:t>1</w:t>
      </w:r>
      <w:r>
        <w:rPr>
          <w:i w:val="0"/>
          <w:iCs w:val="0"/>
        </w:rPr>
        <w:t>小时考虑；</w:t>
      </w:r>
    </w:p>
    <w:p>
      <w:pPr>
        <w:pStyle w:val="6"/>
        <w:spacing w:line="360" w:lineRule="auto"/>
        <w:ind w:firstLine="480"/>
        <w:rPr>
          <w:i w:val="0"/>
          <w:iCs w:val="0"/>
        </w:rPr>
      </w:pPr>
      <w:r>
        <w:rPr>
          <w:i w:val="0"/>
          <w:iCs w:val="0"/>
        </w:rPr>
        <w:t>V</w:t>
      </w:r>
      <w:r>
        <w:rPr>
          <w:i w:val="0"/>
          <w:iCs w:val="0"/>
          <w:vertAlign w:val="subscript"/>
        </w:rPr>
        <w:t>2</w:t>
      </w:r>
      <w:r>
        <w:rPr>
          <w:i w:val="0"/>
          <w:iCs w:val="0"/>
        </w:rPr>
        <w:t xml:space="preserve">=∑Q消t消 </w:t>
      </w:r>
    </w:p>
    <w:p>
      <w:pPr>
        <w:pStyle w:val="6"/>
        <w:spacing w:line="360" w:lineRule="auto"/>
        <w:ind w:firstLine="480"/>
        <w:rPr>
          <w:i w:val="0"/>
          <w:iCs w:val="0"/>
        </w:rPr>
      </w:pPr>
      <w:r>
        <w:rPr>
          <w:i w:val="0"/>
          <w:iCs w:val="0"/>
        </w:rPr>
        <w:t>Q消—发生事故的储罐或装置的同时使用的消防设施给水流量，m</w:t>
      </w:r>
      <w:r>
        <w:rPr>
          <w:i w:val="0"/>
          <w:iCs w:val="0"/>
          <w:vertAlign w:val="superscript"/>
        </w:rPr>
        <w:t>3</w:t>
      </w:r>
      <w:r>
        <w:rPr>
          <w:i w:val="0"/>
          <w:iCs w:val="0"/>
        </w:rPr>
        <w:t xml:space="preserve">/h； </w:t>
      </w:r>
    </w:p>
    <w:p>
      <w:pPr>
        <w:pStyle w:val="6"/>
        <w:spacing w:line="360" w:lineRule="auto"/>
        <w:ind w:firstLine="480"/>
        <w:rPr>
          <w:i w:val="0"/>
          <w:iCs w:val="0"/>
        </w:rPr>
      </w:pPr>
      <w:r>
        <w:rPr>
          <w:i w:val="0"/>
          <w:iCs w:val="0"/>
        </w:rPr>
        <w:t xml:space="preserve">t消—消防设施对应的设计消防历时，h； </w:t>
      </w:r>
    </w:p>
    <w:p>
      <w:pPr>
        <w:pStyle w:val="6"/>
        <w:spacing w:line="360" w:lineRule="auto"/>
        <w:ind w:firstLine="480"/>
        <w:rPr>
          <w:i w:val="0"/>
          <w:iCs w:val="0"/>
        </w:rPr>
      </w:pPr>
      <w:r>
        <w:rPr>
          <w:i w:val="0"/>
          <w:iCs w:val="0"/>
        </w:rPr>
        <w:t>V</w:t>
      </w:r>
      <w:r>
        <w:rPr>
          <w:i w:val="0"/>
          <w:iCs w:val="0"/>
          <w:vertAlign w:val="subscript"/>
        </w:rPr>
        <w:t>3</w:t>
      </w:r>
      <w:r>
        <w:rPr>
          <w:i w:val="0"/>
          <w:iCs w:val="0"/>
        </w:rPr>
        <w:t>—发生事故时可以转输到其他储存或处理设施的物料量，m</w:t>
      </w:r>
      <w:r>
        <w:rPr>
          <w:i w:val="0"/>
          <w:iCs w:val="0"/>
          <w:vertAlign w:val="superscript"/>
        </w:rPr>
        <w:t>3</w:t>
      </w:r>
      <w:r>
        <w:rPr>
          <w:i w:val="0"/>
          <w:iCs w:val="0"/>
        </w:rPr>
        <w:t xml:space="preserve">； </w:t>
      </w:r>
    </w:p>
    <w:p>
      <w:pPr>
        <w:pStyle w:val="6"/>
        <w:spacing w:line="360" w:lineRule="auto"/>
        <w:ind w:firstLine="480"/>
        <w:rPr>
          <w:i w:val="0"/>
          <w:iCs w:val="0"/>
        </w:rPr>
      </w:pPr>
      <w:r>
        <w:rPr>
          <w:i w:val="0"/>
          <w:iCs w:val="0"/>
        </w:rPr>
        <w:t>罐区容积合计为</w:t>
      </w:r>
      <w:r>
        <w:rPr>
          <w:rFonts w:hint="eastAsia"/>
          <w:i w:val="0"/>
          <w:iCs w:val="0"/>
          <w:lang w:val="en-US" w:eastAsia="zh-CN"/>
        </w:rPr>
        <w:t>313.71</w:t>
      </w:r>
      <w:r>
        <w:rPr>
          <w:i w:val="0"/>
          <w:iCs w:val="0"/>
        </w:rPr>
        <w:t>m</w:t>
      </w:r>
      <w:r>
        <w:rPr>
          <w:i w:val="0"/>
          <w:iCs w:val="0"/>
          <w:vertAlign w:val="superscript"/>
        </w:rPr>
        <w:t>3</w:t>
      </w:r>
      <w:r>
        <w:rPr>
          <w:i w:val="0"/>
          <w:iCs w:val="0"/>
        </w:rPr>
        <w:t>，扣除储罐占有的体积，现有厂区实际可用围堰容积为</w:t>
      </w:r>
      <w:r>
        <w:rPr>
          <w:rFonts w:hint="eastAsia"/>
          <w:i w:val="0"/>
          <w:iCs w:val="0"/>
          <w:lang w:val="en-US" w:eastAsia="zh-CN"/>
        </w:rPr>
        <w:t>283.41</w:t>
      </w:r>
      <w:r>
        <w:rPr>
          <w:i w:val="0"/>
          <w:iCs w:val="0"/>
        </w:rPr>
        <w:t>m</w:t>
      </w:r>
      <w:r>
        <w:rPr>
          <w:i w:val="0"/>
          <w:iCs w:val="0"/>
          <w:vertAlign w:val="superscript"/>
        </w:rPr>
        <w:t>3</w:t>
      </w:r>
      <w:r>
        <w:rPr>
          <w:i w:val="0"/>
          <w:iCs w:val="0"/>
        </w:rPr>
        <w:t>；</w:t>
      </w:r>
    </w:p>
    <w:p>
      <w:pPr>
        <w:pStyle w:val="6"/>
        <w:spacing w:line="360" w:lineRule="auto"/>
        <w:ind w:firstLine="480"/>
        <w:rPr>
          <w:i w:val="0"/>
          <w:iCs w:val="0"/>
        </w:rPr>
      </w:pPr>
      <w:r>
        <w:rPr>
          <w:i w:val="0"/>
          <w:iCs w:val="0"/>
        </w:rPr>
        <w:t>故（V</w:t>
      </w:r>
      <w:r>
        <w:rPr>
          <w:i w:val="0"/>
          <w:iCs w:val="0"/>
          <w:vertAlign w:val="subscript"/>
        </w:rPr>
        <w:t>1</w:t>
      </w:r>
      <w:r>
        <w:rPr>
          <w:i w:val="0"/>
          <w:iCs w:val="0"/>
        </w:rPr>
        <w:t>+V</w:t>
      </w:r>
      <w:r>
        <w:rPr>
          <w:i w:val="0"/>
          <w:iCs w:val="0"/>
          <w:vertAlign w:val="subscript"/>
        </w:rPr>
        <w:t>2</w:t>
      </w:r>
      <w:r>
        <w:rPr>
          <w:i w:val="0"/>
          <w:iCs w:val="0"/>
        </w:rPr>
        <w:t>-V</w:t>
      </w:r>
      <w:r>
        <w:rPr>
          <w:i w:val="0"/>
          <w:iCs w:val="0"/>
          <w:vertAlign w:val="subscript"/>
        </w:rPr>
        <w:t>3</w:t>
      </w:r>
      <w:r>
        <w:rPr>
          <w:i w:val="0"/>
          <w:iCs w:val="0"/>
        </w:rPr>
        <w:t>）</w:t>
      </w:r>
      <w:r>
        <w:rPr>
          <w:i w:val="0"/>
          <w:iCs w:val="0"/>
          <w:vertAlign w:val="subscript"/>
        </w:rPr>
        <w:t>max</w:t>
      </w:r>
      <w:r>
        <w:rPr>
          <w:i w:val="0"/>
          <w:iCs w:val="0"/>
        </w:rPr>
        <w:t>=</w:t>
      </w:r>
      <w:r>
        <w:rPr>
          <w:rFonts w:hint="eastAsia"/>
          <w:i w:val="0"/>
          <w:iCs w:val="0"/>
        </w:rPr>
        <w:t>20</w:t>
      </w:r>
      <w:r>
        <w:rPr>
          <w:i w:val="0"/>
          <w:iCs w:val="0"/>
        </w:rPr>
        <w:t>+</w:t>
      </w:r>
      <w:r>
        <w:rPr>
          <w:rFonts w:hint="eastAsia"/>
          <w:i w:val="0"/>
          <w:iCs w:val="0"/>
        </w:rPr>
        <w:t>50</w:t>
      </w:r>
      <w:r>
        <w:rPr>
          <w:i w:val="0"/>
          <w:iCs w:val="0"/>
        </w:rPr>
        <w:t>-</w:t>
      </w:r>
      <w:r>
        <w:rPr>
          <w:rFonts w:hint="eastAsia"/>
          <w:i w:val="0"/>
          <w:iCs w:val="0"/>
        </w:rPr>
        <w:t>5</w:t>
      </w:r>
      <w:r>
        <w:rPr>
          <w:i w:val="0"/>
          <w:iCs w:val="0"/>
        </w:rPr>
        <w:t>=</w:t>
      </w:r>
      <w:r>
        <w:rPr>
          <w:rFonts w:hint="eastAsia"/>
          <w:i w:val="0"/>
          <w:iCs w:val="0"/>
        </w:rPr>
        <w:t>65</w:t>
      </w:r>
      <w:r>
        <w:rPr>
          <w:i w:val="0"/>
          <w:iCs w:val="0"/>
        </w:rPr>
        <w:t>m</w:t>
      </w:r>
      <w:r>
        <w:rPr>
          <w:i w:val="0"/>
          <w:iCs w:val="0"/>
          <w:vertAlign w:val="superscript"/>
        </w:rPr>
        <w:t>3</w:t>
      </w:r>
      <w:r>
        <w:rPr>
          <w:i w:val="0"/>
          <w:iCs w:val="0"/>
        </w:rPr>
        <w:t>；</w:t>
      </w:r>
    </w:p>
    <w:p>
      <w:pPr>
        <w:pStyle w:val="6"/>
        <w:spacing w:line="360" w:lineRule="auto"/>
        <w:ind w:firstLine="480"/>
        <w:rPr>
          <w:i w:val="0"/>
          <w:iCs w:val="0"/>
        </w:rPr>
      </w:pPr>
      <w:r>
        <w:rPr>
          <w:i w:val="0"/>
          <w:iCs w:val="0"/>
        </w:rPr>
        <w:t>V</w:t>
      </w:r>
      <w:r>
        <w:rPr>
          <w:i w:val="0"/>
          <w:iCs w:val="0"/>
          <w:vertAlign w:val="subscript"/>
        </w:rPr>
        <w:t>4</w:t>
      </w:r>
      <w:r>
        <w:rPr>
          <w:i w:val="0"/>
          <w:iCs w:val="0"/>
        </w:rPr>
        <w:t>—发生事故时仍必须进入该收集系统的生产废水量，m</w:t>
      </w:r>
      <w:r>
        <w:rPr>
          <w:i w:val="0"/>
          <w:iCs w:val="0"/>
          <w:vertAlign w:val="superscript"/>
        </w:rPr>
        <w:t>3</w:t>
      </w:r>
      <w:r>
        <w:rPr>
          <w:i w:val="0"/>
          <w:iCs w:val="0"/>
        </w:rPr>
        <w:t xml:space="preserve">； </w:t>
      </w:r>
    </w:p>
    <w:p>
      <w:pPr>
        <w:pStyle w:val="6"/>
        <w:spacing w:line="360" w:lineRule="auto"/>
        <w:ind w:firstLine="480"/>
        <w:rPr>
          <w:i w:val="0"/>
          <w:iCs w:val="0"/>
        </w:rPr>
      </w:pPr>
      <w:r>
        <w:rPr>
          <w:i w:val="0"/>
          <w:iCs w:val="0"/>
        </w:rPr>
        <w:t>V</w:t>
      </w:r>
      <w:r>
        <w:rPr>
          <w:i w:val="0"/>
          <w:iCs w:val="0"/>
          <w:vertAlign w:val="subscript"/>
        </w:rPr>
        <w:t>5</w:t>
      </w:r>
      <w:r>
        <w:rPr>
          <w:i w:val="0"/>
          <w:iCs w:val="0"/>
        </w:rPr>
        <w:t>—发生事故时可能进入该收集系统的降雨量，m</w:t>
      </w:r>
      <w:r>
        <w:rPr>
          <w:i w:val="0"/>
          <w:iCs w:val="0"/>
          <w:vertAlign w:val="superscript"/>
        </w:rPr>
        <w:t>3</w:t>
      </w:r>
      <w:r>
        <w:rPr>
          <w:i w:val="0"/>
          <w:iCs w:val="0"/>
        </w:rPr>
        <w:t xml:space="preserve">； </w:t>
      </w:r>
      <w:r>
        <w:rPr>
          <w:rFonts w:hint="eastAsia"/>
          <w:i w:val="0"/>
          <w:iCs w:val="0"/>
        </w:rPr>
        <w:t>项目生产车间均为室内，V5=0。</w:t>
      </w:r>
    </w:p>
    <w:p>
      <w:pPr>
        <w:pStyle w:val="6"/>
        <w:spacing w:line="360" w:lineRule="auto"/>
        <w:ind w:firstLine="480"/>
        <w:rPr>
          <w:i w:val="0"/>
          <w:iCs w:val="0"/>
        </w:rPr>
      </w:pPr>
      <w:r>
        <w:rPr>
          <w:i w:val="0"/>
          <w:iCs w:val="0"/>
        </w:rPr>
        <w:t>根据计算，本项目</w:t>
      </w:r>
      <w:r>
        <w:rPr>
          <w:rFonts w:hint="eastAsia"/>
          <w:i w:val="0"/>
          <w:iCs w:val="0"/>
          <w:lang w:eastAsia="zh-CN"/>
        </w:rPr>
        <w:t>罐区储罐破裂产生的事故废水可全部收集在罐区内，不会</w:t>
      </w:r>
      <w:r>
        <w:rPr>
          <w:i w:val="0"/>
          <w:iCs w:val="0"/>
        </w:rPr>
        <w:t>导致事故状态下废水外排。</w:t>
      </w:r>
    </w:p>
    <w:p>
      <w:pPr>
        <w:widowControl/>
        <w:spacing w:line="360" w:lineRule="auto"/>
        <w:ind w:firstLine="480" w:firstLineChars="200"/>
        <w:rPr>
          <w:i w:val="0"/>
          <w:iCs w:val="0"/>
          <w:color w:val="000000"/>
          <w:szCs w:val="20"/>
        </w:rPr>
      </w:pPr>
      <w:r>
        <w:rPr>
          <w:i w:val="0"/>
          <w:iCs w:val="0"/>
          <w:color w:val="000000"/>
          <w:szCs w:val="20"/>
        </w:rPr>
        <w:t>4、地表水主要防范措施</w:t>
      </w:r>
    </w:p>
    <w:p>
      <w:pPr>
        <w:widowControl/>
        <w:spacing w:line="360" w:lineRule="auto"/>
        <w:ind w:firstLine="480" w:firstLineChars="200"/>
        <w:rPr>
          <w:i w:val="0"/>
          <w:iCs w:val="0"/>
          <w:color w:val="000000"/>
          <w:szCs w:val="20"/>
        </w:rPr>
      </w:pPr>
      <w:r>
        <w:rPr>
          <w:i w:val="0"/>
          <w:iCs w:val="0"/>
          <w:color w:val="000000"/>
          <w:szCs w:val="20"/>
        </w:rPr>
        <w:t>拟建项目可能泄漏的危险液态物料主要为</w:t>
      </w:r>
      <w:r>
        <w:rPr>
          <w:rFonts w:hint="eastAsia"/>
          <w:i w:val="0"/>
          <w:iCs w:val="0"/>
          <w:color w:val="000000"/>
          <w:szCs w:val="20"/>
          <w:lang w:eastAsia="zh-CN"/>
        </w:rPr>
        <w:t>氨水</w:t>
      </w:r>
      <w:r>
        <w:rPr>
          <w:i w:val="0"/>
          <w:iCs w:val="0"/>
          <w:color w:val="000000"/>
          <w:szCs w:val="20"/>
        </w:rPr>
        <w:t>。一旦通过废水排放系统进入厂区周边的地表水体中，将会产生严重的地表水体污染事故，影响周边水域的水体功能。因此，拟建项目实施中应针对事故情况下的泄漏液体物料及火灾扑救中的消防废水等危险物质采取控制、收集及储存措施，切断上述危险物质进入外部水体的途径，从根本上消除了事故情况下对周边水域造成污染的可能。</w:t>
      </w:r>
    </w:p>
    <w:p>
      <w:pPr>
        <w:widowControl/>
        <w:spacing w:line="360" w:lineRule="auto"/>
        <w:ind w:firstLine="480" w:firstLineChars="200"/>
        <w:rPr>
          <w:i w:val="0"/>
          <w:iCs w:val="0"/>
          <w:color w:val="000000"/>
          <w:szCs w:val="20"/>
        </w:rPr>
      </w:pPr>
      <w:r>
        <w:rPr>
          <w:i w:val="0"/>
          <w:iCs w:val="0"/>
          <w:color w:val="000000"/>
          <w:szCs w:val="20"/>
        </w:rPr>
        <w:t>本项目拟采取的主要防范措施如下：</w:t>
      </w:r>
    </w:p>
    <w:p>
      <w:pPr>
        <w:widowControl/>
        <w:spacing w:line="360" w:lineRule="auto"/>
        <w:ind w:firstLine="480" w:firstLineChars="200"/>
        <w:rPr>
          <w:i w:val="0"/>
          <w:iCs w:val="0"/>
          <w:color w:val="000000"/>
          <w:szCs w:val="20"/>
        </w:rPr>
      </w:pPr>
      <w:r>
        <w:rPr>
          <w:i w:val="0"/>
          <w:iCs w:val="0"/>
          <w:color w:val="000000"/>
          <w:szCs w:val="20"/>
        </w:rPr>
        <w:t>（1）装置和罐区按规范设围堰及防火堤，对事故情况泄漏的物料及消防废水收集控制；</w:t>
      </w:r>
    </w:p>
    <w:p>
      <w:pPr>
        <w:widowControl/>
        <w:spacing w:line="360" w:lineRule="auto"/>
        <w:ind w:firstLine="480" w:firstLineChars="200"/>
        <w:rPr>
          <w:i w:val="0"/>
          <w:iCs w:val="0"/>
          <w:color w:val="000000"/>
          <w:szCs w:val="20"/>
        </w:rPr>
      </w:pPr>
      <w:r>
        <w:rPr>
          <w:i w:val="0"/>
          <w:iCs w:val="0"/>
          <w:color w:val="000000"/>
          <w:szCs w:val="20"/>
        </w:rPr>
        <w:t>（2）装置和罐区均分别设置污水、雨水排放的切换闸门，正常及事故情况下针对不同物质实施分流排放控制。</w:t>
      </w:r>
    </w:p>
    <w:p>
      <w:pPr>
        <w:widowControl/>
        <w:spacing w:line="360" w:lineRule="auto"/>
        <w:ind w:firstLine="480" w:firstLineChars="200"/>
        <w:jc w:val="left"/>
        <w:rPr>
          <w:i w:val="0"/>
          <w:iCs w:val="0"/>
          <w:color w:val="000000"/>
          <w:szCs w:val="20"/>
        </w:rPr>
      </w:pPr>
      <w:r>
        <w:rPr>
          <w:i w:val="0"/>
          <w:iCs w:val="0"/>
          <w:color w:val="000000"/>
          <w:kern w:val="0"/>
          <w:lang w:bidi="ar"/>
        </w:rPr>
        <w:t>（3）各装置围堰内设置地漏，在污水系统管道上设有控制闸门。正常情况下，装置检修、维护、冲洗等产生的污水经收集后，排入污水系统。装置发生液体物料泄漏的情况下，及时关闭污水排放阀门，对泄漏物料进行收集。</w:t>
      </w:r>
    </w:p>
    <w:p>
      <w:pPr>
        <w:widowControl/>
        <w:spacing w:line="360" w:lineRule="auto"/>
        <w:ind w:firstLine="480" w:firstLineChars="200"/>
        <w:jc w:val="left"/>
        <w:rPr>
          <w:i w:val="0"/>
          <w:iCs w:val="0"/>
          <w:color w:val="000000"/>
          <w:szCs w:val="20"/>
        </w:rPr>
      </w:pPr>
      <w:r>
        <w:rPr>
          <w:i w:val="0"/>
          <w:iCs w:val="0"/>
          <w:color w:val="000000"/>
          <w:kern w:val="0"/>
          <w:lang w:bidi="ar"/>
        </w:rPr>
        <w:t>（4）装置雨水排放</w:t>
      </w:r>
      <w:r>
        <w:rPr>
          <w:rFonts w:hint="eastAsia" w:cs="宋体"/>
          <w:i w:val="0"/>
          <w:iCs w:val="0"/>
          <w:color w:val="000000"/>
          <w:kern w:val="0"/>
          <w:lang w:bidi="ar"/>
        </w:rPr>
        <w:t>系统及明沟设有到污水系统的管道，其上设有闸板或阀门隔绝，平时生产废水走明沟通过阀门引流到污水管道。物料泄漏情况下，首先切断生产废水或明沟闸阀，对泄漏物料进行收集，必要时引流至污水系统。消防事故情况下，打开废水阀门，通过污水及边沟水系统收集消防废水。</w:t>
      </w:r>
    </w:p>
    <w:p>
      <w:pPr>
        <w:widowControl/>
        <w:spacing w:line="360" w:lineRule="auto"/>
        <w:ind w:firstLine="480" w:firstLineChars="200"/>
        <w:jc w:val="left"/>
        <w:rPr>
          <w:i w:val="0"/>
          <w:iCs w:val="0"/>
          <w:color w:val="000000"/>
          <w:kern w:val="0"/>
          <w:lang w:bidi="ar"/>
        </w:rPr>
      </w:pPr>
      <w:r>
        <w:rPr>
          <w:rFonts w:hint="eastAsia"/>
          <w:i w:val="0"/>
          <w:iCs w:val="0"/>
          <w:color w:val="000000"/>
          <w:kern w:val="0"/>
          <w:lang w:bidi="ar"/>
        </w:rPr>
        <w:t>（5）装置物料泄漏情况下，用临时防爆泵将泄漏、冒跑的物料收集至槽罐车及油桶中内，防止二次污染。</w:t>
      </w:r>
    </w:p>
    <w:p>
      <w:pPr>
        <w:widowControl/>
        <w:spacing w:line="360" w:lineRule="auto"/>
        <w:ind w:firstLine="480" w:firstLineChars="200"/>
        <w:jc w:val="left"/>
        <w:rPr>
          <w:i w:val="0"/>
          <w:iCs w:val="0"/>
          <w:color w:val="000000"/>
          <w:szCs w:val="20"/>
        </w:rPr>
      </w:pPr>
      <w:r>
        <w:rPr>
          <w:rFonts w:hint="eastAsia"/>
          <w:i w:val="0"/>
          <w:iCs w:val="0"/>
          <w:color w:val="000000"/>
          <w:kern w:val="0"/>
          <w:lang w:bidi="ar"/>
        </w:rPr>
        <w:t>为了防范和控制发</w:t>
      </w:r>
      <w:r>
        <w:rPr>
          <w:rFonts w:hint="eastAsia" w:cs="宋体"/>
          <w:i w:val="0"/>
          <w:iCs w:val="0"/>
          <w:color w:val="000000"/>
          <w:kern w:val="0"/>
          <w:lang w:bidi="ar"/>
        </w:rPr>
        <w:t>生事故或事故处理过程中产生的物料泄漏和消防污水对周边水体环境的污染和危害，降低环境风险，本公司对拟建项目事故废水进行三级防控体系管理。</w:t>
      </w:r>
    </w:p>
    <w:p>
      <w:pPr>
        <w:widowControl/>
        <w:spacing w:line="360" w:lineRule="auto"/>
        <w:ind w:firstLine="480" w:firstLineChars="200"/>
        <w:jc w:val="left"/>
        <w:rPr>
          <w:i w:val="0"/>
          <w:iCs w:val="0"/>
          <w:color w:val="000000"/>
          <w:szCs w:val="20"/>
        </w:rPr>
      </w:pPr>
      <w:r>
        <w:rPr>
          <w:i w:val="0"/>
          <w:iCs w:val="0"/>
          <w:color w:val="000000"/>
          <w:kern w:val="0"/>
          <w:lang w:bidi="ar"/>
        </w:rPr>
        <w:t>5、三级防控体系</w:t>
      </w:r>
    </w:p>
    <w:p>
      <w:pPr>
        <w:widowControl/>
        <w:spacing w:line="360" w:lineRule="auto"/>
        <w:ind w:firstLine="480" w:firstLineChars="200"/>
        <w:jc w:val="left"/>
        <w:rPr>
          <w:i w:val="0"/>
          <w:iCs w:val="0"/>
          <w:color w:val="000000"/>
          <w:szCs w:val="20"/>
        </w:rPr>
      </w:pPr>
      <w:r>
        <w:rPr>
          <w:i w:val="0"/>
          <w:iCs w:val="0"/>
          <w:color w:val="000000"/>
          <w:kern w:val="0"/>
          <w:lang w:bidi="ar"/>
        </w:rPr>
        <w:t>（1）一级防控措施</w:t>
      </w:r>
    </w:p>
    <w:p>
      <w:pPr>
        <w:widowControl/>
        <w:spacing w:line="360" w:lineRule="auto"/>
        <w:ind w:firstLine="480" w:firstLineChars="200"/>
        <w:jc w:val="left"/>
        <w:rPr>
          <w:i w:val="0"/>
          <w:iCs w:val="0"/>
          <w:color w:val="000000"/>
          <w:szCs w:val="20"/>
        </w:rPr>
      </w:pPr>
      <w:r>
        <w:rPr>
          <w:i w:val="0"/>
          <w:iCs w:val="0"/>
          <w:color w:val="000000"/>
          <w:kern w:val="0"/>
          <w:lang w:bidi="ar"/>
        </w:rPr>
        <w:t>在罐区设置围堰和防火堤，对事故情况下泄漏的物料及消防废水进行收集控制，防止泄漏物料扩散；围堰及防火堤设污水与雨水控制阀门，正常及事故情况下针对不同废水实施分流排放控制；</w:t>
      </w:r>
    </w:p>
    <w:p>
      <w:pPr>
        <w:widowControl/>
        <w:spacing w:line="360" w:lineRule="auto"/>
        <w:ind w:firstLine="480" w:firstLineChars="200"/>
        <w:jc w:val="left"/>
        <w:rPr>
          <w:i w:val="0"/>
          <w:iCs w:val="0"/>
          <w:color w:val="000000"/>
          <w:szCs w:val="20"/>
        </w:rPr>
      </w:pPr>
      <w:r>
        <w:rPr>
          <w:i w:val="0"/>
          <w:iCs w:val="0"/>
          <w:color w:val="000000"/>
          <w:kern w:val="0"/>
          <w:lang w:bidi="ar"/>
        </w:rPr>
        <w:t>（2）二级防控措施</w:t>
      </w:r>
    </w:p>
    <w:p>
      <w:pPr>
        <w:widowControl/>
        <w:spacing w:line="360" w:lineRule="auto"/>
        <w:ind w:firstLine="480" w:firstLineChars="200"/>
        <w:rPr>
          <w:i w:val="0"/>
          <w:iCs w:val="0"/>
          <w:color w:val="000000"/>
          <w:szCs w:val="20"/>
        </w:rPr>
      </w:pPr>
      <w:r>
        <w:rPr>
          <w:i w:val="0"/>
          <w:iCs w:val="0"/>
          <w:color w:val="000000"/>
          <w:kern w:val="0"/>
          <w:lang w:bidi="ar"/>
        </w:rPr>
        <w:t>当围堰液位上升过快时打开切换阀门，将污水引入项目设置的</w:t>
      </w:r>
      <w:r>
        <w:rPr>
          <w:i w:val="0"/>
          <w:iCs w:val="0"/>
          <w:color w:val="000000"/>
        </w:rPr>
        <w:t>70m</w:t>
      </w:r>
      <w:r>
        <w:rPr>
          <w:i w:val="0"/>
          <w:iCs w:val="0"/>
          <w:color w:val="000000"/>
          <w:vertAlign w:val="superscript"/>
        </w:rPr>
        <w:t>3</w:t>
      </w:r>
      <w:r>
        <w:rPr>
          <w:i w:val="0"/>
          <w:iCs w:val="0"/>
          <w:color w:val="000000"/>
        </w:rPr>
        <w:t>应急池</w:t>
      </w:r>
      <w:r>
        <w:rPr>
          <w:i w:val="0"/>
          <w:iCs w:val="0"/>
          <w:color w:val="000000"/>
          <w:kern w:val="0"/>
          <w:lang w:bidi="ar"/>
        </w:rPr>
        <w:t>，</w:t>
      </w:r>
      <w:r>
        <w:rPr>
          <w:rFonts w:hint="eastAsia"/>
          <w:i w:val="0"/>
          <w:iCs w:val="0"/>
          <w:color w:val="000000"/>
          <w:kern w:val="0"/>
          <w:lang w:bidi="ar"/>
        </w:rPr>
        <w:t>然后排入</w:t>
      </w:r>
      <w:r>
        <w:rPr>
          <w:i w:val="0"/>
          <w:iCs w:val="0"/>
          <w:color w:val="000000"/>
          <w:kern w:val="0"/>
          <w:lang w:bidi="ar"/>
        </w:rPr>
        <w:t>污水处理厂进行处理。</w:t>
      </w:r>
    </w:p>
    <w:p>
      <w:pPr>
        <w:widowControl/>
        <w:spacing w:line="360" w:lineRule="auto"/>
        <w:ind w:firstLine="480" w:firstLineChars="200"/>
        <w:jc w:val="left"/>
        <w:rPr>
          <w:i w:val="0"/>
          <w:iCs w:val="0"/>
          <w:color w:val="000000"/>
          <w:szCs w:val="20"/>
        </w:rPr>
      </w:pPr>
      <w:r>
        <w:rPr>
          <w:i w:val="0"/>
          <w:iCs w:val="0"/>
          <w:color w:val="000000"/>
          <w:kern w:val="0"/>
          <w:lang w:bidi="ar"/>
        </w:rPr>
        <w:t>（3）三级防控措施</w:t>
      </w:r>
    </w:p>
    <w:p>
      <w:pPr>
        <w:widowControl/>
        <w:spacing w:line="360" w:lineRule="auto"/>
        <w:ind w:firstLine="480" w:firstLineChars="200"/>
        <w:jc w:val="left"/>
        <w:rPr>
          <w:i w:val="0"/>
          <w:iCs w:val="0"/>
          <w:color w:val="000000"/>
          <w:szCs w:val="20"/>
        </w:rPr>
      </w:pPr>
      <w:r>
        <w:rPr>
          <w:rFonts w:hint="eastAsia" w:cs="宋体"/>
          <w:i w:val="0"/>
          <w:iCs w:val="0"/>
          <w:color w:val="000000"/>
          <w:kern w:val="0"/>
          <w:lang w:bidi="ar"/>
        </w:rPr>
        <w:t>当应急池无法满足要求时，根据污染水质情况将事故污水切换至新建污水处理站的调节池，逐步将应急池中废水调入污水处理站内进行处理。同时污水处理站出水口处设有切换阀门，当污水处理系统出水无法满足要求时，关闭切换阀门，将废水引回应急池，以确保废水不会直接排入地表水环境，对环境造成影响。</w:t>
      </w:r>
    </w:p>
    <w:p>
      <w:pPr>
        <w:widowControl/>
        <w:spacing w:line="360" w:lineRule="auto"/>
        <w:ind w:firstLine="480" w:firstLineChars="200"/>
        <w:jc w:val="left"/>
        <w:rPr>
          <w:i w:val="0"/>
          <w:iCs w:val="0"/>
          <w:color w:val="000000"/>
          <w:szCs w:val="20"/>
        </w:rPr>
      </w:pPr>
      <w:r>
        <w:rPr>
          <w:rFonts w:hint="eastAsia" w:cs="宋体"/>
          <w:i w:val="0"/>
          <w:iCs w:val="0"/>
          <w:color w:val="000000"/>
          <w:kern w:val="0"/>
          <w:lang w:bidi="ar"/>
        </w:rPr>
        <w:t>项目设置的事故废水收集系统的设计方案，基本可以满足《化工建设项目环境保护设计规范》</w:t>
      </w:r>
      <w:r>
        <w:rPr>
          <w:rFonts w:hint="eastAsia" w:cs="TimesNewRomanPSMT"/>
          <w:i w:val="0"/>
          <w:iCs w:val="0"/>
          <w:color w:val="000000"/>
          <w:kern w:val="0"/>
          <w:lang w:bidi="ar"/>
        </w:rPr>
        <w:t>（</w:t>
      </w:r>
      <w:r>
        <w:rPr>
          <w:rFonts w:cs="TimesNewRomanPSMT"/>
          <w:i w:val="0"/>
          <w:iCs w:val="0"/>
          <w:color w:val="000000"/>
          <w:kern w:val="0"/>
          <w:lang w:bidi="ar"/>
        </w:rPr>
        <w:t>GB50483-2009</w:t>
      </w:r>
      <w:r>
        <w:rPr>
          <w:rFonts w:hint="eastAsia" w:cs="TimesNewRomanPSMT"/>
          <w:i w:val="0"/>
          <w:iCs w:val="0"/>
          <w:color w:val="000000"/>
          <w:kern w:val="0"/>
          <w:lang w:bidi="ar"/>
        </w:rPr>
        <w:t>）</w:t>
      </w:r>
      <w:r>
        <w:rPr>
          <w:rFonts w:hint="eastAsia" w:cs="宋体"/>
          <w:i w:val="0"/>
          <w:iCs w:val="0"/>
          <w:color w:val="000000"/>
          <w:kern w:val="0"/>
          <w:lang w:bidi="ar"/>
        </w:rPr>
        <w:t>、《事故状态下水体污染的预防与控制技术要求》（Q/SY1190-2013）和《水体污染防控紧急措施设计导则》相关要求。</w:t>
      </w:r>
    </w:p>
    <w:p>
      <w:pPr>
        <w:keepNext/>
        <w:keepLines/>
        <w:widowControl/>
        <w:spacing w:line="360" w:lineRule="auto"/>
        <w:outlineLvl w:val="2"/>
        <w:rPr>
          <w:b/>
          <w:bCs/>
          <w:i w:val="0"/>
          <w:iCs w:val="0"/>
          <w:color w:val="000000"/>
          <w:szCs w:val="32"/>
        </w:rPr>
      </w:pPr>
      <w:bookmarkStart w:id="257" w:name="_Toc123993309"/>
      <w:r>
        <w:rPr>
          <w:rFonts w:hint="eastAsia"/>
          <w:b/>
          <w:bCs/>
          <w:i w:val="0"/>
          <w:iCs w:val="0"/>
          <w:color w:val="000000"/>
          <w:szCs w:val="32"/>
        </w:rPr>
        <w:t>7.5.3 地下水</w:t>
      </w:r>
      <w:r>
        <w:rPr>
          <w:b/>
          <w:bCs/>
          <w:i w:val="0"/>
          <w:iCs w:val="0"/>
          <w:color w:val="000000"/>
          <w:szCs w:val="32"/>
        </w:rPr>
        <w:t>环境风险预测评价</w:t>
      </w:r>
      <w:bookmarkEnd w:id="257"/>
    </w:p>
    <w:p>
      <w:pPr>
        <w:widowControl/>
        <w:spacing w:line="360" w:lineRule="auto"/>
        <w:ind w:firstLine="480" w:firstLineChars="200"/>
        <w:rPr>
          <w:rFonts w:cs="宋体"/>
          <w:i w:val="0"/>
          <w:iCs w:val="0"/>
          <w:color w:val="000000"/>
          <w:kern w:val="0"/>
          <w:lang w:bidi="ar"/>
        </w:rPr>
      </w:pPr>
      <w:r>
        <w:rPr>
          <w:rFonts w:hint="eastAsia" w:cs="宋体"/>
          <w:i w:val="0"/>
          <w:iCs w:val="0"/>
          <w:color w:val="000000"/>
          <w:kern w:val="0"/>
          <w:lang w:bidi="ar"/>
        </w:rPr>
        <w:t>根据前文分析，地下水环境风险潜势为</w:t>
      </w:r>
      <w:r>
        <w:rPr>
          <w:i w:val="0"/>
          <w:iCs w:val="0"/>
          <w:color w:val="000000"/>
          <w:szCs w:val="20"/>
        </w:rPr>
        <w:t>I</w:t>
      </w:r>
      <w:r>
        <w:rPr>
          <w:rFonts w:hint="eastAsia" w:cs="宋体"/>
          <w:i w:val="0"/>
          <w:iCs w:val="0"/>
          <w:color w:val="000000"/>
          <w:kern w:val="0"/>
          <w:lang w:bidi="ar"/>
        </w:rPr>
        <w:t>，对应地下水环境风险评价等级为简单分析。根据工程分析，项目可能对地下水造成污染的主要来源为污水预处理站</w:t>
      </w:r>
      <w:r>
        <w:rPr>
          <w:rFonts w:hint="eastAsia" w:cs="宋体"/>
          <w:i w:val="0"/>
          <w:iCs w:val="0"/>
          <w:color w:val="000000"/>
          <w:kern w:val="0"/>
          <w:lang w:eastAsia="zh-CN" w:bidi="ar"/>
        </w:rPr>
        <w:t>、发酵罐及氨水罐</w:t>
      </w:r>
      <w:r>
        <w:rPr>
          <w:rFonts w:hint="eastAsia" w:cs="宋体"/>
          <w:i w:val="0"/>
          <w:iCs w:val="0"/>
          <w:color w:val="000000"/>
          <w:kern w:val="0"/>
          <w:lang w:bidi="ar"/>
        </w:rPr>
        <w:t>，由于污水处理预站及地下布置的污水管道可能产生泄漏从而污水下渗污染地下水。</w:t>
      </w:r>
    </w:p>
    <w:p>
      <w:pPr>
        <w:widowControl/>
        <w:spacing w:line="360" w:lineRule="auto"/>
        <w:ind w:firstLine="480" w:firstLineChars="200"/>
        <w:rPr>
          <w:rFonts w:cs="宋体"/>
          <w:i w:val="0"/>
          <w:iCs w:val="0"/>
          <w:color w:val="000000"/>
          <w:kern w:val="0"/>
          <w:lang w:bidi="ar"/>
        </w:rPr>
      </w:pPr>
      <w:r>
        <w:rPr>
          <w:rFonts w:hint="eastAsia" w:cs="宋体"/>
          <w:i w:val="0"/>
          <w:iCs w:val="0"/>
          <w:color w:val="000000"/>
          <w:kern w:val="0"/>
          <w:lang w:bidi="ar"/>
        </w:rPr>
        <w:t>本项目地下水环境风险预测评价详见前文。</w:t>
      </w:r>
    </w:p>
    <w:p>
      <w:pPr>
        <w:pStyle w:val="417"/>
        <w:spacing w:before="120" w:after="120"/>
        <w:rPr>
          <w:i w:val="0"/>
          <w:iCs w:val="0"/>
          <w:color w:val="000000"/>
        </w:rPr>
      </w:pPr>
      <w:bookmarkStart w:id="258" w:name="_Toc123993310"/>
      <w:r>
        <w:rPr>
          <w:rFonts w:hint="eastAsia"/>
          <w:i w:val="0"/>
          <w:iCs w:val="0"/>
          <w:color w:val="000000"/>
        </w:rPr>
        <w:t xml:space="preserve">7.5.4 </w:t>
      </w:r>
      <w:r>
        <w:rPr>
          <w:i w:val="0"/>
          <w:iCs w:val="0"/>
          <w:color w:val="000000"/>
        </w:rPr>
        <w:t>环境风险预测评价结论</w:t>
      </w:r>
      <w:bookmarkEnd w:id="258"/>
    </w:p>
    <w:p>
      <w:pPr>
        <w:widowControl/>
        <w:spacing w:line="360" w:lineRule="auto"/>
        <w:ind w:firstLine="480" w:firstLineChars="200"/>
        <w:jc w:val="left"/>
        <w:rPr>
          <w:i w:val="0"/>
          <w:iCs w:val="0"/>
          <w:color w:val="000000"/>
          <w:kern w:val="0"/>
          <w:lang w:bidi="ar"/>
        </w:rPr>
      </w:pPr>
      <w:r>
        <w:rPr>
          <w:i w:val="0"/>
          <w:iCs w:val="0"/>
          <w:color w:val="000000"/>
          <w:kern w:val="0"/>
          <w:lang w:bidi="ar"/>
        </w:rPr>
        <w:t>1、大气环境风险预测结果</w:t>
      </w:r>
    </w:p>
    <w:p>
      <w:pPr>
        <w:widowControl/>
        <w:spacing w:line="360" w:lineRule="auto"/>
        <w:ind w:firstLine="480" w:firstLineChars="200"/>
        <w:rPr>
          <w:i w:val="0"/>
          <w:iCs w:val="0"/>
          <w:color w:val="000000"/>
          <w:szCs w:val="20"/>
        </w:rPr>
      </w:pPr>
      <w:r>
        <w:rPr>
          <w:i w:val="0"/>
          <w:iCs w:val="0"/>
          <w:color w:val="000000"/>
          <w:kern w:val="0"/>
          <w:lang w:bidi="ar"/>
        </w:rPr>
        <w:t>经过预测可知，氨水储罐发生泄漏事故后，在F稳定度、当风速为1.5m/s时，</w:t>
      </w:r>
      <w:r>
        <w:rPr>
          <w:i w:val="0"/>
          <w:iCs w:val="0"/>
          <w:snapToGrid w:val="0"/>
          <w:color w:val="000000"/>
        </w:rPr>
        <w:t>氨气</w:t>
      </w:r>
      <w:r>
        <w:rPr>
          <w:i w:val="0"/>
          <w:iCs w:val="0"/>
          <w:color w:val="000000"/>
          <w:kern w:val="0"/>
          <w:lang w:bidi="ar"/>
        </w:rPr>
        <w:t>在下风向10m达到附录H大气毒性终点浓度值中选取的毒性终点浓度-1的浓度值，在下风向20m处达到附录H大气毒性终点浓度值中选取的毒性终点浓度-2的浓度值；因此泄漏事故对评价范围内的敏感点的风险较小。</w:t>
      </w:r>
    </w:p>
    <w:p>
      <w:pPr>
        <w:widowControl/>
        <w:spacing w:line="360" w:lineRule="auto"/>
        <w:ind w:firstLine="480" w:firstLineChars="200"/>
        <w:jc w:val="left"/>
        <w:rPr>
          <w:i w:val="0"/>
          <w:iCs w:val="0"/>
          <w:color w:val="000000"/>
          <w:kern w:val="0"/>
          <w:lang w:bidi="ar"/>
        </w:rPr>
      </w:pPr>
      <w:r>
        <w:rPr>
          <w:i w:val="0"/>
          <w:iCs w:val="0"/>
          <w:color w:val="000000"/>
          <w:kern w:val="0"/>
          <w:lang w:bidi="ar"/>
        </w:rPr>
        <w:t>2、地表水环境风险预测结果</w:t>
      </w:r>
    </w:p>
    <w:p>
      <w:pPr>
        <w:widowControl/>
        <w:spacing w:line="360" w:lineRule="auto"/>
        <w:ind w:firstLine="480" w:firstLineChars="200"/>
        <w:jc w:val="left"/>
        <w:rPr>
          <w:i w:val="0"/>
          <w:iCs w:val="0"/>
          <w:color w:val="000000"/>
          <w:szCs w:val="20"/>
        </w:rPr>
      </w:pPr>
      <w:r>
        <w:rPr>
          <w:i w:val="0"/>
          <w:iCs w:val="0"/>
          <w:color w:val="000000"/>
          <w:kern w:val="0"/>
          <w:lang w:bidi="ar"/>
        </w:rPr>
        <w:t>项目事故状态下事故泄漏的液体以及消防废水经通过采取有效措施收集处理后，对地表水</w:t>
      </w:r>
      <w:r>
        <w:rPr>
          <w:rFonts w:hint="eastAsia"/>
          <w:i w:val="0"/>
          <w:iCs w:val="0"/>
          <w:color w:val="000000"/>
          <w:kern w:val="0"/>
          <w:lang w:bidi="ar"/>
        </w:rPr>
        <w:t>浑江</w:t>
      </w:r>
      <w:r>
        <w:rPr>
          <w:i w:val="0"/>
          <w:iCs w:val="0"/>
          <w:color w:val="000000"/>
          <w:kern w:val="0"/>
          <w:lang w:bidi="ar"/>
        </w:rPr>
        <w:t>的影响较小。</w:t>
      </w:r>
    </w:p>
    <w:p>
      <w:pPr>
        <w:widowControl/>
        <w:spacing w:line="360" w:lineRule="auto"/>
        <w:ind w:firstLine="480" w:firstLineChars="200"/>
        <w:jc w:val="left"/>
        <w:rPr>
          <w:i w:val="0"/>
          <w:iCs w:val="0"/>
          <w:color w:val="000000"/>
          <w:kern w:val="0"/>
          <w:lang w:bidi="ar"/>
        </w:rPr>
      </w:pPr>
      <w:r>
        <w:rPr>
          <w:i w:val="0"/>
          <w:iCs w:val="0"/>
          <w:color w:val="000000"/>
          <w:kern w:val="0"/>
          <w:lang w:bidi="ar"/>
        </w:rPr>
        <w:t>3、地下水环境风险预测结果</w:t>
      </w:r>
    </w:p>
    <w:p>
      <w:pPr>
        <w:spacing w:line="360" w:lineRule="auto"/>
        <w:ind w:firstLine="480" w:firstLineChars="200"/>
        <w:rPr>
          <w:i w:val="0"/>
          <w:iCs w:val="0"/>
          <w:color w:val="000000"/>
          <w:szCs w:val="20"/>
        </w:rPr>
      </w:pPr>
      <w:r>
        <w:rPr>
          <w:i w:val="0"/>
          <w:iCs w:val="0"/>
          <w:color w:val="000000"/>
          <w:kern w:val="0"/>
          <w:lang w:bidi="ar"/>
        </w:rPr>
        <w:t>污水站防渗正常条件下，污染物发生渗漏的可能性很小，对地下水的影响也较小；在非正常状况下，污染物的迁移对地下水有一定的影响，根据前文地下水环境风险预测结果：</w:t>
      </w:r>
      <w:r>
        <w:rPr>
          <w:i w:val="0"/>
          <w:iCs w:val="0"/>
          <w:color w:val="000000"/>
        </w:rPr>
        <w:t>在整个迁移过程中，COD的超标区域始终位于厂区内，故不会对周边地下水环境造成影响</w:t>
      </w:r>
      <w:r>
        <w:rPr>
          <w:rFonts w:hint="eastAsia" w:cs="宋体"/>
          <w:i w:val="0"/>
          <w:iCs w:val="0"/>
          <w:color w:val="000000"/>
          <w:kern w:val="0"/>
          <w:lang w:bidi="ar"/>
        </w:rPr>
        <w:t>。</w:t>
      </w:r>
    </w:p>
    <w:p>
      <w:pPr>
        <w:pStyle w:val="415"/>
        <w:spacing w:before="120" w:after="120"/>
        <w:rPr>
          <w:i w:val="0"/>
          <w:iCs w:val="0"/>
          <w:color w:val="000000"/>
        </w:rPr>
      </w:pPr>
      <w:bookmarkStart w:id="259" w:name="_Toc123993311"/>
      <w:bookmarkStart w:id="260" w:name="_Toc29844"/>
      <w:bookmarkStart w:id="261" w:name="_Toc101709087"/>
      <w:r>
        <w:rPr>
          <w:rFonts w:hint="eastAsia"/>
          <w:i w:val="0"/>
          <w:iCs w:val="0"/>
          <w:color w:val="000000"/>
        </w:rPr>
        <w:t>7.6 环境风险防范及应急预案</w:t>
      </w:r>
      <w:bookmarkEnd w:id="259"/>
      <w:bookmarkEnd w:id="260"/>
      <w:bookmarkEnd w:id="261"/>
    </w:p>
    <w:p>
      <w:pPr>
        <w:pStyle w:val="417"/>
        <w:spacing w:before="120" w:after="120"/>
        <w:rPr>
          <w:i w:val="0"/>
          <w:iCs w:val="0"/>
          <w:color w:val="000000"/>
        </w:rPr>
      </w:pPr>
      <w:bookmarkStart w:id="262" w:name="_Toc123993312"/>
      <w:r>
        <w:rPr>
          <w:rFonts w:hint="eastAsia"/>
          <w:i w:val="0"/>
          <w:iCs w:val="0"/>
          <w:color w:val="000000"/>
        </w:rPr>
        <w:t>7.6.1 大气环境风险防范措施</w:t>
      </w:r>
      <w:bookmarkEnd w:id="262"/>
    </w:p>
    <w:p>
      <w:pPr>
        <w:spacing w:line="360" w:lineRule="auto"/>
        <w:ind w:firstLine="480" w:firstLineChars="200"/>
        <w:rPr>
          <w:rFonts w:cs="宋体"/>
          <w:i w:val="0"/>
          <w:iCs w:val="0"/>
          <w:color w:val="000000"/>
          <w:szCs w:val="28"/>
        </w:rPr>
      </w:pPr>
      <w:r>
        <w:rPr>
          <w:i w:val="0"/>
          <w:iCs w:val="0"/>
          <w:color w:val="000000"/>
          <w:szCs w:val="28"/>
        </w:rPr>
        <w:t>1、设计</w:t>
      </w:r>
      <w:r>
        <w:rPr>
          <w:rFonts w:hint="eastAsia" w:cs="宋体"/>
          <w:i w:val="0"/>
          <w:iCs w:val="0"/>
          <w:color w:val="000000"/>
          <w:szCs w:val="28"/>
        </w:rPr>
        <w:t>上拟采取的风险防范措施</w:t>
      </w:r>
    </w:p>
    <w:p>
      <w:pPr>
        <w:spacing w:line="360" w:lineRule="auto"/>
        <w:ind w:firstLine="480" w:firstLineChars="200"/>
        <w:rPr>
          <w:rFonts w:cs="宋体"/>
          <w:i w:val="0"/>
          <w:iCs w:val="0"/>
          <w:color w:val="000000"/>
          <w:szCs w:val="20"/>
          <w:lang w:val="zh-CN"/>
        </w:rPr>
      </w:pPr>
      <w:r>
        <w:rPr>
          <w:rFonts w:hint="eastAsia" w:cs="宋体"/>
          <w:i w:val="0"/>
          <w:iCs w:val="0"/>
          <w:color w:val="000000"/>
          <w:szCs w:val="20"/>
          <w:lang w:val="zh-CN"/>
        </w:rPr>
        <w:t>针对本项目的工程特点和风险事故原因分析结果，在进行工程安全防火和有毒物质检测、控制设计中，严格按《石油化工企业设计防火规范》（GB50160-</w:t>
      </w:r>
      <w:r>
        <w:rPr>
          <w:rFonts w:hint="eastAsia" w:cs="宋体"/>
          <w:i w:val="0"/>
          <w:iCs w:val="0"/>
          <w:color w:val="000000"/>
          <w:szCs w:val="20"/>
        </w:rPr>
        <w:t>2008</w:t>
      </w:r>
      <w:r>
        <w:rPr>
          <w:rFonts w:hint="eastAsia" w:cs="宋体"/>
          <w:i w:val="0"/>
          <w:iCs w:val="0"/>
          <w:color w:val="000000"/>
          <w:szCs w:val="20"/>
          <w:lang w:val="zh-CN"/>
        </w:rPr>
        <w:t>），</w:t>
      </w:r>
      <w:r>
        <w:rPr>
          <w:rFonts w:hint="eastAsia" w:cs="宋体"/>
          <w:i w:val="0"/>
          <w:iCs w:val="0"/>
          <w:color w:val="000000"/>
          <w:szCs w:val="20"/>
        </w:rPr>
        <w:t>《建设设计防火规范》（GB50160-2018）和《爆炸和火灾危险电力装置设计防火规范》</w:t>
      </w:r>
      <w:r>
        <w:rPr>
          <w:rFonts w:hint="eastAsia" w:cs="宋体"/>
          <w:i w:val="0"/>
          <w:iCs w:val="0"/>
          <w:color w:val="000000"/>
          <w:szCs w:val="20"/>
          <w:lang w:val="zh-CN"/>
        </w:rPr>
        <w:t>（GB50058-</w:t>
      </w:r>
      <w:r>
        <w:rPr>
          <w:rFonts w:hint="eastAsia" w:cs="宋体"/>
          <w:i w:val="0"/>
          <w:iCs w:val="0"/>
          <w:color w:val="000000"/>
          <w:szCs w:val="20"/>
        </w:rPr>
        <w:t>2014</w:t>
      </w:r>
      <w:r>
        <w:rPr>
          <w:rFonts w:hint="eastAsia" w:cs="宋体"/>
          <w:i w:val="0"/>
          <w:iCs w:val="0"/>
          <w:color w:val="000000"/>
          <w:szCs w:val="20"/>
          <w:lang w:val="zh-CN"/>
        </w:rPr>
        <w:t>）的要求执行，具体防范措施如下：</w:t>
      </w:r>
    </w:p>
    <w:p>
      <w:pPr>
        <w:spacing w:line="360" w:lineRule="auto"/>
        <w:ind w:firstLine="480" w:firstLineChars="200"/>
        <w:rPr>
          <w:rFonts w:cs="宋体"/>
          <w:i w:val="0"/>
          <w:iCs w:val="0"/>
          <w:color w:val="000000"/>
          <w:szCs w:val="20"/>
          <w:lang w:val="zh-CN"/>
        </w:rPr>
      </w:pPr>
      <w:r>
        <w:rPr>
          <w:i w:val="0"/>
          <w:iCs w:val="0"/>
          <w:color w:val="000000"/>
          <w:szCs w:val="20"/>
          <w:lang w:val="zh-CN"/>
        </w:rPr>
        <w:t>（</w:t>
      </w:r>
      <w:r>
        <w:rPr>
          <w:i w:val="0"/>
          <w:iCs w:val="0"/>
          <w:color w:val="000000"/>
          <w:szCs w:val="20"/>
        </w:rPr>
        <w:t>1</w:t>
      </w:r>
      <w:r>
        <w:rPr>
          <w:i w:val="0"/>
          <w:iCs w:val="0"/>
          <w:color w:val="000000"/>
          <w:szCs w:val="20"/>
          <w:lang w:val="zh-CN"/>
        </w:rPr>
        <w:t>）选址</w:t>
      </w:r>
      <w:r>
        <w:rPr>
          <w:rFonts w:hint="eastAsia" w:cs="宋体"/>
          <w:i w:val="0"/>
          <w:iCs w:val="0"/>
          <w:color w:val="000000"/>
          <w:szCs w:val="20"/>
          <w:lang w:val="zh-CN"/>
        </w:rPr>
        <w:t>、总图布置和建筑安全防范措施</w:t>
      </w:r>
    </w:p>
    <w:p>
      <w:pPr>
        <w:spacing w:line="360" w:lineRule="auto"/>
        <w:ind w:firstLine="480" w:firstLineChars="200"/>
        <w:rPr>
          <w:rFonts w:cs="宋体"/>
          <w:i w:val="0"/>
          <w:iCs w:val="0"/>
          <w:color w:val="000000"/>
          <w:szCs w:val="20"/>
          <w:lang w:val="zh-CN"/>
        </w:rPr>
      </w:pPr>
      <w:r>
        <w:rPr>
          <w:rFonts w:hint="eastAsia" w:cs="宋体"/>
          <w:i w:val="0"/>
          <w:iCs w:val="0"/>
          <w:color w:val="000000"/>
          <w:szCs w:val="20"/>
          <w:lang w:val="zh-CN"/>
        </w:rPr>
        <w:t>本项目位于江源工业经济开发区长白山特色食药科技产业园区</w:t>
      </w:r>
      <w:r>
        <w:rPr>
          <w:rFonts w:hint="eastAsia"/>
          <w:bCs/>
          <w:i w:val="0"/>
          <w:iCs w:val="0"/>
          <w:snapToGrid w:val="0"/>
          <w:color w:val="000000"/>
          <w:kern w:val="0"/>
        </w:rPr>
        <w:t>内</w:t>
      </w:r>
      <w:r>
        <w:rPr>
          <w:rFonts w:hint="eastAsia" w:cs="宋体"/>
          <w:i w:val="0"/>
          <w:iCs w:val="0"/>
          <w:color w:val="000000"/>
          <w:szCs w:val="20"/>
          <w:lang w:val="zh-CN"/>
        </w:rPr>
        <w:t>。本项目总平面布置按照《建筑设计防火规范》执行。装置区设有安全防护距离和防火间距，应急救援通道、应急疏散通道等，装置的平面布置符合防范事故和规范要求。</w:t>
      </w:r>
    </w:p>
    <w:p>
      <w:pPr>
        <w:spacing w:line="360" w:lineRule="auto"/>
        <w:ind w:firstLine="480" w:firstLineChars="200"/>
        <w:rPr>
          <w:rFonts w:cs="宋体"/>
          <w:i w:val="0"/>
          <w:iCs w:val="0"/>
          <w:color w:val="000000"/>
          <w:szCs w:val="20"/>
          <w:lang w:val="zh-CN"/>
        </w:rPr>
      </w:pPr>
      <w:r>
        <w:rPr>
          <w:rFonts w:hint="eastAsia" w:cs="宋体"/>
          <w:i w:val="0"/>
          <w:iCs w:val="0"/>
          <w:color w:val="000000"/>
          <w:szCs w:val="20"/>
          <w:lang w:val="zh-CN"/>
        </w:rPr>
        <w:t>根据本项目的物料性质和毒性，本项目在安全上主要采取以下的防范措施：</w:t>
      </w:r>
    </w:p>
    <w:p>
      <w:pPr>
        <w:spacing w:line="360" w:lineRule="auto"/>
        <w:ind w:firstLine="480" w:firstLineChars="200"/>
        <w:rPr>
          <w:rFonts w:cs="宋体"/>
          <w:i w:val="0"/>
          <w:iCs w:val="0"/>
          <w:color w:val="000000"/>
          <w:szCs w:val="20"/>
          <w:lang w:val="zh-CN"/>
        </w:rPr>
      </w:pPr>
      <w:r>
        <w:rPr>
          <w:rFonts w:hint="eastAsia" w:cs="仿宋"/>
          <w:i w:val="0"/>
          <w:iCs w:val="0"/>
          <w:color w:val="000000"/>
          <w:szCs w:val="20"/>
        </w:rPr>
        <w:t>1）</w:t>
      </w:r>
      <w:r>
        <w:rPr>
          <w:rFonts w:hint="eastAsia" w:cs="宋体"/>
          <w:i w:val="0"/>
          <w:iCs w:val="0"/>
          <w:color w:val="000000"/>
          <w:szCs w:val="20"/>
          <w:lang w:val="zh-CN"/>
        </w:rPr>
        <w:t>厂区总平面布置应根据功能分区布置，各功能区之间设有环形通道，有利于安全疏散和消防。</w:t>
      </w:r>
    </w:p>
    <w:p>
      <w:pPr>
        <w:spacing w:line="360" w:lineRule="auto"/>
        <w:ind w:firstLine="480" w:firstLineChars="200"/>
        <w:rPr>
          <w:rFonts w:cs="宋体"/>
          <w:i w:val="0"/>
          <w:iCs w:val="0"/>
          <w:color w:val="000000"/>
          <w:szCs w:val="20"/>
          <w:lang w:val="zh-CN"/>
        </w:rPr>
      </w:pPr>
      <w:r>
        <w:rPr>
          <w:rFonts w:hint="eastAsia" w:cs="仿宋"/>
          <w:i w:val="0"/>
          <w:iCs w:val="0"/>
          <w:color w:val="000000"/>
          <w:szCs w:val="20"/>
        </w:rPr>
        <w:t>2）</w:t>
      </w:r>
      <w:r>
        <w:rPr>
          <w:rFonts w:hint="eastAsia" w:cs="宋体"/>
          <w:i w:val="0"/>
          <w:iCs w:val="0"/>
          <w:color w:val="000000"/>
          <w:szCs w:val="20"/>
          <w:lang w:val="zh-CN"/>
        </w:rPr>
        <w:t>生产装置、生产厂房的设置、建设应满足规范的防火防爆要求。设计中按规范划分爆炸危险区域，在爆炸危险区域内选用防爆型电气、仪表及通信设备。各种易燃易爆物料均储存在阴凉、通风处，远离火源，避免与强氧化剂接触。</w:t>
      </w:r>
    </w:p>
    <w:p>
      <w:pPr>
        <w:spacing w:line="360" w:lineRule="auto"/>
        <w:ind w:firstLine="480" w:firstLineChars="200"/>
        <w:rPr>
          <w:rFonts w:cs="宋体"/>
          <w:i w:val="0"/>
          <w:iCs w:val="0"/>
          <w:color w:val="000000"/>
          <w:szCs w:val="20"/>
          <w:lang w:val="zh-CN"/>
        </w:rPr>
      </w:pPr>
      <w:r>
        <w:rPr>
          <w:rFonts w:hint="eastAsia" w:cs="仿宋"/>
          <w:i w:val="0"/>
          <w:iCs w:val="0"/>
          <w:color w:val="000000"/>
          <w:szCs w:val="20"/>
        </w:rPr>
        <w:t>3）</w:t>
      </w:r>
      <w:r>
        <w:rPr>
          <w:rFonts w:hint="eastAsia" w:cs="宋体"/>
          <w:i w:val="0"/>
          <w:iCs w:val="0"/>
          <w:color w:val="000000"/>
          <w:szCs w:val="20"/>
          <w:lang w:val="zh-CN"/>
        </w:rPr>
        <w:t>安放易发生爆炸设备的房间，不允许任何人员随便入内，操作全部在D</w:t>
      </w:r>
      <w:r>
        <w:rPr>
          <w:rFonts w:cs="宋体"/>
          <w:i w:val="0"/>
          <w:iCs w:val="0"/>
          <w:color w:val="000000"/>
          <w:szCs w:val="20"/>
          <w:lang w:val="zh-CN"/>
        </w:rPr>
        <w:t>CS</w:t>
      </w:r>
      <w:r>
        <w:rPr>
          <w:rFonts w:hint="eastAsia" w:cs="宋体"/>
          <w:i w:val="0"/>
          <w:iCs w:val="0"/>
          <w:color w:val="000000"/>
          <w:szCs w:val="20"/>
          <w:lang w:val="zh-CN"/>
        </w:rPr>
        <w:t>控制室进行。</w:t>
      </w:r>
    </w:p>
    <w:p>
      <w:pPr>
        <w:spacing w:line="360" w:lineRule="auto"/>
        <w:ind w:firstLine="480" w:firstLineChars="200"/>
        <w:rPr>
          <w:rFonts w:cs="宋体"/>
          <w:i w:val="0"/>
          <w:iCs w:val="0"/>
          <w:color w:val="000000"/>
          <w:szCs w:val="20"/>
          <w:lang w:val="zh-CN"/>
        </w:rPr>
      </w:pPr>
      <w:r>
        <w:rPr>
          <w:rFonts w:hint="eastAsia" w:cs="仿宋"/>
          <w:i w:val="0"/>
          <w:iCs w:val="0"/>
          <w:color w:val="000000"/>
          <w:szCs w:val="20"/>
        </w:rPr>
        <w:t>4）</w:t>
      </w:r>
      <w:r>
        <w:rPr>
          <w:rFonts w:hint="eastAsia" w:cs="宋体"/>
          <w:i w:val="0"/>
          <w:iCs w:val="0"/>
          <w:color w:val="000000"/>
          <w:szCs w:val="20"/>
          <w:lang w:val="zh-CN"/>
        </w:rPr>
        <w:t>构筑物设计考虑防雷、防静电措施和耐火保护。</w:t>
      </w:r>
    </w:p>
    <w:p>
      <w:pPr>
        <w:spacing w:line="360" w:lineRule="auto"/>
        <w:ind w:firstLine="480" w:firstLineChars="200"/>
        <w:rPr>
          <w:rFonts w:cs="宋体"/>
          <w:i w:val="0"/>
          <w:iCs w:val="0"/>
          <w:color w:val="000000"/>
          <w:szCs w:val="20"/>
          <w:lang w:val="zh-CN"/>
        </w:rPr>
      </w:pPr>
      <w:r>
        <w:rPr>
          <w:rFonts w:hint="eastAsia" w:cs="仿宋"/>
          <w:i w:val="0"/>
          <w:iCs w:val="0"/>
          <w:color w:val="000000"/>
          <w:szCs w:val="20"/>
        </w:rPr>
        <w:t>5）</w:t>
      </w:r>
      <w:r>
        <w:rPr>
          <w:rFonts w:hint="eastAsia" w:cs="宋体"/>
          <w:i w:val="0"/>
          <w:iCs w:val="0"/>
          <w:color w:val="000000"/>
          <w:szCs w:val="20"/>
          <w:lang w:val="zh-CN"/>
        </w:rPr>
        <w:t>凡禁火区均应设置明显标志牌。</w:t>
      </w:r>
    </w:p>
    <w:p>
      <w:pPr>
        <w:spacing w:line="360" w:lineRule="auto"/>
        <w:ind w:firstLine="480" w:firstLineChars="200"/>
        <w:rPr>
          <w:rFonts w:cs="宋体"/>
          <w:i w:val="0"/>
          <w:iCs w:val="0"/>
          <w:color w:val="000000"/>
          <w:szCs w:val="20"/>
          <w:lang w:val="zh-CN"/>
        </w:rPr>
      </w:pPr>
      <w:r>
        <w:rPr>
          <w:rFonts w:hint="eastAsia" w:cs="仿宋"/>
          <w:i w:val="0"/>
          <w:iCs w:val="0"/>
          <w:color w:val="000000"/>
          <w:szCs w:val="20"/>
        </w:rPr>
        <w:t>6）</w:t>
      </w:r>
      <w:r>
        <w:rPr>
          <w:rFonts w:hint="eastAsia" w:cs="宋体"/>
          <w:i w:val="0"/>
          <w:iCs w:val="0"/>
          <w:color w:val="000000"/>
          <w:szCs w:val="20"/>
          <w:lang w:val="zh-CN"/>
        </w:rPr>
        <w:t>由于本项目生产工艺、装置的火灾、爆炸、毒物泄漏的危险性较大，因此生产装置、建构筑物的平、立面布置应有利于结构抗震，抗震设严格《建筑抗震设计规范》（GB</w:t>
      </w:r>
      <w:r>
        <w:rPr>
          <w:rFonts w:cs="宋体"/>
          <w:i w:val="0"/>
          <w:iCs w:val="0"/>
          <w:color w:val="000000"/>
          <w:szCs w:val="20"/>
          <w:lang w:val="zh-CN"/>
        </w:rPr>
        <w:t>50011-2010</w:t>
      </w:r>
      <w:r>
        <w:rPr>
          <w:rFonts w:hint="eastAsia" w:cs="宋体"/>
          <w:i w:val="0"/>
          <w:iCs w:val="0"/>
          <w:color w:val="000000"/>
          <w:szCs w:val="20"/>
          <w:lang w:val="zh-CN"/>
        </w:rPr>
        <w:t>）的要求设计。</w:t>
      </w:r>
    </w:p>
    <w:p>
      <w:pPr>
        <w:spacing w:line="360" w:lineRule="auto"/>
        <w:ind w:firstLine="480" w:firstLineChars="200"/>
        <w:rPr>
          <w:rFonts w:cs="宋体"/>
          <w:i w:val="0"/>
          <w:iCs w:val="0"/>
          <w:color w:val="000000"/>
          <w:szCs w:val="20"/>
          <w:lang w:val="zh-CN"/>
        </w:rPr>
      </w:pPr>
      <w:r>
        <w:rPr>
          <w:rFonts w:hint="eastAsia" w:cs="仿宋"/>
          <w:i w:val="0"/>
          <w:iCs w:val="0"/>
          <w:color w:val="000000"/>
          <w:szCs w:val="20"/>
        </w:rPr>
        <w:t>7）</w:t>
      </w:r>
      <w:r>
        <w:rPr>
          <w:rFonts w:hint="eastAsia" w:cs="宋体"/>
          <w:i w:val="0"/>
          <w:iCs w:val="0"/>
          <w:color w:val="000000"/>
          <w:szCs w:val="20"/>
          <w:lang w:val="zh-CN"/>
        </w:rPr>
        <w:t>平面布置应合理考虑场地排水。</w:t>
      </w:r>
    </w:p>
    <w:p>
      <w:pPr>
        <w:spacing w:line="360" w:lineRule="auto"/>
        <w:ind w:firstLine="480" w:firstLineChars="200"/>
        <w:rPr>
          <w:rFonts w:cs="宋体"/>
          <w:i w:val="0"/>
          <w:iCs w:val="0"/>
          <w:color w:val="000000"/>
          <w:szCs w:val="20"/>
          <w:lang w:val="zh-CN"/>
        </w:rPr>
      </w:pPr>
      <w:r>
        <w:rPr>
          <w:rFonts w:hint="eastAsia" w:ascii="宋体" w:hAnsi="宋体" w:cs="宋体"/>
          <w:i w:val="0"/>
          <w:iCs w:val="0"/>
          <w:color w:val="000000"/>
          <w:szCs w:val="20"/>
          <w:lang w:val="zh-CN"/>
        </w:rPr>
        <w:fldChar w:fldCharType="begin"/>
      </w:r>
      <w:r>
        <w:rPr>
          <w:rFonts w:hint="eastAsia" w:ascii="宋体" w:hAnsi="宋体" w:cs="宋体"/>
          <w:i w:val="0"/>
          <w:iCs w:val="0"/>
          <w:color w:val="000000"/>
          <w:szCs w:val="20"/>
          <w:lang w:val="zh-CN"/>
        </w:rPr>
        <w:instrText xml:space="preserve"> = 1 \* GB3 \* MERGEFORMAT </w:instrText>
      </w:r>
      <w:r>
        <w:rPr>
          <w:rFonts w:hint="eastAsia" w:ascii="宋体" w:hAnsi="宋体" w:cs="宋体"/>
          <w:i w:val="0"/>
          <w:iCs w:val="0"/>
          <w:color w:val="000000"/>
          <w:szCs w:val="20"/>
          <w:lang w:val="zh-CN"/>
        </w:rPr>
        <w:fldChar w:fldCharType="separate"/>
      </w:r>
      <w:r>
        <w:rPr>
          <w:i w:val="0"/>
          <w:iCs w:val="0"/>
        </w:rPr>
        <w:t>①</w:t>
      </w:r>
      <w:r>
        <w:rPr>
          <w:rFonts w:hint="eastAsia" w:ascii="宋体" w:hAnsi="宋体" w:cs="宋体"/>
          <w:i w:val="0"/>
          <w:iCs w:val="0"/>
          <w:color w:val="000000"/>
          <w:szCs w:val="20"/>
          <w:lang w:val="zh-CN"/>
        </w:rPr>
        <w:fldChar w:fldCharType="end"/>
      </w:r>
      <w:r>
        <w:rPr>
          <w:rFonts w:hint="eastAsia" w:cs="宋体"/>
          <w:i w:val="0"/>
          <w:iCs w:val="0"/>
          <w:color w:val="000000"/>
          <w:szCs w:val="20"/>
          <w:lang w:val="zh-CN"/>
        </w:rPr>
        <w:t>危险化学品贮运安全防范措施</w:t>
      </w:r>
    </w:p>
    <w:p>
      <w:pPr>
        <w:spacing w:line="360" w:lineRule="auto"/>
        <w:ind w:firstLine="480" w:firstLineChars="200"/>
        <w:rPr>
          <w:rFonts w:cs="宋体"/>
          <w:i w:val="0"/>
          <w:iCs w:val="0"/>
          <w:color w:val="000000"/>
          <w:szCs w:val="20"/>
          <w:lang w:val="zh-CN"/>
        </w:rPr>
      </w:pPr>
      <w:r>
        <w:rPr>
          <w:rFonts w:hint="eastAsia" w:cs="宋体"/>
          <w:i w:val="0"/>
          <w:iCs w:val="0"/>
          <w:color w:val="000000"/>
          <w:szCs w:val="20"/>
          <w:lang w:val="zh-CN"/>
        </w:rPr>
        <w:t>危险化学品管理：严格按《危险化学品安全管理条例》的要求来管理；制定危险化学品安全操作规程，要求操作人员严格按操作规程作业；对从事危险化学作业人员定期进行安全培训教育；经常性对危险化学品作业场所进行安全检查。</w:t>
      </w:r>
    </w:p>
    <w:p>
      <w:pPr>
        <w:spacing w:line="360" w:lineRule="auto"/>
        <w:ind w:firstLine="480" w:firstLineChars="200"/>
        <w:rPr>
          <w:rFonts w:cs="宋体"/>
          <w:i w:val="0"/>
          <w:iCs w:val="0"/>
          <w:color w:val="000000"/>
          <w:szCs w:val="20"/>
          <w:lang w:val="zh-CN"/>
        </w:rPr>
      </w:pPr>
      <w:r>
        <w:rPr>
          <w:rFonts w:hint="eastAsia" w:cs="宋体"/>
          <w:i w:val="0"/>
          <w:iCs w:val="0"/>
          <w:color w:val="000000"/>
          <w:szCs w:val="20"/>
          <w:lang w:val="zh-CN"/>
        </w:rPr>
        <w:t>危险化学品的储存和使用：设立专用库区，且其符合储存危险化学品的条件（防晒、防潮、通风、防雷、防静电等安全措施）；选用合格的储罐，在储罐区设置围堰，一旦发生泄漏事故，及时收集，防止外泄对周边土壤和地下水的影响。建立健全安全规程及值勤制度，设置通讯、报警装置，确保其处于完好状态；对储存危险化学品的容器，应设置明显的标识及警示牌，对使用危险化学品的名称、数量进行严格登记；对储存危险化学品的容器，应经有关检验部门定期检验合格后，才能使用；凡储存、使用危险化学品的岗位，都应配置合格的防毒器材、消防器材，并确保其处于完好状态；所有进入储存、使用危险化学品岗位的人员，都必须严格遵守《危险化学品管理制度》。</w:t>
      </w:r>
    </w:p>
    <w:p>
      <w:pPr>
        <w:spacing w:line="360" w:lineRule="auto"/>
        <w:ind w:firstLine="480" w:firstLineChars="200"/>
        <w:rPr>
          <w:rFonts w:cs="宋体"/>
          <w:i w:val="0"/>
          <w:iCs w:val="0"/>
          <w:color w:val="000000"/>
          <w:szCs w:val="20"/>
          <w:lang w:val="zh-CN"/>
        </w:rPr>
      </w:pPr>
      <w:r>
        <w:rPr>
          <w:rFonts w:hint="eastAsia" w:cs="宋体"/>
          <w:i w:val="0"/>
          <w:iCs w:val="0"/>
          <w:color w:val="000000"/>
          <w:szCs w:val="20"/>
          <w:lang w:val="zh-CN"/>
        </w:rPr>
        <w:t>危险化学品采购和运输：采购危险化学品时，应到已获得危险化学品经营许可证的企业进行采购，要求提供技术说明书及相关技术资料；采购人员必须进行专业培训并取证；危险化学品的包装物、容器必须有专业检测机构检验合格才能使用；从事危险化学品运输、押运人员，应经有关培训并取证后才能从事危险化学品运输、押运工作；运输危险化学品的车、船应悬挂危险化学品标志不得在人口稠密地停留；危险化学品的运输、押运人员，应配置合格的防护器材。</w:t>
      </w:r>
    </w:p>
    <w:p>
      <w:pPr>
        <w:spacing w:line="360" w:lineRule="auto"/>
        <w:ind w:firstLine="480" w:firstLineChars="200"/>
        <w:rPr>
          <w:rFonts w:cs="宋体"/>
          <w:i w:val="0"/>
          <w:iCs w:val="0"/>
          <w:color w:val="000000"/>
          <w:szCs w:val="20"/>
          <w:lang w:val="zh-CN"/>
        </w:rPr>
      </w:pPr>
      <w:r>
        <w:rPr>
          <w:rFonts w:hint="eastAsia" w:ascii="宋体" w:hAnsi="宋体" w:cs="宋体"/>
          <w:i w:val="0"/>
          <w:iCs w:val="0"/>
          <w:color w:val="000000"/>
          <w:szCs w:val="20"/>
          <w:lang w:val="zh-CN"/>
        </w:rPr>
        <w:fldChar w:fldCharType="begin"/>
      </w:r>
      <w:r>
        <w:rPr>
          <w:rFonts w:hint="eastAsia" w:ascii="宋体" w:hAnsi="宋体" w:cs="宋体"/>
          <w:i w:val="0"/>
          <w:iCs w:val="0"/>
          <w:color w:val="000000"/>
          <w:szCs w:val="20"/>
          <w:lang w:val="zh-CN"/>
        </w:rPr>
        <w:instrText xml:space="preserve"> = 2 \* GB3 \* MERGEFORMAT </w:instrText>
      </w:r>
      <w:r>
        <w:rPr>
          <w:rFonts w:hint="eastAsia" w:ascii="宋体" w:hAnsi="宋体" w:cs="宋体"/>
          <w:i w:val="0"/>
          <w:iCs w:val="0"/>
          <w:color w:val="000000"/>
          <w:szCs w:val="20"/>
          <w:lang w:val="zh-CN"/>
        </w:rPr>
        <w:fldChar w:fldCharType="separate"/>
      </w:r>
      <w:r>
        <w:rPr>
          <w:i w:val="0"/>
          <w:iCs w:val="0"/>
        </w:rPr>
        <w:t>②</w:t>
      </w:r>
      <w:r>
        <w:rPr>
          <w:rFonts w:hint="eastAsia" w:ascii="宋体" w:hAnsi="宋体" w:cs="宋体"/>
          <w:i w:val="0"/>
          <w:iCs w:val="0"/>
          <w:color w:val="000000"/>
          <w:szCs w:val="20"/>
          <w:lang w:val="zh-CN"/>
        </w:rPr>
        <w:fldChar w:fldCharType="end"/>
      </w:r>
      <w:r>
        <w:rPr>
          <w:rFonts w:hint="eastAsia" w:cs="宋体"/>
          <w:i w:val="0"/>
          <w:iCs w:val="0"/>
          <w:color w:val="000000"/>
          <w:szCs w:val="20"/>
          <w:lang w:val="zh-CN"/>
        </w:rPr>
        <w:t>电气、电讯安全防范措施</w:t>
      </w:r>
    </w:p>
    <w:p>
      <w:pPr>
        <w:spacing w:line="360" w:lineRule="auto"/>
        <w:ind w:firstLine="480" w:firstLineChars="200"/>
        <w:rPr>
          <w:rFonts w:cs="宋体"/>
          <w:i w:val="0"/>
          <w:iCs w:val="0"/>
          <w:color w:val="000000"/>
          <w:szCs w:val="20"/>
          <w:lang w:val="zh-CN"/>
        </w:rPr>
      </w:pPr>
      <w:r>
        <w:rPr>
          <w:rFonts w:hint="eastAsia" w:cs="宋体"/>
          <w:i w:val="0"/>
          <w:iCs w:val="0"/>
          <w:color w:val="000000"/>
          <w:szCs w:val="20"/>
          <w:lang w:val="zh-CN"/>
        </w:rPr>
        <w:t>装置内所有电气、仪表均应选用防腐、防爆型；</w:t>
      </w:r>
    </w:p>
    <w:p>
      <w:pPr>
        <w:spacing w:line="360" w:lineRule="auto"/>
        <w:ind w:firstLine="480" w:firstLineChars="200"/>
        <w:rPr>
          <w:rFonts w:cs="宋体"/>
          <w:i w:val="0"/>
          <w:iCs w:val="0"/>
          <w:color w:val="000000"/>
          <w:szCs w:val="20"/>
          <w:lang w:val="zh-CN"/>
        </w:rPr>
      </w:pPr>
      <w:r>
        <w:rPr>
          <w:rFonts w:hint="eastAsia" w:cs="宋体"/>
          <w:i w:val="0"/>
          <w:iCs w:val="0"/>
          <w:color w:val="000000"/>
          <w:szCs w:val="20"/>
          <w:lang w:val="zh-CN"/>
        </w:rPr>
        <w:t>装置区内的所有仪表联锁及可燃气体检测器定期进行检查和校验；含有易燃气体或液体的罐、塔的基础、机座或外壳、传输高压系统的物料管线、钢制管廊都设有接地防静电设施。生产装置区与罐区防火保护的部位的钢结构均覆盖耐火层，覆盖耐火层后的钢构件的耐火等级不应低于1.5小时。</w:t>
      </w:r>
    </w:p>
    <w:p>
      <w:pPr>
        <w:spacing w:line="360" w:lineRule="auto"/>
        <w:ind w:firstLine="480" w:firstLineChars="200"/>
        <w:rPr>
          <w:rFonts w:cs="宋体"/>
          <w:i w:val="0"/>
          <w:iCs w:val="0"/>
          <w:color w:val="000000"/>
          <w:szCs w:val="20"/>
          <w:lang w:val="zh-CN"/>
        </w:rPr>
      </w:pPr>
      <w:r>
        <w:rPr>
          <w:rFonts w:hint="eastAsia" w:ascii="宋体" w:hAnsi="宋体" w:cs="宋体"/>
          <w:i w:val="0"/>
          <w:iCs w:val="0"/>
          <w:color w:val="000000"/>
          <w:szCs w:val="20"/>
          <w:lang w:val="zh-CN"/>
        </w:rPr>
        <w:fldChar w:fldCharType="begin"/>
      </w:r>
      <w:r>
        <w:rPr>
          <w:rFonts w:hint="eastAsia" w:ascii="宋体" w:hAnsi="宋体" w:cs="宋体"/>
          <w:i w:val="0"/>
          <w:iCs w:val="0"/>
          <w:color w:val="000000"/>
          <w:szCs w:val="20"/>
          <w:lang w:val="zh-CN"/>
        </w:rPr>
        <w:instrText xml:space="preserve"> = 3 \* GB3 \* MERGEFORMAT </w:instrText>
      </w:r>
      <w:r>
        <w:rPr>
          <w:rFonts w:hint="eastAsia" w:ascii="宋体" w:hAnsi="宋体" w:cs="宋体"/>
          <w:i w:val="0"/>
          <w:iCs w:val="0"/>
          <w:color w:val="000000"/>
          <w:szCs w:val="20"/>
          <w:lang w:val="zh-CN"/>
        </w:rPr>
        <w:fldChar w:fldCharType="separate"/>
      </w:r>
      <w:r>
        <w:rPr>
          <w:i w:val="0"/>
          <w:iCs w:val="0"/>
        </w:rPr>
        <w:t>③</w:t>
      </w:r>
      <w:r>
        <w:rPr>
          <w:rFonts w:hint="eastAsia" w:ascii="宋体" w:hAnsi="宋体" w:cs="宋体"/>
          <w:i w:val="0"/>
          <w:iCs w:val="0"/>
          <w:color w:val="000000"/>
          <w:szCs w:val="20"/>
          <w:lang w:val="zh-CN"/>
        </w:rPr>
        <w:fldChar w:fldCharType="end"/>
      </w:r>
      <w:r>
        <w:rPr>
          <w:rFonts w:hint="eastAsia" w:cs="宋体"/>
          <w:i w:val="0"/>
          <w:iCs w:val="0"/>
          <w:color w:val="000000"/>
          <w:szCs w:val="20"/>
          <w:lang w:val="zh-CN"/>
        </w:rPr>
        <w:t>消防及火灾报警系统</w:t>
      </w:r>
    </w:p>
    <w:p>
      <w:pPr>
        <w:spacing w:line="360" w:lineRule="auto"/>
        <w:ind w:firstLine="480" w:firstLineChars="200"/>
        <w:rPr>
          <w:rFonts w:cs="宋体"/>
          <w:i w:val="0"/>
          <w:iCs w:val="0"/>
          <w:color w:val="000000"/>
          <w:szCs w:val="20"/>
          <w:lang w:val="zh-CN"/>
        </w:rPr>
      </w:pPr>
      <w:r>
        <w:rPr>
          <w:rFonts w:hint="eastAsia" w:cs="宋体"/>
          <w:i w:val="0"/>
          <w:iCs w:val="0"/>
          <w:color w:val="000000"/>
          <w:szCs w:val="20"/>
        </w:rPr>
        <w:t>在</w:t>
      </w:r>
      <w:r>
        <w:rPr>
          <w:rFonts w:hint="eastAsia" w:cs="宋体"/>
          <w:i w:val="0"/>
          <w:iCs w:val="0"/>
          <w:color w:val="000000"/>
          <w:szCs w:val="20"/>
          <w:lang w:val="zh-CN"/>
        </w:rPr>
        <w:t>装置</w:t>
      </w:r>
      <w:r>
        <w:rPr>
          <w:rFonts w:hint="eastAsia" w:cs="宋体"/>
          <w:i w:val="0"/>
          <w:iCs w:val="0"/>
          <w:color w:val="000000"/>
          <w:szCs w:val="20"/>
        </w:rPr>
        <w:t>及罐区</w:t>
      </w:r>
      <w:r>
        <w:rPr>
          <w:rFonts w:hint="eastAsia" w:cs="宋体"/>
          <w:i w:val="0"/>
          <w:iCs w:val="0"/>
          <w:color w:val="000000"/>
          <w:szCs w:val="20"/>
          <w:lang w:val="zh-CN"/>
        </w:rPr>
        <w:t>设火灾报警系统，由火灾报警控制器、火灾探测器、手动报警按钮组成。可接收任何一个火灾探测器和手动报警按钮发出的报警信号，并能显示出火灾发生的部位和时间，发出声光报警信号，并具有C</w:t>
      </w:r>
      <w:r>
        <w:rPr>
          <w:rFonts w:cs="宋体"/>
          <w:i w:val="0"/>
          <w:iCs w:val="0"/>
          <w:color w:val="000000"/>
          <w:szCs w:val="20"/>
          <w:lang w:val="zh-CN"/>
        </w:rPr>
        <w:t>O</w:t>
      </w:r>
      <w:r>
        <w:rPr>
          <w:rFonts w:hint="eastAsia" w:cs="宋体"/>
          <w:i w:val="0"/>
          <w:iCs w:val="0"/>
          <w:color w:val="000000"/>
          <w:szCs w:val="20"/>
          <w:vertAlign w:val="subscript"/>
          <w:lang w:val="zh-CN"/>
        </w:rPr>
        <w:t>2</w:t>
      </w:r>
      <w:r>
        <w:rPr>
          <w:rFonts w:hint="eastAsia" w:cs="宋体"/>
          <w:i w:val="0"/>
          <w:iCs w:val="0"/>
          <w:color w:val="000000"/>
          <w:szCs w:val="20"/>
          <w:lang w:val="zh-CN"/>
        </w:rPr>
        <w:t>自动灭火设备连动功能。在正常情况下，火灾报警控制器具有故障自检功能和UPS不间断电源。</w:t>
      </w:r>
      <w:r>
        <w:rPr>
          <w:rFonts w:hint="eastAsia" w:cs="宋体"/>
          <w:i w:val="0"/>
          <w:iCs w:val="0"/>
          <w:color w:val="000000"/>
          <w:szCs w:val="20"/>
        </w:rPr>
        <w:t>在</w:t>
      </w:r>
      <w:r>
        <w:rPr>
          <w:rFonts w:hint="eastAsia" w:cs="宋体"/>
          <w:i w:val="0"/>
          <w:iCs w:val="0"/>
          <w:color w:val="000000"/>
          <w:szCs w:val="20"/>
          <w:lang w:val="zh-CN"/>
        </w:rPr>
        <w:t>装置</w:t>
      </w:r>
      <w:r>
        <w:rPr>
          <w:rFonts w:hint="eastAsia" w:cs="宋体"/>
          <w:i w:val="0"/>
          <w:iCs w:val="0"/>
          <w:color w:val="000000"/>
          <w:szCs w:val="20"/>
        </w:rPr>
        <w:t>区及罐区</w:t>
      </w:r>
      <w:r>
        <w:rPr>
          <w:rFonts w:hint="eastAsia" w:cs="宋体"/>
          <w:i w:val="0"/>
          <w:iCs w:val="0"/>
          <w:color w:val="000000"/>
          <w:szCs w:val="20"/>
          <w:lang w:val="zh-CN"/>
        </w:rPr>
        <w:t>内设有水消防、泡沫消防、蒸汽消防、</w:t>
      </w:r>
      <w:r>
        <w:rPr>
          <w:rFonts w:hint="eastAsia" w:cs="宋体"/>
          <w:i w:val="0"/>
          <w:iCs w:val="0"/>
          <w:color w:val="000000"/>
          <w:szCs w:val="20"/>
        </w:rPr>
        <w:t>C</w:t>
      </w:r>
      <w:r>
        <w:rPr>
          <w:rFonts w:cs="宋体"/>
          <w:i w:val="0"/>
          <w:iCs w:val="0"/>
          <w:color w:val="000000"/>
          <w:szCs w:val="20"/>
        </w:rPr>
        <w:t>O</w:t>
      </w:r>
      <w:r>
        <w:rPr>
          <w:rFonts w:hint="eastAsia" w:cs="宋体"/>
          <w:i w:val="0"/>
          <w:iCs w:val="0"/>
          <w:color w:val="000000"/>
          <w:szCs w:val="20"/>
          <w:vertAlign w:val="subscript"/>
        </w:rPr>
        <w:t>2</w:t>
      </w:r>
      <w:r>
        <w:rPr>
          <w:rFonts w:hint="eastAsia" w:cs="宋体"/>
          <w:i w:val="0"/>
          <w:iCs w:val="0"/>
          <w:color w:val="000000"/>
          <w:szCs w:val="20"/>
          <w:lang w:val="zh-CN"/>
        </w:rPr>
        <w:t>消防、移动式灭火器和自动报警等系统。</w:t>
      </w:r>
    </w:p>
    <w:p>
      <w:pPr>
        <w:spacing w:line="360" w:lineRule="auto"/>
        <w:ind w:firstLine="480" w:firstLineChars="200"/>
        <w:rPr>
          <w:rFonts w:cs="宋体"/>
          <w:i w:val="0"/>
          <w:iCs w:val="0"/>
          <w:color w:val="000000"/>
          <w:szCs w:val="20"/>
          <w:lang w:val="zh-CN"/>
        </w:rPr>
      </w:pPr>
      <w:r>
        <w:rPr>
          <w:rFonts w:hint="eastAsia" w:cs="宋体"/>
          <w:i w:val="0"/>
          <w:iCs w:val="0"/>
          <w:color w:val="000000"/>
          <w:szCs w:val="20"/>
          <w:lang w:val="zh-CN"/>
        </w:rPr>
        <w:t>罐区设固定泡沫灭火装置和高低液位报警，罐区周围设环形消防道路，环形消防水管网，罐区泵房和装车站备有灭火器，设半固定式灭火系统，并设有砖混防火堤，在微机房内采用化学方法自动灭火。</w:t>
      </w:r>
    </w:p>
    <w:p>
      <w:pPr>
        <w:spacing w:line="360" w:lineRule="auto"/>
        <w:ind w:firstLine="480" w:firstLineChars="200"/>
        <w:rPr>
          <w:i w:val="0"/>
          <w:iCs w:val="0"/>
          <w:color w:val="000000"/>
          <w:szCs w:val="28"/>
        </w:rPr>
      </w:pPr>
      <w:r>
        <w:rPr>
          <w:i w:val="0"/>
          <w:iCs w:val="0"/>
          <w:color w:val="000000"/>
          <w:szCs w:val="28"/>
        </w:rPr>
        <w:t>2、运行及管理上采取的防范措施</w:t>
      </w:r>
    </w:p>
    <w:p>
      <w:pPr>
        <w:spacing w:line="360" w:lineRule="auto"/>
        <w:ind w:firstLine="480" w:firstLineChars="200"/>
        <w:rPr>
          <w:i w:val="0"/>
          <w:iCs w:val="0"/>
          <w:color w:val="000000"/>
          <w:szCs w:val="20"/>
          <w:lang w:val="zh-CN"/>
        </w:rPr>
      </w:pPr>
      <w:r>
        <w:rPr>
          <w:i w:val="0"/>
          <w:iCs w:val="0"/>
          <w:color w:val="000000"/>
          <w:szCs w:val="20"/>
          <w:lang w:val="zh-CN"/>
        </w:rPr>
        <w:t>（</w:t>
      </w:r>
      <w:r>
        <w:rPr>
          <w:i w:val="0"/>
          <w:iCs w:val="0"/>
          <w:color w:val="000000"/>
          <w:szCs w:val="20"/>
        </w:rPr>
        <w:t>1</w:t>
      </w:r>
      <w:r>
        <w:rPr>
          <w:i w:val="0"/>
          <w:iCs w:val="0"/>
          <w:color w:val="000000"/>
          <w:szCs w:val="20"/>
          <w:lang w:val="zh-CN"/>
        </w:rPr>
        <w:t>）本项目运行期间（建设期、投产后运营期）制定HSE管理体系规划、防止突发性事故发生。</w:t>
      </w:r>
    </w:p>
    <w:p>
      <w:pPr>
        <w:spacing w:line="360" w:lineRule="auto"/>
        <w:ind w:firstLine="480" w:firstLineChars="200"/>
        <w:rPr>
          <w:i w:val="0"/>
          <w:iCs w:val="0"/>
          <w:color w:val="000000"/>
          <w:szCs w:val="20"/>
          <w:lang w:val="zh-CN"/>
        </w:rPr>
      </w:pPr>
      <w:r>
        <w:rPr>
          <w:i w:val="0"/>
          <w:iCs w:val="0"/>
          <w:color w:val="000000"/>
          <w:szCs w:val="20"/>
          <w:lang w:val="zh-CN"/>
        </w:rPr>
        <w:t>（</w:t>
      </w:r>
      <w:r>
        <w:rPr>
          <w:i w:val="0"/>
          <w:iCs w:val="0"/>
          <w:color w:val="000000"/>
          <w:szCs w:val="20"/>
        </w:rPr>
        <w:t>2</w:t>
      </w:r>
      <w:r>
        <w:rPr>
          <w:i w:val="0"/>
          <w:iCs w:val="0"/>
          <w:color w:val="000000"/>
          <w:szCs w:val="20"/>
          <w:lang w:val="zh-CN"/>
        </w:rPr>
        <w:t>）建立与现有安全管理体系完全接轨的管理组织机构，并设专职管理人员。</w:t>
      </w:r>
    </w:p>
    <w:p>
      <w:pPr>
        <w:spacing w:line="360" w:lineRule="auto"/>
        <w:ind w:firstLine="480" w:firstLineChars="200"/>
        <w:rPr>
          <w:i w:val="0"/>
          <w:iCs w:val="0"/>
          <w:color w:val="000000"/>
          <w:szCs w:val="20"/>
          <w:lang w:val="zh-CN"/>
        </w:rPr>
      </w:pPr>
      <w:r>
        <w:rPr>
          <w:i w:val="0"/>
          <w:iCs w:val="0"/>
          <w:color w:val="000000"/>
          <w:szCs w:val="20"/>
          <w:lang w:val="zh-CN"/>
        </w:rPr>
        <w:t>（</w:t>
      </w:r>
      <w:r>
        <w:rPr>
          <w:i w:val="0"/>
          <w:iCs w:val="0"/>
          <w:color w:val="000000"/>
          <w:szCs w:val="20"/>
        </w:rPr>
        <w:t>3</w:t>
      </w:r>
      <w:r>
        <w:rPr>
          <w:i w:val="0"/>
          <w:iCs w:val="0"/>
          <w:color w:val="000000"/>
          <w:szCs w:val="20"/>
          <w:lang w:val="zh-CN"/>
        </w:rPr>
        <w:t>）编制《安全规程技术手册》。</w:t>
      </w:r>
    </w:p>
    <w:p>
      <w:pPr>
        <w:spacing w:line="360" w:lineRule="auto"/>
        <w:ind w:firstLine="480" w:firstLineChars="200"/>
        <w:rPr>
          <w:i w:val="0"/>
          <w:iCs w:val="0"/>
          <w:color w:val="000000"/>
          <w:szCs w:val="20"/>
          <w:lang w:val="zh-CN"/>
        </w:rPr>
      </w:pPr>
      <w:r>
        <w:rPr>
          <w:i w:val="0"/>
          <w:iCs w:val="0"/>
          <w:color w:val="000000"/>
          <w:szCs w:val="20"/>
          <w:lang w:val="zh-CN"/>
        </w:rPr>
        <w:t>（</w:t>
      </w:r>
      <w:r>
        <w:rPr>
          <w:i w:val="0"/>
          <w:iCs w:val="0"/>
          <w:color w:val="000000"/>
          <w:szCs w:val="20"/>
        </w:rPr>
        <w:t>4</w:t>
      </w:r>
      <w:r>
        <w:rPr>
          <w:i w:val="0"/>
          <w:iCs w:val="0"/>
          <w:color w:val="000000"/>
          <w:szCs w:val="20"/>
          <w:lang w:val="zh-CN"/>
        </w:rPr>
        <w:t>）加强教育以提高工作人员的责任心和工作主动性。</w:t>
      </w:r>
    </w:p>
    <w:p>
      <w:pPr>
        <w:spacing w:line="360" w:lineRule="auto"/>
        <w:ind w:firstLine="480" w:firstLineChars="200"/>
        <w:rPr>
          <w:i w:val="0"/>
          <w:iCs w:val="0"/>
          <w:color w:val="000000"/>
          <w:szCs w:val="20"/>
          <w:lang w:val="zh-CN"/>
        </w:rPr>
      </w:pPr>
      <w:r>
        <w:rPr>
          <w:i w:val="0"/>
          <w:iCs w:val="0"/>
          <w:color w:val="000000"/>
          <w:szCs w:val="20"/>
          <w:lang w:val="zh-CN"/>
        </w:rPr>
        <w:t>（</w:t>
      </w:r>
      <w:r>
        <w:rPr>
          <w:i w:val="0"/>
          <w:iCs w:val="0"/>
          <w:color w:val="000000"/>
          <w:szCs w:val="20"/>
        </w:rPr>
        <w:t>5</w:t>
      </w:r>
      <w:r>
        <w:rPr>
          <w:i w:val="0"/>
          <w:iCs w:val="0"/>
          <w:color w:val="000000"/>
          <w:szCs w:val="20"/>
          <w:lang w:val="zh-CN"/>
        </w:rPr>
        <w:t>）操作人员要进行岗位系统培训，熟练工作岗位责任、规程、加强岗位责任制。</w:t>
      </w:r>
    </w:p>
    <w:p>
      <w:pPr>
        <w:spacing w:line="360" w:lineRule="auto"/>
        <w:ind w:firstLine="480" w:firstLineChars="200"/>
        <w:rPr>
          <w:i w:val="0"/>
          <w:iCs w:val="0"/>
          <w:color w:val="000000"/>
          <w:szCs w:val="20"/>
          <w:lang w:val="zh-CN"/>
        </w:rPr>
      </w:pPr>
      <w:r>
        <w:rPr>
          <w:i w:val="0"/>
          <w:iCs w:val="0"/>
          <w:color w:val="000000"/>
          <w:szCs w:val="20"/>
          <w:lang w:val="zh-CN"/>
        </w:rPr>
        <w:t>（</w:t>
      </w:r>
      <w:r>
        <w:rPr>
          <w:i w:val="0"/>
          <w:iCs w:val="0"/>
          <w:color w:val="000000"/>
          <w:szCs w:val="20"/>
        </w:rPr>
        <w:t>6</w:t>
      </w:r>
      <w:r>
        <w:rPr>
          <w:i w:val="0"/>
          <w:iCs w:val="0"/>
          <w:color w:val="000000"/>
          <w:szCs w:val="20"/>
          <w:lang w:val="zh-CN"/>
        </w:rPr>
        <w:t>）严格遵守开、停车规程。</w:t>
      </w:r>
    </w:p>
    <w:p>
      <w:pPr>
        <w:spacing w:line="360" w:lineRule="auto"/>
        <w:ind w:firstLine="480" w:firstLineChars="200"/>
        <w:rPr>
          <w:i w:val="0"/>
          <w:iCs w:val="0"/>
          <w:color w:val="000000"/>
          <w:szCs w:val="20"/>
          <w:lang w:val="zh-CN"/>
        </w:rPr>
      </w:pPr>
      <w:r>
        <w:rPr>
          <w:i w:val="0"/>
          <w:iCs w:val="0"/>
          <w:color w:val="000000"/>
          <w:szCs w:val="20"/>
          <w:lang w:val="zh-CN"/>
        </w:rPr>
        <w:t>（</w:t>
      </w:r>
      <w:r>
        <w:rPr>
          <w:i w:val="0"/>
          <w:iCs w:val="0"/>
          <w:color w:val="000000"/>
          <w:szCs w:val="20"/>
        </w:rPr>
        <w:t>7</w:t>
      </w:r>
      <w:r>
        <w:rPr>
          <w:i w:val="0"/>
          <w:iCs w:val="0"/>
          <w:color w:val="000000"/>
          <w:szCs w:val="20"/>
          <w:lang w:val="zh-CN"/>
        </w:rPr>
        <w:t>）对事故易发部位、易泄漏地点，除本岗位工人及时检查外，设安全员巡检。</w:t>
      </w:r>
    </w:p>
    <w:p>
      <w:pPr>
        <w:spacing w:line="360" w:lineRule="auto"/>
        <w:ind w:firstLine="480" w:firstLineChars="200"/>
        <w:rPr>
          <w:i w:val="0"/>
          <w:iCs w:val="0"/>
          <w:color w:val="000000"/>
          <w:szCs w:val="20"/>
          <w:lang w:val="zh-CN"/>
        </w:rPr>
      </w:pPr>
      <w:r>
        <w:rPr>
          <w:i w:val="0"/>
          <w:iCs w:val="0"/>
          <w:color w:val="000000"/>
          <w:szCs w:val="20"/>
          <w:lang w:val="zh-CN"/>
        </w:rPr>
        <w:t>（</w:t>
      </w:r>
      <w:r>
        <w:rPr>
          <w:i w:val="0"/>
          <w:iCs w:val="0"/>
          <w:color w:val="000000"/>
          <w:szCs w:val="20"/>
        </w:rPr>
        <w:t>8</w:t>
      </w:r>
      <w:r>
        <w:rPr>
          <w:i w:val="0"/>
          <w:iCs w:val="0"/>
          <w:color w:val="000000"/>
          <w:szCs w:val="20"/>
          <w:lang w:val="zh-CN"/>
        </w:rPr>
        <w:t>）严禁明火、如需动火，应按规章申办动火批件，并应有严格安全措施，经检查可行后方可动火。</w:t>
      </w:r>
    </w:p>
    <w:p>
      <w:pPr>
        <w:spacing w:line="360" w:lineRule="auto"/>
        <w:ind w:firstLine="434" w:firstLineChars="181"/>
        <w:rPr>
          <w:i w:val="0"/>
          <w:iCs w:val="0"/>
          <w:color w:val="000000"/>
          <w:szCs w:val="28"/>
        </w:rPr>
      </w:pPr>
      <w:r>
        <w:rPr>
          <w:i w:val="0"/>
          <w:iCs w:val="0"/>
          <w:color w:val="000000"/>
          <w:szCs w:val="28"/>
        </w:rPr>
        <w:t>3、储存应采取的防范措施</w:t>
      </w:r>
    </w:p>
    <w:p>
      <w:pPr>
        <w:spacing w:line="360" w:lineRule="auto"/>
        <w:ind w:firstLine="480" w:firstLineChars="200"/>
        <w:rPr>
          <w:i w:val="0"/>
          <w:iCs w:val="0"/>
          <w:color w:val="000000"/>
          <w:szCs w:val="20"/>
          <w:lang w:val="zh-CN"/>
        </w:rPr>
      </w:pPr>
      <w:r>
        <w:rPr>
          <w:i w:val="0"/>
          <w:iCs w:val="0"/>
          <w:color w:val="000000"/>
          <w:szCs w:val="20"/>
          <w:lang w:val="zh-CN"/>
        </w:rPr>
        <w:t>（</w:t>
      </w:r>
      <w:r>
        <w:rPr>
          <w:i w:val="0"/>
          <w:iCs w:val="0"/>
          <w:color w:val="000000"/>
          <w:szCs w:val="20"/>
        </w:rPr>
        <w:t>1</w:t>
      </w:r>
      <w:r>
        <w:rPr>
          <w:i w:val="0"/>
          <w:iCs w:val="0"/>
          <w:color w:val="000000"/>
          <w:szCs w:val="20"/>
          <w:lang w:val="zh-CN"/>
        </w:rPr>
        <w:t>）机车运送物料时，应加挂隔离车，进库时要分别戴防火帽和排气防火罩。基本对位后要脱钩固定，防止溜车。未发出行进信号，不得取送车。取送车的时速不宜超过5km/h，接近罐车时不宜超过2km/h，不得越过停车标志，禁止在消防通道干道道口处停车。汽车入库要戴防火罩，接地拖刷应可靠触地。</w:t>
      </w:r>
    </w:p>
    <w:p>
      <w:pPr>
        <w:spacing w:line="360" w:lineRule="auto"/>
        <w:ind w:firstLine="480" w:firstLineChars="200"/>
        <w:rPr>
          <w:i w:val="0"/>
          <w:iCs w:val="0"/>
          <w:color w:val="000000"/>
          <w:szCs w:val="20"/>
          <w:lang w:val="zh-CN"/>
        </w:rPr>
      </w:pPr>
      <w:r>
        <w:rPr>
          <w:i w:val="0"/>
          <w:iCs w:val="0"/>
          <w:color w:val="000000"/>
          <w:szCs w:val="20"/>
          <w:lang w:val="zh-CN"/>
        </w:rPr>
        <w:t>（</w:t>
      </w:r>
      <w:r>
        <w:rPr>
          <w:i w:val="0"/>
          <w:iCs w:val="0"/>
          <w:color w:val="000000"/>
          <w:szCs w:val="20"/>
        </w:rPr>
        <w:t>2</w:t>
      </w:r>
      <w:r>
        <w:rPr>
          <w:i w:val="0"/>
          <w:iCs w:val="0"/>
          <w:color w:val="000000"/>
          <w:szCs w:val="20"/>
          <w:lang w:val="zh-CN"/>
        </w:rPr>
        <w:t>）作业人员应穿戴防静电服装和鞋帽，不使用碰击能产生火花的工具，活动照明要使用防爆手电筒。</w:t>
      </w:r>
    </w:p>
    <w:p>
      <w:pPr>
        <w:spacing w:line="360" w:lineRule="auto"/>
        <w:ind w:firstLine="480" w:firstLineChars="200"/>
        <w:rPr>
          <w:i w:val="0"/>
          <w:iCs w:val="0"/>
          <w:color w:val="000000"/>
          <w:szCs w:val="20"/>
          <w:lang w:val="zh-CN"/>
        </w:rPr>
      </w:pPr>
      <w:r>
        <w:rPr>
          <w:i w:val="0"/>
          <w:iCs w:val="0"/>
          <w:color w:val="000000"/>
          <w:szCs w:val="20"/>
          <w:lang w:val="zh-CN"/>
        </w:rPr>
        <w:t>（</w:t>
      </w:r>
      <w:r>
        <w:rPr>
          <w:i w:val="0"/>
          <w:iCs w:val="0"/>
          <w:color w:val="000000"/>
          <w:szCs w:val="20"/>
        </w:rPr>
        <w:t>3</w:t>
      </w:r>
      <w:r>
        <w:rPr>
          <w:i w:val="0"/>
          <w:iCs w:val="0"/>
          <w:color w:val="000000"/>
          <w:szCs w:val="20"/>
          <w:lang w:val="zh-CN"/>
        </w:rPr>
        <w:t>）鹤管或输料臂装料时要插至底部，如采用分层卸料时应有人巡察监守，随液面降低，进料口也相应下降，避免吸入空气。</w:t>
      </w:r>
    </w:p>
    <w:p>
      <w:pPr>
        <w:spacing w:line="360" w:lineRule="auto"/>
        <w:ind w:firstLine="480" w:firstLineChars="200"/>
        <w:rPr>
          <w:rFonts w:cs="宋体"/>
          <w:i w:val="0"/>
          <w:iCs w:val="0"/>
          <w:color w:val="000000"/>
          <w:szCs w:val="20"/>
          <w:lang w:val="zh-CN"/>
        </w:rPr>
      </w:pPr>
      <w:r>
        <w:rPr>
          <w:i w:val="0"/>
          <w:iCs w:val="0"/>
          <w:color w:val="000000"/>
          <w:szCs w:val="20"/>
          <w:lang w:val="zh-CN"/>
        </w:rPr>
        <w:t>（</w:t>
      </w:r>
      <w:r>
        <w:rPr>
          <w:i w:val="0"/>
          <w:iCs w:val="0"/>
          <w:color w:val="000000"/>
          <w:szCs w:val="20"/>
        </w:rPr>
        <w:t>4</w:t>
      </w:r>
      <w:r>
        <w:rPr>
          <w:i w:val="0"/>
          <w:iCs w:val="0"/>
          <w:color w:val="000000"/>
          <w:szCs w:val="20"/>
          <w:lang w:val="zh-CN"/>
        </w:rPr>
        <w:t>）罐车卸料时，应按设计控制的流速，开够同时工作的鹤管数目，临近卸料完毕要严格监视，及时关闭阀门，既要避免残留料过多，又要防止吸入气体</w:t>
      </w:r>
      <w:r>
        <w:rPr>
          <w:rFonts w:hint="eastAsia" w:cs="宋体"/>
          <w:i w:val="0"/>
          <w:iCs w:val="0"/>
          <w:color w:val="000000"/>
          <w:szCs w:val="20"/>
          <w:lang w:val="zh-CN"/>
        </w:rPr>
        <w:t>。</w:t>
      </w:r>
    </w:p>
    <w:p>
      <w:pPr>
        <w:spacing w:line="360" w:lineRule="auto"/>
        <w:ind w:firstLine="480" w:firstLineChars="200"/>
        <w:rPr>
          <w:i w:val="0"/>
          <w:iCs w:val="0"/>
          <w:color w:val="000000"/>
          <w:szCs w:val="28"/>
        </w:rPr>
      </w:pPr>
      <w:r>
        <w:rPr>
          <w:i w:val="0"/>
          <w:iCs w:val="0"/>
          <w:color w:val="000000"/>
          <w:szCs w:val="28"/>
        </w:rPr>
        <w:t>4、其他预防措施</w:t>
      </w:r>
    </w:p>
    <w:p>
      <w:pPr>
        <w:spacing w:line="360" w:lineRule="auto"/>
        <w:ind w:firstLine="480" w:firstLineChars="200"/>
        <w:rPr>
          <w:rFonts w:cs="宋体"/>
          <w:i w:val="0"/>
          <w:iCs w:val="0"/>
          <w:color w:val="000000"/>
          <w:szCs w:val="20"/>
          <w:lang w:val="zh-CN"/>
        </w:rPr>
      </w:pPr>
      <w:r>
        <w:rPr>
          <w:rFonts w:hint="eastAsia" w:cs="宋体"/>
          <w:i w:val="0"/>
          <w:iCs w:val="0"/>
          <w:color w:val="000000"/>
          <w:szCs w:val="20"/>
          <w:lang w:val="zh-CN"/>
        </w:rPr>
        <w:t>除上述防爆、防火、防静电为主的预防措施外，为保护人身和生产安全，尚需有必要的安全措施：</w:t>
      </w:r>
    </w:p>
    <w:p>
      <w:pPr>
        <w:spacing w:line="360" w:lineRule="auto"/>
        <w:ind w:firstLine="480" w:firstLineChars="200"/>
        <w:rPr>
          <w:rFonts w:cs="宋体"/>
          <w:i w:val="0"/>
          <w:iCs w:val="0"/>
          <w:color w:val="000000"/>
          <w:szCs w:val="20"/>
          <w:lang w:val="zh-CN"/>
        </w:rPr>
      </w:pPr>
      <w:r>
        <w:rPr>
          <w:rFonts w:hint="eastAsia" w:ascii="宋体" w:hAnsi="宋体" w:cs="宋体"/>
          <w:i w:val="0"/>
          <w:iCs w:val="0"/>
          <w:color w:val="000000"/>
          <w:szCs w:val="20"/>
          <w:lang w:val="zh-CN"/>
        </w:rPr>
        <w:t>①</w:t>
      </w:r>
      <w:r>
        <w:rPr>
          <w:rFonts w:hint="eastAsia" w:cs="宋体"/>
          <w:i w:val="0"/>
          <w:iCs w:val="0"/>
          <w:color w:val="000000"/>
          <w:szCs w:val="20"/>
          <w:lang w:val="zh-CN"/>
        </w:rPr>
        <w:t>为保证冬季仪表安全运行，仪表需采取伴热措施，以保证DCS控制系统可靠运行，对温度、压力及其变化按要求进行控制。</w:t>
      </w:r>
    </w:p>
    <w:p>
      <w:pPr>
        <w:spacing w:line="360" w:lineRule="auto"/>
        <w:ind w:firstLine="480" w:firstLineChars="200"/>
        <w:rPr>
          <w:rFonts w:cs="宋体"/>
          <w:i w:val="0"/>
          <w:iCs w:val="0"/>
          <w:color w:val="000000"/>
          <w:szCs w:val="20"/>
          <w:lang w:val="zh-CN"/>
        </w:rPr>
      </w:pPr>
      <w:r>
        <w:rPr>
          <w:rFonts w:hint="eastAsia" w:ascii="宋体" w:hAnsi="宋体" w:cs="宋体"/>
          <w:i w:val="0"/>
          <w:iCs w:val="0"/>
          <w:color w:val="000000"/>
          <w:szCs w:val="20"/>
          <w:lang w:val="zh-CN"/>
        </w:rPr>
        <w:t>②</w:t>
      </w:r>
      <w:r>
        <w:rPr>
          <w:rFonts w:hint="eastAsia" w:cs="宋体"/>
          <w:i w:val="0"/>
          <w:iCs w:val="0"/>
          <w:color w:val="000000"/>
          <w:szCs w:val="20"/>
          <w:lang w:val="zh-CN"/>
        </w:rPr>
        <w:t>车间、工人休息室等设相应的采暖、通风设施以保证工人不受有害气体影响和防止车间设备过热或结露。</w:t>
      </w:r>
    </w:p>
    <w:p>
      <w:pPr>
        <w:spacing w:line="360" w:lineRule="auto"/>
        <w:ind w:firstLine="480" w:firstLineChars="200"/>
        <w:rPr>
          <w:rFonts w:cs="宋体"/>
          <w:i w:val="0"/>
          <w:iCs w:val="0"/>
          <w:color w:val="000000"/>
          <w:szCs w:val="20"/>
          <w:lang w:val="zh-CN"/>
        </w:rPr>
      </w:pPr>
      <w:r>
        <w:rPr>
          <w:rFonts w:hint="eastAsia" w:ascii="宋体" w:hAnsi="宋体" w:cs="宋体"/>
          <w:i w:val="0"/>
          <w:iCs w:val="0"/>
          <w:color w:val="000000"/>
          <w:szCs w:val="20"/>
          <w:lang w:val="zh-CN"/>
        </w:rPr>
        <w:t>③</w:t>
      </w:r>
      <w:r>
        <w:rPr>
          <w:rFonts w:hint="eastAsia" w:cs="宋体"/>
          <w:i w:val="0"/>
          <w:iCs w:val="0"/>
          <w:color w:val="000000"/>
          <w:szCs w:val="20"/>
          <w:lang w:val="zh-CN"/>
        </w:rPr>
        <w:t>必须强调管理工作对预防事故的重要作用，工厂设计、工艺设计和工艺控制监测等必须纳入预防事故的工作中。同时提高自动化水平，保证装置在优化和安全状态下进行操作。</w:t>
      </w:r>
    </w:p>
    <w:p>
      <w:pPr>
        <w:spacing w:line="360" w:lineRule="auto"/>
        <w:ind w:firstLine="480" w:firstLineChars="200"/>
        <w:rPr>
          <w:rFonts w:cs="宋体"/>
          <w:i w:val="0"/>
          <w:iCs w:val="0"/>
          <w:color w:val="000000"/>
          <w:szCs w:val="20"/>
          <w:lang w:val="zh-CN"/>
        </w:rPr>
      </w:pPr>
      <w:r>
        <w:rPr>
          <w:rFonts w:hint="eastAsia" w:ascii="宋体" w:hAnsi="宋体" w:cs="宋体"/>
          <w:i w:val="0"/>
          <w:iCs w:val="0"/>
          <w:color w:val="000000"/>
          <w:szCs w:val="20"/>
          <w:lang w:val="zh-CN"/>
        </w:rPr>
        <w:t>④</w:t>
      </w:r>
      <w:r>
        <w:rPr>
          <w:rFonts w:hint="eastAsia" w:cs="宋体"/>
          <w:i w:val="0"/>
          <w:iCs w:val="0"/>
          <w:color w:val="000000"/>
          <w:szCs w:val="20"/>
          <w:lang w:val="zh-CN"/>
        </w:rPr>
        <w:t>对具有较大危险因素的重点部位进行必要的安全监督。</w:t>
      </w:r>
    </w:p>
    <w:p>
      <w:pPr>
        <w:spacing w:line="360" w:lineRule="auto"/>
        <w:ind w:firstLine="480" w:firstLineChars="200"/>
        <w:rPr>
          <w:rFonts w:cs="宋体"/>
          <w:i w:val="0"/>
          <w:iCs w:val="0"/>
          <w:color w:val="000000"/>
          <w:szCs w:val="20"/>
          <w:lang w:val="zh-CN"/>
        </w:rPr>
      </w:pPr>
      <w:r>
        <w:rPr>
          <w:rFonts w:hint="eastAsia" w:ascii="宋体" w:hAnsi="宋体" w:cs="宋体"/>
          <w:i w:val="0"/>
          <w:iCs w:val="0"/>
          <w:color w:val="000000"/>
          <w:szCs w:val="20"/>
          <w:lang w:val="zh-CN"/>
        </w:rPr>
        <w:t>⑤</w:t>
      </w:r>
      <w:r>
        <w:rPr>
          <w:rFonts w:hint="eastAsia" w:cs="宋体"/>
          <w:i w:val="0"/>
          <w:iCs w:val="0"/>
          <w:color w:val="000000"/>
          <w:szCs w:val="20"/>
          <w:lang w:val="zh-CN"/>
        </w:rPr>
        <w:t>总结经验，吸取教训。对各种典型的事故要注意研究，充分吸取教训，并注意在技术措施上的改进和防范，从技术、工艺和管理方法三方面入手，采取综合措施，尽可能减少人为的繁琐操作。</w:t>
      </w:r>
    </w:p>
    <w:p>
      <w:pPr>
        <w:widowControl/>
        <w:spacing w:line="360" w:lineRule="auto"/>
        <w:ind w:firstLine="480" w:firstLineChars="200"/>
        <w:rPr>
          <w:i w:val="0"/>
          <w:iCs w:val="0"/>
          <w:color w:val="000000"/>
          <w:szCs w:val="20"/>
        </w:rPr>
      </w:pPr>
      <w:r>
        <w:rPr>
          <w:rFonts w:hint="eastAsia" w:cs="宋体"/>
          <w:i w:val="0"/>
          <w:iCs w:val="0"/>
          <w:color w:val="000000"/>
          <w:szCs w:val="20"/>
          <w:lang w:val="zh-CN"/>
        </w:rPr>
        <w:t>本项目罐区及生产装置区应由专人负责巡视、检查，如发现事故隐患，应立即处理。</w:t>
      </w:r>
    </w:p>
    <w:p>
      <w:pPr>
        <w:spacing w:line="360" w:lineRule="auto"/>
        <w:ind w:firstLine="480" w:firstLineChars="200"/>
        <w:rPr>
          <w:i w:val="0"/>
          <w:iCs w:val="0"/>
          <w:color w:val="000000"/>
          <w:szCs w:val="28"/>
        </w:rPr>
      </w:pPr>
      <w:r>
        <w:rPr>
          <w:i w:val="0"/>
          <w:iCs w:val="0"/>
          <w:color w:val="000000"/>
          <w:szCs w:val="28"/>
        </w:rPr>
        <w:t>5、危险物质泄露及火灾事故风险防范措施</w:t>
      </w:r>
    </w:p>
    <w:p>
      <w:pPr>
        <w:spacing w:line="360" w:lineRule="auto"/>
        <w:ind w:firstLine="480" w:firstLineChars="200"/>
        <w:rPr>
          <w:rFonts w:cs="宋体"/>
          <w:i w:val="0"/>
          <w:iCs w:val="0"/>
          <w:color w:val="000000"/>
          <w:szCs w:val="20"/>
          <w:lang w:val="zh-CN"/>
        </w:rPr>
      </w:pPr>
      <w:r>
        <w:rPr>
          <w:rFonts w:hint="eastAsia" w:ascii="宋体" w:hAnsi="宋体" w:cs="宋体"/>
          <w:i w:val="0"/>
          <w:iCs w:val="0"/>
          <w:color w:val="000000"/>
          <w:szCs w:val="20"/>
          <w:lang w:val="zh-CN"/>
        </w:rPr>
        <w:t>①</w:t>
      </w:r>
      <w:r>
        <w:rPr>
          <w:rFonts w:hint="eastAsia" w:cs="宋体"/>
          <w:i w:val="0"/>
          <w:iCs w:val="0"/>
          <w:color w:val="000000"/>
          <w:szCs w:val="20"/>
          <w:lang w:val="zh-CN"/>
        </w:rPr>
        <w:t>发现事故；</w:t>
      </w:r>
    </w:p>
    <w:p>
      <w:pPr>
        <w:spacing w:line="360" w:lineRule="auto"/>
        <w:ind w:firstLine="480" w:firstLineChars="200"/>
        <w:rPr>
          <w:rFonts w:cs="宋体"/>
          <w:i w:val="0"/>
          <w:iCs w:val="0"/>
          <w:color w:val="000000"/>
          <w:szCs w:val="20"/>
          <w:lang w:val="zh-CN"/>
        </w:rPr>
      </w:pPr>
      <w:r>
        <w:rPr>
          <w:rFonts w:hint="eastAsia" w:ascii="宋体" w:hAnsi="宋体" w:cs="宋体"/>
          <w:i w:val="0"/>
          <w:iCs w:val="0"/>
          <w:color w:val="000000"/>
          <w:szCs w:val="20"/>
          <w:lang w:val="zh-CN"/>
        </w:rPr>
        <w:t>②</w:t>
      </w:r>
      <w:r>
        <w:rPr>
          <w:rFonts w:hint="eastAsia" w:cs="宋体"/>
          <w:i w:val="0"/>
          <w:iCs w:val="0"/>
          <w:color w:val="000000"/>
          <w:szCs w:val="20"/>
          <w:lang w:val="zh-CN"/>
        </w:rPr>
        <w:t>拨打公司应急领导小组电话，视情况拨打119报告两家子镇消防中队、两家子镇120医疗援救中心；告知两家子镇预警，两家子镇应急预案进入准备启动状态；</w:t>
      </w:r>
    </w:p>
    <w:p>
      <w:pPr>
        <w:spacing w:line="360" w:lineRule="auto"/>
        <w:ind w:firstLine="480" w:firstLineChars="200"/>
        <w:rPr>
          <w:rFonts w:cs="宋体"/>
          <w:i w:val="0"/>
          <w:iCs w:val="0"/>
          <w:color w:val="000000"/>
          <w:szCs w:val="20"/>
          <w:lang w:val="zh-CN"/>
        </w:rPr>
      </w:pPr>
      <w:r>
        <w:rPr>
          <w:rFonts w:hint="eastAsia" w:ascii="宋体" w:hAnsi="宋体" w:cs="宋体"/>
          <w:i w:val="0"/>
          <w:iCs w:val="0"/>
          <w:color w:val="000000"/>
          <w:szCs w:val="20"/>
          <w:lang w:val="zh-CN"/>
        </w:rPr>
        <w:t>③</w:t>
      </w:r>
      <w:r>
        <w:rPr>
          <w:rFonts w:hint="eastAsia" w:cs="宋体"/>
          <w:i w:val="0"/>
          <w:iCs w:val="0"/>
          <w:color w:val="000000"/>
          <w:szCs w:val="20"/>
          <w:lang w:val="zh-CN"/>
        </w:rPr>
        <w:t>报告事故部位、概况（包括泄漏情况、火灾情况）、目前采取的措施；</w:t>
      </w:r>
    </w:p>
    <w:p>
      <w:pPr>
        <w:spacing w:line="360" w:lineRule="auto"/>
        <w:ind w:firstLine="480" w:firstLineChars="200"/>
        <w:rPr>
          <w:rFonts w:cs="宋体"/>
          <w:i w:val="0"/>
          <w:iCs w:val="0"/>
          <w:color w:val="000000"/>
          <w:szCs w:val="20"/>
          <w:lang w:val="zh-CN"/>
        </w:rPr>
      </w:pPr>
      <w:r>
        <w:rPr>
          <w:rFonts w:hint="eastAsia" w:ascii="宋体" w:hAnsi="宋体" w:cs="宋体"/>
          <w:i w:val="0"/>
          <w:iCs w:val="0"/>
          <w:color w:val="000000"/>
          <w:szCs w:val="20"/>
          <w:lang w:val="zh-CN"/>
        </w:rPr>
        <w:t>④</w:t>
      </w:r>
      <w:r>
        <w:rPr>
          <w:rFonts w:hint="eastAsia" w:cs="宋体"/>
          <w:i w:val="0"/>
          <w:iCs w:val="0"/>
          <w:color w:val="000000"/>
          <w:szCs w:val="20"/>
          <w:lang w:val="zh-CN"/>
        </w:rPr>
        <w:t>生产装置控制室、公司生产运行部控制室对装置运行情况实时监控，为应急救援指挥部提供技术支持；</w:t>
      </w:r>
    </w:p>
    <w:p>
      <w:pPr>
        <w:spacing w:line="360" w:lineRule="auto"/>
        <w:ind w:firstLine="480" w:firstLineChars="200"/>
        <w:rPr>
          <w:rFonts w:cs="宋体"/>
          <w:i w:val="0"/>
          <w:iCs w:val="0"/>
          <w:color w:val="000000"/>
          <w:szCs w:val="20"/>
          <w:lang w:val="zh-CN"/>
        </w:rPr>
      </w:pPr>
      <w:r>
        <w:rPr>
          <w:rFonts w:hint="eastAsia" w:ascii="宋体" w:hAnsi="宋体" w:cs="宋体"/>
          <w:i w:val="0"/>
          <w:iCs w:val="0"/>
          <w:color w:val="000000"/>
          <w:szCs w:val="20"/>
          <w:lang w:val="zh-CN"/>
        </w:rPr>
        <w:t>⑤</w:t>
      </w:r>
      <w:r>
        <w:rPr>
          <w:rFonts w:hint="eastAsia" w:cs="宋体"/>
          <w:i w:val="0"/>
          <w:iCs w:val="0"/>
          <w:color w:val="000000"/>
          <w:szCs w:val="20"/>
          <w:lang w:val="zh-CN"/>
        </w:rPr>
        <w:t>确定事故应急处置方案，事故现场采取紧急处置措施。</w:t>
      </w:r>
    </w:p>
    <w:p>
      <w:pPr>
        <w:spacing w:line="360" w:lineRule="auto"/>
        <w:ind w:firstLine="480" w:firstLineChars="200"/>
        <w:rPr>
          <w:rFonts w:cs="宋体"/>
          <w:i w:val="0"/>
          <w:iCs w:val="0"/>
          <w:color w:val="000000"/>
          <w:szCs w:val="20"/>
          <w:lang w:val="zh-CN"/>
        </w:rPr>
      </w:pPr>
      <w:r>
        <w:rPr>
          <w:rFonts w:hint="eastAsia" w:ascii="宋体" w:hAnsi="宋体" w:cs="宋体"/>
          <w:i w:val="0"/>
          <w:iCs w:val="0"/>
          <w:color w:val="000000"/>
          <w:szCs w:val="20"/>
          <w:lang w:val="zh-CN"/>
        </w:rPr>
        <w:t>⑥</w:t>
      </w:r>
      <w:r>
        <w:rPr>
          <w:rFonts w:hint="eastAsia" w:cs="宋体"/>
          <w:i w:val="0"/>
          <w:iCs w:val="0"/>
          <w:color w:val="000000"/>
          <w:szCs w:val="20"/>
          <w:lang w:val="zh-CN"/>
        </w:rPr>
        <w:t>储罐发生泄漏风险事故</w:t>
      </w:r>
    </w:p>
    <w:p>
      <w:pPr>
        <w:spacing w:line="360" w:lineRule="auto"/>
        <w:ind w:firstLine="480" w:firstLineChars="200"/>
        <w:rPr>
          <w:rFonts w:cs="宋体"/>
          <w:i w:val="0"/>
          <w:iCs w:val="0"/>
          <w:color w:val="000000"/>
          <w:szCs w:val="20"/>
          <w:lang w:val="zh-CN"/>
        </w:rPr>
      </w:pPr>
      <w:r>
        <w:rPr>
          <w:rFonts w:hint="eastAsia" w:cs="仿宋"/>
          <w:i w:val="0"/>
          <w:iCs w:val="0"/>
          <w:color w:val="000000"/>
          <w:szCs w:val="20"/>
        </w:rPr>
        <w:t>1）</w:t>
      </w:r>
      <w:r>
        <w:rPr>
          <w:rFonts w:hint="eastAsia" w:cs="宋体"/>
          <w:i w:val="0"/>
          <w:iCs w:val="0"/>
          <w:color w:val="000000"/>
          <w:szCs w:val="20"/>
          <w:lang w:val="zh-CN"/>
        </w:rPr>
        <w:t>风险防范措施</w:t>
      </w:r>
    </w:p>
    <w:p>
      <w:pPr>
        <w:spacing w:line="360" w:lineRule="auto"/>
        <w:ind w:firstLine="480" w:firstLineChars="200"/>
        <w:rPr>
          <w:rFonts w:cs="宋体"/>
          <w:i w:val="0"/>
          <w:iCs w:val="0"/>
          <w:color w:val="000000"/>
          <w:szCs w:val="20"/>
          <w:lang w:val="zh-CN"/>
        </w:rPr>
      </w:pPr>
      <w:r>
        <w:rPr>
          <w:rFonts w:hint="eastAsia" w:cs="宋体"/>
          <w:i w:val="0"/>
          <w:iCs w:val="0"/>
          <w:color w:val="000000"/>
          <w:szCs w:val="20"/>
          <w:lang w:val="zh-CN"/>
        </w:rPr>
        <w:t>设有24小时人员值班，并经过安监、消防部门培训，制定专项应急预案。设有可燃气体报警装置，高液位报警系统，每隔一小时巡检一次，设有设备巡检记录设有安全警示标志。</w:t>
      </w:r>
    </w:p>
    <w:p>
      <w:pPr>
        <w:spacing w:line="360" w:lineRule="auto"/>
        <w:ind w:firstLine="480" w:firstLineChars="200"/>
        <w:rPr>
          <w:rFonts w:cs="宋体"/>
          <w:i w:val="0"/>
          <w:iCs w:val="0"/>
          <w:color w:val="000000"/>
          <w:szCs w:val="20"/>
        </w:rPr>
      </w:pPr>
      <w:r>
        <w:rPr>
          <w:rFonts w:hint="eastAsia" w:cs="宋体"/>
          <w:i w:val="0"/>
          <w:iCs w:val="0"/>
          <w:color w:val="000000"/>
          <w:szCs w:val="20"/>
          <w:lang w:val="zh-CN"/>
        </w:rPr>
        <w:t>管线安装三道阀门，严防阀门失灵。</w:t>
      </w:r>
      <w:r>
        <w:rPr>
          <w:rFonts w:hint="eastAsia" w:cs="宋体"/>
          <w:i w:val="0"/>
          <w:iCs w:val="0"/>
          <w:color w:val="000000"/>
          <w:szCs w:val="20"/>
        </w:rPr>
        <w:t>在项目所在地厂区严格防渗，加强对储罐的保护措施，降低意外事故发生的频率。罐</w:t>
      </w:r>
      <w:r>
        <w:rPr>
          <w:rFonts w:hint="eastAsia" w:cs="宋体"/>
          <w:i w:val="0"/>
          <w:iCs w:val="0"/>
          <w:color w:val="000000"/>
          <w:szCs w:val="20"/>
          <w:lang w:val="zh-CN"/>
        </w:rPr>
        <w:t>区周围设有围堰，一旦发生泄露，立即关闭围堰的排水阀门，阻止泄漏物流入排水管线，流入区域水体，防止造成水源污染。</w:t>
      </w:r>
      <w:r>
        <w:rPr>
          <w:rFonts w:hint="eastAsia" w:cs="宋体"/>
          <w:i w:val="0"/>
          <w:iCs w:val="0"/>
          <w:color w:val="000000"/>
          <w:szCs w:val="20"/>
        </w:rPr>
        <w:t>在发生爆炸等事故导致防渗层破裂以后，应在最快时间内将下部污染土壤进行置换并修复破裂的防渗层。在周围设置围堰以及厂区</w:t>
      </w:r>
      <w:r>
        <w:rPr>
          <w:rFonts w:hint="eastAsia" w:cs="宋体"/>
          <w:i w:val="0"/>
          <w:iCs w:val="0"/>
          <w:color w:val="000000"/>
          <w:szCs w:val="20"/>
          <w:lang w:val="zh-CN"/>
        </w:rPr>
        <w:t>事故池，可以减少实验废液的渗漏量。并设立环境风险应急预案，将环境风险控制在可控范围之内。</w:t>
      </w:r>
    </w:p>
    <w:p>
      <w:pPr>
        <w:spacing w:line="360" w:lineRule="auto"/>
        <w:ind w:firstLine="480" w:firstLineChars="200"/>
        <w:rPr>
          <w:rFonts w:cs="宋体"/>
          <w:i w:val="0"/>
          <w:iCs w:val="0"/>
          <w:color w:val="000000"/>
          <w:szCs w:val="20"/>
          <w:lang w:val="zh-CN"/>
        </w:rPr>
      </w:pPr>
      <w:r>
        <w:rPr>
          <w:rFonts w:hint="eastAsia" w:cs="仿宋"/>
          <w:i w:val="0"/>
          <w:iCs w:val="0"/>
          <w:color w:val="000000"/>
          <w:szCs w:val="20"/>
        </w:rPr>
        <w:t>2）</w:t>
      </w:r>
      <w:r>
        <w:rPr>
          <w:rFonts w:hint="eastAsia" w:cs="宋体"/>
          <w:i w:val="0"/>
          <w:iCs w:val="0"/>
          <w:color w:val="000000"/>
          <w:szCs w:val="20"/>
          <w:lang w:val="zh-CN"/>
        </w:rPr>
        <w:t>应急处理措施</w:t>
      </w:r>
    </w:p>
    <w:p>
      <w:pPr>
        <w:spacing w:line="360" w:lineRule="auto"/>
        <w:ind w:firstLine="480" w:firstLineChars="200"/>
        <w:rPr>
          <w:rFonts w:cs="宋体"/>
          <w:i w:val="0"/>
          <w:iCs w:val="0"/>
          <w:color w:val="000000"/>
          <w:szCs w:val="20"/>
          <w:lang w:val="zh-CN"/>
        </w:rPr>
      </w:pPr>
      <w:r>
        <w:rPr>
          <w:rFonts w:hint="eastAsia" w:cs="宋体"/>
          <w:i w:val="0"/>
          <w:iCs w:val="0"/>
          <w:color w:val="000000"/>
          <w:szCs w:val="20"/>
          <w:lang w:val="zh-CN"/>
        </w:rPr>
        <w:t>值班人员发现</w:t>
      </w:r>
      <w:r>
        <w:rPr>
          <w:rFonts w:hint="eastAsia" w:cs="宋体"/>
          <w:i w:val="0"/>
          <w:iCs w:val="0"/>
          <w:color w:val="000000"/>
          <w:szCs w:val="20"/>
          <w:lang w:val="en-US" w:eastAsia="zh-CN"/>
        </w:rPr>
        <w:t>氨水罐、乙醇储罐</w:t>
      </w:r>
      <w:r>
        <w:rPr>
          <w:rFonts w:hint="eastAsia" w:cs="宋体"/>
          <w:i w:val="0"/>
          <w:iCs w:val="0"/>
          <w:color w:val="000000"/>
          <w:szCs w:val="20"/>
          <w:lang w:val="zh-CN"/>
        </w:rPr>
        <w:t>等泄露，立即启动应急预案，设立警戒绳，安排专人现场警戒，严防无关人员进入事故现场。立即组织人员进入现场，立即关闭围堰排水阀门，组织人员现场处置，同时向应急指挥部报告，讲明泄露原因，地点，位置，泄露数量，程度，请求救援。</w:t>
      </w:r>
    </w:p>
    <w:p>
      <w:pPr>
        <w:spacing w:line="360" w:lineRule="auto"/>
        <w:ind w:firstLine="480" w:firstLineChars="200"/>
        <w:rPr>
          <w:rFonts w:cs="宋体"/>
          <w:i w:val="0"/>
          <w:iCs w:val="0"/>
          <w:color w:val="000000"/>
          <w:szCs w:val="20"/>
          <w:lang w:val="zh-CN"/>
        </w:rPr>
      </w:pPr>
      <w:r>
        <w:rPr>
          <w:rFonts w:hint="eastAsia" w:cs="仿宋"/>
          <w:i w:val="0"/>
          <w:iCs w:val="0"/>
          <w:color w:val="000000"/>
          <w:szCs w:val="20"/>
        </w:rPr>
        <w:t>3）</w:t>
      </w:r>
      <w:r>
        <w:rPr>
          <w:rFonts w:hint="eastAsia" w:cs="宋体"/>
          <w:i w:val="0"/>
          <w:iCs w:val="0"/>
          <w:color w:val="000000"/>
          <w:szCs w:val="20"/>
          <w:lang w:val="zh-CN"/>
        </w:rPr>
        <w:t>防护措施</w:t>
      </w:r>
    </w:p>
    <w:p>
      <w:pPr>
        <w:spacing w:line="360" w:lineRule="auto"/>
        <w:ind w:firstLine="480" w:firstLineChars="200"/>
        <w:rPr>
          <w:rFonts w:cs="宋体"/>
          <w:i w:val="0"/>
          <w:iCs w:val="0"/>
          <w:color w:val="000000"/>
          <w:szCs w:val="20"/>
          <w:lang w:val="zh-CN"/>
        </w:rPr>
      </w:pPr>
      <w:r>
        <w:rPr>
          <w:rFonts w:hint="eastAsia" w:cs="宋体"/>
          <w:i w:val="0"/>
          <w:iCs w:val="0"/>
          <w:color w:val="000000"/>
          <w:szCs w:val="20"/>
          <w:lang w:val="zh-CN"/>
        </w:rPr>
        <w:t>呼吸系统防护：一般不需要特殊防护，高浓度接触时可佩戴滤式防毒面罩(半面罩)。</w:t>
      </w:r>
    </w:p>
    <w:p>
      <w:pPr>
        <w:spacing w:line="360" w:lineRule="auto"/>
        <w:ind w:firstLine="480" w:firstLineChars="200"/>
        <w:rPr>
          <w:rFonts w:cs="宋体"/>
          <w:i w:val="0"/>
          <w:iCs w:val="0"/>
          <w:color w:val="000000"/>
          <w:szCs w:val="20"/>
          <w:lang w:val="zh-CN"/>
        </w:rPr>
      </w:pPr>
      <w:r>
        <w:rPr>
          <w:rFonts w:hint="eastAsia" w:cs="宋体"/>
          <w:i w:val="0"/>
          <w:iCs w:val="0"/>
          <w:color w:val="000000"/>
          <w:szCs w:val="20"/>
          <w:lang w:val="zh-CN"/>
        </w:rPr>
        <w:t>眼睛防护：佩戴全面罩。</w:t>
      </w:r>
    </w:p>
    <w:p>
      <w:pPr>
        <w:spacing w:line="360" w:lineRule="auto"/>
        <w:ind w:firstLine="480" w:firstLineChars="200"/>
        <w:rPr>
          <w:rFonts w:cs="宋体"/>
          <w:i w:val="0"/>
          <w:iCs w:val="0"/>
          <w:color w:val="000000"/>
          <w:szCs w:val="20"/>
          <w:lang w:val="zh-CN"/>
        </w:rPr>
      </w:pPr>
      <w:r>
        <w:rPr>
          <w:rFonts w:hint="eastAsia" w:cs="宋体"/>
          <w:i w:val="0"/>
          <w:iCs w:val="0"/>
          <w:color w:val="000000"/>
          <w:szCs w:val="20"/>
          <w:lang w:val="zh-CN"/>
        </w:rPr>
        <w:t>身体防护：穿防静电工作服。</w:t>
      </w:r>
    </w:p>
    <w:p>
      <w:pPr>
        <w:spacing w:line="360" w:lineRule="auto"/>
        <w:ind w:firstLine="480" w:firstLineChars="200"/>
        <w:rPr>
          <w:rFonts w:cs="宋体"/>
          <w:i w:val="0"/>
          <w:iCs w:val="0"/>
          <w:color w:val="000000"/>
          <w:szCs w:val="20"/>
          <w:lang w:val="zh-CN"/>
        </w:rPr>
      </w:pPr>
      <w:r>
        <w:rPr>
          <w:rFonts w:hint="eastAsia" w:cs="宋体"/>
          <w:i w:val="0"/>
          <w:iCs w:val="0"/>
          <w:color w:val="000000"/>
          <w:szCs w:val="20"/>
          <w:lang w:val="zh-CN"/>
        </w:rPr>
        <w:t>手防护：戴一般作业防护手套。</w:t>
      </w:r>
    </w:p>
    <w:p>
      <w:pPr>
        <w:spacing w:line="360" w:lineRule="auto"/>
        <w:ind w:firstLine="480" w:firstLineChars="200"/>
        <w:rPr>
          <w:rFonts w:cs="宋体"/>
          <w:i w:val="0"/>
          <w:iCs w:val="0"/>
          <w:color w:val="000000"/>
          <w:szCs w:val="20"/>
          <w:lang w:val="zh-CN"/>
        </w:rPr>
      </w:pPr>
      <w:r>
        <w:rPr>
          <w:rFonts w:hint="eastAsia" w:cs="宋体"/>
          <w:i w:val="0"/>
          <w:iCs w:val="0"/>
          <w:color w:val="000000"/>
          <w:szCs w:val="20"/>
          <w:lang w:val="zh-CN"/>
        </w:rPr>
        <w:t>其它：工作现场严禁吸烟。</w:t>
      </w:r>
    </w:p>
    <w:p>
      <w:pPr>
        <w:spacing w:line="360" w:lineRule="auto"/>
        <w:ind w:firstLine="480" w:firstLineChars="200"/>
        <w:rPr>
          <w:rFonts w:cs="宋体"/>
          <w:i w:val="0"/>
          <w:iCs w:val="0"/>
          <w:color w:val="000000"/>
          <w:szCs w:val="20"/>
          <w:lang w:val="zh-CN"/>
        </w:rPr>
      </w:pPr>
      <w:r>
        <w:rPr>
          <w:rFonts w:hint="eastAsia" w:cs="仿宋"/>
          <w:i w:val="0"/>
          <w:iCs w:val="0"/>
          <w:color w:val="000000"/>
          <w:szCs w:val="20"/>
        </w:rPr>
        <w:t>4）</w:t>
      </w:r>
      <w:r>
        <w:rPr>
          <w:rFonts w:hint="eastAsia" w:cs="宋体"/>
          <w:i w:val="0"/>
          <w:iCs w:val="0"/>
          <w:color w:val="000000"/>
          <w:szCs w:val="20"/>
          <w:lang w:val="zh-CN"/>
        </w:rPr>
        <w:t>急救措施</w:t>
      </w:r>
    </w:p>
    <w:p>
      <w:pPr>
        <w:spacing w:line="360" w:lineRule="auto"/>
        <w:ind w:firstLine="480" w:firstLineChars="200"/>
        <w:rPr>
          <w:rFonts w:cs="宋体"/>
          <w:i w:val="0"/>
          <w:iCs w:val="0"/>
          <w:color w:val="000000"/>
          <w:szCs w:val="20"/>
          <w:lang w:val="zh-CN"/>
        </w:rPr>
      </w:pPr>
      <w:r>
        <w:rPr>
          <w:rFonts w:hint="eastAsia" w:cs="宋体"/>
          <w:i w:val="0"/>
          <w:iCs w:val="0"/>
          <w:color w:val="000000"/>
          <w:szCs w:val="20"/>
          <w:lang w:val="zh-CN"/>
        </w:rPr>
        <w:t>皮肤接触：脱去被污染的衣着，用流动清水冲洗。</w:t>
      </w:r>
    </w:p>
    <w:p>
      <w:pPr>
        <w:spacing w:line="360" w:lineRule="auto"/>
        <w:ind w:firstLine="480" w:firstLineChars="200"/>
        <w:rPr>
          <w:rFonts w:cs="宋体"/>
          <w:i w:val="0"/>
          <w:iCs w:val="0"/>
          <w:color w:val="000000"/>
          <w:szCs w:val="20"/>
          <w:lang w:val="zh-CN"/>
        </w:rPr>
      </w:pPr>
      <w:r>
        <w:rPr>
          <w:rFonts w:hint="eastAsia" w:cs="宋体"/>
          <w:i w:val="0"/>
          <w:iCs w:val="0"/>
          <w:color w:val="000000"/>
          <w:szCs w:val="20"/>
          <w:lang w:val="zh-CN"/>
        </w:rPr>
        <w:t>眼睛接触：提起眼睑，用流动清水或生理盐水冲洗。就医。</w:t>
      </w:r>
    </w:p>
    <w:p>
      <w:pPr>
        <w:spacing w:line="360" w:lineRule="auto"/>
        <w:ind w:firstLine="480" w:firstLineChars="200"/>
        <w:rPr>
          <w:rFonts w:cs="宋体"/>
          <w:i w:val="0"/>
          <w:iCs w:val="0"/>
          <w:color w:val="000000"/>
          <w:szCs w:val="20"/>
          <w:lang w:val="zh-CN"/>
        </w:rPr>
      </w:pPr>
      <w:r>
        <w:rPr>
          <w:rFonts w:hint="eastAsia" w:cs="宋体"/>
          <w:i w:val="0"/>
          <w:iCs w:val="0"/>
          <w:color w:val="000000"/>
          <w:szCs w:val="20"/>
          <w:lang w:val="zh-CN"/>
        </w:rPr>
        <w:t>吸入：迅速脱离现场至空气新鲜处。就医。</w:t>
      </w:r>
    </w:p>
    <w:p>
      <w:pPr>
        <w:spacing w:line="360" w:lineRule="auto"/>
        <w:ind w:firstLine="480" w:firstLineChars="200"/>
        <w:rPr>
          <w:rFonts w:cs="宋体"/>
          <w:i w:val="0"/>
          <w:iCs w:val="0"/>
          <w:color w:val="000000"/>
          <w:szCs w:val="20"/>
          <w:lang w:val="zh-CN"/>
        </w:rPr>
      </w:pPr>
      <w:r>
        <w:rPr>
          <w:rFonts w:hint="eastAsia" w:cs="宋体"/>
          <w:i w:val="0"/>
          <w:iCs w:val="0"/>
          <w:color w:val="000000"/>
          <w:szCs w:val="20"/>
          <w:lang w:val="zh-CN"/>
        </w:rPr>
        <w:t>食入：饮足量温水，催吐，就医。</w:t>
      </w:r>
    </w:p>
    <w:p>
      <w:pPr>
        <w:widowControl/>
        <w:spacing w:line="360" w:lineRule="auto"/>
        <w:ind w:firstLine="480" w:firstLineChars="200"/>
        <w:rPr>
          <w:rFonts w:cs="宋体"/>
          <w:i w:val="0"/>
          <w:iCs w:val="0"/>
          <w:color w:val="000000"/>
          <w:szCs w:val="20"/>
          <w:lang w:val="zh-CN"/>
        </w:rPr>
      </w:pPr>
      <w:r>
        <w:rPr>
          <w:rFonts w:hint="eastAsia" w:cs="宋体"/>
          <w:i w:val="0"/>
          <w:iCs w:val="0"/>
          <w:color w:val="000000"/>
          <w:szCs w:val="20"/>
          <w:lang w:val="zh-CN"/>
        </w:rPr>
        <w:t>灭火方法：尽可能将容器从火场移至空旷处。喷水保持火场容器冷却，直至灭火结束。灭火剂：抗溶性泡沫、干粉、二氧化碳、砂土等。</w:t>
      </w:r>
    </w:p>
    <w:p>
      <w:pPr>
        <w:keepNext/>
        <w:keepLines/>
        <w:widowControl/>
        <w:spacing w:line="360" w:lineRule="auto"/>
        <w:outlineLvl w:val="2"/>
        <w:rPr>
          <w:b/>
          <w:bCs/>
          <w:i w:val="0"/>
          <w:iCs w:val="0"/>
          <w:color w:val="000000"/>
          <w:szCs w:val="32"/>
        </w:rPr>
      </w:pPr>
      <w:bookmarkStart w:id="263" w:name="_Toc123993313"/>
      <w:r>
        <w:rPr>
          <w:rFonts w:hint="eastAsia"/>
          <w:b/>
          <w:bCs/>
          <w:i w:val="0"/>
          <w:iCs w:val="0"/>
          <w:color w:val="000000"/>
          <w:szCs w:val="32"/>
        </w:rPr>
        <w:t>7.6.2 地表水环境风险防范措施</w:t>
      </w:r>
      <w:bookmarkEnd w:id="263"/>
    </w:p>
    <w:p>
      <w:pPr>
        <w:widowControl/>
        <w:spacing w:line="360" w:lineRule="auto"/>
        <w:ind w:firstLine="480" w:firstLineChars="200"/>
        <w:rPr>
          <w:i w:val="0"/>
          <w:iCs w:val="0"/>
          <w:color w:val="000000"/>
          <w:szCs w:val="20"/>
        </w:rPr>
      </w:pPr>
      <w:r>
        <w:rPr>
          <w:rFonts w:hint="eastAsia" w:cs="宋体"/>
          <w:i w:val="0"/>
          <w:iCs w:val="0"/>
          <w:color w:val="000000"/>
          <w:szCs w:val="20"/>
        </w:rPr>
        <w:t>依据国家相关规定以及</w:t>
      </w:r>
      <w:r>
        <w:rPr>
          <w:rFonts w:hint="eastAsia" w:cs="宋体"/>
          <w:i w:val="0"/>
          <w:iCs w:val="0"/>
          <w:color w:val="000000"/>
          <w:szCs w:val="20"/>
          <w:lang w:val="zh-CN"/>
        </w:rPr>
        <w:t>中石油集团公司《事故状态下水体污染的预防与控制技术要求》（</w:t>
      </w:r>
      <w:r>
        <w:rPr>
          <w:rFonts w:hint="eastAsia" w:cs="宋体"/>
          <w:i w:val="0"/>
          <w:iCs w:val="0"/>
          <w:color w:val="000000"/>
          <w:szCs w:val="20"/>
        </w:rPr>
        <w:t>Q/SY1190-2013</w:t>
      </w:r>
      <w:r>
        <w:rPr>
          <w:rFonts w:hint="eastAsia" w:cs="宋体"/>
          <w:i w:val="0"/>
          <w:iCs w:val="0"/>
          <w:color w:val="000000"/>
          <w:szCs w:val="20"/>
          <w:lang w:val="zh-CN"/>
        </w:rPr>
        <w:t>）</w:t>
      </w:r>
      <w:r>
        <w:rPr>
          <w:rFonts w:hint="eastAsia" w:cs="宋体"/>
          <w:i w:val="0"/>
          <w:iCs w:val="0"/>
          <w:color w:val="000000"/>
          <w:szCs w:val="20"/>
        </w:rPr>
        <w:t>及《建设项目环境风险评价技术导则》（HJ169-2018）的</w:t>
      </w:r>
      <w:r>
        <w:rPr>
          <w:rFonts w:hint="eastAsia" w:cs="宋体"/>
          <w:i w:val="0"/>
          <w:iCs w:val="0"/>
          <w:color w:val="000000"/>
          <w:szCs w:val="20"/>
          <w:lang w:val="zh-CN"/>
        </w:rPr>
        <w:t>规定，</w:t>
      </w:r>
      <w:r>
        <w:rPr>
          <w:rFonts w:hint="eastAsia" w:cs="宋体"/>
          <w:i w:val="0"/>
          <w:iCs w:val="0"/>
          <w:color w:val="000000"/>
          <w:szCs w:val="20"/>
        </w:rPr>
        <w:t>本项目建立从污染源头、过程处理和最终排放的“单元-厂区—园区”三级防控体系，防止环境风险事故造成水环境污染。</w:t>
      </w:r>
      <w:r>
        <w:rPr>
          <w:rFonts w:hint="eastAsia"/>
          <w:i w:val="0"/>
          <w:iCs w:val="0"/>
          <w:snapToGrid w:val="0"/>
          <w:color w:val="000000"/>
          <w:lang w:val="zh-CN"/>
        </w:rPr>
        <w:t>本项目采取三级防控措施，控制、避免水污染事故对区域地表水体造成影响。</w:t>
      </w:r>
    </w:p>
    <w:p>
      <w:pPr>
        <w:keepNext/>
        <w:keepLines/>
        <w:widowControl/>
        <w:spacing w:line="360" w:lineRule="auto"/>
        <w:outlineLvl w:val="2"/>
        <w:rPr>
          <w:b/>
          <w:bCs/>
          <w:i w:val="0"/>
          <w:iCs w:val="0"/>
          <w:color w:val="000000"/>
          <w:szCs w:val="32"/>
        </w:rPr>
      </w:pPr>
      <w:bookmarkStart w:id="264" w:name="_Toc123993314"/>
      <w:r>
        <w:rPr>
          <w:rFonts w:hint="eastAsia"/>
          <w:b/>
          <w:bCs/>
          <w:i w:val="0"/>
          <w:iCs w:val="0"/>
          <w:color w:val="000000"/>
          <w:szCs w:val="32"/>
        </w:rPr>
        <w:t>7.6.3 地下水环境风险防范措施</w:t>
      </w:r>
      <w:bookmarkEnd w:id="264"/>
    </w:p>
    <w:p>
      <w:pPr>
        <w:widowControl/>
        <w:spacing w:line="360" w:lineRule="auto"/>
        <w:ind w:firstLine="480" w:firstLineChars="200"/>
        <w:rPr>
          <w:i w:val="0"/>
          <w:iCs w:val="0"/>
          <w:color w:val="000000"/>
          <w:szCs w:val="20"/>
          <w:lang w:val="zh-CN"/>
        </w:rPr>
      </w:pPr>
      <w:r>
        <w:rPr>
          <w:rFonts w:hint="eastAsia"/>
          <w:i w:val="0"/>
          <w:iCs w:val="0"/>
          <w:color w:val="000000"/>
          <w:szCs w:val="20"/>
        </w:rPr>
        <w:t>在发生爆炸等事故导致防渗层破裂以后应在最快时间内将下部污染土壤进行置换并修复破裂的防渗层。</w:t>
      </w:r>
      <w:r>
        <w:rPr>
          <w:rFonts w:hint="eastAsia"/>
          <w:i w:val="0"/>
          <w:iCs w:val="0"/>
          <w:color w:val="000000"/>
          <w:szCs w:val="20"/>
          <w:lang w:val="zh-CN"/>
        </w:rPr>
        <w:t>如果突然出现泄漏事故，并导致地下水污染时，可采取在现场去除污染物的方式和并且在地下水下游设置水力屏障，即大强度抽出被污染的地下水，防止污染物向下游扩散，具体措施如下：</w:t>
      </w:r>
    </w:p>
    <w:p>
      <w:pPr>
        <w:widowControl/>
        <w:spacing w:line="360" w:lineRule="auto"/>
        <w:ind w:firstLine="480" w:firstLineChars="200"/>
        <w:rPr>
          <w:i w:val="0"/>
          <w:iCs w:val="0"/>
          <w:color w:val="000000"/>
          <w:szCs w:val="20"/>
          <w:lang w:val="zh-CN"/>
        </w:rPr>
      </w:pPr>
      <w:r>
        <w:rPr>
          <w:rFonts w:hint="eastAsia" w:ascii="宋体" w:hAnsi="宋体" w:cs="宋体"/>
          <w:i w:val="0"/>
          <w:iCs w:val="0"/>
          <w:color w:val="000000"/>
          <w:szCs w:val="20"/>
          <w:lang w:val="zh-CN"/>
        </w:rPr>
        <w:t>①</w:t>
      </w:r>
      <w:r>
        <w:rPr>
          <w:rFonts w:hint="eastAsia"/>
          <w:i w:val="0"/>
          <w:iCs w:val="0"/>
          <w:color w:val="000000"/>
          <w:szCs w:val="20"/>
          <w:lang w:val="zh-CN"/>
        </w:rPr>
        <w:t>在发生污染处采取工程措施，及时清理污染物，将污染物集中装运并妥善处理；</w:t>
      </w:r>
    </w:p>
    <w:p>
      <w:pPr>
        <w:widowControl/>
        <w:spacing w:line="360" w:lineRule="auto"/>
        <w:ind w:firstLine="480" w:firstLineChars="200"/>
        <w:rPr>
          <w:i w:val="0"/>
          <w:iCs w:val="0"/>
          <w:color w:val="000000"/>
          <w:szCs w:val="20"/>
          <w:lang w:val="zh-CN"/>
        </w:rPr>
      </w:pPr>
      <w:r>
        <w:rPr>
          <w:rFonts w:hint="eastAsia" w:ascii="宋体" w:hAnsi="宋体" w:cs="宋体"/>
          <w:i w:val="0"/>
          <w:iCs w:val="0"/>
          <w:color w:val="000000"/>
          <w:szCs w:val="20"/>
          <w:lang w:val="zh-CN"/>
        </w:rPr>
        <w:t>②</w:t>
      </w:r>
      <w:r>
        <w:rPr>
          <w:rFonts w:hint="eastAsia"/>
          <w:i w:val="0"/>
          <w:iCs w:val="0"/>
          <w:color w:val="000000"/>
          <w:szCs w:val="20"/>
          <w:lang w:val="zh-CN"/>
        </w:rPr>
        <w:t>发生突然泄漏事故后，首先围绕泄漏点，依据现有监测井测量地下水位标高，找出现状地下水的下游方向，根据情况设置具体事故应急方案；</w:t>
      </w:r>
    </w:p>
    <w:p>
      <w:pPr>
        <w:widowControl/>
        <w:spacing w:line="360" w:lineRule="auto"/>
        <w:ind w:firstLine="480" w:firstLineChars="200"/>
        <w:rPr>
          <w:i w:val="0"/>
          <w:iCs w:val="0"/>
          <w:color w:val="000000"/>
          <w:szCs w:val="20"/>
          <w:lang w:val="zh-CN"/>
        </w:rPr>
      </w:pPr>
      <w:r>
        <w:rPr>
          <w:rFonts w:hint="eastAsia" w:ascii="宋体" w:hAnsi="宋体" w:cs="宋体"/>
          <w:i w:val="0"/>
          <w:iCs w:val="0"/>
          <w:color w:val="000000"/>
          <w:szCs w:val="20"/>
          <w:lang w:val="zh-CN"/>
        </w:rPr>
        <w:t>③</w:t>
      </w:r>
      <w:r>
        <w:rPr>
          <w:rFonts w:hint="eastAsia"/>
          <w:i w:val="0"/>
          <w:iCs w:val="0"/>
          <w:color w:val="000000"/>
          <w:szCs w:val="20"/>
          <w:lang w:val="zh-CN"/>
        </w:rPr>
        <w:t>根据地下水流向、水文地质条件、浅层地下水富水特征，在泄漏点下游方向呈半圆状布置排泄抽水井，井间距控制在影响半径范围内的200m；</w:t>
      </w:r>
    </w:p>
    <w:p>
      <w:pPr>
        <w:widowControl/>
        <w:spacing w:line="360" w:lineRule="auto"/>
        <w:ind w:firstLine="480" w:firstLineChars="200"/>
        <w:rPr>
          <w:i w:val="0"/>
          <w:iCs w:val="0"/>
          <w:color w:val="000000"/>
          <w:szCs w:val="20"/>
          <w:lang w:val="zh-CN"/>
        </w:rPr>
      </w:pPr>
      <w:r>
        <w:rPr>
          <w:rFonts w:hint="eastAsia" w:ascii="宋体" w:hAnsi="宋体" w:cs="宋体"/>
          <w:i w:val="0"/>
          <w:iCs w:val="0"/>
          <w:color w:val="000000"/>
          <w:szCs w:val="20"/>
          <w:lang w:val="zh-CN"/>
        </w:rPr>
        <w:t>④</w:t>
      </w:r>
      <w:r>
        <w:rPr>
          <w:rFonts w:hint="eastAsia"/>
          <w:i w:val="0"/>
          <w:iCs w:val="0"/>
          <w:color w:val="000000"/>
          <w:szCs w:val="20"/>
          <w:lang w:val="zh-CN"/>
        </w:rPr>
        <w:t>单井配置潜水泵，用无渗漏排水管将抽出的污染地下水排到污水管道；</w:t>
      </w:r>
    </w:p>
    <w:p>
      <w:pPr>
        <w:widowControl/>
        <w:spacing w:line="360" w:lineRule="auto"/>
        <w:ind w:firstLine="480" w:firstLineChars="200"/>
        <w:rPr>
          <w:i w:val="0"/>
          <w:iCs w:val="0"/>
          <w:color w:val="000000"/>
          <w:szCs w:val="20"/>
          <w:lang w:val="zh-CN"/>
        </w:rPr>
      </w:pPr>
      <w:r>
        <w:rPr>
          <w:rFonts w:hint="eastAsia" w:ascii="宋体" w:hAnsi="宋体" w:cs="宋体"/>
          <w:i w:val="0"/>
          <w:iCs w:val="0"/>
          <w:color w:val="000000"/>
          <w:szCs w:val="20"/>
          <w:lang w:val="zh-CN"/>
        </w:rPr>
        <w:t>⑤</w:t>
      </w:r>
      <w:r>
        <w:rPr>
          <w:rFonts w:hint="eastAsia"/>
          <w:i w:val="0"/>
          <w:iCs w:val="0"/>
          <w:color w:val="000000"/>
          <w:szCs w:val="20"/>
          <w:lang w:val="zh-CN"/>
        </w:rPr>
        <w:t>在抽水、排水过程中采取地下水样，对污染特征因子进行监测，每隔一天监测一次，直到水质监测符合相关标准后再抽排两天为止。</w:t>
      </w:r>
    </w:p>
    <w:p>
      <w:pPr>
        <w:widowControl/>
        <w:spacing w:line="360" w:lineRule="auto"/>
        <w:ind w:firstLine="480" w:firstLineChars="200"/>
        <w:rPr>
          <w:i w:val="0"/>
          <w:iCs w:val="0"/>
          <w:color w:val="000000"/>
          <w:szCs w:val="20"/>
        </w:rPr>
      </w:pPr>
      <w:r>
        <w:rPr>
          <w:rFonts w:hint="eastAsia"/>
          <w:i w:val="0"/>
          <w:iCs w:val="0"/>
          <w:color w:val="000000"/>
          <w:szCs w:val="20"/>
        </w:rPr>
        <w:t>若监测到某个水池突然泄漏，需马上将该水池内的废水抽出并引流于事故水池中进行暂时存放，在废水全部抽净之后，需组织人员立即维修水池，通过监测井抽取遭受污染的地下水，在进行相应处理之后以备回用。以上方法可有效防控风险状态下，废水渗漏对地下水的影响。</w:t>
      </w:r>
    </w:p>
    <w:p>
      <w:pPr>
        <w:widowControl/>
        <w:spacing w:line="360" w:lineRule="auto"/>
        <w:ind w:firstLine="480" w:firstLineChars="200"/>
        <w:rPr>
          <w:i w:val="0"/>
          <w:iCs w:val="0"/>
          <w:color w:val="000000"/>
          <w:szCs w:val="20"/>
          <w:lang w:val="zh-CN"/>
        </w:rPr>
      </w:pPr>
      <w:r>
        <w:rPr>
          <w:rFonts w:hint="eastAsia"/>
          <w:i w:val="0"/>
          <w:iCs w:val="0"/>
          <w:color w:val="000000"/>
          <w:szCs w:val="20"/>
        </w:rPr>
        <w:t>结合应急工作之需求，根据有关技术导则，基于本项目地下水污染治理工作特征，设计了应急处理流程图，具体可参考下图。</w:t>
      </w:r>
    </w:p>
    <w:tbl>
      <w:tblPr>
        <w:tblStyle w:val="58"/>
        <w:tblW w:w="9071" w:type="dxa"/>
        <w:jc w:val="center"/>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071"/>
      </w:tblGrid>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108" w:type="dxa"/>
            <w:bottom w:w="0" w:type="dxa"/>
            <w:right w:w="108" w:type="dxa"/>
          </w:tblCellMar>
        </w:tblPrEx>
        <w:trPr>
          <w:trHeight w:val="9478" w:hRule="atLeast"/>
          <w:jc w:val="center"/>
        </w:trPr>
        <w:tc>
          <w:tcPr>
            <w:tcW w:w="9288" w:type="dxa"/>
            <w:noWrap w:val="0"/>
            <w:vAlign w:val="top"/>
          </w:tcPr>
          <w:p>
            <w:pPr>
              <w:pStyle w:val="37"/>
              <w:rPr>
                <w:i w:val="0"/>
                <w:iCs w:val="0"/>
                <w:color w:val="000000"/>
              </w:rPr>
            </w:pPr>
            <w:r>
              <w:rPr>
                <w:rFonts w:hint="eastAsia" w:cs="宋体"/>
                <w:i w:val="0"/>
                <w:iCs w:val="0"/>
                <w:color w:val="000000"/>
                <w:szCs w:val="20"/>
              </w:rPr>
              <w:drawing>
                <wp:anchor distT="0" distB="0" distL="114300" distR="114300" simplePos="0" relativeHeight="251667456" behindDoc="0" locked="0" layoutInCell="1" allowOverlap="1">
                  <wp:simplePos x="0" y="0"/>
                  <wp:positionH relativeFrom="column">
                    <wp:posOffset>497840</wp:posOffset>
                  </wp:positionH>
                  <wp:positionV relativeFrom="paragraph">
                    <wp:posOffset>269240</wp:posOffset>
                  </wp:positionV>
                  <wp:extent cx="4681220" cy="5353685"/>
                  <wp:effectExtent l="0" t="0" r="5080" b="18415"/>
                  <wp:wrapNone/>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55"/>
                          <a:stretch>
                            <a:fillRect/>
                          </a:stretch>
                        </pic:blipFill>
                        <pic:spPr>
                          <a:xfrm>
                            <a:off x="0" y="0"/>
                            <a:ext cx="4681220" cy="5353685"/>
                          </a:xfrm>
                          <a:prstGeom prst="rect">
                            <a:avLst/>
                          </a:prstGeom>
                          <a:noFill/>
                          <a:ln>
                            <a:noFill/>
                          </a:ln>
                        </pic:spPr>
                      </pic:pic>
                    </a:graphicData>
                  </a:graphic>
                </wp:anchor>
              </w:drawing>
            </w:r>
          </w:p>
        </w:tc>
      </w:tr>
    </w:tbl>
    <w:p>
      <w:pPr>
        <w:widowControl/>
        <w:spacing w:before="120" w:beforeLines="50" w:after="120" w:afterLines="50"/>
        <w:jc w:val="center"/>
        <w:rPr>
          <w:b/>
          <w:bCs/>
          <w:i w:val="0"/>
          <w:iCs w:val="0"/>
          <w:color w:val="000000"/>
          <w:szCs w:val="20"/>
        </w:rPr>
      </w:pPr>
      <w:r>
        <w:rPr>
          <w:rFonts w:hint="eastAsia"/>
          <w:b/>
          <w:bCs/>
          <w:i w:val="0"/>
          <w:iCs w:val="0"/>
          <w:color w:val="000000"/>
          <w:szCs w:val="20"/>
        </w:rPr>
        <w:t>图7-</w:t>
      </w:r>
      <w:r>
        <w:rPr>
          <w:rFonts w:hint="eastAsia"/>
          <w:b/>
          <w:bCs/>
          <w:i w:val="0"/>
          <w:iCs w:val="0"/>
          <w:color w:val="000000"/>
          <w:szCs w:val="20"/>
          <w:lang w:val="en-US" w:eastAsia="zh-CN"/>
        </w:rPr>
        <w:t>1</w:t>
      </w:r>
      <w:r>
        <w:rPr>
          <w:b/>
          <w:bCs/>
          <w:i w:val="0"/>
          <w:iCs w:val="0"/>
          <w:color w:val="000000"/>
          <w:szCs w:val="20"/>
        </w:rPr>
        <w:t xml:space="preserve">  </w:t>
      </w:r>
      <w:r>
        <w:rPr>
          <w:rFonts w:hint="eastAsia"/>
          <w:b/>
          <w:bCs/>
          <w:i w:val="0"/>
          <w:iCs w:val="0"/>
          <w:color w:val="000000"/>
          <w:szCs w:val="20"/>
        </w:rPr>
        <w:t>本项目地下水事故应急处理流程图</w:t>
      </w:r>
    </w:p>
    <w:p>
      <w:pPr>
        <w:keepNext/>
        <w:keepLines/>
        <w:widowControl/>
        <w:spacing w:line="360" w:lineRule="auto"/>
        <w:outlineLvl w:val="2"/>
        <w:rPr>
          <w:b/>
          <w:bCs/>
          <w:i w:val="0"/>
          <w:iCs w:val="0"/>
          <w:color w:val="000000"/>
          <w:szCs w:val="32"/>
        </w:rPr>
      </w:pPr>
      <w:bookmarkStart w:id="265" w:name="_Toc123993315"/>
      <w:r>
        <w:rPr>
          <w:rFonts w:hint="eastAsia"/>
          <w:b/>
          <w:bCs/>
          <w:i w:val="0"/>
          <w:iCs w:val="0"/>
          <w:color w:val="000000"/>
          <w:szCs w:val="32"/>
        </w:rPr>
        <w:t>7.6.4 环境风险防范措施投资</w:t>
      </w:r>
      <w:bookmarkEnd w:id="265"/>
    </w:p>
    <w:p>
      <w:pPr>
        <w:widowControl/>
        <w:spacing w:line="360" w:lineRule="auto"/>
        <w:ind w:firstLine="480" w:firstLineChars="200"/>
        <w:rPr>
          <w:i w:val="0"/>
          <w:iCs w:val="0"/>
          <w:color w:val="000000"/>
          <w:szCs w:val="20"/>
        </w:rPr>
      </w:pPr>
      <w:r>
        <w:rPr>
          <w:rFonts w:hint="eastAsia"/>
          <w:i w:val="0"/>
          <w:iCs w:val="0"/>
          <w:color w:val="000000"/>
          <w:szCs w:val="20"/>
        </w:rPr>
        <w:t>本项目风险防范投资见环保投资估算表。</w:t>
      </w:r>
    </w:p>
    <w:p>
      <w:pPr>
        <w:keepNext/>
        <w:keepLines/>
        <w:widowControl/>
        <w:spacing w:before="120" w:beforeLines="50" w:line="360" w:lineRule="auto"/>
        <w:outlineLvl w:val="2"/>
        <w:rPr>
          <w:b/>
          <w:bCs/>
          <w:i w:val="0"/>
          <w:iCs w:val="0"/>
          <w:color w:val="000000"/>
          <w:szCs w:val="32"/>
        </w:rPr>
      </w:pPr>
      <w:bookmarkStart w:id="266" w:name="_Toc123993316"/>
      <w:r>
        <w:rPr>
          <w:rFonts w:hint="eastAsia"/>
          <w:b/>
          <w:bCs/>
          <w:i w:val="0"/>
          <w:iCs w:val="0"/>
          <w:color w:val="000000"/>
          <w:szCs w:val="32"/>
        </w:rPr>
        <w:t>7.6.5 突发环境事件应急预案编制要求</w:t>
      </w:r>
      <w:bookmarkEnd w:id="266"/>
    </w:p>
    <w:p>
      <w:pPr>
        <w:widowControl/>
        <w:spacing w:line="360" w:lineRule="auto"/>
        <w:ind w:firstLine="480" w:firstLineChars="200"/>
        <w:jc w:val="left"/>
        <w:rPr>
          <w:i w:val="0"/>
          <w:iCs w:val="0"/>
          <w:color w:val="000000"/>
          <w:szCs w:val="20"/>
        </w:rPr>
      </w:pPr>
      <w:r>
        <w:rPr>
          <w:rFonts w:hint="eastAsia" w:cs="宋体"/>
          <w:i w:val="0"/>
          <w:iCs w:val="0"/>
          <w:color w:val="000000"/>
          <w:kern w:val="0"/>
          <w:lang w:bidi="ar"/>
        </w:rPr>
        <w:t>建设单位应依据《建设项目环境风险评价导则》、《石油化工企业环境应急预案编制指南》及《企业事业单位突发环境事件应急预案备案管理办法（试行）》有关要求编制突发环境事件应急预案，以防范本工程关键装置和配套设施等发生重大火灾、爆炸、泄漏事故而引发的环境风险。本次评价提出突发环境事件应急预案的编制原则供建设单位参考，应急预案应当在环境风险管理中具体化和进一步完善。</w:t>
      </w:r>
    </w:p>
    <w:p>
      <w:pPr>
        <w:widowControl/>
        <w:spacing w:line="360" w:lineRule="auto"/>
        <w:ind w:firstLine="480" w:firstLineChars="200"/>
        <w:jc w:val="left"/>
        <w:rPr>
          <w:i w:val="0"/>
          <w:iCs w:val="0"/>
          <w:color w:val="000000"/>
          <w:szCs w:val="20"/>
        </w:rPr>
      </w:pPr>
      <w:r>
        <w:rPr>
          <w:rFonts w:hint="eastAsia" w:cs="宋体"/>
          <w:i w:val="0"/>
          <w:iCs w:val="0"/>
          <w:color w:val="000000"/>
          <w:kern w:val="0"/>
          <w:lang w:bidi="ar"/>
        </w:rPr>
        <w:t>突发环境事件应急预案应包括以下基本内容。</w:t>
      </w:r>
    </w:p>
    <w:p>
      <w:pPr>
        <w:widowControl/>
        <w:spacing w:line="360" w:lineRule="auto"/>
        <w:ind w:firstLine="480" w:firstLineChars="200"/>
        <w:rPr>
          <w:i w:val="0"/>
          <w:iCs w:val="0"/>
          <w:color w:val="000000"/>
          <w:szCs w:val="20"/>
          <w:lang w:val="zh-CN"/>
        </w:rPr>
      </w:pPr>
      <w:r>
        <w:rPr>
          <w:i w:val="0"/>
          <w:iCs w:val="0"/>
          <w:color w:val="000000"/>
          <w:szCs w:val="20"/>
        </w:rPr>
        <w:t>1、</w:t>
      </w:r>
      <w:r>
        <w:rPr>
          <w:i w:val="0"/>
          <w:iCs w:val="0"/>
          <w:color w:val="000000"/>
          <w:szCs w:val="20"/>
          <w:lang w:val="zh-CN"/>
        </w:rPr>
        <w:t>总则</w:t>
      </w:r>
    </w:p>
    <w:p>
      <w:pPr>
        <w:widowControl/>
        <w:spacing w:line="360" w:lineRule="auto"/>
        <w:ind w:firstLine="480" w:firstLineChars="200"/>
        <w:rPr>
          <w:i w:val="0"/>
          <w:iCs w:val="0"/>
          <w:color w:val="000000"/>
          <w:szCs w:val="20"/>
          <w:lang w:val="zh-CN"/>
        </w:rPr>
      </w:pPr>
      <w:r>
        <w:rPr>
          <w:i w:val="0"/>
          <w:iCs w:val="0"/>
          <w:color w:val="000000"/>
          <w:szCs w:val="20"/>
        </w:rPr>
        <w:t>（1）</w:t>
      </w:r>
      <w:r>
        <w:rPr>
          <w:i w:val="0"/>
          <w:iCs w:val="0"/>
          <w:color w:val="000000"/>
          <w:szCs w:val="20"/>
          <w:lang w:val="zh-CN"/>
        </w:rPr>
        <w:t>编制目的</w:t>
      </w:r>
    </w:p>
    <w:p>
      <w:pPr>
        <w:widowControl/>
        <w:spacing w:line="360" w:lineRule="auto"/>
        <w:ind w:firstLine="480" w:firstLineChars="200"/>
        <w:rPr>
          <w:i w:val="0"/>
          <w:iCs w:val="0"/>
          <w:color w:val="000000"/>
          <w:szCs w:val="20"/>
          <w:lang w:val="zh-CN"/>
        </w:rPr>
      </w:pPr>
      <w:r>
        <w:rPr>
          <w:i w:val="0"/>
          <w:iCs w:val="0"/>
          <w:color w:val="000000"/>
          <w:szCs w:val="20"/>
          <w:lang w:val="zh-CN"/>
        </w:rPr>
        <w:t>明确预案编制的目的、要达到的目标和作用等。</w:t>
      </w:r>
    </w:p>
    <w:p>
      <w:pPr>
        <w:widowControl/>
        <w:spacing w:line="360" w:lineRule="auto"/>
        <w:ind w:firstLine="480" w:firstLineChars="200"/>
        <w:rPr>
          <w:i w:val="0"/>
          <w:iCs w:val="0"/>
          <w:color w:val="000000"/>
          <w:szCs w:val="20"/>
          <w:lang w:val="zh-CN"/>
        </w:rPr>
      </w:pPr>
      <w:r>
        <w:rPr>
          <w:i w:val="0"/>
          <w:iCs w:val="0"/>
          <w:color w:val="000000"/>
          <w:szCs w:val="20"/>
        </w:rPr>
        <w:t>（2）</w:t>
      </w:r>
      <w:r>
        <w:rPr>
          <w:i w:val="0"/>
          <w:iCs w:val="0"/>
          <w:color w:val="000000"/>
          <w:szCs w:val="20"/>
          <w:lang w:val="zh-CN"/>
        </w:rPr>
        <w:t>编制依据</w:t>
      </w:r>
    </w:p>
    <w:p>
      <w:pPr>
        <w:widowControl/>
        <w:spacing w:line="360" w:lineRule="auto"/>
        <w:ind w:firstLine="480" w:firstLineChars="200"/>
        <w:rPr>
          <w:i w:val="0"/>
          <w:iCs w:val="0"/>
          <w:color w:val="000000"/>
          <w:szCs w:val="20"/>
          <w:lang w:val="zh-CN"/>
        </w:rPr>
      </w:pPr>
      <w:r>
        <w:rPr>
          <w:i w:val="0"/>
          <w:iCs w:val="0"/>
          <w:color w:val="000000"/>
          <w:szCs w:val="20"/>
          <w:lang w:val="zh-CN"/>
        </w:rPr>
        <w:t>明确预案编制所依据的国家法律法规、规章制度，部门文件，有关行业技术规范标准，以及企业关于应急工作的有关制度和管理办法等。</w:t>
      </w:r>
    </w:p>
    <w:p>
      <w:pPr>
        <w:widowControl/>
        <w:spacing w:line="360" w:lineRule="auto"/>
        <w:ind w:firstLine="480" w:firstLineChars="200"/>
        <w:rPr>
          <w:i w:val="0"/>
          <w:iCs w:val="0"/>
          <w:color w:val="000000"/>
          <w:szCs w:val="20"/>
          <w:lang w:val="zh-CN"/>
        </w:rPr>
      </w:pPr>
      <w:r>
        <w:rPr>
          <w:i w:val="0"/>
          <w:iCs w:val="0"/>
          <w:color w:val="000000"/>
          <w:szCs w:val="20"/>
        </w:rPr>
        <w:t>（3）</w:t>
      </w:r>
      <w:r>
        <w:rPr>
          <w:i w:val="0"/>
          <w:iCs w:val="0"/>
          <w:color w:val="000000"/>
          <w:szCs w:val="20"/>
          <w:lang w:val="zh-CN"/>
        </w:rPr>
        <w:t>适用范围</w:t>
      </w:r>
    </w:p>
    <w:p>
      <w:pPr>
        <w:widowControl/>
        <w:spacing w:line="360" w:lineRule="auto"/>
        <w:ind w:firstLine="480" w:firstLineChars="200"/>
        <w:rPr>
          <w:i w:val="0"/>
          <w:iCs w:val="0"/>
          <w:color w:val="000000"/>
          <w:szCs w:val="20"/>
          <w:lang w:val="zh-CN"/>
        </w:rPr>
      </w:pPr>
      <w:r>
        <w:rPr>
          <w:i w:val="0"/>
          <w:iCs w:val="0"/>
          <w:color w:val="000000"/>
          <w:szCs w:val="20"/>
          <w:lang w:val="zh-CN"/>
        </w:rPr>
        <w:t>规定应急预案适用的对象、范围，以及环境污染事件的类型、级别等。</w:t>
      </w:r>
    </w:p>
    <w:p>
      <w:pPr>
        <w:widowControl/>
        <w:spacing w:line="360" w:lineRule="auto"/>
        <w:ind w:firstLine="480" w:firstLineChars="200"/>
        <w:rPr>
          <w:i w:val="0"/>
          <w:iCs w:val="0"/>
          <w:color w:val="000000"/>
          <w:szCs w:val="20"/>
          <w:lang w:val="zh-CN"/>
        </w:rPr>
      </w:pPr>
      <w:r>
        <w:rPr>
          <w:i w:val="0"/>
          <w:iCs w:val="0"/>
          <w:color w:val="000000"/>
          <w:szCs w:val="20"/>
        </w:rPr>
        <w:t>（4）</w:t>
      </w:r>
      <w:r>
        <w:rPr>
          <w:i w:val="0"/>
          <w:iCs w:val="0"/>
          <w:color w:val="000000"/>
          <w:szCs w:val="20"/>
          <w:lang w:val="zh-CN"/>
        </w:rPr>
        <w:t>事件分级</w:t>
      </w:r>
    </w:p>
    <w:p>
      <w:pPr>
        <w:widowControl/>
        <w:spacing w:line="360" w:lineRule="auto"/>
        <w:ind w:firstLine="480" w:firstLineChars="200"/>
        <w:rPr>
          <w:i w:val="0"/>
          <w:iCs w:val="0"/>
          <w:color w:val="000000"/>
          <w:szCs w:val="20"/>
          <w:lang w:val="zh-CN"/>
        </w:rPr>
      </w:pPr>
      <w:r>
        <w:rPr>
          <w:i w:val="0"/>
          <w:iCs w:val="0"/>
          <w:color w:val="000000"/>
          <w:szCs w:val="20"/>
          <w:lang w:val="zh-CN"/>
        </w:rPr>
        <w:t>参照《国家突发环境事件应急预案》。</w:t>
      </w:r>
    </w:p>
    <w:p>
      <w:pPr>
        <w:widowControl/>
        <w:spacing w:line="360" w:lineRule="auto"/>
        <w:ind w:firstLine="480" w:firstLineChars="200"/>
        <w:rPr>
          <w:i w:val="0"/>
          <w:iCs w:val="0"/>
          <w:color w:val="000000"/>
          <w:szCs w:val="20"/>
          <w:lang w:val="zh-CN"/>
        </w:rPr>
      </w:pPr>
      <w:r>
        <w:rPr>
          <w:i w:val="0"/>
          <w:iCs w:val="0"/>
          <w:color w:val="000000"/>
          <w:szCs w:val="20"/>
        </w:rPr>
        <w:t>（5）</w:t>
      </w:r>
      <w:r>
        <w:rPr>
          <w:i w:val="0"/>
          <w:iCs w:val="0"/>
          <w:color w:val="000000"/>
          <w:szCs w:val="20"/>
          <w:lang w:val="zh-CN"/>
        </w:rPr>
        <w:t>工作原则</w:t>
      </w:r>
    </w:p>
    <w:p>
      <w:pPr>
        <w:widowControl/>
        <w:spacing w:line="360" w:lineRule="auto"/>
        <w:ind w:firstLine="480" w:firstLineChars="200"/>
        <w:rPr>
          <w:i w:val="0"/>
          <w:iCs w:val="0"/>
          <w:color w:val="000000"/>
          <w:szCs w:val="20"/>
          <w:lang w:val="zh-CN"/>
        </w:rPr>
      </w:pPr>
      <w:r>
        <w:rPr>
          <w:i w:val="0"/>
          <w:iCs w:val="0"/>
          <w:color w:val="000000"/>
          <w:szCs w:val="20"/>
          <w:lang w:val="zh-CN"/>
        </w:rPr>
        <w:t>明确应急工作应遵循预防为主、减少危害，统一领导、分级负责，企业自救、属地管理，整合资源、联动处置等原则。</w:t>
      </w:r>
    </w:p>
    <w:p>
      <w:pPr>
        <w:widowControl/>
        <w:spacing w:line="360" w:lineRule="auto"/>
        <w:ind w:firstLine="480" w:firstLineChars="200"/>
        <w:rPr>
          <w:i w:val="0"/>
          <w:iCs w:val="0"/>
          <w:color w:val="000000"/>
          <w:szCs w:val="20"/>
          <w:lang w:val="zh-CN"/>
        </w:rPr>
      </w:pPr>
      <w:r>
        <w:rPr>
          <w:i w:val="0"/>
          <w:iCs w:val="0"/>
          <w:color w:val="000000"/>
          <w:szCs w:val="20"/>
        </w:rPr>
        <w:t>（6）</w:t>
      </w:r>
      <w:r>
        <w:rPr>
          <w:i w:val="0"/>
          <w:iCs w:val="0"/>
          <w:color w:val="000000"/>
          <w:szCs w:val="20"/>
          <w:lang w:val="zh-CN"/>
        </w:rPr>
        <w:t>应急预案关系说明</w:t>
      </w:r>
    </w:p>
    <w:p>
      <w:pPr>
        <w:widowControl/>
        <w:spacing w:line="360" w:lineRule="auto"/>
        <w:ind w:firstLine="480" w:firstLineChars="200"/>
        <w:rPr>
          <w:i w:val="0"/>
          <w:iCs w:val="0"/>
          <w:color w:val="000000"/>
          <w:szCs w:val="20"/>
          <w:lang w:val="zh-CN"/>
        </w:rPr>
      </w:pPr>
      <w:r>
        <w:rPr>
          <w:i w:val="0"/>
          <w:iCs w:val="0"/>
          <w:color w:val="000000"/>
          <w:szCs w:val="20"/>
          <w:lang w:val="zh-CN"/>
        </w:rPr>
        <w:t>明确应急预案与内部企业应急预案和外部其他应急预案的关系，并辅相应的关系图，表述预案之间的横向关联及上下衔接关系。</w:t>
      </w:r>
    </w:p>
    <w:p>
      <w:pPr>
        <w:widowControl/>
        <w:spacing w:line="360" w:lineRule="auto"/>
        <w:ind w:firstLine="480" w:firstLineChars="200"/>
        <w:rPr>
          <w:i w:val="0"/>
          <w:iCs w:val="0"/>
          <w:color w:val="000000"/>
          <w:szCs w:val="20"/>
          <w:lang w:val="zh-CN"/>
        </w:rPr>
      </w:pPr>
      <w:r>
        <w:rPr>
          <w:i w:val="0"/>
          <w:iCs w:val="0"/>
          <w:color w:val="000000"/>
          <w:szCs w:val="20"/>
        </w:rPr>
        <w:t>2、</w:t>
      </w:r>
      <w:r>
        <w:rPr>
          <w:i w:val="0"/>
          <w:iCs w:val="0"/>
          <w:color w:val="000000"/>
          <w:szCs w:val="20"/>
          <w:lang w:val="zh-CN"/>
        </w:rPr>
        <w:t>组织机构和职责</w:t>
      </w:r>
    </w:p>
    <w:p>
      <w:pPr>
        <w:widowControl/>
        <w:spacing w:line="360" w:lineRule="auto"/>
        <w:ind w:firstLine="480" w:firstLineChars="200"/>
        <w:jc w:val="left"/>
        <w:rPr>
          <w:i w:val="0"/>
          <w:iCs w:val="0"/>
          <w:color w:val="000000"/>
          <w:szCs w:val="20"/>
        </w:rPr>
      </w:pPr>
      <w:r>
        <w:rPr>
          <w:rFonts w:hint="eastAsia" w:ascii="宋体" w:hAnsi="宋体" w:cs="宋体"/>
          <w:i w:val="0"/>
          <w:iCs w:val="0"/>
          <w:color w:val="000000"/>
          <w:kern w:val="0"/>
          <w:lang w:bidi="ar"/>
        </w:rPr>
        <w:t>（1）</w:t>
      </w:r>
      <w:r>
        <w:rPr>
          <w:rFonts w:hint="eastAsia" w:cs="宋体"/>
          <w:i w:val="0"/>
          <w:iCs w:val="0"/>
          <w:color w:val="000000"/>
          <w:kern w:val="0"/>
          <w:lang w:bidi="ar"/>
        </w:rPr>
        <w:t>组织机构</w:t>
      </w:r>
    </w:p>
    <w:p>
      <w:pPr>
        <w:widowControl/>
        <w:spacing w:line="360" w:lineRule="auto"/>
        <w:ind w:firstLine="480" w:firstLineChars="200"/>
        <w:jc w:val="left"/>
        <w:rPr>
          <w:i w:val="0"/>
          <w:iCs w:val="0"/>
          <w:color w:val="000000"/>
          <w:szCs w:val="20"/>
        </w:rPr>
      </w:pPr>
      <w:r>
        <w:rPr>
          <w:rFonts w:hint="eastAsia" w:cs="宋体"/>
          <w:i w:val="0"/>
          <w:iCs w:val="0"/>
          <w:color w:val="000000"/>
          <w:kern w:val="0"/>
          <w:lang w:bidi="ar"/>
        </w:rPr>
        <w:t>明确应急组织机构的构成。一般由应急领导小组、应急指挥中心、办事机构和工作机构、应急工作主要部门、应急工作支持部门、信息组、专家组、现场应急指挥部等构成，并尽可能以结构图的形式表述。</w:t>
      </w:r>
    </w:p>
    <w:p>
      <w:pPr>
        <w:widowControl/>
        <w:spacing w:line="360" w:lineRule="auto"/>
        <w:ind w:firstLine="480" w:firstLineChars="200"/>
        <w:jc w:val="left"/>
        <w:rPr>
          <w:i w:val="0"/>
          <w:iCs w:val="0"/>
          <w:color w:val="000000"/>
          <w:szCs w:val="20"/>
        </w:rPr>
      </w:pPr>
      <w:r>
        <w:rPr>
          <w:rFonts w:hint="eastAsia" w:ascii="宋体" w:hAnsi="宋体" w:cs="宋体"/>
          <w:i w:val="0"/>
          <w:iCs w:val="0"/>
          <w:color w:val="000000"/>
          <w:szCs w:val="20"/>
        </w:rPr>
        <w:t>（2）</w:t>
      </w:r>
      <w:r>
        <w:rPr>
          <w:rFonts w:hint="eastAsia"/>
          <w:i w:val="0"/>
          <w:iCs w:val="0"/>
          <w:color w:val="000000"/>
          <w:szCs w:val="20"/>
        </w:rPr>
        <w:t>职责</w:t>
      </w:r>
    </w:p>
    <w:p>
      <w:pPr>
        <w:widowControl/>
        <w:spacing w:line="360" w:lineRule="auto"/>
        <w:ind w:firstLine="480" w:firstLineChars="200"/>
        <w:jc w:val="left"/>
        <w:rPr>
          <w:i w:val="0"/>
          <w:iCs w:val="0"/>
          <w:color w:val="000000"/>
          <w:szCs w:val="20"/>
        </w:rPr>
      </w:pPr>
      <w:r>
        <w:rPr>
          <w:rFonts w:hint="eastAsia" w:cs="宋体"/>
          <w:i w:val="0"/>
          <w:iCs w:val="0"/>
          <w:color w:val="000000"/>
          <w:kern w:val="0"/>
          <w:lang w:bidi="ar"/>
        </w:rPr>
        <w:t>规定应急组织体系中各部门的应急工作职责、协调管理范畴、负责解决的主要问题和具体操作步骤等。</w:t>
      </w:r>
    </w:p>
    <w:p>
      <w:pPr>
        <w:widowControl/>
        <w:spacing w:line="360" w:lineRule="auto"/>
        <w:ind w:firstLine="480" w:firstLineChars="200"/>
        <w:jc w:val="left"/>
        <w:rPr>
          <w:rFonts w:cs="宋体"/>
          <w:i w:val="0"/>
          <w:iCs w:val="0"/>
          <w:color w:val="000000"/>
          <w:kern w:val="0"/>
          <w:lang w:bidi="ar"/>
        </w:rPr>
      </w:pPr>
      <w:r>
        <w:rPr>
          <w:rFonts w:hint="eastAsia" w:cs="宋体"/>
          <w:i w:val="0"/>
          <w:iCs w:val="0"/>
          <w:color w:val="000000"/>
          <w:kern w:val="0"/>
          <w:lang w:bidi="ar"/>
        </w:rPr>
        <w:t>典型的应急组织机构见图下图。</w:t>
      </w:r>
    </w:p>
    <w:tbl>
      <w:tblPr>
        <w:tblStyle w:val="58"/>
        <w:tblW w:w="9071" w:type="dxa"/>
        <w:jc w:val="center"/>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071"/>
      </w:tblGrid>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108" w:type="dxa"/>
            <w:bottom w:w="0" w:type="dxa"/>
            <w:right w:w="108" w:type="dxa"/>
          </w:tblCellMar>
        </w:tblPrEx>
        <w:trPr>
          <w:trHeight w:val="6631" w:hRule="atLeast"/>
          <w:jc w:val="center"/>
        </w:trPr>
        <w:tc>
          <w:tcPr>
            <w:tcW w:w="9288" w:type="dxa"/>
            <w:noWrap w:val="0"/>
            <w:vAlign w:val="top"/>
          </w:tcPr>
          <w:p>
            <w:pPr>
              <w:pStyle w:val="37"/>
              <w:rPr>
                <w:i w:val="0"/>
                <w:iCs w:val="0"/>
                <w:color w:val="000000"/>
              </w:rPr>
            </w:pPr>
            <w:r>
              <w:rPr>
                <w:i w:val="0"/>
                <w:iCs w:val="0"/>
                <w:color w:val="000000"/>
                <w:szCs w:val="20"/>
              </w:rPr>
              <w:drawing>
                <wp:anchor distT="0" distB="0" distL="114300" distR="114300" simplePos="0" relativeHeight="251668480" behindDoc="0" locked="0" layoutInCell="1" allowOverlap="1">
                  <wp:simplePos x="0" y="0"/>
                  <wp:positionH relativeFrom="column">
                    <wp:posOffset>55880</wp:posOffset>
                  </wp:positionH>
                  <wp:positionV relativeFrom="paragraph">
                    <wp:posOffset>98425</wp:posOffset>
                  </wp:positionV>
                  <wp:extent cx="5494655" cy="3997960"/>
                  <wp:effectExtent l="0" t="0" r="10795" b="2540"/>
                  <wp:wrapNone/>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56"/>
                          <a:stretch>
                            <a:fillRect/>
                          </a:stretch>
                        </pic:blipFill>
                        <pic:spPr>
                          <a:xfrm>
                            <a:off x="0" y="0"/>
                            <a:ext cx="5494655" cy="3997960"/>
                          </a:xfrm>
                          <a:prstGeom prst="rect">
                            <a:avLst/>
                          </a:prstGeom>
                          <a:noFill/>
                          <a:ln>
                            <a:noFill/>
                          </a:ln>
                        </pic:spPr>
                      </pic:pic>
                    </a:graphicData>
                  </a:graphic>
                </wp:anchor>
              </w:drawing>
            </w:r>
          </w:p>
        </w:tc>
      </w:tr>
    </w:tbl>
    <w:p>
      <w:pPr>
        <w:widowControl/>
        <w:spacing w:before="120" w:beforeLines="50" w:after="120" w:afterLines="50"/>
        <w:jc w:val="center"/>
        <w:rPr>
          <w:b/>
          <w:bCs/>
          <w:i w:val="0"/>
          <w:iCs w:val="0"/>
          <w:color w:val="000000"/>
          <w:szCs w:val="20"/>
        </w:rPr>
      </w:pPr>
      <w:r>
        <w:rPr>
          <w:rFonts w:hint="eastAsia"/>
          <w:b/>
          <w:bCs/>
          <w:i w:val="0"/>
          <w:iCs w:val="0"/>
          <w:color w:val="000000"/>
          <w:szCs w:val="20"/>
          <w:lang w:val="zh-CN"/>
        </w:rPr>
        <w:t>图</w:t>
      </w:r>
      <w:r>
        <w:rPr>
          <w:rFonts w:hint="eastAsia"/>
          <w:b/>
          <w:bCs/>
          <w:i w:val="0"/>
          <w:iCs w:val="0"/>
          <w:color w:val="000000"/>
          <w:szCs w:val="20"/>
        </w:rPr>
        <w:t>7-</w:t>
      </w:r>
      <w:r>
        <w:rPr>
          <w:rFonts w:hint="eastAsia"/>
          <w:b/>
          <w:bCs/>
          <w:i w:val="0"/>
          <w:iCs w:val="0"/>
          <w:color w:val="000000"/>
          <w:szCs w:val="20"/>
          <w:lang w:val="en-US" w:eastAsia="zh-CN"/>
        </w:rPr>
        <w:t>2</w:t>
      </w:r>
      <w:r>
        <w:rPr>
          <w:rFonts w:hint="eastAsia"/>
          <w:b/>
          <w:bCs/>
          <w:i w:val="0"/>
          <w:iCs w:val="0"/>
          <w:color w:val="000000"/>
          <w:szCs w:val="20"/>
        </w:rPr>
        <w:t xml:space="preserve">   应急组织机构框图示意图</w:t>
      </w:r>
    </w:p>
    <w:p>
      <w:pPr>
        <w:widowControl/>
        <w:spacing w:line="360" w:lineRule="auto"/>
        <w:ind w:firstLine="480" w:firstLineChars="200"/>
        <w:rPr>
          <w:i w:val="0"/>
          <w:iCs w:val="0"/>
          <w:color w:val="000000"/>
          <w:szCs w:val="20"/>
          <w:lang w:val="zh-CN"/>
        </w:rPr>
      </w:pPr>
      <w:r>
        <w:rPr>
          <w:i w:val="0"/>
          <w:iCs w:val="0"/>
          <w:color w:val="000000"/>
          <w:szCs w:val="20"/>
        </w:rPr>
        <w:t>3、</w:t>
      </w:r>
      <w:r>
        <w:rPr>
          <w:i w:val="0"/>
          <w:iCs w:val="0"/>
          <w:color w:val="000000"/>
          <w:szCs w:val="20"/>
          <w:lang w:val="zh-CN"/>
        </w:rPr>
        <w:t>预防与预警</w:t>
      </w:r>
    </w:p>
    <w:p>
      <w:pPr>
        <w:widowControl/>
        <w:spacing w:line="360" w:lineRule="auto"/>
        <w:ind w:firstLine="480" w:firstLineChars="200"/>
        <w:rPr>
          <w:i w:val="0"/>
          <w:iCs w:val="0"/>
          <w:color w:val="000000"/>
          <w:szCs w:val="20"/>
          <w:lang w:val="zh-CN"/>
        </w:rPr>
      </w:pPr>
      <w:r>
        <w:rPr>
          <w:i w:val="0"/>
          <w:iCs w:val="0"/>
          <w:color w:val="000000"/>
          <w:szCs w:val="20"/>
        </w:rPr>
        <w:t>（1）</w:t>
      </w:r>
      <w:r>
        <w:rPr>
          <w:i w:val="0"/>
          <w:iCs w:val="0"/>
          <w:color w:val="000000"/>
          <w:szCs w:val="20"/>
          <w:lang w:val="zh-CN"/>
        </w:rPr>
        <w:t>危险源监控</w:t>
      </w:r>
    </w:p>
    <w:p>
      <w:pPr>
        <w:widowControl/>
        <w:spacing w:line="360" w:lineRule="auto"/>
        <w:ind w:firstLine="480" w:firstLineChars="200"/>
        <w:rPr>
          <w:i w:val="0"/>
          <w:iCs w:val="0"/>
          <w:color w:val="000000"/>
          <w:szCs w:val="20"/>
          <w:lang w:val="zh-CN"/>
        </w:rPr>
      </w:pPr>
      <w:r>
        <w:rPr>
          <w:i w:val="0"/>
          <w:iCs w:val="0"/>
          <w:color w:val="000000"/>
          <w:szCs w:val="20"/>
          <w:lang w:val="zh-CN"/>
        </w:rPr>
        <w:t>明确对区域内容易引发重大突发环境事件的危险源、危险区域进行调查、登记、风险评估，组织进行检查、监控，并采取安全防范措施，对突发环境事件进行预防。</w:t>
      </w:r>
    </w:p>
    <w:p>
      <w:pPr>
        <w:widowControl/>
        <w:spacing w:line="360" w:lineRule="auto"/>
        <w:ind w:firstLine="480" w:firstLineChars="200"/>
        <w:rPr>
          <w:i w:val="0"/>
          <w:iCs w:val="0"/>
          <w:color w:val="000000"/>
          <w:szCs w:val="20"/>
          <w:lang w:val="zh-CN"/>
        </w:rPr>
      </w:pPr>
      <w:r>
        <w:rPr>
          <w:i w:val="0"/>
          <w:iCs w:val="0"/>
          <w:color w:val="000000"/>
          <w:szCs w:val="20"/>
          <w:lang w:val="zh-CN"/>
        </w:rPr>
        <w:t>应急指挥机构确认可能导致突发环境事件的信息后，要及时研究确定应对方案，通知有关部门、单位采取相应措施预防事件发生。</w:t>
      </w:r>
    </w:p>
    <w:p>
      <w:pPr>
        <w:widowControl/>
        <w:spacing w:line="360" w:lineRule="auto"/>
        <w:ind w:firstLine="480" w:firstLineChars="200"/>
        <w:rPr>
          <w:i w:val="0"/>
          <w:iCs w:val="0"/>
          <w:color w:val="000000"/>
          <w:szCs w:val="20"/>
          <w:lang w:val="zh-CN"/>
        </w:rPr>
      </w:pPr>
      <w:r>
        <w:rPr>
          <w:i w:val="0"/>
          <w:iCs w:val="0"/>
          <w:color w:val="000000"/>
          <w:szCs w:val="20"/>
        </w:rPr>
        <w:t>（2）</w:t>
      </w:r>
      <w:r>
        <w:rPr>
          <w:i w:val="0"/>
          <w:iCs w:val="0"/>
          <w:color w:val="000000"/>
          <w:szCs w:val="20"/>
          <w:lang w:val="zh-CN"/>
        </w:rPr>
        <w:t>预防与应急准备</w:t>
      </w:r>
    </w:p>
    <w:p>
      <w:pPr>
        <w:widowControl/>
        <w:spacing w:line="360" w:lineRule="auto"/>
        <w:ind w:firstLine="480" w:firstLineChars="200"/>
        <w:rPr>
          <w:i w:val="0"/>
          <w:iCs w:val="0"/>
          <w:color w:val="000000"/>
          <w:szCs w:val="20"/>
          <w:lang w:val="zh-CN"/>
        </w:rPr>
      </w:pPr>
      <w:r>
        <w:rPr>
          <w:i w:val="0"/>
          <w:iCs w:val="0"/>
          <w:color w:val="000000"/>
          <w:szCs w:val="20"/>
          <w:lang w:val="zh-CN"/>
        </w:rPr>
        <w:t>明确应急组织机构成员根据自己的职责需开展的预防和应急准备工作，如完善应急预案、应急培训、演练、相关知识培训、应急平台建设、新技术研发等。</w:t>
      </w:r>
    </w:p>
    <w:p>
      <w:pPr>
        <w:widowControl/>
        <w:spacing w:line="360" w:lineRule="auto"/>
        <w:ind w:firstLine="480" w:firstLineChars="200"/>
        <w:rPr>
          <w:i w:val="0"/>
          <w:iCs w:val="0"/>
          <w:color w:val="000000"/>
          <w:szCs w:val="20"/>
          <w:lang w:val="zh-CN"/>
        </w:rPr>
      </w:pPr>
      <w:r>
        <w:rPr>
          <w:i w:val="0"/>
          <w:iCs w:val="0"/>
          <w:color w:val="000000"/>
          <w:szCs w:val="20"/>
        </w:rPr>
        <w:t>（3）</w:t>
      </w:r>
      <w:r>
        <w:rPr>
          <w:i w:val="0"/>
          <w:iCs w:val="0"/>
          <w:color w:val="000000"/>
          <w:szCs w:val="20"/>
          <w:lang w:val="zh-CN"/>
        </w:rPr>
        <w:t>监测与预警</w:t>
      </w:r>
    </w:p>
    <w:p>
      <w:pPr>
        <w:widowControl/>
        <w:spacing w:line="360" w:lineRule="auto"/>
        <w:ind w:firstLine="480" w:firstLineChars="200"/>
        <w:jc w:val="left"/>
        <w:rPr>
          <w:i w:val="0"/>
          <w:iCs w:val="0"/>
          <w:color w:val="000000"/>
          <w:szCs w:val="20"/>
        </w:rPr>
      </w:pPr>
      <w:r>
        <w:rPr>
          <w:i w:val="0"/>
          <w:iCs w:val="0"/>
          <w:color w:val="000000"/>
          <w:kern w:val="0"/>
          <w:lang w:bidi="ar"/>
        </w:rPr>
        <w:t>应按照早发现、早报告、早处置的原则，对重点排污口进行例行监测。</w:t>
      </w:r>
    </w:p>
    <w:p>
      <w:pPr>
        <w:widowControl/>
        <w:spacing w:line="360" w:lineRule="auto"/>
        <w:ind w:firstLine="480" w:firstLineChars="200"/>
        <w:jc w:val="left"/>
        <w:rPr>
          <w:i w:val="0"/>
          <w:iCs w:val="0"/>
          <w:color w:val="000000"/>
          <w:szCs w:val="20"/>
        </w:rPr>
      </w:pPr>
      <w:r>
        <w:rPr>
          <w:i w:val="0"/>
          <w:iCs w:val="0"/>
          <w:color w:val="000000"/>
          <w:kern w:val="0"/>
          <w:lang w:bidi="ar"/>
        </w:rPr>
        <w:t>根据企业应急能力情况及可能发生的突发环境事件级别，有针对性地开展应急监测工作。</w:t>
      </w:r>
    </w:p>
    <w:p>
      <w:pPr>
        <w:widowControl/>
        <w:spacing w:line="360" w:lineRule="auto"/>
        <w:ind w:firstLine="480" w:firstLineChars="200"/>
        <w:rPr>
          <w:i w:val="0"/>
          <w:iCs w:val="0"/>
          <w:color w:val="000000"/>
          <w:szCs w:val="20"/>
        </w:rPr>
      </w:pPr>
      <w:r>
        <w:rPr>
          <w:i w:val="0"/>
          <w:iCs w:val="0"/>
          <w:color w:val="000000"/>
          <w:szCs w:val="20"/>
        </w:rPr>
        <w:t>4、应急响应</w:t>
      </w:r>
    </w:p>
    <w:p>
      <w:pPr>
        <w:widowControl/>
        <w:spacing w:line="360" w:lineRule="auto"/>
        <w:ind w:firstLine="480" w:firstLineChars="200"/>
        <w:rPr>
          <w:i w:val="0"/>
          <w:iCs w:val="0"/>
          <w:color w:val="000000"/>
          <w:szCs w:val="20"/>
          <w:lang w:val="zh-CN"/>
        </w:rPr>
      </w:pPr>
      <w:r>
        <w:rPr>
          <w:i w:val="0"/>
          <w:iCs w:val="0"/>
          <w:color w:val="000000"/>
          <w:szCs w:val="20"/>
        </w:rPr>
        <w:t>（1）</w:t>
      </w:r>
      <w:r>
        <w:rPr>
          <w:i w:val="0"/>
          <w:iCs w:val="0"/>
          <w:color w:val="000000"/>
          <w:szCs w:val="20"/>
          <w:lang w:val="zh-CN"/>
        </w:rPr>
        <w:t>响应流程</w:t>
      </w:r>
    </w:p>
    <w:p>
      <w:pPr>
        <w:widowControl/>
        <w:spacing w:line="360" w:lineRule="auto"/>
        <w:ind w:firstLine="480" w:firstLineChars="200"/>
        <w:rPr>
          <w:i w:val="0"/>
          <w:iCs w:val="0"/>
          <w:color w:val="000000"/>
          <w:szCs w:val="20"/>
          <w:lang w:val="zh-CN"/>
        </w:rPr>
      </w:pPr>
      <w:r>
        <w:rPr>
          <w:i w:val="0"/>
          <w:iCs w:val="0"/>
          <w:color w:val="000000"/>
          <w:szCs w:val="20"/>
          <w:lang w:val="zh-CN"/>
        </w:rPr>
        <w:t>根据所编制预案的类型和特点，明确应急响应的流程和步骤，按分级响应流程汇报。</w:t>
      </w:r>
    </w:p>
    <w:p>
      <w:pPr>
        <w:widowControl/>
        <w:spacing w:line="360" w:lineRule="auto"/>
        <w:ind w:firstLine="480" w:firstLineChars="200"/>
        <w:rPr>
          <w:i w:val="0"/>
          <w:iCs w:val="0"/>
          <w:color w:val="000000"/>
          <w:szCs w:val="20"/>
          <w:lang w:val="zh-CN"/>
        </w:rPr>
      </w:pPr>
      <w:r>
        <w:rPr>
          <w:i w:val="0"/>
          <w:iCs w:val="0"/>
          <w:color w:val="000000"/>
          <w:szCs w:val="20"/>
        </w:rPr>
        <w:t>（2）</w:t>
      </w:r>
      <w:r>
        <w:rPr>
          <w:i w:val="0"/>
          <w:iCs w:val="0"/>
          <w:color w:val="000000"/>
          <w:szCs w:val="20"/>
          <w:lang w:val="zh-CN"/>
        </w:rPr>
        <w:t>分级响应</w:t>
      </w:r>
    </w:p>
    <w:p>
      <w:pPr>
        <w:widowControl/>
        <w:spacing w:line="360" w:lineRule="auto"/>
        <w:ind w:firstLine="480" w:firstLineChars="200"/>
        <w:rPr>
          <w:i w:val="0"/>
          <w:iCs w:val="0"/>
          <w:color w:val="000000"/>
          <w:szCs w:val="20"/>
          <w:lang w:val="zh-CN"/>
        </w:rPr>
      </w:pPr>
      <w:r>
        <w:rPr>
          <w:i w:val="0"/>
          <w:iCs w:val="0"/>
          <w:color w:val="000000"/>
          <w:szCs w:val="20"/>
          <w:lang w:val="zh-CN"/>
        </w:rPr>
        <w:t>根据事件紧急和危害程度，对应急响应进行分级。</w:t>
      </w:r>
    </w:p>
    <w:p>
      <w:pPr>
        <w:widowControl/>
        <w:spacing w:line="360" w:lineRule="auto"/>
        <w:ind w:firstLine="480" w:firstLineChars="200"/>
        <w:rPr>
          <w:i w:val="0"/>
          <w:iCs w:val="0"/>
          <w:color w:val="000000"/>
          <w:szCs w:val="20"/>
          <w:lang w:val="zh-CN"/>
        </w:rPr>
      </w:pPr>
      <w:r>
        <w:rPr>
          <w:i w:val="0"/>
          <w:iCs w:val="0"/>
          <w:color w:val="000000"/>
          <w:szCs w:val="20"/>
        </w:rPr>
        <w:t>（3）</w:t>
      </w:r>
      <w:r>
        <w:rPr>
          <w:i w:val="0"/>
          <w:iCs w:val="0"/>
          <w:color w:val="000000"/>
          <w:szCs w:val="20"/>
          <w:lang w:val="zh-CN"/>
        </w:rPr>
        <w:t>启动条件</w:t>
      </w:r>
    </w:p>
    <w:p>
      <w:pPr>
        <w:widowControl/>
        <w:spacing w:line="360" w:lineRule="auto"/>
        <w:ind w:firstLine="480" w:firstLineChars="200"/>
        <w:rPr>
          <w:i w:val="0"/>
          <w:iCs w:val="0"/>
          <w:color w:val="000000"/>
          <w:szCs w:val="20"/>
          <w:lang w:val="zh-CN"/>
        </w:rPr>
      </w:pPr>
      <w:r>
        <w:rPr>
          <w:i w:val="0"/>
          <w:iCs w:val="0"/>
          <w:color w:val="000000"/>
          <w:szCs w:val="20"/>
          <w:lang w:val="zh-CN"/>
        </w:rPr>
        <w:t>明确不同级别预案的启动条件。</w:t>
      </w:r>
    </w:p>
    <w:p>
      <w:pPr>
        <w:widowControl/>
        <w:spacing w:line="360" w:lineRule="auto"/>
        <w:ind w:firstLine="480" w:firstLineChars="200"/>
        <w:rPr>
          <w:i w:val="0"/>
          <w:iCs w:val="0"/>
          <w:color w:val="000000"/>
          <w:szCs w:val="20"/>
        </w:rPr>
      </w:pPr>
      <w:r>
        <w:rPr>
          <w:i w:val="0"/>
          <w:iCs w:val="0"/>
          <w:color w:val="000000"/>
          <w:szCs w:val="20"/>
        </w:rPr>
        <w:t>（4）信息报告与处置</w:t>
      </w:r>
    </w:p>
    <w:p>
      <w:pPr>
        <w:widowControl/>
        <w:spacing w:line="360" w:lineRule="auto"/>
        <w:ind w:firstLine="480" w:firstLineChars="200"/>
        <w:rPr>
          <w:i w:val="0"/>
          <w:iCs w:val="0"/>
          <w:color w:val="000000"/>
          <w:szCs w:val="20"/>
        </w:rPr>
      </w:pPr>
      <w:r>
        <w:rPr>
          <w:i w:val="0"/>
          <w:iCs w:val="0"/>
          <w:color w:val="000000"/>
          <w:szCs w:val="20"/>
        </w:rPr>
        <w:t>明确24小时应急值守电话、内部信息报告的形式和要求，以及突发事件信息的通报流程；</w:t>
      </w:r>
    </w:p>
    <w:p>
      <w:pPr>
        <w:widowControl/>
        <w:spacing w:line="360" w:lineRule="auto"/>
        <w:ind w:firstLine="480" w:firstLineChars="200"/>
        <w:rPr>
          <w:i w:val="0"/>
          <w:iCs w:val="0"/>
          <w:color w:val="000000"/>
          <w:szCs w:val="20"/>
        </w:rPr>
      </w:pPr>
      <w:r>
        <w:rPr>
          <w:i w:val="0"/>
          <w:iCs w:val="0"/>
          <w:color w:val="000000"/>
          <w:szCs w:val="20"/>
        </w:rPr>
        <w:t>明确事件信息上报的部门、方式、内容和时限等内容；明确事件发生后向可能遭受事件影响的单位，以及向请求援助单位发出有关信息的方式、方法。</w:t>
      </w:r>
    </w:p>
    <w:p>
      <w:pPr>
        <w:widowControl/>
        <w:spacing w:line="360" w:lineRule="auto"/>
        <w:ind w:firstLine="480" w:firstLineChars="200"/>
        <w:rPr>
          <w:i w:val="0"/>
          <w:iCs w:val="0"/>
          <w:color w:val="000000"/>
          <w:szCs w:val="20"/>
        </w:rPr>
      </w:pPr>
      <w:r>
        <w:rPr>
          <w:i w:val="0"/>
          <w:iCs w:val="0"/>
          <w:color w:val="000000"/>
          <w:szCs w:val="20"/>
        </w:rPr>
        <w:t>（5）应急准备</w:t>
      </w:r>
    </w:p>
    <w:p>
      <w:pPr>
        <w:widowControl/>
        <w:spacing w:line="360" w:lineRule="auto"/>
        <w:ind w:firstLine="480" w:firstLineChars="200"/>
        <w:rPr>
          <w:i w:val="0"/>
          <w:iCs w:val="0"/>
          <w:color w:val="000000"/>
          <w:szCs w:val="20"/>
        </w:rPr>
      </w:pPr>
      <w:r>
        <w:rPr>
          <w:i w:val="0"/>
          <w:iCs w:val="0"/>
          <w:color w:val="000000"/>
          <w:szCs w:val="20"/>
        </w:rPr>
        <w:t>明确应急行动开展之前的准备工作，包括下达启动预案命令、召开应急会议、各应急组织成员的联系会议等。</w:t>
      </w:r>
    </w:p>
    <w:p>
      <w:pPr>
        <w:widowControl/>
        <w:spacing w:line="360" w:lineRule="auto"/>
        <w:ind w:firstLine="480" w:firstLineChars="200"/>
        <w:rPr>
          <w:i w:val="0"/>
          <w:iCs w:val="0"/>
          <w:color w:val="000000"/>
          <w:szCs w:val="20"/>
        </w:rPr>
      </w:pPr>
      <w:r>
        <w:rPr>
          <w:i w:val="0"/>
          <w:iCs w:val="0"/>
          <w:color w:val="000000"/>
          <w:szCs w:val="20"/>
        </w:rPr>
        <w:t>（6）应急监测</w:t>
      </w:r>
    </w:p>
    <w:p>
      <w:pPr>
        <w:widowControl/>
        <w:spacing w:line="360" w:lineRule="auto"/>
        <w:ind w:firstLine="480" w:firstLineChars="200"/>
        <w:rPr>
          <w:i w:val="0"/>
          <w:iCs w:val="0"/>
          <w:color w:val="000000"/>
          <w:szCs w:val="20"/>
        </w:rPr>
      </w:pPr>
      <w:r>
        <w:rPr>
          <w:i w:val="0"/>
          <w:iCs w:val="0"/>
          <w:color w:val="000000"/>
          <w:szCs w:val="20"/>
        </w:rPr>
        <w:t>明确紧急情况下企业应按事发地人民政府环保部门要求，配合开展工作。</w:t>
      </w:r>
    </w:p>
    <w:p>
      <w:pPr>
        <w:widowControl/>
        <w:spacing w:line="360" w:lineRule="auto"/>
        <w:ind w:firstLine="480" w:firstLineChars="200"/>
        <w:rPr>
          <w:i w:val="0"/>
          <w:iCs w:val="0"/>
          <w:color w:val="000000"/>
          <w:szCs w:val="20"/>
        </w:rPr>
      </w:pPr>
      <w:r>
        <w:rPr>
          <w:i w:val="0"/>
          <w:iCs w:val="0"/>
          <w:color w:val="000000"/>
          <w:szCs w:val="20"/>
        </w:rPr>
        <w:t>明确应急监测方案，包括污染现场、实验室应急监测方法、仪器、药剂。</w:t>
      </w:r>
    </w:p>
    <w:p>
      <w:pPr>
        <w:widowControl/>
        <w:spacing w:line="360" w:lineRule="auto"/>
        <w:ind w:firstLine="480" w:firstLineChars="200"/>
        <w:rPr>
          <w:i w:val="0"/>
          <w:iCs w:val="0"/>
          <w:color w:val="000000"/>
          <w:szCs w:val="20"/>
        </w:rPr>
      </w:pPr>
      <w:r>
        <w:rPr>
          <w:i w:val="0"/>
          <w:iCs w:val="0"/>
          <w:color w:val="000000"/>
          <w:szCs w:val="20"/>
        </w:rPr>
        <w:t>突发环境事件发生时企业环境监测机构要立即开展应急监测，在政府部门到达后，则配合政府部门相关机构进行监测。</w:t>
      </w:r>
    </w:p>
    <w:p>
      <w:pPr>
        <w:widowControl/>
        <w:spacing w:line="360" w:lineRule="auto"/>
        <w:ind w:firstLine="480" w:firstLineChars="200"/>
        <w:rPr>
          <w:i w:val="0"/>
          <w:iCs w:val="0"/>
          <w:color w:val="000000"/>
          <w:szCs w:val="20"/>
        </w:rPr>
      </w:pPr>
      <w:r>
        <w:rPr>
          <w:i w:val="0"/>
          <w:iCs w:val="0"/>
          <w:color w:val="000000"/>
          <w:szCs w:val="20"/>
        </w:rPr>
        <w:t>（7）现场处置</w:t>
      </w:r>
    </w:p>
    <w:p>
      <w:pPr>
        <w:widowControl/>
        <w:spacing w:line="360" w:lineRule="auto"/>
        <w:ind w:firstLine="480" w:firstLineChars="200"/>
        <w:rPr>
          <w:i w:val="0"/>
          <w:iCs w:val="0"/>
          <w:color w:val="000000"/>
          <w:szCs w:val="20"/>
        </w:rPr>
      </w:pPr>
      <w:r>
        <w:rPr>
          <w:rFonts w:hint="eastAsia"/>
          <w:i w:val="0"/>
          <w:iCs w:val="0"/>
          <w:color w:val="000000"/>
          <w:szCs w:val="20"/>
        </w:rPr>
        <w:t>1）</w:t>
      </w:r>
      <w:r>
        <w:rPr>
          <w:i w:val="0"/>
          <w:iCs w:val="0"/>
          <w:color w:val="000000"/>
          <w:szCs w:val="20"/>
        </w:rPr>
        <w:t>水环境污染事件现场处置</w:t>
      </w:r>
    </w:p>
    <w:p>
      <w:pPr>
        <w:widowControl/>
        <w:spacing w:line="360" w:lineRule="auto"/>
        <w:ind w:firstLine="480" w:firstLineChars="200"/>
        <w:rPr>
          <w:i w:val="0"/>
          <w:iCs w:val="0"/>
          <w:color w:val="000000"/>
          <w:szCs w:val="20"/>
        </w:rPr>
      </w:pPr>
      <w:r>
        <w:rPr>
          <w:i w:val="0"/>
          <w:iCs w:val="0"/>
          <w:color w:val="000000"/>
          <w:szCs w:val="20"/>
        </w:rPr>
        <w:t>根据污染物的性质及事件类型、可控性、严重程度、影响范围及水环境状况等，需确定以下内容：可能受影响水体情况说明，包括水体规模、水文情况、水体功能、水质现状等；制定监测方案，开展应急监测；事件发生后，切断污染源的有效方法及泄漏至外环境的污染物控制、消减技术方法说明；制定水中毒事件预防措施，中毒人员救治措施；需要其他措施的说明（如其他企业污染物限排、停排，调水，污染水体疏导，自来水厂的应急措施等）；跨界污染事件应急处置措施说明；其他说明。</w:t>
      </w:r>
    </w:p>
    <w:p>
      <w:pPr>
        <w:widowControl/>
        <w:spacing w:line="360" w:lineRule="auto"/>
        <w:ind w:firstLine="480" w:firstLineChars="200"/>
        <w:rPr>
          <w:i w:val="0"/>
          <w:iCs w:val="0"/>
          <w:color w:val="000000"/>
          <w:szCs w:val="20"/>
        </w:rPr>
      </w:pPr>
      <w:r>
        <w:rPr>
          <w:rFonts w:hint="eastAsia"/>
          <w:i w:val="0"/>
          <w:iCs w:val="0"/>
          <w:color w:val="000000"/>
          <w:szCs w:val="20"/>
        </w:rPr>
        <w:t>2）</w:t>
      </w:r>
      <w:r>
        <w:rPr>
          <w:i w:val="0"/>
          <w:iCs w:val="0"/>
          <w:color w:val="000000"/>
          <w:szCs w:val="20"/>
        </w:rPr>
        <w:t>有毒气体扩散事件现场处置</w:t>
      </w:r>
    </w:p>
    <w:p>
      <w:pPr>
        <w:widowControl/>
        <w:spacing w:line="360" w:lineRule="auto"/>
        <w:ind w:firstLine="480" w:firstLineChars="200"/>
        <w:rPr>
          <w:i w:val="0"/>
          <w:iCs w:val="0"/>
          <w:color w:val="000000"/>
          <w:szCs w:val="20"/>
        </w:rPr>
      </w:pPr>
      <w:r>
        <w:rPr>
          <w:i w:val="0"/>
          <w:iCs w:val="0"/>
          <w:color w:val="000000"/>
          <w:szCs w:val="20"/>
        </w:rPr>
        <w:t>根据污染物的性质及事件类型，事件可控性、严重程度和影响范围以及风向、风速和地形条件等，需确定以下内容：切断污染源的有效措施；制定气体泄漏事件所采取的现场洗消措施或其他处置措施；明确可能受影响区域及区域环境状况；制定监测方案，开展应急监测；可能受影响区域企业、单位、社区人员疏散的方式和路线、基本保护措施和个人防护方法；临时安置场所；周边道路隔离或交通疏导方案；其他说明。</w:t>
      </w:r>
    </w:p>
    <w:p>
      <w:pPr>
        <w:widowControl/>
        <w:spacing w:line="360" w:lineRule="auto"/>
        <w:ind w:firstLine="480" w:firstLineChars="200"/>
        <w:rPr>
          <w:i w:val="0"/>
          <w:iCs w:val="0"/>
          <w:color w:val="000000"/>
          <w:szCs w:val="20"/>
        </w:rPr>
      </w:pPr>
      <w:r>
        <w:rPr>
          <w:rFonts w:hint="eastAsia"/>
          <w:i w:val="0"/>
          <w:iCs w:val="0"/>
          <w:color w:val="000000"/>
          <w:szCs w:val="20"/>
        </w:rPr>
        <w:t>3）</w:t>
      </w:r>
      <w:r>
        <w:rPr>
          <w:i w:val="0"/>
          <w:iCs w:val="0"/>
          <w:color w:val="000000"/>
          <w:szCs w:val="20"/>
        </w:rPr>
        <w:t>危险化学品及危险废物污染事件现场处置</w:t>
      </w:r>
    </w:p>
    <w:p>
      <w:pPr>
        <w:widowControl/>
        <w:spacing w:line="360" w:lineRule="auto"/>
        <w:ind w:firstLine="480" w:firstLineChars="200"/>
        <w:rPr>
          <w:i w:val="0"/>
          <w:iCs w:val="0"/>
          <w:color w:val="000000"/>
          <w:szCs w:val="20"/>
        </w:rPr>
      </w:pPr>
      <w:r>
        <w:rPr>
          <w:i w:val="0"/>
          <w:iCs w:val="0"/>
          <w:color w:val="000000"/>
          <w:szCs w:val="20"/>
        </w:rPr>
        <w:t>根据危险化学品和危险废物的性质、污染严重程度和影响范围，需确定以下内容：</w:t>
      </w:r>
    </w:p>
    <w:p>
      <w:pPr>
        <w:widowControl/>
        <w:spacing w:line="360" w:lineRule="auto"/>
        <w:ind w:firstLine="480" w:firstLineChars="200"/>
        <w:rPr>
          <w:i w:val="0"/>
          <w:iCs w:val="0"/>
          <w:color w:val="000000"/>
          <w:szCs w:val="20"/>
        </w:rPr>
      </w:pPr>
      <w:r>
        <w:rPr>
          <w:i w:val="0"/>
          <w:iCs w:val="0"/>
          <w:color w:val="000000"/>
          <w:szCs w:val="20"/>
        </w:rPr>
        <w:t>切断污染源的有效措施；制定防止发生次生环境污染事件的处置措施；明确可能受影响区域及区域环境状况；制定监测方案，开展应急监测；可能受影响区域人员疏散的方式和路线、基本保护措施和个人防护方法；临时安置场所；周边道路隔离或交通疏导方案；其他说明。</w:t>
      </w:r>
    </w:p>
    <w:p>
      <w:pPr>
        <w:widowControl/>
        <w:spacing w:line="360" w:lineRule="auto"/>
        <w:ind w:firstLine="480" w:firstLineChars="200"/>
        <w:rPr>
          <w:i w:val="0"/>
          <w:iCs w:val="0"/>
          <w:color w:val="000000"/>
          <w:szCs w:val="20"/>
        </w:rPr>
      </w:pPr>
      <w:r>
        <w:rPr>
          <w:rFonts w:hint="eastAsia"/>
          <w:i w:val="0"/>
          <w:iCs w:val="0"/>
          <w:color w:val="000000"/>
          <w:szCs w:val="20"/>
        </w:rPr>
        <w:t>4）</w:t>
      </w:r>
      <w:r>
        <w:rPr>
          <w:i w:val="0"/>
          <w:iCs w:val="0"/>
          <w:color w:val="000000"/>
          <w:szCs w:val="20"/>
        </w:rPr>
        <w:t>受伤人员现场救护、救治与医院救治</w:t>
      </w:r>
    </w:p>
    <w:p>
      <w:pPr>
        <w:widowControl/>
        <w:spacing w:line="360" w:lineRule="auto"/>
        <w:ind w:firstLine="480" w:firstLineChars="200"/>
        <w:rPr>
          <w:i w:val="0"/>
          <w:iCs w:val="0"/>
          <w:color w:val="000000"/>
          <w:szCs w:val="20"/>
        </w:rPr>
      </w:pPr>
      <w:r>
        <w:rPr>
          <w:i w:val="0"/>
          <w:iCs w:val="0"/>
          <w:color w:val="000000"/>
          <w:szCs w:val="20"/>
        </w:rPr>
        <w:t>依据事件分类、分级，附近疾病控制与医疗救治机构的设置和处理能力，制订具有可操作性的处置方案，应包括以下内容：可用的急救资源列表，如急救中心、医院、疾控中心、救护车和急救人员；应急抢救中心、毒物控制中心的列表；国家中毒急救网络；伤员的现场急救常识。</w:t>
      </w:r>
    </w:p>
    <w:p>
      <w:pPr>
        <w:widowControl/>
        <w:spacing w:line="360" w:lineRule="auto"/>
        <w:ind w:firstLine="480" w:firstLineChars="200"/>
        <w:rPr>
          <w:i w:val="0"/>
          <w:iCs w:val="0"/>
          <w:color w:val="000000"/>
          <w:szCs w:val="20"/>
        </w:rPr>
      </w:pPr>
      <w:r>
        <w:rPr>
          <w:i w:val="0"/>
          <w:iCs w:val="0"/>
          <w:color w:val="000000"/>
          <w:szCs w:val="20"/>
        </w:rPr>
        <w:t>5、安全防护</w:t>
      </w:r>
    </w:p>
    <w:p>
      <w:pPr>
        <w:widowControl/>
        <w:spacing w:line="360" w:lineRule="auto"/>
        <w:ind w:firstLine="480" w:firstLineChars="200"/>
        <w:rPr>
          <w:i w:val="0"/>
          <w:iCs w:val="0"/>
          <w:color w:val="000000"/>
          <w:szCs w:val="20"/>
        </w:rPr>
      </w:pPr>
      <w:r>
        <w:rPr>
          <w:i w:val="0"/>
          <w:iCs w:val="0"/>
          <w:color w:val="000000"/>
          <w:szCs w:val="20"/>
        </w:rPr>
        <w:t>应急人员的安全防护。明确事件现场的保护措施；受灾群众的安全防护。制定群众安全防护措施、疏散措施及患者医疗救护方案等。</w:t>
      </w:r>
    </w:p>
    <w:p>
      <w:pPr>
        <w:widowControl/>
        <w:spacing w:line="360" w:lineRule="auto"/>
        <w:ind w:firstLine="480" w:firstLineChars="200"/>
        <w:rPr>
          <w:i w:val="0"/>
          <w:iCs w:val="0"/>
          <w:color w:val="000000"/>
          <w:szCs w:val="20"/>
        </w:rPr>
      </w:pPr>
      <w:r>
        <w:rPr>
          <w:i w:val="0"/>
          <w:iCs w:val="0"/>
          <w:color w:val="000000"/>
          <w:szCs w:val="20"/>
        </w:rPr>
        <w:t>6、次生灾害防范</w:t>
      </w:r>
    </w:p>
    <w:p>
      <w:pPr>
        <w:widowControl/>
        <w:spacing w:line="360" w:lineRule="auto"/>
        <w:ind w:firstLine="480" w:firstLineChars="200"/>
        <w:rPr>
          <w:i w:val="0"/>
          <w:iCs w:val="0"/>
          <w:color w:val="000000"/>
          <w:szCs w:val="20"/>
        </w:rPr>
      </w:pPr>
      <w:r>
        <w:rPr>
          <w:i w:val="0"/>
          <w:iCs w:val="0"/>
          <w:color w:val="000000"/>
          <w:szCs w:val="20"/>
        </w:rPr>
        <w:t>制定次生灾害防范措施，现场监测方案，现场人员撤离方案，防止人员中毒或引发次生环境事件。</w:t>
      </w:r>
    </w:p>
    <w:p>
      <w:pPr>
        <w:widowControl/>
        <w:spacing w:line="360" w:lineRule="auto"/>
        <w:ind w:firstLine="480" w:firstLineChars="200"/>
        <w:rPr>
          <w:i w:val="0"/>
          <w:iCs w:val="0"/>
          <w:color w:val="000000"/>
          <w:szCs w:val="20"/>
        </w:rPr>
      </w:pPr>
      <w:r>
        <w:rPr>
          <w:i w:val="0"/>
          <w:iCs w:val="0"/>
          <w:color w:val="000000"/>
          <w:szCs w:val="20"/>
        </w:rPr>
        <w:t>7、应急状态解除</w:t>
      </w:r>
    </w:p>
    <w:p>
      <w:pPr>
        <w:widowControl/>
        <w:spacing w:line="360" w:lineRule="auto"/>
        <w:ind w:firstLine="480" w:firstLineChars="200"/>
        <w:rPr>
          <w:i w:val="0"/>
          <w:iCs w:val="0"/>
          <w:color w:val="000000"/>
          <w:szCs w:val="20"/>
        </w:rPr>
      </w:pPr>
      <w:r>
        <w:rPr>
          <w:i w:val="0"/>
          <w:iCs w:val="0"/>
          <w:color w:val="000000"/>
          <w:szCs w:val="20"/>
        </w:rPr>
        <w:t>明确应急终止的条件；明确应急终止的程序；明确应急状态终止后，继续进行跟踪环境监测和评估的方案。</w:t>
      </w:r>
    </w:p>
    <w:p>
      <w:pPr>
        <w:widowControl/>
        <w:spacing w:line="360" w:lineRule="auto"/>
        <w:ind w:firstLine="480" w:firstLineChars="200"/>
        <w:rPr>
          <w:i w:val="0"/>
          <w:iCs w:val="0"/>
          <w:color w:val="000000"/>
          <w:szCs w:val="20"/>
        </w:rPr>
      </w:pPr>
      <w:r>
        <w:rPr>
          <w:i w:val="0"/>
          <w:iCs w:val="0"/>
          <w:color w:val="000000"/>
          <w:szCs w:val="20"/>
        </w:rPr>
        <w:t>8、善后处置</w:t>
      </w:r>
    </w:p>
    <w:p>
      <w:pPr>
        <w:widowControl/>
        <w:spacing w:line="360" w:lineRule="auto"/>
        <w:ind w:firstLine="480" w:firstLineChars="200"/>
        <w:jc w:val="left"/>
        <w:rPr>
          <w:i w:val="0"/>
          <w:iCs w:val="0"/>
          <w:color w:val="000000"/>
          <w:szCs w:val="20"/>
        </w:rPr>
      </w:pPr>
      <w:r>
        <w:rPr>
          <w:i w:val="0"/>
          <w:iCs w:val="0"/>
          <w:color w:val="000000"/>
          <w:szCs w:val="20"/>
        </w:rPr>
        <w:t>明确受灾人员的安置及损失赔偿方案；配合有关部门对环境污染事件中的长期环境</w:t>
      </w:r>
      <w:r>
        <w:rPr>
          <w:i w:val="0"/>
          <w:iCs w:val="0"/>
          <w:color w:val="000000"/>
          <w:kern w:val="0"/>
          <w:lang w:bidi="ar"/>
        </w:rPr>
        <w:t>影响进行评估；明确开展环境恢复与重建工作的内容和程序。</w:t>
      </w:r>
    </w:p>
    <w:p>
      <w:pPr>
        <w:widowControl/>
        <w:spacing w:line="360" w:lineRule="auto"/>
        <w:ind w:firstLine="480" w:firstLineChars="200"/>
        <w:rPr>
          <w:i w:val="0"/>
          <w:iCs w:val="0"/>
          <w:color w:val="000000"/>
          <w:szCs w:val="20"/>
        </w:rPr>
      </w:pPr>
      <w:r>
        <w:rPr>
          <w:i w:val="0"/>
          <w:iCs w:val="0"/>
          <w:color w:val="000000"/>
          <w:szCs w:val="20"/>
        </w:rPr>
        <w:t>9、应急保障</w:t>
      </w:r>
    </w:p>
    <w:p>
      <w:pPr>
        <w:widowControl/>
        <w:spacing w:line="360" w:lineRule="auto"/>
        <w:ind w:firstLine="480" w:firstLineChars="200"/>
        <w:rPr>
          <w:i w:val="0"/>
          <w:iCs w:val="0"/>
          <w:color w:val="000000"/>
          <w:szCs w:val="20"/>
        </w:rPr>
      </w:pPr>
      <w:r>
        <w:rPr>
          <w:i w:val="0"/>
          <w:iCs w:val="0"/>
          <w:color w:val="000000"/>
          <w:szCs w:val="20"/>
        </w:rPr>
        <w:t>（1）应急保障计划</w:t>
      </w:r>
    </w:p>
    <w:p>
      <w:pPr>
        <w:widowControl/>
        <w:spacing w:line="360" w:lineRule="auto"/>
        <w:ind w:firstLine="480" w:firstLineChars="200"/>
        <w:rPr>
          <w:i w:val="0"/>
          <w:iCs w:val="0"/>
          <w:color w:val="000000"/>
          <w:szCs w:val="20"/>
        </w:rPr>
      </w:pPr>
      <w:r>
        <w:rPr>
          <w:i w:val="0"/>
          <w:iCs w:val="0"/>
          <w:color w:val="000000"/>
          <w:szCs w:val="20"/>
        </w:rPr>
        <w:t>制定应急资源建设及储备目标，落实责任主体，明确应急专项经费来源，确定外部依托机构，针对应急能力评估中发现的不足制定措施。</w:t>
      </w:r>
    </w:p>
    <w:p>
      <w:pPr>
        <w:widowControl/>
        <w:spacing w:line="360" w:lineRule="auto"/>
        <w:ind w:firstLine="480" w:firstLineChars="200"/>
        <w:rPr>
          <w:i w:val="0"/>
          <w:iCs w:val="0"/>
          <w:color w:val="000000"/>
          <w:szCs w:val="20"/>
        </w:rPr>
      </w:pPr>
      <w:r>
        <w:rPr>
          <w:i w:val="0"/>
          <w:iCs w:val="0"/>
          <w:color w:val="000000"/>
          <w:szCs w:val="20"/>
        </w:rPr>
        <w:t>（2）应急资源</w:t>
      </w:r>
    </w:p>
    <w:p>
      <w:pPr>
        <w:widowControl/>
        <w:spacing w:line="360" w:lineRule="auto"/>
        <w:ind w:firstLine="480" w:firstLineChars="200"/>
        <w:rPr>
          <w:i w:val="0"/>
          <w:iCs w:val="0"/>
          <w:color w:val="000000"/>
          <w:szCs w:val="20"/>
        </w:rPr>
      </w:pPr>
      <w:r>
        <w:rPr>
          <w:i w:val="0"/>
          <w:iCs w:val="0"/>
          <w:color w:val="000000"/>
          <w:szCs w:val="20"/>
        </w:rPr>
        <w:t>应急保障责任主体依据既有应急保障计划，落实应急专家、应急队伍、应急资金、应急物资配备、调用标准及措施。</w:t>
      </w:r>
    </w:p>
    <w:p>
      <w:pPr>
        <w:widowControl/>
        <w:spacing w:line="360" w:lineRule="auto"/>
        <w:ind w:firstLine="480" w:firstLineChars="200"/>
        <w:rPr>
          <w:i w:val="0"/>
          <w:iCs w:val="0"/>
          <w:color w:val="000000"/>
          <w:szCs w:val="20"/>
        </w:rPr>
      </w:pPr>
      <w:r>
        <w:rPr>
          <w:i w:val="0"/>
          <w:iCs w:val="0"/>
          <w:color w:val="000000"/>
          <w:szCs w:val="20"/>
        </w:rPr>
        <w:t>（3）应急物资和装备保障</w:t>
      </w:r>
    </w:p>
    <w:p>
      <w:pPr>
        <w:widowControl/>
        <w:spacing w:line="360" w:lineRule="auto"/>
        <w:ind w:firstLine="480" w:firstLineChars="200"/>
        <w:rPr>
          <w:i w:val="0"/>
          <w:iCs w:val="0"/>
          <w:color w:val="000000"/>
          <w:szCs w:val="20"/>
        </w:rPr>
      </w:pPr>
      <w:r>
        <w:rPr>
          <w:i w:val="0"/>
          <w:iCs w:val="0"/>
          <w:color w:val="000000"/>
          <w:szCs w:val="20"/>
        </w:rPr>
        <w:t>企业依据重特大事件应急处置的需求，建立健全以应急物资储备为主，社会救援物资为辅的物资保障体系，建立应急物资动态管理制度。</w:t>
      </w:r>
    </w:p>
    <w:p>
      <w:pPr>
        <w:widowControl/>
        <w:spacing w:line="360" w:lineRule="auto"/>
        <w:ind w:firstLine="480" w:firstLineChars="200"/>
        <w:rPr>
          <w:i w:val="0"/>
          <w:iCs w:val="0"/>
          <w:color w:val="000000"/>
          <w:szCs w:val="20"/>
        </w:rPr>
      </w:pPr>
      <w:r>
        <w:rPr>
          <w:i w:val="0"/>
          <w:iCs w:val="0"/>
          <w:color w:val="000000"/>
          <w:szCs w:val="20"/>
        </w:rPr>
        <w:t>企业在编制应急预案过程中，应收集和掌握本地区、本单位第一时间可以调用的环境应急资源状况，建立健全重点环境应急资源信息库，加强环境应急资源储备管理，促进环境应急预案质量和环境应急能力提升。参照《环境应急资源调查指南（试行）》的通知（环办应急[2019]17号）。</w:t>
      </w:r>
    </w:p>
    <w:p>
      <w:pPr>
        <w:widowControl/>
        <w:spacing w:line="360" w:lineRule="auto"/>
        <w:ind w:firstLine="480" w:firstLineChars="200"/>
        <w:rPr>
          <w:i w:val="0"/>
          <w:iCs w:val="0"/>
          <w:color w:val="000000"/>
          <w:szCs w:val="20"/>
        </w:rPr>
      </w:pPr>
      <w:r>
        <w:rPr>
          <w:i w:val="0"/>
          <w:iCs w:val="0"/>
          <w:color w:val="000000"/>
          <w:szCs w:val="20"/>
        </w:rPr>
        <w:t>10、预案管理</w:t>
      </w:r>
    </w:p>
    <w:p>
      <w:pPr>
        <w:widowControl/>
        <w:spacing w:line="360" w:lineRule="auto"/>
        <w:ind w:firstLine="480" w:firstLineChars="200"/>
        <w:rPr>
          <w:i w:val="0"/>
          <w:iCs w:val="0"/>
          <w:color w:val="000000"/>
          <w:szCs w:val="20"/>
        </w:rPr>
      </w:pPr>
      <w:r>
        <w:rPr>
          <w:i w:val="0"/>
          <w:iCs w:val="0"/>
          <w:color w:val="000000"/>
          <w:szCs w:val="20"/>
        </w:rPr>
        <w:t>（1）预案培训</w:t>
      </w:r>
    </w:p>
    <w:p>
      <w:pPr>
        <w:widowControl/>
        <w:spacing w:line="360" w:lineRule="auto"/>
        <w:ind w:firstLine="480" w:firstLineChars="200"/>
        <w:rPr>
          <w:i w:val="0"/>
          <w:iCs w:val="0"/>
          <w:color w:val="000000"/>
          <w:szCs w:val="20"/>
        </w:rPr>
      </w:pPr>
      <w:r>
        <w:rPr>
          <w:i w:val="0"/>
          <w:iCs w:val="0"/>
          <w:color w:val="000000"/>
          <w:szCs w:val="20"/>
        </w:rPr>
        <w:t>说明对本企业开展的应急培训计划、方式和要求。如果预案涉及相关方，应明确宣传、告知等工作。</w:t>
      </w:r>
    </w:p>
    <w:p>
      <w:pPr>
        <w:widowControl/>
        <w:spacing w:line="360" w:lineRule="auto"/>
        <w:ind w:firstLine="480" w:firstLineChars="200"/>
        <w:rPr>
          <w:i w:val="0"/>
          <w:iCs w:val="0"/>
          <w:color w:val="000000"/>
          <w:szCs w:val="20"/>
        </w:rPr>
      </w:pPr>
      <w:r>
        <w:rPr>
          <w:i w:val="0"/>
          <w:iCs w:val="0"/>
          <w:color w:val="000000"/>
          <w:szCs w:val="20"/>
        </w:rPr>
        <w:t>（2）预案演练</w:t>
      </w:r>
    </w:p>
    <w:p>
      <w:pPr>
        <w:widowControl/>
        <w:spacing w:line="360" w:lineRule="auto"/>
        <w:ind w:firstLine="480" w:firstLineChars="200"/>
        <w:rPr>
          <w:i w:val="0"/>
          <w:iCs w:val="0"/>
          <w:color w:val="000000"/>
          <w:szCs w:val="20"/>
        </w:rPr>
      </w:pPr>
      <w:r>
        <w:rPr>
          <w:i w:val="0"/>
          <w:iCs w:val="0"/>
          <w:color w:val="000000"/>
          <w:szCs w:val="20"/>
        </w:rPr>
        <w:t>说明应急演练的方式、频次等内容，制定企业预案演练的具体计划，并组织策划和实施，演练结束后做好总结，适时组织有关企业和专家对部分应急演练进行观摩和交流。</w:t>
      </w:r>
    </w:p>
    <w:p>
      <w:pPr>
        <w:widowControl/>
        <w:spacing w:line="360" w:lineRule="auto"/>
        <w:ind w:firstLine="480" w:firstLineChars="200"/>
        <w:rPr>
          <w:i w:val="0"/>
          <w:iCs w:val="0"/>
          <w:color w:val="000000"/>
          <w:szCs w:val="20"/>
        </w:rPr>
      </w:pPr>
      <w:r>
        <w:rPr>
          <w:i w:val="0"/>
          <w:iCs w:val="0"/>
          <w:color w:val="000000"/>
          <w:szCs w:val="20"/>
        </w:rPr>
        <w:t>（3）预案修订</w:t>
      </w:r>
    </w:p>
    <w:p>
      <w:pPr>
        <w:widowControl/>
        <w:spacing w:line="360" w:lineRule="auto"/>
        <w:ind w:left="547" w:leftChars="228"/>
        <w:rPr>
          <w:i w:val="0"/>
          <w:iCs w:val="0"/>
          <w:color w:val="000000"/>
          <w:szCs w:val="20"/>
        </w:rPr>
      </w:pPr>
      <w:r>
        <w:rPr>
          <w:i w:val="0"/>
          <w:iCs w:val="0"/>
          <w:color w:val="000000"/>
          <w:szCs w:val="20"/>
        </w:rPr>
        <w:t>说明应急预案修订、变更、改进的基本要求及时限，以及采取的方式等，以实现可（4）预案备案</w:t>
      </w:r>
    </w:p>
    <w:p>
      <w:pPr>
        <w:widowControl/>
        <w:spacing w:line="360" w:lineRule="auto"/>
        <w:ind w:firstLine="480" w:firstLineChars="200"/>
        <w:rPr>
          <w:i w:val="0"/>
          <w:iCs w:val="0"/>
          <w:color w:val="000000"/>
          <w:szCs w:val="20"/>
        </w:rPr>
      </w:pPr>
      <w:r>
        <w:rPr>
          <w:i w:val="0"/>
          <w:iCs w:val="0"/>
          <w:color w:val="000000"/>
          <w:szCs w:val="20"/>
        </w:rPr>
        <w:t>说明预案备案的方式、审核要求、报备部门等内容。</w:t>
      </w:r>
    </w:p>
    <w:p>
      <w:pPr>
        <w:widowControl/>
        <w:spacing w:line="360" w:lineRule="auto"/>
        <w:ind w:firstLine="480" w:firstLineChars="200"/>
        <w:rPr>
          <w:i w:val="0"/>
          <w:iCs w:val="0"/>
          <w:color w:val="000000"/>
          <w:szCs w:val="20"/>
        </w:rPr>
        <w:sectPr>
          <w:pgSz w:w="11906" w:h="16838"/>
          <w:pgMar w:top="1417" w:right="1417" w:bottom="1417" w:left="1417" w:header="851" w:footer="964" w:gutter="0"/>
          <w:pgBorders>
            <w:top w:val="none" w:sz="0" w:space="0"/>
            <w:left w:val="none" w:sz="0" w:space="0"/>
            <w:bottom w:val="none" w:sz="0" w:space="0"/>
            <w:right w:val="none" w:sz="0" w:space="0"/>
          </w:pgBorders>
          <w:pgNumType w:fmt="decimal"/>
          <w:cols w:space="720" w:num="1"/>
          <w:docGrid w:linePitch="312" w:charSpace="0"/>
        </w:sectPr>
      </w:pPr>
      <w:r>
        <w:rPr>
          <w:rFonts w:hint="eastAsia"/>
          <w:i w:val="0"/>
          <w:iCs w:val="0"/>
          <w:color w:val="000000"/>
          <w:szCs w:val="20"/>
        </w:rPr>
        <w:t>本企业应急预案应与园区应急预案和白山市应急预案衔接。</w:t>
      </w:r>
    </w:p>
    <w:p>
      <w:pPr>
        <w:pStyle w:val="415"/>
        <w:spacing w:before="120" w:after="120"/>
        <w:rPr>
          <w:i w:val="0"/>
          <w:iCs w:val="0"/>
          <w:color w:val="000000"/>
        </w:rPr>
      </w:pPr>
      <w:bookmarkStart w:id="267" w:name="_Toc2211"/>
      <w:bookmarkStart w:id="268" w:name="_Toc101709088"/>
      <w:bookmarkStart w:id="269" w:name="_Toc123993317"/>
      <w:r>
        <w:rPr>
          <w:rFonts w:hint="eastAsia"/>
          <w:i w:val="0"/>
          <w:iCs w:val="0"/>
          <w:color w:val="000000"/>
        </w:rPr>
        <w:t>7.7 评价结论与建议</w:t>
      </w:r>
      <w:bookmarkEnd w:id="267"/>
      <w:bookmarkEnd w:id="268"/>
      <w:bookmarkEnd w:id="269"/>
    </w:p>
    <w:p>
      <w:pPr>
        <w:pStyle w:val="417"/>
        <w:spacing w:before="120" w:after="120"/>
        <w:rPr>
          <w:i w:val="0"/>
          <w:iCs w:val="0"/>
          <w:color w:val="000000"/>
        </w:rPr>
      </w:pPr>
      <w:bookmarkStart w:id="270" w:name="_Toc123993318"/>
      <w:r>
        <w:rPr>
          <w:rFonts w:hint="eastAsia"/>
          <w:i w:val="0"/>
          <w:iCs w:val="0"/>
          <w:color w:val="000000"/>
        </w:rPr>
        <w:t xml:space="preserve">7.7.1 </w:t>
      </w:r>
      <w:r>
        <w:rPr>
          <w:i w:val="0"/>
          <w:iCs w:val="0"/>
          <w:color w:val="000000"/>
        </w:rPr>
        <w:t>项目危险因素</w:t>
      </w:r>
      <w:bookmarkEnd w:id="270"/>
    </w:p>
    <w:p>
      <w:pPr>
        <w:widowControl/>
        <w:spacing w:line="360" w:lineRule="auto"/>
        <w:ind w:firstLine="480" w:firstLineChars="200"/>
        <w:rPr>
          <w:i w:val="0"/>
          <w:iCs w:val="0"/>
          <w:color w:val="000000"/>
          <w:szCs w:val="20"/>
        </w:rPr>
      </w:pPr>
      <w:r>
        <w:rPr>
          <w:i w:val="0"/>
          <w:iCs w:val="0"/>
          <w:color w:val="000000"/>
          <w:szCs w:val="20"/>
        </w:rPr>
        <w:t>本项目主要危险物质为</w:t>
      </w:r>
      <w:r>
        <w:rPr>
          <w:rFonts w:hint="eastAsia"/>
          <w:i w:val="0"/>
          <w:iCs w:val="0"/>
          <w:color w:val="000000"/>
          <w:szCs w:val="20"/>
        </w:rPr>
        <w:t>氨水、乙醇、氨水、乙醇、乙醚、盐酸、硫酸、三氯甲烷、甲苯、丙酮、硝酸</w:t>
      </w:r>
      <w:r>
        <w:rPr>
          <w:i w:val="0"/>
          <w:iCs w:val="0"/>
          <w:color w:val="000000"/>
          <w:szCs w:val="20"/>
        </w:rPr>
        <w:t>等。主要风险单元为储运单元。项目在运行过程中主要危险因素为危险化学品的泄漏、污染物质的事故排放及火灾爆炸事故。</w:t>
      </w:r>
    </w:p>
    <w:p>
      <w:pPr>
        <w:keepNext/>
        <w:keepLines/>
        <w:widowControl/>
        <w:spacing w:line="360" w:lineRule="auto"/>
        <w:outlineLvl w:val="2"/>
        <w:rPr>
          <w:b/>
          <w:bCs/>
          <w:i w:val="0"/>
          <w:iCs w:val="0"/>
          <w:color w:val="000000"/>
          <w:szCs w:val="32"/>
        </w:rPr>
      </w:pPr>
      <w:bookmarkStart w:id="271" w:name="_Toc123993319"/>
      <w:r>
        <w:rPr>
          <w:rFonts w:hint="eastAsia"/>
          <w:b/>
          <w:bCs/>
          <w:i w:val="0"/>
          <w:iCs w:val="0"/>
          <w:color w:val="000000"/>
          <w:szCs w:val="32"/>
        </w:rPr>
        <w:t xml:space="preserve">7.7.2 </w:t>
      </w:r>
      <w:r>
        <w:rPr>
          <w:b/>
          <w:bCs/>
          <w:i w:val="0"/>
          <w:iCs w:val="0"/>
          <w:color w:val="000000"/>
          <w:szCs w:val="32"/>
        </w:rPr>
        <w:t>环境敏感性及事故环境影响</w:t>
      </w:r>
      <w:bookmarkEnd w:id="271"/>
    </w:p>
    <w:p>
      <w:pPr>
        <w:widowControl/>
        <w:spacing w:line="360" w:lineRule="auto"/>
        <w:ind w:firstLine="480" w:firstLineChars="200"/>
        <w:rPr>
          <w:i w:val="0"/>
          <w:iCs w:val="0"/>
          <w:color w:val="000000"/>
          <w:szCs w:val="20"/>
        </w:rPr>
      </w:pPr>
      <w:r>
        <w:rPr>
          <w:i w:val="0"/>
          <w:iCs w:val="0"/>
          <w:color w:val="000000"/>
          <w:szCs w:val="20"/>
        </w:rPr>
        <w:t>本项目大气环境敏感程度为E</w:t>
      </w:r>
      <w:r>
        <w:rPr>
          <w:rFonts w:hint="eastAsia"/>
          <w:i w:val="0"/>
          <w:iCs w:val="0"/>
          <w:color w:val="000000"/>
          <w:szCs w:val="20"/>
        </w:rPr>
        <w:t>1，</w:t>
      </w:r>
      <w:r>
        <w:rPr>
          <w:i w:val="0"/>
          <w:iCs w:val="0"/>
          <w:color w:val="000000"/>
          <w:szCs w:val="20"/>
        </w:rPr>
        <w:t>敏感目标为周边5km范围内的居民；地表水环境敏感程度为E</w:t>
      </w:r>
      <w:r>
        <w:rPr>
          <w:rFonts w:hint="eastAsia"/>
          <w:i w:val="0"/>
          <w:iCs w:val="0"/>
          <w:color w:val="000000"/>
          <w:szCs w:val="20"/>
        </w:rPr>
        <w:t>3</w:t>
      </w:r>
      <w:r>
        <w:rPr>
          <w:i w:val="0"/>
          <w:iCs w:val="0"/>
          <w:color w:val="000000"/>
          <w:szCs w:val="20"/>
        </w:rPr>
        <w:t>，敏感目标为最终受纳水体</w:t>
      </w:r>
      <w:r>
        <w:rPr>
          <w:rFonts w:hint="eastAsia"/>
          <w:i w:val="0"/>
          <w:iCs w:val="0"/>
          <w:color w:val="000000"/>
          <w:szCs w:val="20"/>
        </w:rPr>
        <w:t>浑江（</w:t>
      </w:r>
      <w:r>
        <w:rPr>
          <w:i w:val="0"/>
          <w:iCs w:val="0"/>
          <w:color w:val="000000"/>
          <w:szCs w:val="20"/>
        </w:rPr>
        <w:t>III类水体</w:t>
      </w:r>
      <w:r>
        <w:rPr>
          <w:rFonts w:hint="eastAsia"/>
          <w:i w:val="0"/>
          <w:iCs w:val="0"/>
          <w:color w:val="000000"/>
          <w:szCs w:val="20"/>
        </w:rPr>
        <w:t>）</w:t>
      </w:r>
      <w:r>
        <w:rPr>
          <w:i w:val="0"/>
          <w:iCs w:val="0"/>
          <w:color w:val="000000"/>
          <w:szCs w:val="20"/>
        </w:rPr>
        <w:t>；地下水环境敏感程度为E</w:t>
      </w:r>
      <w:r>
        <w:rPr>
          <w:rFonts w:hint="eastAsia"/>
          <w:i w:val="0"/>
          <w:iCs w:val="0"/>
          <w:color w:val="000000"/>
          <w:szCs w:val="20"/>
        </w:rPr>
        <w:t>3</w:t>
      </w:r>
      <w:r>
        <w:rPr>
          <w:i w:val="0"/>
          <w:iCs w:val="0"/>
          <w:color w:val="000000"/>
          <w:szCs w:val="20"/>
        </w:rPr>
        <w:t>，。本次风险评价采用最不利气象条件预测各类风险事故发生后果，根据风险预测结果</w:t>
      </w:r>
      <w:r>
        <w:rPr>
          <w:rFonts w:hint="eastAsia"/>
          <w:i w:val="0"/>
          <w:iCs w:val="0"/>
          <w:color w:val="000000"/>
          <w:szCs w:val="20"/>
        </w:rPr>
        <w:t>，</w:t>
      </w:r>
      <w:r>
        <w:rPr>
          <w:i w:val="0"/>
          <w:iCs w:val="0"/>
          <w:color w:val="000000"/>
          <w:szCs w:val="20"/>
        </w:rPr>
        <w:t>本项目事故状态下会对环境空气质量、水环境质量造成一定影响。企业应通过制订完善的坏境管理、风险管理措施</w:t>
      </w:r>
      <w:r>
        <w:rPr>
          <w:rFonts w:hint="eastAsia"/>
          <w:i w:val="0"/>
          <w:iCs w:val="0"/>
          <w:color w:val="000000"/>
          <w:szCs w:val="20"/>
        </w:rPr>
        <w:t>（</w:t>
      </w:r>
      <w:r>
        <w:rPr>
          <w:i w:val="0"/>
          <w:iCs w:val="0"/>
          <w:color w:val="000000"/>
          <w:szCs w:val="20"/>
        </w:rPr>
        <w:t>预案</w:t>
      </w:r>
      <w:r>
        <w:rPr>
          <w:rFonts w:hint="eastAsia"/>
          <w:i w:val="0"/>
          <w:iCs w:val="0"/>
          <w:color w:val="000000"/>
          <w:szCs w:val="20"/>
        </w:rPr>
        <w:t>），</w:t>
      </w:r>
      <w:r>
        <w:rPr>
          <w:i w:val="0"/>
          <w:iCs w:val="0"/>
          <w:color w:val="000000"/>
          <w:szCs w:val="20"/>
        </w:rPr>
        <w:t>配备设施齐全</w:t>
      </w:r>
      <w:r>
        <w:rPr>
          <w:rFonts w:hint="eastAsia"/>
          <w:i w:val="0"/>
          <w:iCs w:val="0"/>
          <w:color w:val="000000"/>
          <w:szCs w:val="20"/>
        </w:rPr>
        <w:t>，</w:t>
      </w:r>
      <w:r>
        <w:rPr>
          <w:i w:val="0"/>
          <w:iCs w:val="0"/>
          <w:color w:val="000000"/>
          <w:szCs w:val="20"/>
        </w:rPr>
        <w:t>加强相关人员培训</w:t>
      </w:r>
      <w:r>
        <w:rPr>
          <w:rFonts w:hint="eastAsia"/>
          <w:i w:val="0"/>
          <w:iCs w:val="0"/>
          <w:color w:val="000000"/>
          <w:szCs w:val="20"/>
        </w:rPr>
        <w:t>，</w:t>
      </w:r>
      <w:r>
        <w:rPr>
          <w:i w:val="0"/>
          <w:iCs w:val="0"/>
          <w:color w:val="000000"/>
          <w:szCs w:val="20"/>
        </w:rPr>
        <w:t>采取适当的风险防范措施和应急措施降低各种风险发生率和危害程度；事故风险要以预防为主，自我救援和社会救援相结合的形式展开</w:t>
      </w:r>
      <w:r>
        <w:rPr>
          <w:rFonts w:hint="eastAsia"/>
          <w:i w:val="0"/>
          <w:iCs w:val="0"/>
          <w:color w:val="000000"/>
          <w:szCs w:val="20"/>
        </w:rPr>
        <w:t>，</w:t>
      </w:r>
      <w:r>
        <w:rPr>
          <w:i w:val="0"/>
          <w:iCs w:val="0"/>
          <w:color w:val="000000"/>
          <w:szCs w:val="20"/>
        </w:rPr>
        <w:t>企业须做好日常的风险排查工作</w:t>
      </w:r>
      <w:r>
        <w:rPr>
          <w:rFonts w:hint="eastAsia"/>
          <w:i w:val="0"/>
          <w:iCs w:val="0"/>
          <w:color w:val="000000"/>
          <w:szCs w:val="20"/>
        </w:rPr>
        <w:t>，</w:t>
      </w:r>
      <w:r>
        <w:rPr>
          <w:i w:val="0"/>
          <w:iCs w:val="0"/>
          <w:color w:val="000000"/>
          <w:szCs w:val="20"/>
        </w:rPr>
        <w:t>发生风险事故时</w:t>
      </w:r>
      <w:r>
        <w:rPr>
          <w:rFonts w:hint="eastAsia"/>
          <w:i w:val="0"/>
          <w:iCs w:val="0"/>
          <w:color w:val="000000"/>
          <w:szCs w:val="20"/>
        </w:rPr>
        <w:t>，</w:t>
      </w:r>
      <w:r>
        <w:rPr>
          <w:i w:val="0"/>
          <w:iCs w:val="0"/>
          <w:color w:val="000000"/>
          <w:szCs w:val="20"/>
        </w:rPr>
        <w:t>按照应急预案有序高效应对</w:t>
      </w:r>
      <w:r>
        <w:rPr>
          <w:rFonts w:hint="eastAsia"/>
          <w:i w:val="0"/>
          <w:iCs w:val="0"/>
          <w:color w:val="000000"/>
          <w:szCs w:val="20"/>
        </w:rPr>
        <w:t>，</w:t>
      </w:r>
      <w:r>
        <w:rPr>
          <w:i w:val="0"/>
          <w:iCs w:val="0"/>
          <w:color w:val="000000"/>
          <w:szCs w:val="20"/>
        </w:rPr>
        <w:t>将风险事故造成的人员损伤和环境污染减少到最小。</w:t>
      </w:r>
    </w:p>
    <w:p>
      <w:pPr>
        <w:keepNext/>
        <w:keepLines/>
        <w:widowControl/>
        <w:spacing w:line="360" w:lineRule="auto"/>
        <w:outlineLvl w:val="2"/>
        <w:rPr>
          <w:b/>
          <w:bCs/>
          <w:i w:val="0"/>
          <w:iCs w:val="0"/>
          <w:color w:val="000000"/>
          <w:szCs w:val="32"/>
        </w:rPr>
      </w:pPr>
      <w:bookmarkStart w:id="272" w:name="_Toc123993320"/>
      <w:r>
        <w:rPr>
          <w:rFonts w:hint="eastAsia"/>
          <w:b/>
          <w:bCs/>
          <w:i w:val="0"/>
          <w:iCs w:val="0"/>
          <w:color w:val="000000"/>
          <w:szCs w:val="32"/>
        </w:rPr>
        <w:t xml:space="preserve">7.7.3 </w:t>
      </w:r>
      <w:r>
        <w:rPr>
          <w:b/>
          <w:bCs/>
          <w:i w:val="0"/>
          <w:iCs w:val="0"/>
          <w:color w:val="000000"/>
          <w:szCs w:val="32"/>
        </w:rPr>
        <w:t>环境风险防范措施和应急预案</w:t>
      </w:r>
      <w:bookmarkEnd w:id="272"/>
    </w:p>
    <w:p>
      <w:pPr>
        <w:widowControl/>
        <w:spacing w:line="360" w:lineRule="auto"/>
        <w:ind w:firstLine="480" w:firstLineChars="200"/>
        <w:rPr>
          <w:i w:val="0"/>
          <w:iCs w:val="0"/>
          <w:color w:val="000000"/>
          <w:szCs w:val="20"/>
        </w:rPr>
      </w:pPr>
      <w:r>
        <w:rPr>
          <w:i w:val="0"/>
          <w:iCs w:val="0"/>
          <w:color w:val="000000"/>
          <w:szCs w:val="20"/>
        </w:rPr>
        <w:t>在储罐或管道发生火灾爆炸或泄漏事故情况下，有毒有害气态污染物或易燃易爆物质可能外溢、扩散到环境。为了防止这种转移应设置喷淋措施进行冷却保护，喷相关雾状水膜进行中和或吸收降低其浓度等</w:t>
      </w:r>
      <w:r>
        <w:rPr>
          <w:rFonts w:hint="eastAsia"/>
          <w:i w:val="0"/>
          <w:iCs w:val="0"/>
          <w:color w:val="000000"/>
          <w:szCs w:val="20"/>
        </w:rPr>
        <w:t>，</w:t>
      </w:r>
      <w:r>
        <w:rPr>
          <w:i w:val="0"/>
          <w:iCs w:val="0"/>
          <w:color w:val="000000"/>
          <w:szCs w:val="20"/>
        </w:rPr>
        <w:t>釆用这些措施切断气态污染物向环境转移的途径。为防止发生风险事故时对周围环境及受纳水体产生影响</w:t>
      </w:r>
      <w:r>
        <w:rPr>
          <w:rFonts w:hint="eastAsia"/>
          <w:i w:val="0"/>
          <w:iCs w:val="0"/>
          <w:color w:val="000000"/>
          <w:szCs w:val="20"/>
        </w:rPr>
        <w:t>，</w:t>
      </w:r>
      <w:r>
        <w:rPr>
          <w:i w:val="0"/>
          <w:iCs w:val="0"/>
          <w:color w:val="000000"/>
          <w:szCs w:val="20"/>
        </w:rPr>
        <w:t>本项目采用三级应急防控体系</w:t>
      </w:r>
      <w:r>
        <w:rPr>
          <w:rFonts w:hint="eastAsia"/>
          <w:i w:val="0"/>
          <w:iCs w:val="0"/>
          <w:color w:val="000000"/>
          <w:szCs w:val="20"/>
        </w:rPr>
        <w:t>，</w:t>
      </w:r>
      <w:r>
        <w:rPr>
          <w:i w:val="0"/>
          <w:iCs w:val="0"/>
          <w:color w:val="000000"/>
          <w:szCs w:val="20"/>
        </w:rPr>
        <w:t>一级防控措施将污染物控制在罐区、装置区，二级防控措施设置全厂事故应急池，将污染物控制在</w:t>
      </w:r>
      <w:r>
        <w:rPr>
          <w:rFonts w:hint="eastAsia"/>
          <w:i w:val="0"/>
          <w:iCs w:val="0"/>
          <w:color w:val="000000"/>
          <w:szCs w:val="20"/>
        </w:rPr>
        <w:t>污水预处理站</w:t>
      </w:r>
      <w:r>
        <w:rPr>
          <w:i w:val="0"/>
          <w:iCs w:val="0"/>
          <w:color w:val="000000"/>
          <w:szCs w:val="20"/>
        </w:rPr>
        <w:t>内，三级防控措施为全厂事故应急池内，在重大生产事故情况下，贮存排水，确保生产事故状态下不发生污染</w:t>
      </w:r>
      <w:r>
        <w:rPr>
          <w:rFonts w:hint="eastAsia"/>
          <w:i w:val="0"/>
          <w:iCs w:val="0"/>
          <w:color w:val="000000"/>
          <w:szCs w:val="20"/>
        </w:rPr>
        <w:t>受纳</w:t>
      </w:r>
      <w:r>
        <w:rPr>
          <w:i w:val="0"/>
          <w:iCs w:val="0"/>
          <w:color w:val="000000"/>
          <w:szCs w:val="20"/>
        </w:rPr>
        <w:t>水体事件。</w:t>
      </w:r>
    </w:p>
    <w:p>
      <w:pPr>
        <w:widowControl/>
        <w:spacing w:line="360" w:lineRule="auto"/>
        <w:ind w:firstLine="480" w:firstLineChars="200"/>
        <w:rPr>
          <w:i w:val="0"/>
          <w:iCs w:val="0"/>
          <w:color w:val="000000"/>
          <w:szCs w:val="20"/>
        </w:rPr>
      </w:pPr>
      <w:r>
        <w:rPr>
          <w:i w:val="0"/>
          <w:iCs w:val="0"/>
          <w:color w:val="000000"/>
          <w:szCs w:val="20"/>
        </w:rPr>
        <w:t>企业应</w:t>
      </w:r>
      <w:r>
        <w:rPr>
          <w:rFonts w:hint="eastAsia"/>
          <w:i w:val="0"/>
          <w:iCs w:val="0"/>
          <w:color w:val="000000"/>
          <w:szCs w:val="20"/>
        </w:rPr>
        <w:t>编制</w:t>
      </w:r>
      <w:r>
        <w:rPr>
          <w:i w:val="0"/>
          <w:iCs w:val="0"/>
          <w:color w:val="000000"/>
          <w:szCs w:val="20"/>
        </w:rPr>
        <w:t>环风险应急预案</w:t>
      </w:r>
      <w:r>
        <w:rPr>
          <w:rFonts w:hint="eastAsia"/>
          <w:i w:val="0"/>
          <w:iCs w:val="0"/>
          <w:color w:val="000000"/>
          <w:szCs w:val="20"/>
        </w:rPr>
        <w:t>，</w:t>
      </w:r>
      <w:r>
        <w:rPr>
          <w:i w:val="0"/>
          <w:iCs w:val="0"/>
          <w:color w:val="000000"/>
          <w:szCs w:val="20"/>
        </w:rPr>
        <w:t>并与地方突发环境事件应急预案相衔接(有需要可做专项应急预案)，并做好应急演练。应急预案具体</w:t>
      </w:r>
      <w:r>
        <w:rPr>
          <w:rFonts w:hint="eastAsia"/>
          <w:i w:val="0"/>
          <w:iCs w:val="0"/>
          <w:color w:val="000000"/>
          <w:szCs w:val="20"/>
        </w:rPr>
        <w:t>内容</w:t>
      </w:r>
      <w:r>
        <w:rPr>
          <w:i w:val="0"/>
          <w:iCs w:val="0"/>
          <w:color w:val="000000"/>
          <w:szCs w:val="20"/>
        </w:rPr>
        <w:t>应根据《企业突发环境事件风险评估指南(试行)》(环办[2014]34号)、《</w:t>
      </w:r>
      <w:r>
        <w:rPr>
          <w:rFonts w:hint="eastAsia"/>
          <w:i w:val="0"/>
          <w:iCs w:val="0"/>
          <w:color w:val="000000"/>
          <w:szCs w:val="20"/>
        </w:rPr>
        <w:t>企业</w:t>
      </w:r>
      <w:r>
        <w:rPr>
          <w:i w:val="0"/>
          <w:iCs w:val="0"/>
          <w:color w:val="000000"/>
          <w:szCs w:val="20"/>
        </w:rPr>
        <w:t>事业单位突发环境事件应急预案备案管理办法(试行)》(环发[2015]4号)及《关于进一步加强环境</w:t>
      </w:r>
      <w:r>
        <w:rPr>
          <w:rFonts w:hint="eastAsia"/>
          <w:i w:val="0"/>
          <w:iCs w:val="0"/>
          <w:color w:val="000000"/>
          <w:szCs w:val="20"/>
        </w:rPr>
        <w:t>影响</w:t>
      </w:r>
      <w:r>
        <w:rPr>
          <w:i w:val="0"/>
          <w:iCs w:val="0"/>
          <w:color w:val="000000"/>
          <w:szCs w:val="20"/>
        </w:rPr>
        <w:t>评价</w:t>
      </w:r>
      <w:r>
        <w:rPr>
          <w:rFonts w:hint="eastAsia"/>
          <w:i w:val="0"/>
          <w:iCs w:val="0"/>
          <w:color w:val="000000"/>
          <w:szCs w:val="20"/>
        </w:rPr>
        <w:t>管理</w:t>
      </w:r>
      <w:r>
        <w:rPr>
          <w:i w:val="0"/>
          <w:iCs w:val="0"/>
          <w:color w:val="000000"/>
          <w:szCs w:val="20"/>
        </w:rPr>
        <w:t>防范环境风险的通知》(环发[2012]77号)编制应急预案并进行评估备案。</w:t>
      </w:r>
    </w:p>
    <w:p>
      <w:pPr>
        <w:keepNext/>
        <w:keepLines/>
        <w:widowControl/>
        <w:spacing w:line="360" w:lineRule="auto"/>
        <w:outlineLvl w:val="2"/>
        <w:rPr>
          <w:b/>
          <w:bCs/>
          <w:i w:val="0"/>
          <w:iCs w:val="0"/>
          <w:color w:val="000000"/>
          <w:szCs w:val="32"/>
        </w:rPr>
      </w:pPr>
      <w:bookmarkStart w:id="273" w:name="_Toc123993321"/>
      <w:r>
        <w:rPr>
          <w:rFonts w:hint="eastAsia"/>
          <w:b/>
          <w:bCs/>
          <w:i w:val="0"/>
          <w:iCs w:val="0"/>
          <w:color w:val="000000"/>
          <w:szCs w:val="32"/>
        </w:rPr>
        <w:t xml:space="preserve">7.7.4 </w:t>
      </w:r>
      <w:r>
        <w:rPr>
          <w:b/>
          <w:bCs/>
          <w:i w:val="0"/>
          <w:iCs w:val="0"/>
          <w:color w:val="000000"/>
          <w:szCs w:val="32"/>
        </w:rPr>
        <w:t>环境风险评价结论与建议</w:t>
      </w:r>
      <w:bookmarkEnd w:id="273"/>
    </w:p>
    <w:p>
      <w:pPr>
        <w:widowControl/>
        <w:spacing w:line="360" w:lineRule="auto"/>
        <w:ind w:firstLine="480" w:firstLineChars="200"/>
        <w:rPr>
          <w:i w:val="0"/>
          <w:iCs w:val="0"/>
          <w:color w:val="000000"/>
          <w:szCs w:val="20"/>
        </w:rPr>
      </w:pPr>
      <w:r>
        <w:rPr>
          <w:i w:val="0"/>
          <w:iCs w:val="0"/>
          <w:color w:val="000000"/>
          <w:szCs w:val="20"/>
        </w:rPr>
        <w:t>为了避免</w:t>
      </w:r>
      <w:r>
        <w:rPr>
          <w:rFonts w:hint="eastAsia"/>
          <w:i w:val="0"/>
          <w:iCs w:val="0"/>
          <w:color w:val="000000"/>
          <w:szCs w:val="20"/>
        </w:rPr>
        <w:t>环境</w:t>
      </w:r>
      <w:r>
        <w:rPr>
          <w:i w:val="0"/>
          <w:iCs w:val="0"/>
          <w:color w:val="000000"/>
          <w:szCs w:val="20"/>
        </w:rPr>
        <w:t>风险事故对周围环境造成影响，本项目运营后，需要不断加强生产安全和环境管理</w:t>
      </w:r>
      <w:r>
        <w:rPr>
          <w:rFonts w:hint="eastAsia"/>
          <w:i w:val="0"/>
          <w:iCs w:val="0"/>
          <w:color w:val="000000"/>
          <w:szCs w:val="20"/>
        </w:rPr>
        <w:t>，</w:t>
      </w:r>
      <w:r>
        <w:rPr>
          <w:i w:val="0"/>
          <w:iCs w:val="0"/>
          <w:color w:val="000000"/>
          <w:szCs w:val="20"/>
        </w:rPr>
        <w:t>对每一个环节落实风险防范措施和应急措施，同时企业应在建成运行前尽快编制安全风险评估报告，并认真落实报告中的各项风险防范和应急处理措施，可有效</w:t>
      </w:r>
      <w:r>
        <w:rPr>
          <w:rFonts w:hint="eastAsia"/>
          <w:i w:val="0"/>
          <w:iCs w:val="0"/>
          <w:color w:val="000000"/>
          <w:szCs w:val="20"/>
        </w:rPr>
        <w:t>避</w:t>
      </w:r>
      <w:r>
        <w:rPr>
          <w:i w:val="0"/>
          <w:iCs w:val="0"/>
          <w:color w:val="000000"/>
          <w:szCs w:val="20"/>
        </w:rPr>
        <w:t>免环境风险事故的发生，一旦发生环境风险事故</w:t>
      </w:r>
      <w:r>
        <w:rPr>
          <w:rFonts w:hint="eastAsia"/>
          <w:i w:val="0"/>
          <w:iCs w:val="0"/>
          <w:color w:val="000000"/>
          <w:szCs w:val="20"/>
        </w:rPr>
        <w:t>，</w:t>
      </w:r>
      <w:r>
        <w:rPr>
          <w:i w:val="0"/>
          <w:iCs w:val="0"/>
          <w:color w:val="000000"/>
          <w:szCs w:val="20"/>
        </w:rPr>
        <w:t>也可将危害降低到最低程度。</w:t>
      </w:r>
    </w:p>
    <w:p>
      <w:pPr>
        <w:widowControl/>
        <w:spacing w:line="360" w:lineRule="auto"/>
        <w:ind w:firstLine="480" w:firstLineChars="200"/>
        <w:rPr>
          <w:i w:val="0"/>
          <w:iCs w:val="0"/>
          <w:sz w:val="36"/>
        </w:rPr>
      </w:pPr>
      <w:r>
        <w:rPr>
          <w:i w:val="0"/>
          <w:iCs w:val="0"/>
          <w:color w:val="000000"/>
          <w:szCs w:val="20"/>
        </w:rPr>
        <w:t>因此，本项目在采取报告中提出的相应风险防范措施后，环境风险可控。</w:t>
      </w:r>
    </w:p>
    <w:p>
      <w:pPr>
        <w:widowControl/>
        <w:spacing w:line="360" w:lineRule="auto"/>
        <w:ind w:firstLine="480" w:firstLineChars="200"/>
        <w:rPr>
          <w:i w:val="0"/>
          <w:iCs w:val="0"/>
          <w:color w:val="000000"/>
          <w:sz w:val="24"/>
          <w:szCs w:val="20"/>
        </w:rPr>
      </w:pPr>
    </w:p>
    <w:p>
      <w:pPr>
        <w:widowControl/>
        <w:spacing w:line="360" w:lineRule="auto"/>
        <w:ind w:firstLine="480" w:firstLineChars="200"/>
        <w:rPr>
          <w:i w:val="0"/>
          <w:iCs w:val="0"/>
          <w:color w:val="000000"/>
          <w:sz w:val="24"/>
          <w:szCs w:val="20"/>
        </w:rPr>
      </w:pPr>
    </w:p>
    <w:p>
      <w:pPr>
        <w:widowControl/>
        <w:spacing w:line="360" w:lineRule="auto"/>
        <w:ind w:firstLine="480" w:firstLineChars="200"/>
        <w:rPr>
          <w:i w:val="0"/>
          <w:iCs w:val="0"/>
          <w:color w:val="000000"/>
          <w:sz w:val="24"/>
          <w:szCs w:val="20"/>
        </w:rPr>
      </w:pPr>
    </w:p>
    <w:p>
      <w:pPr>
        <w:widowControl/>
        <w:spacing w:line="360" w:lineRule="auto"/>
        <w:ind w:firstLine="480" w:firstLineChars="200"/>
        <w:rPr>
          <w:i w:val="0"/>
          <w:iCs w:val="0"/>
          <w:color w:val="000000"/>
          <w:sz w:val="24"/>
          <w:szCs w:val="20"/>
        </w:rPr>
      </w:pPr>
    </w:p>
    <w:p>
      <w:pPr>
        <w:widowControl/>
        <w:spacing w:line="360" w:lineRule="auto"/>
        <w:ind w:firstLine="480" w:firstLineChars="200"/>
        <w:rPr>
          <w:i w:val="0"/>
          <w:iCs w:val="0"/>
          <w:color w:val="000000"/>
          <w:sz w:val="24"/>
          <w:szCs w:val="20"/>
        </w:rPr>
      </w:pPr>
    </w:p>
    <w:p>
      <w:pPr>
        <w:widowControl/>
        <w:spacing w:line="360" w:lineRule="auto"/>
        <w:ind w:firstLine="480" w:firstLineChars="200"/>
        <w:rPr>
          <w:i w:val="0"/>
          <w:iCs w:val="0"/>
          <w:color w:val="000000"/>
          <w:sz w:val="24"/>
          <w:szCs w:val="20"/>
        </w:rPr>
      </w:pPr>
    </w:p>
    <w:p>
      <w:pPr>
        <w:widowControl/>
        <w:spacing w:line="360" w:lineRule="auto"/>
        <w:ind w:firstLine="480" w:firstLineChars="200"/>
        <w:rPr>
          <w:i w:val="0"/>
          <w:iCs w:val="0"/>
          <w:color w:val="000000"/>
          <w:sz w:val="24"/>
          <w:szCs w:val="20"/>
        </w:rPr>
      </w:pPr>
    </w:p>
    <w:p>
      <w:pPr>
        <w:pStyle w:val="3"/>
        <w:spacing w:before="240" w:after="360" w:line="360" w:lineRule="auto"/>
        <w:jc w:val="center"/>
        <w:rPr>
          <w:i w:val="0"/>
          <w:iCs w:val="0"/>
          <w:sz w:val="36"/>
        </w:rPr>
        <w:sectPr>
          <w:headerReference r:id="rId15" w:type="default"/>
          <w:footerReference r:id="rId16" w:type="default"/>
          <w:pgSz w:w="11907" w:h="16840"/>
          <w:pgMar w:top="1304" w:right="1418" w:bottom="1304" w:left="1418" w:header="851" w:footer="851" w:gutter="0"/>
          <w:pgBorders>
            <w:top w:val="none" w:sz="0" w:space="0"/>
            <w:left w:val="none" w:sz="0" w:space="0"/>
            <w:bottom w:val="none" w:sz="0" w:space="0"/>
            <w:right w:val="none" w:sz="0" w:space="0"/>
          </w:pgBorders>
          <w:pgNumType w:fmt="decimal"/>
          <w:cols w:space="720" w:num="1"/>
          <w:docGrid w:linePitch="312" w:charSpace="0"/>
        </w:sectPr>
      </w:pPr>
    </w:p>
    <w:p>
      <w:pPr>
        <w:rPr>
          <w:i w:val="0"/>
          <w:iCs w:val="0"/>
        </w:rPr>
      </w:pPr>
    </w:p>
    <w:p>
      <w:pPr>
        <w:pStyle w:val="3"/>
        <w:spacing w:before="240" w:after="360" w:line="360" w:lineRule="auto"/>
        <w:jc w:val="center"/>
        <w:rPr>
          <w:i w:val="0"/>
          <w:iCs w:val="0"/>
          <w:sz w:val="36"/>
        </w:rPr>
      </w:pPr>
      <w:bookmarkStart w:id="274" w:name="_Toc2791"/>
      <w:r>
        <w:rPr>
          <w:i w:val="0"/>
          <w:iCs w:val="0"/>
          <w:sz w:val="36"/>
        </w:rPr>
        <w:t>第</w:t>
      </w:r>
      <w:r>
        <w:rPr>
          <w:rFonts w:hint="eastAsia"/>
          <w:i w:val="0"/>
          <w:iCs w:val="0"/>
          <w:sz w:val="36"/>
        </w:rPr>
        <w:t>八</w:t>
      </w:r>
      <w:r>
        <w:rPr>
          <w:i w:val="0"/>
          <w:iCs w:val="0"/>
          <w:sz w:val="36"/>
        </w:rPr>
        <w:t>章环境管理与监测</w:t>
      </w:r>
      <w:bookmarkEnd w:id="223"/>
      <w:r>
        <w:rPr>
          <w:i w:val="0"/>
          <w:iCs w:val="0"/>
          <w:sz w:val="36"/>
        </w:rPr>
        <w:t>计划</w:t>
      </w:r>
      <w:bookmarkEnd w:id="224"/>
      <w:bookmarkEnd w:id="274"/>
    </w:p>
    <w:p>
      <w:pPr>
        <w:pStyle w:val="24"/>
        <w:spacing w:line="360" w:lineRule="auto"/>
        <w:ind w:firstLine="480" w:firstLineChars="200"/>
        <w:jc w:val="left"/>
        <w:rPr>
          <w:i w:val="0"/>
          <w:iCs w:val="0"/>
        </w:rPr>
      </w:pPr>
      <w:bookmarkStart w:id="275" w:name="_Toc238895174"/>
      <w:bookmarkStart w:id="276" w:name="_Toc14489729"/>
      <w:bookmarkStart w:id="277" w:name="_Toc69874182"/>
      <w:bookmarkStart w:id="278" w:name="_Toc216511982"/>
      <w:bookmarkStart w:id="279" w:name="_Toc262560634"/>
      <w:r>
        <w:rPr>
          <w:i w:val="0"/>
          <w:iCs w:val="0"/>
        </w:rPr>
        <w:t>环境管理与环境监测是环境保护的重要组成部分。环境管理是减轻企业本身排污，节约资源和能源，取得良好环境效益的有效方法。而环境监测是查清企业排放污染物的浓度、数量、去向、污染范围、危害程度的有力措施。</w:t>
      </w:r>
    </w:p>
    <w:p>
      <w:pPr>
        <w:pStyle w:val="4"/>
        <w:rPr>
          <w:rFonts w:ascii="Times New Roman" w:hAnsi="Times New Roman" w:eastAsia="宋体"/>
          <w:b/>
          <w:i w:val="0"/>
          <w:iCs w:val="0"/>
          <w:sz w:val="28"/>
          <w:szCs w:val="28"/>
        </w:rPr>
      </w:pPr>
      <w:bookmarkStart w:id="280" w:name="_Toc20341"/>
      <w:bookmarkStart w:id="281" w:name="_Toc266175894"/>
      <w:bookmarkStart w:id="282" w:name="_Toc407191428"/>
      <w:bookmarkStart w:id="283" w:name="_Toc262925958"/>
      <w:bookmarkStart w:id="284" w:name="_Toc263021715"/>
      <w:bookmarkStart w:id="285" w:name="_Toc262825171"/>
      <w:bookmarkStart w:id="286" w:name="_Toc263017784"/>
      <w:bookmarkStart w:id="287" w:name="_Toc502831539"/>
      <w:bookmarkStart w:id="288" w:name="_Toc163368879"/>
      <w:bookmarkStart w:id="289" w:name="_Toc265426429"/>
      <w:bookmarkStart w:id="290" w:name="_Toc264978824"/>
      <w:bookmarkStart w:id="291" w:name="_Toc402422559"/>
      <w:bookmarkStart w:id="292" w:name="_Toc264803896"/>
      <w:bookmarkStart w:id="293" w:name="_Toc262740444"/>
      <w:bookmarkStart w:id="294" w:name="_Toc262926033"/>
      <w:bookmarkStart w:id="295" w:name="_Toc263021788"/>
      <w:bookmarkStart w:id="296" w:name="_Toc239732558"/>
      <w:bookmarkStart w:id="297" w:name="_Toc263343282"/>
      <w:bookmarkStart w:id="298" w:name="_Toc402422219"/>
      <w:r>
        <w:rPr>
          <w:rFonts w:hint="eastAsia" w:ascii="Times New Roman" w:hAnsi="Times New Roman" w:eastAsia="宋体"/>
          <w:b/>
          <w:i w:val="0"/>
          <w:iCs w:val="0"/>
          <w:sz w:val="28"/>
          <w:szCs w:val="28"/>
        </w:rPr>
        <w:t>8</w:t>
      </w:r>
      <w:r>
        <w:rPr>
          <w:rFonts w:ascii="Times New Roman" w:hAnsi="Times New Roman" w:eastAsia="宋体"/>
          <w:b/>
          <w:i w:val="0"/>
          <w:iCs w:val="0"/>
          <w:sz w:val="28"/>
          <w:szCs w:val="28"/>
        </w:rPr>
        <w:t>.1环境管理</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pPr>
        <w:spacing w:line="360" w:lineRule="auto"/>
        <w:ind w:left="79" w:firstLine="480" w:firstLineChars="200"/>
        <w:rPr>
          <w:i w:val="0"/>
          <w:iCs w:val="0"/>
        </w:rPr>
      </w:pPr>
      <w:bookmarkStart w:id="299" w:name="_Toc471320769"/>
      <w:bookmarkStart w:id="300" w:name="_Toc146608818"/>
      <w:bookmarkStart w:id="301" w:name="_Toc263017785"/>
      <w:bookmarkStart w:id="302" w:name="_Toc263021789"/>
      <w:bookmarkStart w:id="303" w:name="_Toc262925959"/>
      <w:bookmarkStart w:id="304" w:name="_Toc263343283"/>
      <w:bookmarkStart w:id="305" w:name="_Toc262926034"/>
      <w:bookmarkStart w:id="306" w:name="_Toc263021716"/>
      <w:bookmarkStart w:id="307" w:name="_Toc262825172"/>
      <w:bookmarkStart w:id="308" w:name="_Toc262740445"/>
      <w:r>
        <w:rPr>
          <w:rFonts w:hint="eastAsia"/>
          <w:i w:val="0"/>
          <w:iCs w:val="0"/>
        </w:rPr>
        <w:t>8</w:t>
      </w:r>
      <w:r>
        <w:rPr>
          <w:i w:val="0"/>
          <w:iCs w:val="0"/>
        </w:rPr>
        <w:t>.1.1环境管理</w:t>
      </w:r>
    </w:p>
    <w:p>
      <w:pPr>
        <w:spacing w:line="360" w:lineRule="auto"/>
        <w:ind w:left="79" w:firstLine="480" w:firstLineChars="200"/>
        <w:rPr>
          <w:i w:val="0"/>
          <w:iCs w:val="0"/>
        </w:rPr>
      </w:pPr>
      <w:r>
        <w:rPr>
          <w:i w:val="0"/>
          <w:iCs w:val="0"/>
        </w:rPr>
        <w:t>工业企业环境管理，就是以管理工程和环境科学的理论为基础，运用技术、经济、法律、行政和教育手段，对损害环境质量的生产经营活动加以限制，协调发展生产与保护环境的关系，使生产目标与环境目标统一起来，经济效益与环境效益统一起来。</w:t>
      </w:r>
    </w:p>
    <w:p>
      <w:pPr>
        <w:spacing w:line="360" w:lineRule="auto"/>
        <w:ind w:left="79" w:firstLine="480" w:firstLineChars="200"/>
        <w:rPr>
          <w:i w:val="0"/>
          <w:iCs w:val="0"/>
        </w:rPr>
      </w:pPr>
      <w:r>
        <w:rPr>
          <w:rFonts w:hint="eastAsia"/>
          <w:i w:val="0"/>
          <w:iCs w:val="0"/>
        </w:rPr>
        <w:t>8</w:t>
      </w:r>
      <w:r>
        <w:rPr>
          <w:i w:val="0"/>
          <w:iCs w:val="0"/>
        </w:rPr>
        <w:t>.1.2环境管理的基本原则</w:t>
      </w:r>
    </w:p>
    <w:p>
      <w:pPr>
        <w:spacing w:line="360" w:lineRule="auto"/>
        <w:ind w:firstLine="480" w:firstLineChars="200"/>
        <w:rPr>
          <w:i w:val="0"/>
          <w:iCs w:val="0"/>
        </w:rPr>
      </w:pPr>
      <w:r>
        <w:rPr>
          <w:i w:val="0"/>
          <w:iCs w:val="0"/>
        </w:rPr>
        <w:t>（1）正确处理发展生产和保护环境的关系，既要保护环境，又要促进生产发展，使环境效益和经济效益统一起来。</w:t>
      </w:r>
    </w:p>
    <w:p>
      <w:pPr>
        <w:spacing w:line="360" w:lineRule="auto"/>
        <w:ind w:firstLine="480" w:firstLineChars="200"/>
        <w:rPr>
          <w:i w:val="0"/>
          <w:iCs w:val="0"/>
        </w:rPr>
      </w:pPr>
      <w:r>
        <w:rPr>
          <w:i w:val="0"/>
          <w:iCs w:val="0"/>
        </w:rPr>
        <w:t>（2）企业环境管理是企业的一个组成部分，环境管理要贯穿生产建设全过程。企业环境管理指标要纳入企业计划指标同时下达，同时进行考核，并作为企业经济责任的内容进行检查。</w:t>
      </w:r>
    </w:p>
    <w:p>
      <w:pPr>
        <w:spacing w:line="360" w:lineRule="auto"/>
        <w:ind w:firstLine="480" w:firstLineChars="200"/>
        <w:rPr>
          <w:i w:val="0"/>
          <w:iCs w:val="0"/>
        </w:rPr>
      </w:pPr>
      <w:r>
        <w:rPr>
          <w:i w:val="0"/>
          <w:iCs w:val="0"/>
        </w:rPr>
        <w:t>（3）加强对全体员工环境保护意识的教育，使专业管理和群众管理结合起来。</w:t>
      </w:r>
    </w:p>
    <w:p>
      <w:pPr>
        <w:spacing w:line="360" w:lineRule="auto"/>
        <w:ind w:firstLine="480" w:firstLineChars="200"/>
        <w:rPr>
          <w:i w:val="0"/>
          <w:iCs w:val="0"/>
        </w:rPr>
      </w:pPr>
      <w:r>
        <w:rPr>
          <w:i w:val="0"/>
          <w:iCs w:val="0"/>
        </w:rPr>
        <w:t>（4）控制污染要以预防为主，管治结合，综合治理，以取得最佳的环境效益。</w:t>
      </w:r>
    </w:p>
    <w:p>
      <w:pPr>
        <w:spacing w:line="360" w:lineRule="auto"/>
        <w:ind w:firstLine="480" w:firstLineChars="200"/>
        <w:rPr>
          <w:i w:val="0"/>
          <w:iCs w:val="0"/>
        </w:rPr>
      </w:pPr>
      <w:r>
        <w:rPr>
          <w:rFonts w:hint="eastAsia"/>
          <w:i w:val="0"/>
          <w:iCs w:val="0"/>
        </w:rPr>
        <w:t>8</w:t>
      </w:r>
      <w:r>
        <w:rPr>
          <w:i w:val="0"/>
          <w:iCs w:val="0"/>
        </w:rPr>
        <w:t>.1.3企业环境管理</w:t>
      </w:r>
    </w:p>
    <w:p>
      <w:pPr>
        <w:spacing w:line="360" w:lineRule="auto"/>
        <w:ind w:firstLine="480" w:firstLineChars="200"/>
        <w:rPr>
          <w:i w:val="0"/>
          <w:iCs w:val="0"/>
        </w:rPr>
      </w:pPr>
      <w:r>
        <w:rPr>
          <w:i w:val="0"/>
          <w:iCs w:val="0"/>
        </w:rPr>
        <w:t>1、环境管理体系</w:t>
      </w:r>
    </w:p>
    <w:p>
      <w:pPr>
        <w:spacing w:line="360" w:lineRule="auto"/>
        <w:ind w:firstLine="480" w:firstLineChars="200"/>
        <w:rPr>
          <w:i w:val="0"/>
          <w:iCs w:val="0"/>
        </w:rPr>
      </w:pPr>
      <w:r>
        <w:rPr>
          <w:rFonts w:hint="eastAsia"/>
          <w:i w:val="0"/>
          <w:iCs w:val="0"/>
        </w:rPr>
        <w:t>吉林万方东巽虾青素产业科技发展有限公司</w:t>
      </w:r>
      <w:r>
        <w:rPr>
          <w:i w:val="0"/>
          <w:iCs w:val="0"/>
        </w:rPr>
        <w:t>十分重视环境保护工作，建立了比较完善的环境管理体系，制定了科学的环保工作标准、管理标准及规章制度。该单位环境保护管理行政机构为由总经理负责的环保处，负责贯彻国家及地方的环保法规和文件；制定年度的大小修和改进工程中的环保技术监督工作计划和措施，并检查督促落实；负责环境污染事故的调查分析和处理，具体见表</w:t>
      </w:r>
      <w:r>
        <w:rPr>
          <w:rFonts w:hint="eastAsia"/>
          <w:i w:val="0"/>
          <w:iCs w:val="0"/>
        </w:rPr>
        <w:t>8</w:t>
      </w:r>
      <w:r>
        <w:rPr>
          <w:i w:val="0"/>
          <w:iCs w:val="0"/>
        </w:rPr>
        <w:t>-1。</w:t>
      </w:r>
    </w:p>
    <w:p>
      <w:pPr>
        <w:pStyle w:val="48"/>
        <w:spacing w:line="360" w:lineRule="auto"/>
        <w:rPr>
          <w:i w:val="0"/>
          <w:iCs w:val="0"/>
        </w:rPr>
      </w:pPr>
    </w:p>
    <w:p>
      <w:pPr>
        <w:spacing w:line="360" w:lineRule="auto"/>
        <w:rPr>
          <w:i w:val="0"/>
          <w:iCs w:val="0"/>
        </w:rPr>
      </w:pPr>
    </w:p>
    <w:p>
      <w:pPr>
        <w:pStyle w:val="48"/>
        <w:spacing w:line="360" w:lineRule="auto"/>
        <w:rPr>
          <w:i w:val="0"/>
          <w:iCs w:val="0"/>
        </w:rPr>
      </w:pPr>
    </w:p>
    <w:p>
      <w:pPr>
        <w:spacing w:line="360" w:lineRule="auto"/>
        <w:rPr>
          <w:i w:val="0"/>
          <w:iCs w:val="0"/>
        </w:rPr>
      </w:pPr>
    </w:p>
    <w:p>
      <w:pPr>
        <w:pStyle w:val="48"/>
        <w:spacing w:line="360" w:lineRule="auto"/>
        <w:rPr>
          <w:i w:val="0"/>
          <w:iCs w:val="0"/>
        </w:rPr>
      </w:pPr>
    </w:p>
    <w:p>
      <w:pPr>
        <w:rPr>
          <w:i w:val="0"/>
          <w:iCs w:val="0"/>
        </w:rPr>
      </w:pPr>
    </w:p>
    <w:p>
      <w:pPr>
        <w:ind w:firstLine="470" w:firstLineChars="195"/>
        <w:jc w:val="center"/>
        <w:rPr>
          <w:b/>
          <w:bCs/>
          <w:i w:val="0"/>
          <w:iCs w:val="0"/>
        </w:rPr>
      </w:pPr>
      <w:r>
        <w:rPr>
          <w:b/>
          <w:bCs/>
          <w:i w:val="0"/>
          <w:iCs w:val="0"/>
        </w:rPr>
        <w:t>表</w:t>
      </w:r>
      <w:r>
        <w:rPr>
          <w:rFonts w:hint="eastAsia"/>
          <w:b/>
          <w:bCs/>
          <w:i w:val="0"/>
          <w:iCs w:val="0"/>
        </w:rPr>
        <w:t>8</w:t>
      </w:r>
      <w:r>
        <w:rPr>
          <w:b/>
          <w:bCs/>
          <w:i w:val="0"/>
          <w:iCs w:val="0"/>
        </w:rPr>
        <w:t>-1环境管理机构人员设置及职责</w:t>
      </w:r>
    </w:p>
    <w:tbl>
      <w:tblPr>
        <w:tblStyle w:val="58"/>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1410"/>
        <w:gridCol w:w="644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1226" w:type="dxa"/>
            <w:tcBorders>
              <w:top w:val="single" w:color="auto" w:sz="12" w:space="0"/>
              <w:left w:val="nil"/>
              <w:bottom w:val="single" w:color="auto" w:sz="4" w:space="0"/>
              <w:right w:val="single" w:color="auto" w:sz="4" w:space="0"/>
            </w:tcBorders>
            <w:noWrap w:val="0"/>
            <w:vAlign w:val="center"/>
          </w:tcPr>
          <w:p>
            <w:pPr>
              <w:jc w:val="center"/>
              <w:rPr>
                <w:i w:val="0"/>
                <w:iCs w:val="0"/>
                <w:sz w:val="21"/>
                <w:szCs w:val="21"/>
              </w:rPr>
            </w:pPr>
            <w:r>
              <w:rPr>
                <w:i w:val="0"/>
                <w:iCs w:val="0"/>
                <w:sz w:val="21"/>
                <w:szCs w:val="21"/>
              </w:rPr>
              <w:t>机构设置</w:t>
            </w:r>
          </w:p>
        </w:tc>
        <w:tc>
          <w:tcPr>
            <w:tcW w:w="1410" w:type="dxa"/>
            <w:tcBorders>
              <w:top w:val="single" w:color="auto" w:sz="12" w:space="0"/>
              <w:left w:val="single" w:color="auto" w:sz="4" w:space="0"/>
              <w:bottom w:val="single" w:color="auto" w:sz="4" w:space="0"/>
              <w:right w:val="single" w:color="auto" w:sz="4" w:space="0"/>
            </w:tcBorders>
            <w:noWrap w:val="0"/>
            <w:vAlign w:val="center"/>
          </w:tcPr>
          <w:p>
            <w:pPr>
              <w:jc w:val="center"/>
              <w:rPr>
                <w:i w:val="0"/>
                <w:iCs w:val="0"/>
                <w:sz w:val="21"/>
                <w:szCs w:val="21"/>
              </w:rPr>
            </w:pPr>
            <w:r>
              <w:rPr>
                <w:i w:val="0"/>
                <w:iCs w:val="0"/>
                <w:sz w:val="21"/>
                <w:szCs w:val="21"/>
              </w:rPr>
              <w:t>人员组成</w:t>
            </w:r>
          </w:p>
        </w:tc>
        <w:tc>
          <w:tcPr>
            <w:tcW w:w="6446" w:type="dxa"/>
            <w:tcBorders>
              <w:top w:val="single" w:color="auto" w:sz="12" w:space="0"/>
              <w:left w:val="single" w:color="auto" w:sz="4" w:space="0"/>
              <w:bottom w:val="single" w:color="auto" w:sz="4" w:space="0"/>
              <w:right w:val="nil"/>
            </w:tcBorders>
            <w:noWrap w:val="0"/>
            <w:vAlign w:val="center"/>
          </w:tcPr>
          <w:p>
            <w:pPr>
              <w:jc w:val="center"/>
              <w:rPr>
                <w:i w:val="0"/>
                <w:iCs w:val="0"/>
                <w:sz w:val="21"/>
                <w:szCs w:val="21"/>
              </w:rPr>
            </w:pPr>
            <w:r>
              <w:rPr>
                <w:i w:val="0"/>
                <w:iCs w:val="0"/>
                <w:sz w:val="21"/>
                <w:szCs w:val="21"/>
              </w:rPr>
              <w:t>主要职责及工作内容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1226" w:type="dxa"/>
            <w:tcBorders>
              <w:top w:val="single" w:color="auto" w:sz="4" w:space="0"/>
              <w:left w:val="nil"/>
              <w:bottom w:val="single" w:color="auto" w:sz="4" w:space="0"/>
              <w:right w:val="single" w:color="auto" w:sz="4" w:space="0"/>
            </w:tcBorders>
            <w:noWrap w:val="0"/>
            <w:vAlign w:val="center"/>
          </w:tcPr>
          <w:p>
            <w:pPr>
              <w:jc w:val="center"/>
              <w:rPr>
                <w:i w:val="0"/>
                <w:iCs w:val="0"/>
                <w:sz w:val="21"/>
                <w:szCs w:val="21"/>
              </w:rPr>
            </w:pPr>
            <w:r>
              <w:rPr>
                <w:i w:val="0"/>
                <w:iCs w:val="0"/>
                <w:sz w:val="21"/>
                <w:szCs w:val="21"/>
              </w:rPr>
              <w:t>主管环保工作副总经理</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jc w:val="center"/>
              <w:rPr>
                <w:i w:val="0"/>
                <w:iCs w:val="0"/>
                <w:sz w:val="21"/>
                <w:szCs w:val="21"/>
              </w:rPr>
            </w:pPr>
            <w:r>
              <w:rPr>
                <w:i w:val="0"/>
                <w:iCs w:val="0"/>
                <w:sz w:val="21"/>
                <w:szCs w:val="21"/>
              </w:rPr>
              <w:t>兼职1人</w:t>
            </w:r>
          </w:p>
        </w:tc>
        <w:tc>
          <w:tcPr>
            <w:tcW w:w="6446" w:type="dxa"/>
            <w:tcBorders>
              <w:top w:val="single" w:color="auto" w:sz="4" w:space="0"/>
              <w:left w:val="single" w:color="auto" w:sz="4" w:space="0"/>
              <w:bottom w:val="single" w:color="auto" w:sz="4" w:space="0"/>
              <w:right w:val="nil"/>
            </w:tcBorders>
            <w:noWrap w:val="0"/>
            <w:vAlign w:val="center"/>
          </w:tcPr>
          <w:p>
            <w:pPr>
              <w:rPr>
                <w:i w:val="0"/>
                <w:iCs w:val="0"/>
                <w:sz w:val="21"/>
                <w:szCs w:val="21"/>
              </w:rPr>
            </w:pPr>
            <w:r>
              <w:rPr>
                <w:i w:val="0"/>
                <w:iCs w:val="0"/>
                <w:sz w:val="21"/>
                <w:szCs w:val="21"/>
              </w:rPr>
              <w:t>1.组织拟定公司环境计划。2.负责公司环境管理体系策划。</w:t>
            </w:r>
          </w:p>
          <w:p>
            <w:pPr>
              <w:rPr>
                <w:i w:val="0"/>
                <w:iCs w:val="0"/>
                <w:sz w:val="21"/>
                <w:szCs w:val="21"/>
              </w:rPr>
            </w:pPr>
            <w:r>
              <w:rPr>
                <w:i w:val="0"/>
                <w:iCs w:val="0"/>
                <w:sz w:val="21"/>
                <w:szCs w:val="21"/>
              </w:rPr>
              <w:t>3.批准公司重大环境因素。4.核准环境管理体系程序文件及其修订。</w:t>
            </w:r>
          </w:p>
          <w:p>
            <w:pPr>
              <w:rPr>
                <w:i w:val="0"/>
                <w:iCs w:val="0"/>
                <w:sz w:val="21"/>
                <w:szCs w:val="21"/>
              </w:rPr>
            </w:pPr>
            <w:r>
              <w:rPr>
                <w:i w:val="0"/>
                <w:iCs w:val="0"/>
                <w:sz w:val="21"/>
                <w:szCs w:val="21"/>
              </w:rPr>
              <w:t>5.制定应急预案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90" w:hRule="atLeast"/>
          <w:jc w:val="center"/>
        </w:trPr>
        <w:tc>
          <w:tcPr>
            <w:tcW w:w="1226" w:type="dxa"/>
            <w:tcBorders>
              <w:top w:val="single" w:color="auto" w:sz="4" w:space="0"/>
              <w:left w:val="nil"/>
              <w:bottom w:val="single" w:color="auto" w:sz="4" w:space="0"/>
              <w:right w:val="single" w:color="auto" w:sz="4" w:space="0"/>
            </w:tcBorders>
            <w:noWrap w:val="0"/>
            <w:vAlign w:val="center"/>
          </w:tcPr>
          <w:p>
            <w:pPr>
              <w:jc w:val="center"/>
              <w:rPr>
                <w:i w:val="0"/>
                <w:iCs w:val="0"/>
                <w:sz w:val="21"/>
                <w:szCs w:val="21"/>
              </w:rPr>
            </w:pPr>
            <w:r>
              <w:rPr>
                <w:i w:val="0"/>
                <w:iCs w:val="0"/>
                <w:sz w:val="21"/>
                <w:szCs w:val="21"/>
              </w:rPr>
              <w:t>环境保护处室（生产管理部兼职）</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rPr>
                <w:i w:val="0"/>
                <w:iCs w:val="0"/>
                <w:sz w:val="21"/>
                <w:szCs w:val="21"/>
              </w:rPr>
            </w:pPr>
            <w:r>
              <w:rPr>
                <w:i w:val="0"/>
                <w:iCs w:val="0"/>
                <w:sz w:val="21"/>
                <w:szCs w:val="21"/>
              </w:rPr>
              <w:t>部门经理1人（兼职）</w:t>
            </w:r>
          </w:p>
          <w:p>
            <w:pPr>
              <w:rPr>
                <w:i w:val="0"/>
                <w:iCs w:val="0"/>
                <w:sz w:val="21"/>
                <w:szCs w:val="21"/>
              </w:rPr>
            </w:pPr>
            <w:r>
              <w:rPr>
                <w:i w:val="0"/>
                <w:iCs w:val="0"/>
                <w:sz w:val="21"/>
                <w:szCs w:val="21"/>
              </w:rPr>
              <w:t>环境管理人员1人（专职）</w:t>
            </w:r>
          </w:p>
        </w:tc>
        <w:tc>
          <w:tcPr>
            <w:tcW w:w="6446" w:type="dxa"/>
            <w:tcBorders>
              <w:top w:val="single" w:color="auto" w:sz="4" w:space="0"/>
              <w:left w:val="single" w:color="auto" w:sz="4" w:space="0"/>
              <w:bottom w:val="single" w:color="auto" w:sz="4" w:space="0"/>
              <w:right w:val="nil"/>
            </w:tcBorders>
            <w:noWrap w:val="0"/>
            <w:vAlign w:val="center"/>
          </w:tcPr>
          <w:p>
            <w:pPr>
              <w:rPr>
                <w:i w:val="0"/>
                <w:iCs w:val="0"/>
                <w:sz w:val="21"/>
                <w:szCs w:val="21"/>
              </w:rPr>
            </w:pPr>
            <w:r>
              <w:rPr>
                <w:i w:val="0"/>
                <w:iCs w:val="0"/>
                <w:sz w:val="21"/>
                <w:szCs w:val="21"/>
              </w:rPr>
              <w:t>1.主管全厂各项环境保护工作及环保部门协调工作（处长）。</w:t>
            </w:r>
          </w:p>
          <w:p>
            <w:pPr>
              <w:rPr>
                <w:i w:val="0"/>
                <w:iCs w:val="0"/>
                <w:sz w:val="21"/>
                <w:szCs w:val="21"/>
              </w:rPr>
            </w:pPr>
            <w:r>
              <w:rPr>
                <w:i w:val="0"/>
                <w:iCs w:val="0"/>
                <w:sz w:val="21"/>
                <w:szCs w:val="21"/>
              </w:rPr>
              <w:t>2.收集、跟踪适合于公司的有关环保法律法规。</w:t>
            </w:r>
          </w:p>
          <w:p>
            <w:pPr>
              <w:rPr>
                <w:i w:val="0"/>
                <w:iCs w:val="0"/>
                <w:sz w:val="21"/>
                <w:szCs w:val="21"/>
              </w:rPr>
            </w:pPr>
            <w:r>
              <w:rPr>
                <w:i w:val="0"/>
                <w:iCs w:val="0"/>
                <w:sz w:val="21"/>
                <w:szCs w:val="21"/>
              </w:rPr>
              <w:t>3.对水、声、气等环境表现及整体运行的结果进行监测和测量，进行法律符合性评价，监测数据综合及上报工作。</w:t>
            </w:r>
          </w:p>
          <w:p>
            <w:pPr>
              <w:rPr>
                <w:i w:val="0"/>
                <w:iCs w:val="0"/>
                <w:sz w:val="21"/>
                <w:szCs w:val="21"/>
              </w:rPr>
            </w:pPr>
            <w:r>
              <w:rPr>
                <w:i w:val="0"/>
                <w:iCs w:val="0"/>
                <w:sz w:val="21"/>
                <w:szCs w:val="21"/>
              </w:rPr>
              <w:t>4.制定有关的安全操作规程，紧急避险措施，并且对紧急情况进行协调处理。</w:t>
            </w:r>
          </w:p>
          <w:p>
            <w:pPr>
              <w:rPr>
                <w:i w:val="0"/>
                <w:iCs w:val="0"/>
                <w:sz w:val="21"/>
                <w:szCs w:val="21"/>
              </w:rPr>
            </w:pPr>
            <w:r>
              <w:rPr>
                <w:i w:val="0"/>
                <w:iCs w:val="0"/>
                <w:sz w:val="21"/>
                <w:szCs w:val="21"/>
              </w:rPr>
              <w:t>5.保存公司级的环境记录。</w:t>
            </w:r>
          </w:p>
          <w:p>
            <w:pPr>
              <w:rPr>
                <w:i w:val="0"/>
                <w:iCs w:val="0"/>
                <w:sz w:val="21"/>
                <w:szCs w:val="21"/>
              </w:rPr>
            </w:pPr>
            <w:r>
              <w:rPr>
                <w:i w:val="0"/>
                <w:iCs w:val="0"/>
                <w:sz w:val="21"/>
                <w:szCs w:val="21"/>
              </w:rPr>
              <w:t>6.负责编制环境管理体系文件，并进行文件的控制（分发和管理）。</w:t>
            </w:r>
          </w:p>
          <w:p>
            <w:pPr>
              <w:rPr>
                <w:i w:val="0"/>
                <w:iCs w:val="0"/>
                <w:sz w:val="21"/>
                <w:szCs w:val="21"/>
              </w:rPr>
            </w:pPr>
            <w:r>
              <w:rPr>
                <w:i w:val="0"/>
                <w:iCs w:val="0"/>
                <w:sz w:val="21"/>
                <w:szCs w:val="21"/>
              </w:rPr>
              <w:t>7.协调公司的环境培训和信息交流。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1226" w:type="dxa"/>
            <w:tcBorders>
              <w:top w:val="single" w:color="auto" w:sz="4" w:space="0"/>
              <w:left w:val="nil"/>
              <w:bottom w:val="single" w:color="auto" w:sz="4" w:space="0"/>
              <w:right w:val="single" w:color="auto" w:sz="4" w:space="0"/>
            </w:tcBorders>
            <w:noWrap w:val="0"/>
            <w:vAlign w:val="center"/>
          </w:tcPr>
          <w:p>
            <w:pPr>
              <w:jc w:val="center"/>
              <w:rPr>
                <w:i w:val="0"/>
                <w:iCs w:val="0"/>
                <w:sz w:val="21"/>
                <w:szCs w:val="21"/>
              </w:rPr>
            </w:pPr>
            <w:r>
              <w:rPr>
                <w:i w:val="0"/>
                <w:iCs w:val="0"/>
                <w:sz w:val="21"/>
                <w:szCs w:val="21"/>
              </w:rPr>
              <w:t>车间生产</w:t>
            </w:r>
          </w:p>
        </w:tc>
        <w:tc>
          <w:tcPr>
            <w:tcW w:w="1410" w:type="dxa"/>
            <w:tcBorders>
              <w:top w:val="single" w:color="auto" w:sz="4" w:space="0"/>
              <w:left w:val="single" w:color="auto" w:sz="4" w:space="0"/>
              <w:bottom w:val="single" w:color="auto" w:sz="4" w:space="0"/>
              <w:right w:val="single" w:color="auto" w:sz="4" w:space="0"/>
            </w:tcBorders>
            <w:noWrap w:val="0"/>
            <w:vAlign w:val="center"/>
          </w:tcPr>
          <w:p>
            <w:pPr>
              <w:jc w:val="center"/>
              <w:rPr>
                <w:i w:val="0"/>
                <w:iCs w:val="0"/>
                <w:sz w:val="21"/>
                <w:szCs w:val="21"/>
              </w:rPr>
            </w:pPr>
            <w:r>
              <w:rPr>
                <w:i w:val="0"/>
                <w:iCs w:val="0"/>
                <w:sz w:val="21"/>
                <w:szCs w:val="21"/>
              </w:rPr>
              <w:t>环保员2人</w:t>
            </w:r>
          </w:p>
          <w:p>
            <w:pPr>
              <w:jc w:val="center"/>
              <w:rPr>
                <w:i w:val="0"/>
                <w:iCs w:val="0"/>
                <w:sz w:val="21"/>
                <w:szCs w:val="21"/>
              </w:rPr>
            </w:pPr>
            <w:r>
              <w:rPr>
                <w:i w:val="0"/>
                <w:iCs w:val="0"/>
                <w:sz w:val="21"/>
                <w:szCs w:val="21"/>
              </w:rPr>
              <w:t>（兼职）</w:t>
            </w:r>
          </w:p>
        </w:tc>
        <w:tc>
          <w:tcPr>
            <w:tcW w:w="6446" w:type="dxa"/>
            <w:tcBorders>
              <w:top w:val="single" w:color="auto" w:sz="4" w:space="0"/>
              <w:left w:val="single" w:color="auto" w:sz="4" w:space="0"/>
              <w:bottom w:val="single" w:color="auto" w:sz="4" w:space="0"/>
              <w:right w:val="nil"/>
            </w:tcBorders>
            <w:noWrap w:val="0"/>
            <w:vAlign w:val="center"/>
          </w:tcPr>
          <w:p>
            <w:pPr>
              <w:rPr>
                <w:i w:val="0"/>
                <w:iCs w:val="0"/>
                <w:sz w:val="21"/>
                <w:szCs w:val="21"/>
              </w:rPr>
            </w:pPr>
            <w:r>
              <w:rPr>
                <w:i w:val="0"/>
                <w:iCs w:val="0"/>
                <w:sz w:val="21"/>
                <w:szCs w:val="21"/>
              </w:rPr>
              <w:t>1.作好员工相关环境知识的培训工作。</w:t>
            </w:r>
          </w:p>
          <w:p>
            <w:pPr>
              <w:rPr>
                <w:i w:val="0"/>
                <w:iCs w:val="0"/>
                <w:sz w:val="21"/>
                <w:szCs w:val="21"/>
              </w:rPr>
            </w:pPr>
            <w:r>
              <w:rPr>
                <w:i w:val="0"/>
                <w:iCs w:val="0"/>
                <w:sz w:val="21"/>
                <w:szCs w:val="21"/>
              </w:rPr>
              <w:t>2.协助制定本部门有关环境管理体系文件，妥善管理并发放到各岗位，在线监测数据管理统计工作。</w:t>
            </w:r>
          </w:p>
          <w:p>
            <w:pPr>
              <w:rPr>
                <w:i w:val="0"/>
                <w:iCs w:val="0"/>
                <w:sz w:val="21"/>
                <w:szCs w:val="21"/>
              </w:rPr>
            </w:pPr>
            <w:r>
              <w:rPr>
                <w:i w:val="0"/>
                <w:iCs w:val="0"/>
                <w:sz w:val="21"/>
                <w:szCs w:val="21"/>
              </w:rPr>
              <w:t>3.负责对环境因素的管理和控制，并采取相应措施进行预防和监控。</w:t>
            </w:r>
          </w:p>
          <w:p>
            <w:pPr>
              <w:rPr>
                <w:i w:val="0"/>
                <w:iCs w:val="0"/>
                <w:sz w:val="21"/>
                <w:szCs w:val="21"/>
              </w:rPr>
            </w:pPr>
            <w:r>
              <w:rPr>
                <w:i w:val="0"/>
                <w:iCs w:val="0"/>
                <w:sz w:val="21"/>
                <w:szCs w:val="21"/>
              </w:rPr>
              <w:t>4.负责所用设备的维护保养工作，减少设备维护中造成的环境污染。</w:t>
            </w:r>
          </w:p>
          <w:p>
            <w:pPr>
              <w:rPr>
                <w:i w:val="0"/>
                <w:iCs w:val="0"/>
                <w:sz w:val="21"/>
                <w:szCs w:val="21"/>
              </w:rPr>
            </w:pPr>
            <w:r>
              <w:rPr>
                <w:i w:val="0"/>
                <w:iCs w:val="0"/>
                <w:sz w:val="21"/>
                <w:szCs w:val="21"/>
              </w:rPr>
              <w:t>5.作好紧急事故的应急措施。6、对不符合项进行原因分析和纠正。</w:t>
            </w:r>
          </w:p>
          <w:p>
            <w:pPr>
              <w:rPr>
                <w:i w:val="0"/>
                <w:iCs w:val="0"/>
                <w:sz w:val="21"/>
                <w:szCs w:val="21"/>
              </w:rPr>
            </w:pPr>
            <w:r>
              <w:rPr>
                <w:i w:val="0"/>
                <w:iCs w:val="0"/>
                <w:sz w:val="21"/>
                <w:szCs w:val="21"/>
              </w:rPr>
              <w:t>7、固体废物排放量、临时储存管理工作。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1226" w:type="dxa"/>
            <w:tcBorders>
              <w:top w:val="single" w:color="auto" w:sz="4" w:space="0"/>
              <w:left w:val="nil"/>
              <w:bottom w:val="single" w:color="auto" w:sz="12" w:space="0"/>
              <w:right w:val="single" w:color="auto" w:sz="4" w:space="0"/>
            </w:tcBorders>
            <w:noWrap w:val="0"/>
            <w:vAlign w:val="center"/>
          </w:tcPr>
          <w:p>
            <w:pPr>
              <w:jc w:val="center"/>
              <w:rPr>
                <w:rFonts w:hint="eastAsia"/>
                <w:i w:val="0"/>
                <w:iCs w:val="0"/>
                <w:sz w:val="21"/>
                <w:szCs w:val="21"/>
              </w:rPr>
            </w:pPr>
            <w:r>
              <w:rPr>
                <w:rFonts w:hint="eastAsia"/>
                <w:i w:val="0"/>
                <w:iCs w:val="0"/>
                <w:sz w:val="21"/>
                <w:szCs w:val="21"/>
              </w:rPr>
              <w:t>污水站</w:t>
            </w:r>
          </w:p>
        </w:tc>
        <w:tc>
          <w:tcPr>
            <w:tcW w:w="1410" w:type="dxa"/>
            <w:tcBorders>
              <w:top w:val="single" w:color="auto" w:sz="4" w:space="0"/>
              <w:left w:val="single" w:color="auto" w:sz="4" w:space="0"/>
              <w:bottom w:val="single" w:color="auto" w:sz="12" w:space="0"/>
              <w:right w:val="single" w:color="auto" w:sz="4" w:space="0"/>
            </w:tcBorders>
            <w:noWrap w:val="0"/>
            <w:vAlign w:val="center"/>
          </w:tcPr>
          <w:p>
            <w:pPr>
              <w:jc w:val="center"/>
              <w:rPr>
                <w:i w:val="0"/>
                <w:iCs w:val="0"/>
                <w:sz w:val="21"/>
                <w:szCs w:val="21"/>
              </w:rPr>
            </w:pPr>
            <w:r>
              <w:rPr>
                <w:i w:val="0"/>
                <w:iCs w:val="0"/>
                <w:sz w:val="21"/>
                <w:szCs w:val="21"/>
              </w:rPr>
              <w:t>化验员</w:t>
            </w:r>
            <w:r>
              <w:rPr>
                <w:rFonts w:hint="eastAsia"/>
                <w:i w:val="0"/>
                <w:iCs w:val="0"/>
                <w:sz w:val="21"/>
                <w:szCs w:val="21"/>
              </w:rPr>
              <w:t>1</w:t>
            </w:r>
            <w:r>
              <w:rPr>
                <w:i w:val="0"/>
                <w:iCs w:val="0"/>
                <w:sz w:val="21"/>
                <w:szCs w:val="21"/>
              </w:rPr>
              <w:t>人</w:t>
            </w:r>
          </w:p>
          <w:p>
            <w:pPr>
              <w:jc w:val="center"/>
              <w:rPr>
                <w:i w:val="0"/>
                <w:iCs w:val="0"/>
                <w:sz w:val="21"/>
                <w:szCs w:val="21"/>
              </w:rPr>
            </w:pPr>
            <w:r>
              <w:rPr>
                <w:i w:val="0"/>
                <w:iCs w:val="0"/>
                <w:sz w:val="21"/>
                <w:szCs w:val="21"/>
              </w:rPr>
              <w:t>（兼职）</w:t>
            </w:r>
          </w:p>
        </w:tc>
        <w:tc>
          <w:tcPr>
            <w:tcW w:w="6446" w:type="dxa"/>
            <w:tcBorders>
              <w:top w:val="single" w:color="auto" w:sz="4" w:space="0"/>
              <w:left w:val="single" w:color="auto" w:sz="4" w:space="0"/>
              <w:bottom w:val="single" w:color="auto" w:sz="12" w:space="0"/>
              <w:right w:val="nil"/>
            </w:tcBorders>
            <w:noWrap w:val="0"/>
            <w:vAlign w:val="center"/>
          </w:tcPr>
          <w:p>
            <w:pPr>
              <w:rPr>
                <w:i w:val="0"/>
                <w:iCs w:val="0"/>
                <w:sz w:val="21"/>
                <w:szCs w:val="21"/>
              </w:rPr>
            </w:pPr>
            <w:r>
              <w:rPr>
                <w:i w:val="0"/>
                <w:iCs w:val="0"/>
                <w:sz w:val="21"/>
                <w:szCs w:val="21"/>
              </w:rPr>
              <w:t>污水</w:t>
            </w:r>
            <w:r>
              <w:rPr>
                <w:rFonts w:hint="eastAsia"/>
                <w:i w:val="0"/>
                <w:iCs w:val="0"/>
                <w:sz w:val="21"/>
                <w:szCs w:val="21"/>
              </w:rPr>
              <w:t>站</w:t>
            </w:r>
            <w:r>
              <w:rPr>
                <w:i w:val="0"/>
                <w:iCs w:val="0"/>
                <w:sz w:val="21"/>
                <w:szCs w:val="21"/>
              </w:rPr>
              <w:t>废水监测分析工作，建设项目</w:t>
            </w:r>
            <w:r>
              <w:rPr>
                <w:rFonts w:hint="eastAsia"/>
                <w:i w:val="0"/>
                <w:iCs w:val="0"/>
                <w:sz w:val="21"/>
                <w:szCs w:val="21"/>
              </w:rPr>
              <w:t>废水</w:t>
            </w:r>
            <w:r>
              <w:rPr>
                <w:i w:val="0"/>
                <w:iCs w:val="0"/>
                <w:sz w:val="21"/>
                <w:szCs w:val="21"/>
              </w:rPr>
              <w:t>在线监测数据记录，固体废物统计。</w:t>
            </w:r>
          </w:p>
        </w:tc>
      </w:tr>
    </w:tbl>
    <w:p>
      <w:pPr>
        <w:spacing w:line="360" w:lineRule="auto"/>
        <w:ind w:firstLine="480" w:firstLineChars="200"/>
        <w:rPr>
          <w:i w:val="0"/>
          <w:iCs w:val="0"/>
        </w:rPr>
      </w:pPr>
      <w:r>
        <w:rPr>
          <w:i w:val="0"/>
          <w:iCs w:val="0"/>
        </w:rPr>
        <w:t>2、环境管理要求</w:t>
      </w:r>
    </w:p>
    <w:p>
      <w:pPr>
        <w:widowControl/>
        <w:spacing w:line="360" w:lineRule="auto"/>
        <w:ind w:firstLine="480" w:firstLineChars="200"/>
        <w:jc w:val="left"/>
        <w:rPr>
          <w:rFonts w:eastAsia="Microsoft YaHei ΢ȭхڢ  ڌ墠 ˎ̥"/>
          <w:i w:val="0"/>
          <w:iCs w:val="0"/>
          <w:kern w:val="0"/>
        </w:rPr>
      </w:pPr>
      <w:r>
        <w:rPr>
          <w:rFonts w:eastAsia="Microsoft YaHei ΢ȭхڢ  ڌ墠 ˎ̥"/>
          <w:i w:val="0"/>
          <w:iCs w:val="0"/>
          <w:kern w:val="0"/>
        </w:rPr>
        <w:t>企业</w:t>
      </w:r>
      <w:r>
        <w:rPr>
          <w:rFonts w:hint="eastAsia" w:eastAsia="Microsoft YaHei ΢ȭхڢ  ڌ墠 ˎ̥"/>
          <w:i w:val="0"/>
          <w:iCs w:val="0"/>
          <w:kern w:val="0"/>
        </w:rPr>
        <w:t>应</w:t>
      </w:r>
      <w:r>
        <w:rPr>
          <w:rFonts w:eastAsia="Microsoft YaHei ΢ȭхڢ  ڌ墠 ˎ̥"/>
          <w:i w:val="0"/>
          <w:iCs w:val="0"/>
          <w:kern w:val="0"/>
        </w:rPr>
        <w:t>建立健全的环保设施维护保养、检修、操作运行等规章制度，做到环保设施与主体生产设施同步运转。环保设施具体管理要求如下：</w:t>
      </w:r>
    </w:p>
    <w:p>
      <w:pPr>
        <w:widowControl/>
        <w:spacing w:line="360" w:lineRule="auto"/>
        <w:ind w:firstLine="480" w:firstLineChars="200"/>
        <w:jc w:val="left"/>
        <w:rPr>
          <w:i w:val="0"/>
          <w:iCs w:val="0"/>
          <w:kern w:val="0"/>
        </w:rPr>
      </w:pPr>
      <w:r>
        <w:rPr>
          <w:i w:val="0"/>
          <w:iCs w:val="0"/>
          <w:kern w:val="0"/>
        </w:rPr>
        <w:t>①</w:t>
      </w:r>
      <w:r>
        <w:rPr>
          <w:rFonts w:eastAsia="Microsoft YaHei ΢ȭхڢ  ڌ墠 ˎ̥"/>
          <w:i w:val="0"/>
          <w:iCs w:val="0"/>
          <w:kern w:val="0"/>
        </w:rPr>
        <w:t>环保设施能满足所处理处置污染的需要并能连续正常运行，污染物排放能达到国家或地方排放标准的要求，通过环保行政主管部门的项目竣工验收。</w:t>
      </w:r>
    </w:p>
    <w:p>
      <w:pPr>
        <w:spacing w:line="360" w:lineRule="auto"/>
        <w:ind w:firstLine="480" w:firstLineChars="200"/>
        <w:rPr>
          <w:i w:val="0"/>
          <w:iCs w:val="0"/>
        </w:rPr>
      </w:pPr>
      <w:r>
        <w:rPr>
          <w:i w:val="0"/>
          <w:iCs w:val="0"/>
          <w:kern w:val="0"/>
        </w:rPr>
        <w:t>②</w:t>
      </w:r>
      <w:r>
        <w:rPr>
          <w:i w:val="0"/>
          <w:iCs w:val="0"/>
        </w:rPr>
        <w:t>环境保护设施与生产设施同步运行，环保设施投入正常运行后，污染物排放稳定达标。</w:t>
      </w:r>
    </w:p>
    <w:p>
      <w:pPr>
        <w:spacing w:line="360" w:lineRule="auto"/>
        <w:ind w:firstLine="480" w:firstLineChars="200"/>
        <w:rPr>
          <w:i w:val="0"/>
          <w:iCs w:val="0"/>
        </w:rPr>
      </w:pPr>
      <w:r>
        <w:rPr>
          <w:i w:val="0"/>
          <w:iCs w:val="0"/>
          <w:kern w:val="0"/>
        </w:rPr>
        <w:t>③</w:t>
      </w:r>
      <w:r>
        <w:rPr>
          <w:i w:val="0"/>
          <w:iCs w:val="0"/>
        </w:rPr>
        <w:t>管理制度健全，主要包括：人员持证上岗、岗位责任、操作规程、事故预防与应急措施、运行记录台账、监测报告，做好运行记录，确保与主体生产设施的同步运行率达到100%。</w:t>
      </w:r>
    </w:p>
    <w:p>
      <w:pPr>
        <w:spacing w:line="360" w:lineRule="auto"/>
        <w:ind w:firstLine="480" w:firstLineChars="200"/>
        <w:rPr>
          <w:i w:val="0"/>
          <w:iCs w:val="0"/>
        </w:rPr>
      </w:pPr>
      <w:r>
        <w:rPr>
          <w:i w:val="0"/>
          <w:iCs w:val="0"/>
          <w:kern w:val="0"/>
        </w:rPr>
        <w:t>④</w:t>
      </w:r>
      <w:r>
        <w:rPr>
          <w:i w:val="0"/>
          <w:iCs w:val="0"/>
        </w:rPr>
        <w:t>对环保设施进行的定期或不定期的检查，及时消除设备缺陷和隐患，环保设施运行出现故障时，必须在规定期限内完成维修或更换。因不可抗拒原因，设施必须停止时，应由公司事先报安全环保部，说明停止运行的原因、时段、相关污染预防措施等情况，取得上级部门的批准。</w:t>
      </w:r>
    </w:p>
    <w:p>
      <w:pPr>
        <w:spacing w:line="360" w:lineRule="auto"/>
        <w:ind w:firstLine="480" w:firstLineChars="200"/>
        <w:rPr>
          <w:i w:val="0"/>
          <w:iCs w:val="0"/>
        </w:rPr>
      </w:pPr>
      <w:r>
        <w:rPr>
          <w:i w:val="0"/>
          <w:iCs w:val="0"/>
          <w:kern w:val="0"/>
        </w:rPr>
        <w:t>⑤</w:t>
      </w:r>
      <w:r>
        <w:rPr>
          <w:i w:val="0"/>
          <w:iCs w:val="0"/>
        </w:rPr>
        <w:t>环保设施运行企业因设施运行不正常发生污染事故时，必须在一小时内向上级部门报告，并及时采取有效的应急措施消除环境污染，确保环境安全。</w:t>
      </w:r>
    </w:p>
    <w:p>
      <w:pPr>
        <w:spacing w:line="360" w:lineRule="auto"/>
        <w:ind w:firstLine="480" w:firstLineChars="200"/>
        <w:rPr>
          <w:i w:val="0"/>
          <w:iCs w:val="0"/>
        </w:rPr>
      </w:pPr>
      <w:r>
        <w:rPr>
          <w:i w:val="0"/>
          <w:iCs w:val="0"/>
          <w:kern w:val="0"/>
        </w:rPr>
        <w:t>⑥</w:t>
      </w:r>
      <w:r>
        <w:rPr>
          <w:i w:val="0"/>
          <w:iCs w:val="0"/>
        </w:rPr>
        <w:t>必须接受上级部门的监督和现场检查，如实报告情况，提供资料。不得以任何理由阻碍环保部门现场检查，不得隐瞒情况，提供虚假材料。</w:t>
      </w:r>
    </w:p>
    <w:p>
      <w:pPr>
        <w:spacing w:line="360" w:lineRule="auto"/>
        <w:ind w:firstLine="480" w:firstLineChars="200"/>
        <w:rPr>
          <w:i w:val="0"/>
          <w:iCs w:val="0"/>
        </w:rPr>
      </w:pPr>
      <w:r>
        <w:rPr>
          <w:rFonts w:hint="eastAsia"/>
          <w:i w:val="0"/>
          <w:iCs w:val="0"/>
        </w:rPr>
        <w:t>8.1.4运营区项目环境管理</w:t>
      </w:r>
    </w:p>
    <w:p>
      <w:pPr>
        <w:spacing w:line="360" w:lineRule="auto"/>
        <w:ind w:firstLine="480" w:firstLineChars="200"/>
        <w:rPr>
          <w:i w:val="0"/>
          <w:iCs w:val="0"/>
        </w:rPr>
      </w:pPr>
      <w:r>
        <w:rPr>
          <w:i w:val="0"/>
          <w:iCs w:val="0"/>
        </w:rPr>
        <w:t>运营期环境管理要求</w:t>
      </w:r>
    </w:p>
    <w:p>
      <w:pPr>
        <w:pStyle w:val="24"/>
        <w:spacing w:line="360" w:lineRule="auto"/>
        <w:ind w:firstLine="480" w:firstLineChars="200"/>
        <w:jc w:val="left"/>
        <w:rPr>
          <w:i w:val="0"/>
          <w:iCs w:val="0"/>
        </w:rPr>
      </w:pPr>
      <w:r>
        <w:rPr>
          <w:i w:val="0"/>
          <w:iCs w:val="0"/>
        </w:rPr>
        <w:t>运营期环境管理除了设置环境管理体系以及环境管理机构以外，企业还</w:t>
      </w:r>
      <w:r>
        <w:rPr>
          <w:rFonts w:hint="eastAsia"/>
          <w:i w:val="0"/>
          <w:iCs w:val="0"/>
        </w:rPr>
        <w:t>需</w:t>
      </w:r>
      <w:r>
        <w:rPr>
          <w:i w:val="0"/>
          <w:iCs w:val="0"/>
        </w:rPr>
        <w:t>设置相关</w:t>
      </w:r>
      <w:r>
        <w:rPr>
          <w:rFonts w:hint="eastAsia"/>
          <w:i w:val="0"/>
          <w:iCs w:val="0"/>
        </w:rPr>
        <w:t>的</w:t>
      </w:r>
      <w:r>
        <w:rPr>
          <w:i w:val="0"/>
          <w:iCs w:val="0"/>
        </w:rPr>
        <w:t>环境管理制度。</w:t>
      </w:r>
    </w:p>
    <w:p>
      <w:pPr>
        <w:pStyle w:val="354"/>
        <w:ind w:firstLine="480"/>
        <w:rPr>
          <w:rFonts w:hint="eastAsia"/>
          <w:i w:val="0"/>
          <w:iCs w:val="0"/>
        </w:rPr>
      </w:pPr>
      <w:r>
        <w:rPr>
          <w:i w:val="0"/>
          <w:iCs w:val="0"/>
        </w:rPr>
        <w:t>（1）</w:t>
      </w:r>
      <w:r>
        <w:rPr>
          <w:rFonts w:hint="eastAsia"/>
          <w:i w:val="0"/>
          <w:iCs w:val="0"/>
        </w:rPr>
        <w:t>排污许可制度</w:t>
      </w:r>
    </w:p>
    <w:p>
      <w:pPr>
        <w:pStyle w:val="354"/>
        <w:ind w:firstLine="480"/>
        <w:rPr>
          <w:rFonts w:hint="eastAsia"/>
          <w:i w:val="0"/>
          <w:iCs w:val="0"/>
        </w:rPr>
      </w:pPr>
      <w:r>
        <w:rPr>
          <w:i w:val="0"/>
          <w:iCs w:val="0"/>
        </w:rPr>
        <w:t>凡实施排污许可证制度的排污单位，</w:t>
      </w:r>
      <w:r>
        <w:rPr>
          <w:rFonts w:hint="eastAsia"/>
          <w:i w:val="0"/>
          <w:iCs w:val="0"/>
        </w:rPr>
        <w:t>应根据《排污单位环境管理台账及排污许可执行报告技术规范 总则（试行）》（HJ944-2018）要求：排污单位应建立环境管理台账记录制度，落实环境管理台账记录的责任单位和责任人，明确工作职责，并对环境管理台账的真实性、完整性和规范性负责，一般按日或按批次进行记录，异常情况应按次记录。</w:t>
      </w:r>
    </w:p>
    <w:p>
      <w:pPr>
        <w:pStyle w:val="354"/>
        <w:ind w:firstLine="480"/>
        <w:rPr>
          <w:rFonts w:hint="eastAsia"/>
          <w:i w:val="0"/>
          <w:iCs w:val="0"/>
        </w:rPr>
      </w:pPr>
      <w:r>
        <w:rPr>
          <w:rFonts w:hint="eastAsia"/>
          <w:i w:val="0"/>
          <w:iCs w:val="0"/>
        </w:rPr>
        <w:t>排污许可执行报告按周期分为年度执行报告、季度执行报告和月度执行报告，排污单位应对提交的排污许可执行报告中各项内容和数据的真实性有效性负责，并自愿承担相应法律责任，应自觉接收环境保护主管部门监管和社会公众监督，如提交的内容和数据与实际情况不符，应积极配合调查，并依法接收处罚。</w:t>
      </w:r>
    </w:p>
    <w:p>
      <w:pPr>
        <w:pStyle w:val="354"/>
        <w:ind w:firstLine="480"/>
        <w:rPr>
          <w:i w:val="0"/>
          <w:iCs w:val="0"/>
        </w:rPr>
      </w:pPr>
      <w:r>
        <w:rPr>
          <w:i w:val="0"/>
          <w:iCs w:val="0"/>
        </w:rPr>
        <w:t>（2）污染治理设施的管理、监控制度</w:t>
      </w:r>
    </w:p>
    <w:p>
      <w:pPr>
        <w:pStyle w:val="354"/>
        <w:ind w:firstLine="480"/>
        <w:rPr>
          <w:i w:val="0"/>
          <w:iCs w:val="0"/>
        </w:rPr>
      </w:pPr>
      <w:r>
        <w:rPr>
          <w:i w:val="0"/>
          <w:iCs w:val="0"/>
        </w:rPr>
        <w:t>公司污染处理设施的管理必须与生产经营活动一起纳入公司日常管理工作的范畴，落实责任人、操作人员、维修人员、运行经费、设备的备品备件和其他原辅材料。同时要建立岗位责任制、制定操作规程、建立经营管理台帐。</w:t>
      </w:r>
    </w:p>
    <w:p>
      <w:pPr>
        <w:pStyle w:val="354"/>
        <w:ind w:firstLine="480"/>
        <w:rPr>
          <w:i w:val="0"/>
          <w:iCs w:val="0"/>
        </w:rPr>
      </w:pPr>
      <w:r>
        <w:rPr>
          <w:i w:val="0"/>
          <w:iCs w:val="0"/>
        </w:rPr>
        <w:t>（3）环保奖惩条例</w:t>
      </w:r>
    </w:p>
    <w:p>
      <w:pPr>
        <w:pStyle w:val="354"/>
        <w:ind w:firstLine="480"/>
        <w:rPr>
          <w:i w:val="0"/>
          <w:iCs w:val="0"/>
        </w:rPr>
      </w:pPr>
      <w:r>
        <w:rPr>
          <w:i w:val="0"/>
          <w:iCs w:val="0"/>
        </w:rPr>
        <w:t>本项目建设期以及建成后，各级管理人员都应树立保护环境的思想，公司设置环境保护奖惩条例。对爱护环保设施、节能降耗、改善环境者实行奖励；对环保观念淡薄，不按环保要求管理，造成环境设施损坏、环境污染及资源和能源浪费者一律予以重罚。</w:t>
      </w:r>
    </w:p>
    <w:p>
      <w:pPr>
        <w:pStyle w:val="354"/>
        <w:ind w:firstLine="480"/>
        <w:rPr>
          <w:rFonts w:hint="eastAsia"/>
          <w:i w:val="0"/>
          <w:iCs w:val="0"/>
        </w:rPr>
      </w:pPr>
      <w:r>
        <w:rPr>
          <w:i w:val="0"/>
          <w:iCs w:val="0"/>
        </w:rPr>
        <w:t>（4）</w:t>
      </w:r>
      <w:r>
        <w:rPr>
          <w:rFonts w:hint="eastAsia"/>
          <w:i w:val="0"/>
          <w:iCs w:val="0"/>
        </w:rPr>
        <w:t>工业固体废物管理制度</w:t>
      </w:r>
    </w:p>
    <w:p>
      <w:pPr>
        <w:spacing w:line="360" w:lineRule="auto"/>
        <w:ind w:firstLine="480" w:firstLineChars="200"/>
        <w:rPr>
          <w:rFonts w:hint="eastAsia"/>
          <w:i w:val="0"/>
          <w:iCs w:val="0"/>
        </w:rPr>
      </w:pPr>
      <w:r>
        <w:rPr>
          <w:i w:val="0"/>
          <w:iCs w:val="0"/>
        </w:rPr>
        <w:t>定期抽检</w:t>
      </w:r>
      <w:r>
        <w:rPr>
          <w:rFonts w:hint="eastAsia"/>
          <w:i w:val="0"/>
          <w:iCs w:val="0"/>
        </w:rPr>
        <w:t>工业固体废物</w:t>
      </w:r>
      <w:r>
        <w:rPr>
          <w:i w:val="0"/>
          <w:iCs w:val="0"/>
        </w:rPr>
        <w:t>的分类是否合理，鉴别到位、准确程度，避免不同类别的废物混填，造成污染。</w:t>
      </w:r>
      <w:r>
        <w:rPr>
          <w:rFonts w:hint="eastAsia"/>
          <w:i w:val="0"/>
          <w:iCs w:val="0"/>
        </w:rPr>
        <w:t>尤其是企业要完善环境管理制度，根据生产量及时清理污水站处理工段的废渣，避免长期堆存产生恶臭气体。</w:t>
      </w:r>
    </w:p>
    <w:p>
      <w:pPr>
        <w:pStyle w:val="354"/>
        <w:ind w:firstLine="480"/>
        <w:rPr>
          <w:rFonts w:hint="eastAsia"/>
          <w:i w:val="0"/>
          <w:iCs w:val="0"/>
        </w:rPr>
      </w:pPr>
      <w:r>
        <w:rPr>
          <w:rFonts w:hint="eastAsia"/>
          <w:i w:val="0"/>
          <w:iCs w:val="0"/>
        </w:rPr>
        <w:t>根据《危险废物管理计划和管理台账制定技术导则》（HJ1259-2022）要求：针对危险废物，企业应制定危险废物管理计划，内容包括减少危险废物产生量和降低危险废物危害性的措施以及危险废物贮存、利用、处置措施，建立危险废物管理台账，如实记录危险废物的种类、产生量、流向、贮存、利用、处置等有关信息，通过国家危险废物信息管理系统向所在地生态环境主管部门备案危险废物管理计划，申报危险废物有关资料。</w:t>
      </w:r>
    </w:p>
    <w:p>
      <w:pPr>
        <w:pStyle w:val="354"/>
        <w:ind w:firstLine="480"/>
        <w:rPr>
          <w:rFonts w:hint="eastAsia"/>
          <w:i w:val="0"/>
          <w:iCs w:val="0"/>
        </w:rPr>
      </w:pPr>
      <w:r>
        <w:rPr>
          <w:rFonts w:hint="eastAsia"/>
          <w:i w:val="0"/>
          <w:iCs w:val="0"/>
        </w:rPr>
        <w:t>根据《一般工业固体废物管理台账制定指南》（公告 2021年 第82号）要求：企业建立一般工业固体废物管理台账，如实记录工业固体废物的种类、数量、流向、贮存、利用、处置等信息。明确负责人及相关设施、场地，确定接受委托的利用处置单位，管理台账设施分级管理等。</w:t>
      </w:r>
    </w:p>
    <w:p>
      <w:pPr>
        <w:pStyle w:val="354"/>
        <w:ind w:firstLine="480"/>
        <w:rPr>
          <w:i w:val="0"/>
          <w:iCs w:val="0"/>
        </w:rPr>
      </w:pPr>
      <w:r>
        <w:rPr>
          <w:rFonts w:hint="eastAsia"/>
          <w:i w:val="0"/>
          <w:iCs w:val="0"/>
        </w:rPr>
        <w:t>8</w:t>
      </w:r>
      <w:r>
        <w:rPr>
          <w:i w:val="0"/>
          <w:iCs w:val="0"/>
        </w:rPr>
        <w:t>.1.</w:t>
      </w:r>
      <w:r>
        <w:rPr>
          <w:rFonts w:hint="eastAsia"/>
          <w:i w:val="0"/>
          <w:iCs w:val="0"/>
        </w:rPr>
        <w:t>5</w:t>
      </w:r>
      <w:r>
        <w:rPr>
          <w:i w:val="0"/>
          <w:iCs w:val="0"/>
        </w:rPr>
        <w:t>污染源排放清单</w:t>
      </w:r>
    </w:p>
    <w:bookmarkEnd w:id="299"/>
    <w:bookmarkEnd w:id="300"/>
    <w:p>
      <w:pPr>
        <w:adjustRightInd w:val="0"/>
        <w:snapToGrid w:val="0"/>
        <w:spacing w:line="360" w:lineRule="auto"/>
        <w:ind w:firstLine="480" w:firstLineChars="200"/>
        <w:rPr>
          <w:rFonts w:hint="eastAsia"/>
          <w:i w:val="0"/>
          <w:iCs w:val="0"/>
          <w:color w:val="000000"/>
        </w:rPr>
      </w:pPr>
      <w:bookmarkStart w:id="309" w:name="_Toc65637478"/>
      <w:r>
        <w:rPr>
          <w:rFonts w:hint="eastAsia"/>
          <w:i w:val="0"/>
          <w:iCs w:val="0"/>
          <w:color w:val="000000"/>
        </w:rPr>
        <w:t>（1）废气</w:t>
      </w:r>
    </w:p>
    <w:p>
      <w:pPr>
        <w:adjustRightInd w:val="0"/>
        <w:snapToGrid w:val="0"/>
        <w:spacing w:line="360" w:lineRule="auto"/>
        <w:ind w:firstLine="480" w:firstLineChars="200"/>
        <w:rPr>
          <w:rFonts w:hint="eastAsia"/>
          <w:i w:val="0"/>
          <w:iCs w:val="0"/>
          <w:color w:val="000000"/>
        </w:rPr>
      </w:pPr>
      <w:r>
        <w:rPr>
          <w:rFonts w:hint="eastAsia"/>
          <w:i w:val="0"/>
          <w:iCs w:val="0"/>
          <w:color w:val="000000"/>
        </w:rPr>
        <w:t>本项目废气排污节点、污染物及污染治理设施情况详见表8-2。</w:t>
      </w:r>
    </w:p>
    <w:p>
      <w:pPr>
        <w:adjustRightInd w:val="0"/>
        <w:snapToGrid w:val="0"/>
        <w:ind w:firstLine="482" w:firstLineChars="200"/>
        <w:jc w:val="center"/>
        <w:rPr>
          <w:rFonts w:hint="eastAsia"/>
          <w:b/>
          <w:bCs/>
          <w:i w:val="0"/>
          <w:iCs w:val="0"/>
          <w:color w:val="000000"/>
        </w:rPr>
      </w:pPr>
      <w:r>
        <w:rPr>
          <w:rFonts w:hint="eastAsia"/>
          <w:b/>
          <w:bCs/>
          <w:i w:val="0"/>
          <w:iCs w:val="0"/>
          <w:color w:val="000000"/>
        </w:rPr>
        <w:t>表 8-2</w:t>
      </w:r>
      <w:r>
        <w:rPr>
          <w:rFonts w:hint="eastAsia"/>
          <w:b/>
          <w:bCs/>
          <w:i w:val="0"/>
          <w:iCs w:val="0"/>
          <w:color w:val="000000"/>
        </w:rPr>
        <w:tab/>
      </w:r>
      <w:r>
        <w:rPr>
          <w:rFonts w:hint="eastAsia"/>
          <w:b/>
          <w:bCs/>
          <w:i w:val="0"/>
          <w:iCs w:val="0"/>
          <w:color w:val="000000"/>
        </w:rPr>
        <w:t>本项目废气排污节点、污染物及污染治理设施一览表</w:t>
      </w:r>
    </w:p>
    <w:tbl>
      <w:tblPr>
        <w:tblStyle w:val="5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778"/>
        <w:gridCol w:w="1666"/>
        <w:gridCol w:w="805"/>
        <w:gridCol w:w="869"/>
        <w:gridCol w:w="1005"/>
        <w:gridCol w:w="979"/>
        <w:gridCol w:w="780"/>
        <w:gridCol w:w="16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85" w:type="pct"/>
            <w:vMerge w:val="restart"/>
            <w:noWrap w:val="0"/>
            <w:vAlign w:val="center"/>
          </w:tcPr>
          <w:p>
            <w:pPr>
              <w:pStyle w:val="394"/>
              <w:autoSpaceDE/>
              <w:autoSpaceDN/>
              <w:snapToGrid w:val="0"/>
              <w:jc w:val="center"/>
              <w:rPr>
                <w:rFonts w:hint="eastAsia" w:cs="宋体"/>
                <w:i w:val="0"/>
                <w:iCs w:val="0"/>
                <w:color w:val="000000"/>
                <w:spacing w:val="1"/>
                <w:kern w:val="2"/>
                <w:sz w:val="21"/>
                <w:szCs w:val="21"/>
              </w:rPr>
            </w:pPr>
            <w:r>
              <w:rPr>
                <w:rFonts w:hint="eastAsia" w:cs="宋体"/>
                <w:i w:val="0"/>
                <w:iCs w:val="0"/>
                <w:color w:val="000000"/>
                <w:spacing w:val="1"/>
                <w:kern w:val="2"/>
                <w:sz w:val="21"/>
                <w:szCs w:val="21"/>
              </w:rPr>
              <w:t>生产设施</w:t>
            </w:r>
          </w:p>
        </w:tc>
        <w:tc>
          <w:tcPr>
            <w:tcW w:w="419" w:type="pct"/>
            <w:vMerge w:val="restart"/>
            <w:noWrap w:val="0"/>
            <w:vAlign w:val="center"/>
          </w:tcPr>
          <w:p>
            <w:pPr>
              <w:pStyle w:val="394"/>
              <w:autoSpaceDE/>
              <w:autoSpaceDN/>
              <w:snapToGrid w:val="0"/>
              <w:jc w:val="center"/>
              <w:rPr>
                <w:rFonts w:hint="eastAsia" w:cs="宋体"/>
                <w:i w:val="0"/>
                <w:iCs w:val="0"/>
                <w:color w:val="000000"/>
                <w:spacing w:val="1"/>
                <w:kern w:val="2"/>
                <w:sz w:val="21"/>
                <w:szCs w:val="21"/>
              </w:rPr>
            </w:pPr>
            <w:r>
              <w:rPr>
                <w:rFonts w:hint="eastAsia" w:cs="宋体"/>
                <w:i w:val="0"/>
                <w:iCs w:val="0"/>
                <w:color w:val="000000"/>
                <w:spacing w:val="1"/>
                <w:kern w:val="2"/>
                <w:sz w:val="21"/>
                <w:szCs w:val="21"/>
              </w:rPr>
              <w:t>污染物种类</w:t>
            </w:r>
          </w:p>
        </w:tc>
        <w:tc>
          <w:tcPr>
            <w:tcW w:w="897" w:type="pct"/>
            <w:vMerge w:val="restart"/>
            <w:noWrap w:val="0"/>
            <w:vAlign w:val="center"/>
          </w:tcPr>
          <w:p>
            <w:pPr>
              <w:pStyle w:val="394"/>
              <w:autoSpaceDE/>
              <w:autoSpaceDN/>
              <w:snapToGrid w:val="0"/>
              <w:jc w:val="center"/>
              <w:rPr>
                <w:rFonts w:hint="eastAsia" w:cs="宋体"/>
                <w:i w:val="0"/>
                <w:iCs w:val="0"/>
                <w:color w:val="000000"/>
                <w:spacing w:val="1"/>
                <w:kern w:val="2"/>
                <w:sz w:val="21"/>
                <w:szCs w:val="21"/>
              </w:rPr>
            </w:pPr>
            <w:r>
              <w:rPr>
                <w:rFonts w:hint="eastAsia" w:cs="宋体"/>
                <w:i w:val="0"/>
                <w:iCs w:val="0"/>
                <w:color w:val="000000"/>
                <w:spacing w:val="1"/>
                <w:kern w:val="2"/>
                <w:sz w:val="21"/>
                <w:szCs w:val="21"/>
              </w:rPr>
              <w:t>污染治理措施</w:t>
            </w:r>
          </w:p>
        </w:tc>
        <w:tc>
          <w:tcPr>
            <w:tcW w:w="901" w:type="pct"/>
            <w:gridSpan w:val="2"/>
            <w:noWrap w:val="0"/>
            <w:vAlign w:val="center"/>
          </w:tcPr>
          <w:p>
            <w:pPr>
              <w:pStyle w:val="394"/>
              <w:autoSpaceDE/>
              <w:autoSpaceDN/>
              <w:snapToGrid w:val="0"/>
              <w:jc w:val="center"/>
              <w:rPr>
                <w:rFonts w:hint="eastAsia" w:cs="宋体"/>
                <w:i w:val="0"/>
                <w:iCs w:val="0"/>
                <w:color w:val="000000"/>
                <w:spacing w:val="1"/>
                <w:kern w:val="2"/>
                <w:sz w:val="21"/>
                <w:szCs w:val="21"/>
              </w:rPr>
            </w:pPr>
            <w:r>
              <w:rPr>
                <w:rFonts w:hint="eastAsia" w:cs="宋体"/>
                <w:i w:val="0"/>
                <w:iCs w:val="0"/>
                <w:color w:val="000000"/>
                <w:spacing w:val="1"/>
                <w:kern w:val="2"/>
                <w:sz w:val="21"/>
                <w:szCs w:val="21"/>
              </w:rPr>
              <w:t>排放口类型</w:t>
            </w:r>
          </w:p>
        </w:tc>
        <w:tc>
          <w:tcPr>
            <w:tcW w:w="541" w:type="pct"/>
            <w:noWrap w:val="0"/>
            <w:vAlign w:val="center"/>
          </w:tcPr>
          <w:p>
            <w:pPr>
              <w:pStyle w:val="394"/>
              <w:autoSpaceDE/>
              <w:autoSpaceDN/>
              <w:snapToGrid w:val="0"/>
              <w:jc w:val="center"/>
              <w:rPr>
                <w:rFonts w:cs="宋体"/>
                <w:i w:val="0"/>
                <w:iCs w:val="0"/>
                <w:color w:val="000000"/>
                <w:spacing w:val="1"/>
                <w:kern w:val="2"/>
                <w:sz w:val="21"/>
                <w:szCs w:val="21"/>
              </w:rPr>
            </w:pPr>
            <w:r>
              <w:rPr>
                <w:rFonts w:cs="宋体"/>
                <w:i w:val="0"/>
                <w:iCs w:val="0"/>
                <w:color w:val="000000"/>
                <w:spacing w:val="1"/>
                <w:kern w:val="2"/>
                <w:sz w:val="21"/>
                <w:szCs w:val="21"/>
              </w:rPr>
              <w:t>排放量</w:t>
            </w:r>
          </w:p>
        </w:tc>
        <w:tc>
          <w:tcPr>
            <w:tcW w:w="527" w:type="pct"/>
            <w:noWrap w:val="0"/>
            <w:vAlign w:val="center"/>
          </w:tcPr>
          <w:p>
            <w:pPr>
              <w:pStyle w:val="394"/>
              <w:autoSpaceDE/>
              <w:autoSpaceDN/>
              <w:snapToGrid w:val="0"/>
              <w:jc w:val="center"/>
              <w:rPr>
                <w:rFonts w:cs="宋体"/>
                <w:i w:val="0"/>
                <w:iCs w:val="0"/>
                <w:color w:val="000000"/>
                <w:spacing w:val="1"/>
                <w:kern w:val="2"/>
                <w:sz w:val="21"/>
                <w:szCs w:val="21"/>
              </w:rPr>
            </w:pPr>
            <w:r>
              <w:rPr>
                <w:rFonts w:cs="宋体"/>
                <w:i w:val="0"/>
                <w:iCs w:val="0"/>
                <w:color w:val="000000"/>
                <w:spacing w:val="1"/>
                <w:kern w:val="2"/>
                <w:sz w:val="21"/>
                <w:szCs w:val="21"/>
              </w:rPr>
              <w:t>排放</w:t>
            </w:r>
          </w:p>
          <w:p>
            <w:pPr>
              <w:pStyle w:val="394"/>
              <w:autoSpaceDE/>
              <w:autoSpaceDN/>
              <w:snapToGrid w:val="0"/>
              <w:jc w:val="center"/>
              <w:rPr>
                <w:rFonts w:cs="宋体"/>
                <w:i w:val="0"/>
                <w:iCs w:val="0"/>
                <w:color w:val="000000"/>
                <w:spacing w:val="1"/>
                <w:kern w:val="2"/>
                <w:sz w:val="21"/>
                <w:szCs w:val="21"/>
              </w:rPr>
            </w:pPr>
            <w:r>
              <w:rPr>
                <w:rFonts w:cs="宋体"/>
                <w:i w:val="0"/>
                <w:iCs w:val="0"/>
                <w:color w:val="000000"/>
                <w:spacing w:val="1"/>
                <w:kern w:val="2"/>
                <w:sz w:val="21"/>
                <w:szCs w:val="21"/>
              </w:rPr>
              <w:t>速率</w:t>
            </w:r>
          </w:p>
        </w:tc>
        <w:tc>
          <w:tcPr>
            <w:tcW w:w="420" w:type="pct"/>
            <w:noWrap w:val="0"/>
            <w:vAlign w:val="center"/>
          </w:tcPr>
          <w:p>
            <w:pPr>
              <w:pStyle w:val="394"/>
              <w:autoSpaceDE/>
              <w:autoSpaceDN/>
              <w:snapToGrid w:val="0"/>
              <w:jc w:val="center"/>
              <w:rPr>
                <w:rFonts w:cs="宋体"/>
                <w:i w:val="0"/>
                <w:iCs w:val="0"/>
                <w:color w:val="000000"/>
                <w:spacing w:val="1"/>
                <w:kern w:val="2"/>
                <w:sz w:val="21"/>
                <w:szCs w:val="21"/>
              </w:rPr>
            </w:pPr>
            <w:r>
              <w:rPr>
                <w:rFonts w:cs="宋体"/>
                <w:i w:val="0"/>
                <w:iCs w:val="0"/>
                <w:color w:val="000000"/>
                <w:spacing w:val="1"/>
                <w:kern w:val="2"/>
                <w:sz w:val="21"/>
                <w:szCs w:val="21"/>
              </w:rPr>
              <w:t>排放</w:t>
            </w:r>
          </w:p>
          <w:p>
            <w:pPr>
              <w:pStyle w:val="394"/>
              <w:autoSpaceDE/>
              <w:autoSpaceDN/>
              <w:snapToGrid w:val="0"/>
              <w:jc w:val="center"/>
              <w:rPr>
                <w:rFonts w:cs="宋体"/>
                <w:i w:val="0"/>
                <w:iCs w:val="0"/>
                <w:color w:val="000000"/>
                <w:spacing w:val="1"/>
                <w:kern w:val="2"/>
                <w:sz w:val="21"/>
                <w:szCs w:val="21"/>
              </w:rPr>
            </w:pPr>
            <w:r>
              <w:rPr>
                <w:rFonts w:cs="宋体"/>
                <w:i w:val="0"/>
                <w:iCs w:val="0"/>
                <w:color w:val="000000"/>
                <w:spacing w:val="1"/>
                <w:kern w:val="2"/>
                <w:sz w:val="21"/>
                <w:szCs w:val="21"/>
              </w:rPr>
              <w:t>浓度</w:t>
            </w:r>
          </w:p>
        </w:tc>
        <w:tc>
          <w:tcPr>
            <w:tcW w:w="906" w:type="pct"/>
            <w:vMerge w:val="restart"/>
            <w:noWrap w:val="0"/>
            <w:vAlign w:val="center"/>
          </w:tcPr>
          <w:p>
            <w:pPr>
              <w:pStyle w:val="394"/>
              <w:autoSpaceDE/>
              <w:autoSpaceDN/>
              <w:snapToGrid w:val="0"/>
              <w:jc w:val="center"/>
              <w:rPr>
                <w:rFonts w:hint="eastAsia" w:cs="宋体"/>
                <w:i w:val="0"/>
                <w:iCs w:val="0"/>
                <w:color w:val="000000"/>
                <w:spacing w:val="1"/>
                <w:kern w:val="2"/>
                <w:sz w:val="21"/>
                <w:szCs w:val="21"/>
              </w:rPr>
            </w:pPr>
            <w:r>
              <w:rPr>
                <w:rFonts w:hint="eastAsia" w:cs="宋体"/>
                <w:i w:val="0"/>
                <w:iCs w:val="0"/>
                <w:color w:val="000000"/>
                <w:spacing w:val="1"/>
                <w:kern w:val="2"/>
                <w:sz w:val="21"/>
                <w:szCs w:val="21"/>
              </w:rPr>
              <w:t>执行标准</w:t>
            </w:r>
          </w:p>
          <w:p>
            <w:pPr>
              <w:pStyle w:val="394"/>
              <w:autoSpaceDE/>
              <w:autoSpaceDN/>
              <w:snapToGrid w:val="0"/>
              <w:jc w:val="center"/>
              <w:rPr>
                <w:rFonts w:cs="宋体"/>
                <w:i w:val="0"/>
                <w:iCs w:val="0"/>
                <w:color w:val="000000"/>
                <w:spacing w:val="1"/>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85" w:type="pct"/>
            <w:vMerge w:val="continue"/>
            <w:noWrap w:val="0"/>
            <w:vAlign w:val="center"/>
          </w:tcPr>
          <w:p>
            <w:pPr>
              <w:pStyle w:val="394"/>
              <w:autoSpaceDE/>
              <w:autoSpaceDN/>
              <w:snapToGrid w:val="0"/>
              <w:jc w:val="center"/>
              <w:rPr>
                <w:rFonts w:cs="宋体"/>
                <w:i w:val="0"/>
                <w:iCs w:val="0"/>
                <w:color w:val="000000"/>
                <w:spacing w:val="1"/>
                <w:kern w:val="2"/>
                <w:sz w:val="21"/>
                <w:szCs w:val="21"/>
              </w:rPr>
            </w:pPr>
          </w:p>
        </w:tc>
        <w:tc>
          <w:tcPr>
            <w:tcW w:w="419" w:type="pct"/>
            <w:vMerge w:val="continue"/>
            <w:noWrap w:val="0"/>
            <w:vAlign w:val="center"/>
          </w:tcPr>
          <w:p>
            <w:pPr>
              <w:pStyle w:val="394"/>
              <w:autoSpaceDE/>
              <w:autoSpaceDN/>
              <w:snapToGrid w:val="0"/>
              <w:jc w:val="center"/>
              <w:rPr>
                <w:rFonts w:cs="宋体"/>
                <w:i w:val="0"/>
                <w:iCs w:val="0"/>
                <w:color w:val="000000"/>
                <w:spacing w:val="1"/>
                <w:kern w:val="2"/>
                <w:sz w:val="21"/>
                <w:szCs w:val="21"/>
              </w:rPr>
            </w:pPr>
          </w:p>
        </w:tc>
        <w:tc>
          <w:tcPr>
            <w:tcW w:w="897" w:type="pct"/>
            <w:vMerge w:val="continue"/>
            <w:noWrap w:val="0"/>
            <w:vAlign w:val="center"/>
          </w:tcPr>
          <w:p>
            <w:pPr>
              <w:pStyle w:val="394"/>
              <w:autoSpaceDE/>
              <w:autoSpaceDN/>
              <w:snapToGrid w:val="0"/>
              <w:jc w:val="center"/>
              <w:rPr>
                <w:rFonts w:cs="宋体"/>
                <w:i w:val="0"/>
                <w:iCs w:val="0"/>
                <w:color w:val="000000"/>
                <w:spacing w:val="1"/>
                <w:kern w:val="2"/>
                <w:sz w:val="21"/>
                <w:szCs w:val="21"/>
              </w:rPr>
            </w:pPr>
          </w:p>
        </w:tc>
        <w:tc>
          <w:tcPr>
            <w:tcW w:w="433" w:type="pct"/>
            <w:noWrap w:val="0"/>
            <w:vAlign w:val="center"/>
          </w:tcPr>
          <w:p>
            <w:pPr>
              <w:pStyle w:val="394"/>
              <w:autoSpaceDE/>
              <w:autoSpaceDN/>
              <w:snapToGrid w:val="0"/>
              <w:jc w:val="center"/>
              <w:rPr>
                <w:rFonts w:hint="eastAsia" w:cs="宋体"/>
                <w:i w:val="0"/>
                <w:iCs w:val="0"/>
                <w:color w:val="000000"/>
                <w:spacing w:val="1"/>
                <w:kern w:val="2"/>
                <w:sz w:val="21"/>
                <w:szCs w:val="21"/>
              </w:rPr>
            </w:pPr>
            <w:r>
              <w:rPr>
                <w:rFonts w:hint="eastAsia" w:cs="宋体"/>
                <w:i w:val="0"/>
                <w:iCs w:val="0"/>
                <w:color w:val="000000"/>
                <w:spacing w:val="1"/>
                <w:kern w:val="2"/>
                <w:sz w:val="21"/>
                <w:szCs w:val="21"/>
              </w:rPr>
              <w:t>高</w:t>
            </w:r>
          </w:p>
          <w:p>
            <w:pPr>
              <w:pStyle w:val="394"/>
              <w:autoSpaceDE/>
              <w:autoSpaceDN/>
              <w:snapToGrid w:val="0"/>
              <w:jc w:val="center"/>
              <w:rPr>
                <w:rFonts w:cs="宋体"/>
                <w:i w:val="0"/>
                <w:iCs w:val="0"/>
                <w:color w:val="000000"/>
                <w:spacing w:val="1"/>
                <w:kern w:val="2"/>
                <w:sz w:val="21"/>
                <w:szCs w:val="21"/>
              </w:rPr>
            </w:pPr>
            <w:r>
              <w:rPr>
                <w:rFonts w:hint="eastAsia" w:cs="宋体"/>
                <w:i w:val="0"/>
                <w:iCs w:val="0"/>
                <w:color w:val="000000"/>
                <w:spacing w:val="1"/>
                <w:kern w:val="2"/>
                <w:sz w:val="21"/>
                <w:szCs w:val="21"/>
              </w:rPr>
              <w:t>（m）</w:t>
            </w:r>
          </w:p>
        </w:tc>
        <w:tc>
          <w:tcPr>
            <w:tcW w:w="468" w:type="pct"/>
            <w:noWrap w:val="0"/>
            <w:vAlign w:val="center"/>
          </w:tcPr>
          <w:p>
            <w:pPr>
              <w:pStyle w:val="394"/>
              <w:autoSpaceDE/>
              <w:autoSpaceDN/>
              <w:snapToGrid w:val="0"/>
              <w:jc w:val="center"/>
              <w:rPr>
                <w:rFonts w:hint="eastAsia" w:cs="宋体"/>
                <w:i w:val="0"/>
                <w:iCs w:val="0"/>
                <w:color w:val="000000"/>
                <w:spacing w:val="1"/>
                <w:kern w:val="2"/>
                <w:sz w:val="21"/>
                <w:szCs w:val="21"/>
              </w:rPr>
            </w:pPr>
            <w:r>
              <w:rPr>
                <w:rFonts w:hint="eastAsia" w:cs="宋体"/>
                <w:i w:val="0"/>
                <w:iCs w:val="0"/>
                <w:color w:val="000000"/>
                <w:spacing w:val="1"/>
                <w:kern w:val="2"/>
                <w:sz w:val="21"/>
                <w:szCs w:val="21"/>
              </w:rPr>
              <w:t>内径</w:t>
            </w:r>
          </w:p>
          <w:p>
            <w:pPr>
              <w:pStyle w:val="394"/>
              <w:autoSpaceDE/>
              <w:autoSpaceDN/>
              <w:snapToGrid w:val="0"/>
              <w:jc w:val="center"/>
              <w:rPr>
                <w:rFonts w:cs="宋体"/>
                <w:i w:val="0"/>
                <w:iCs w:val="0"/>
                <w:color w:val="000000"/>
                <w:spacing w:val="1"/>
                <w:kern w:val="2"/>
                <w:sz w:val="21"/>
                <w:szCs w:val="21"/>
              </w:rPr>
            </w:pPr>
            <w:r>
              <w:rPr>
                <w:rFonts w:hint="eastAsia" w:cs="宋体"/>
                <w:i w:val="0"/>
                <w:iCs w:val="0"/>
                <w:color w:val="000000"/>
                <w:spacing w:val="1"/>
                <w:kern w:val="2"/>
                <w:sz w:val="21"/>
                <w:szCs w:val="21"/>
              </w:rPr>
              <w:t>（m）</w:t>
            </w:r>
          </w:p>
        </w:tc>
        <w:tc>
          <w:tcPr>
            <w:tcW w:w="541" w:type="pct"/>
            <w:noWrap w:val="0"/>
            <w:vAlign w:val="center"/>
          </w:tcPr>
          <w:p>
            <w:pPr>
              <w:pStyle w:val="394"/>
              <w:autoSpaceDE/>
              <w:autoSpaceDN/>
              <w:snapToGrid w:val="0"/>
              <w:jc w:val="center"/>
              <w:rPr>
                <w:rFonts w:cs="宋体"/>
                <w:i w:val="0"/>
                <w:iCs w:val="0"/>
                <w:color w:val="000000"/>
                <w:spacing w:val="1"/>
                <w:kern w:val="2"/>
                <w:sz w:val="21"/>
                <w:szCs w:val="21"/>
              </w:rPr>
            </w:pPr>
            <w:r>
              <w:rPr>
                <w:rFonts w:hint="eastAsia" w:cs="宋体"/>
                <w:i w:val="0"/>
                <w:iCs w:val="0"/>
                <w:color w:val="000000"/>
                <w:spacing w:val="1"/>
                <w:kern w:val="2"/>
                <w:sz w:val="21"/>
                <w:szCs w:val="21"/>
              </w:rPr>
              <w:t>t</w:t>
            </w:r>
            <w:r>
              <w:rPr>
                <w:rFonts w:cs="宋体"/>
                <w:i w:val="0"/>
                <w:iCs w:val="0"/>
                <w:color w:val="000000"/>
                <w:spacing w:val="1"/>
                <w:kern w:val="2"/>
                <w:sz w:val="21"/>
                <w:szCs w:val="21"/>
              </w:rPr>
              <w:t>/a</w:t>
            </w:r>
          </w:p>
        </w:tc>
        <w:tc>
          <w:tcPr>
            <w:tcW w:w="527" w:type="pct"/>
            <w:noWrap w:val="0"/>
            <w:vAlign w:val="center"/>
          </w:tcPr>
          <w:p>
            <w:pPr>
              <w:pStyle w:val="394"/>
              <w:autoSpaceDE/>
              <w:autoSpaceDN/>
              <w:snapToGrid w:val="0"/>
              <w:jc w:val="center"/>
              <w:rPr>
                <w:rFonts w:cs="宋体"/>
                <w:i w:val="0"/>
                <w:iCs w:val="0"/>
                <w:color w:val="000000"/>
                <w:spacing w:val="1"/>
                <w:kern w:val="2"/>
                <w:sz w:val="21"/>
                <w:szCs w:val="21"/>
              </w:rPr>
            </w:pPr>
            <w:r>
              <w:rPr>
                <w:rFonts w:cs="宋体"/>
                <w:i w:val="0"/>
                <w:iCs w:val="0"/>
                <w:color w:val="000000"/>
                <w:spacing w:val="1"/>
                <w:kern w:val="2"/>
                <w:sz w:val="21"/>
                <w:szCs w:val="21"/>
              </w:rPr>
              <w:t>kg/h</w:t>
            </w:r>
          </w:p>
        </w:tc>
        <w:tc>
          <w:tcPr>
            <w:tcW w:w="420" w:type="pct"/>
            <w:noWrap w:val="0"/>
            <w:vAlign w:val="center"/>
          </w:tcPr>
          <w:p>
            <w:pPr>
              <w:pStyle w:val="394"/>
              <w:autoSpaceDE/>
              <w:autoSpaceDN/>
              <w:snapToGrid w:val="0"/>
              <w:jc w:val="center"/>
              <w:rPr>
                <w:rFonts w:cs="宋体"/>
                <w:i w:val="0"/>
                <w:iCs w:val="0"/>
                <w:color w:val="000000"/>
                <w:spacing w:val="1"/>
                <w:kern w:val="2"/>
                <w:sz w:val="21"/>
                <w:szCs w:val="21"/>
              </w:rPr>
            </w:pPr>
            <w:r>
              <w:rPr>
                <w:rFonts w:cs="宋体"/>
                <w:i w:val="0"/>
                <w:iCs w:val="0"/>
                <w:color w:val="000000"/>
                <w:spacing w:val="1"/>
                <w:kern w:val="2"/>
                <w:sz w:val="21"/>
                <w:szCs w:val="21"/>
              </w:rPr>
              <w:t>mg/m</w:t>
            </w:r>
            <w:r>
              <w:rPr>
                <w:rFonts w:cs="宋体"/>
                <w:i w:val="0"/>
                <w:iCs w:val="0"/>
                <w:color w:val="000000"/>
                <w:spacing w:val="1"/>
                <w:kern w:val="2"/>
                <w:sz w:val="21"/>
                <w:szCs w:val="21"/>
                <w:vertAlign w:val="superscript"/>
              </w:rPr>
              <w:t>3</w:t>
            </w:r>
          </w:p>
        </w:tc>
        <w:tc>
          <w:tcPr>
            <w:tcW w:w="906" w:type="pct"/>
            <w:vMerge w:val="continue"/>
            <w:noWrap w:val="0"/>
            <w:vAlign w:val="center"/>
          </w:tcPr>
          <w:p>
            <w:pPr>
              <w:pStyle w:val="394"/>
              <w:autoSpaceDE/>
              <w:autoSpaceDN/>
              <w:snapToGrid w:val="0"/>
              <w:jc w:val="center"/>
              <w:rPr>
                <w:rFonts w:cs="宋体"/>
                <w:i w:val="0"/>
                <w:iCs w:val="0"/>
                <w:color w:val="000000"/>
                <w:spacing w:val="1"/>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85" w:type="pct"/>
            <w:vMerge w:val="restart"/>
            <w:noWrap w:val="0"/>
            <w:vAlign w:val="center"/>
          </w:tcPr>
          <w:p>
            <w:pPr>
              <w:pStyle w:val="394"/>
              <w:autoSpaceDE/>
              <w:autoSpaceDN/>
              <w:snapToGrid w:val="0"/>
              <w:jc w:val="center"/>
              <w:rPr>
                <w:rFonts w:hint="eastAsia" w:cs="宋体"/>
                <w:i w:val="0"/>
                <w:iCs w:val="0"/>
                <w:color w:val="000000"/>
                <w:spacing w:val="1"/>
                <w:kern w:val="2"/>
                <w:sz w:val="21"/>
                <w:szCs w:val="21"/>
              </w:rPr>
            </w:pPr>
            <w:r>
              <w:rPr>
                <w:rFonts w:hint="eastAsia" w:cs="宋体"/>
                <w:i w:val="0"/>
                <w:iCs w:val="0"/>
                <w:color w:val="000000"/>
                <w:spacing w:val="1"/>
                <w:kern w:val="2"/>
                <w:sz w:val="21"/>
                <w:szCs w:val="21"/>
              </w:rPr>
              <w:t>污水站</w:t>
            </w:r>
          </w:p>
        </w:tc>
        <w:tc>
          <w:tcPr>
            <w:tcW w:w="419" w:type="pct"/>
            <w:noWrap w:val="0"/>
            <w:vAlign w:val="center"/>
          </w:tcPr>
          <w:p>
            <w:pPr>
              <w:pStyle w:val="394"/>
              <w:autoSpaceDE/>
              <w:autoSpaceDN/>
              <w:snapToGrid w:val="0"/>
              <w:jc w:val="center"/>
              <w:rPr>
                <w:rFonts w:cs="宋体"/>
                <w:i w:val="0"/>
                <w:iCs w:val="0"/>
                <w:color w:val="000000"/>
                <w:spacing w:val="1"/>
                <w:kern w:val="2"/>
                <w:sz w:val="21"/>
                <w:szCs w:val="21"/>
              </w:rPr>
            </w:pPr>
            <w:r>
              <w:rPr>
                <w:rFonts w:hint="eastAsia" w:cs="宋体"/>
                <w:i w:val="0"/>
                <w:iCs w:val="0"/>
                <w:color w:val="000000"/>
                <w:spacing w:val="1"/>
                <w:kern w:val="2"/>
                <w:sz w:val="21"/>
                <w:szCs w:val="21"/>
              </w:rPr>
              <w:t>氨</w:t>
            </w:r>
          </w:p>
        </w:tc>
        <w:tc>
          <w:tcPr>
            <w:tcW w:w="897" w:type="pct"/>
            <w:vMerge w:val="restart"/>
            <w:noWrap w:val="0"/>
            <w:vAlign w:val="center"/>
          </w:tcPr>
          <w:p>
            <w:pPr>
              <w:pStyle w:val="394"/>
              <w:autoSpaceDE/>
              <w:autoSpaceDN/>
              <w:snapToGrid w:val="0"/>
              <w:jc w:val="center"/>
              <w:rPr>
                <w:rFonts w:hint="eastAsia" w:cs="宋体"/>
                <w:i w:val="0"/>
                <w:iCs w:val="0"/>
                <w:color w:val="000000"/>
                <w:spacing w:val="1"/>
                <w:kern w:val="2"/>
                <w:sz w:val="21"/>
                <w:szCs w:val="21"/>
              </w:rPr>
            </w:pPr>
            <w:r>
              <w:rPr>
                <w:rFonts w:hint="eastAsia" w:cs="宋体"/>
                <w:i w:val="0"/>
                <w:iCs w:val="0"/>
                <w:color w:val="000000"/>
                <w:spacing w:val="1"/>
                <w:kern w:val="2"/>
                <w:sz w:val="21"/>
                <w:szCs w:val="21"/>
              </w:rPr>
              <w:t>化学洗涤+生物滤池+活性炭吸附</w:t>
            </w:r>
          </w:p>
        </w:tc>
        <w:tc>
          <w:tcPr>
            <w:tcW w:w="433" w:type="pct"/>
            <w:vMerge w:val="restart"/>
            <w:noWrap w:val="0"/>
            <w:vAlign w:val="center"/>
          </w:tcPr>
          <w:p>
            <w:pPr>
              <w:pStyle w:val="408"/>
              <w:adjustRightInd w:val="0"/>
              <w:snapToGrid w:val="0"/>
              <w:spacing w:line="240" w:lineRule="auto"/>
              <w:textAlignment w:val="baseline"/>
              <w:rPr>
                <w:rFonts w:cs="宋体"/>
                <w:i w:val="0"/>
                <w:iCs w:val="0"/>
                <w:color w:val="000000"/>
                <w:spacing w:val="1"/>
                <w:szCs w:val="21"/>
              </w:rPr>
            </w:pPr>
            <w:r>
              <w:rPr>
                <w:rFonts w:hint="eastAsia"/>
                <w:i w:val="0"/>
                <w:iCs w:val="0"/>
                <w:color w:val="000000"/>
                <w:szCs w:val="21"/>
              </w:rPr>
              <w:t>15</w:t>
            </w:r>
          </w:p>
        </w:tc>
        <w:tc>
          <w:tcPr>
            <w:tcW w:w="468" w:type="pct"/>
            <w:vMerge w:val="restart"/>
            <w:noWrap w:val="0"/>
            <w:vAlign w:val="center"/>
          </w:tcPr>
          <w:p>
            <w:pPr>
              <w:pStyle w:val="408"/>
              <w:adjustRightInd w:val="0"/>
              <w:snapToGrid w:val="0"/>
              <w:spacing w:line="240" w:lineRule="auto"/>
              <w:textAlignment w:val="baseline"/>
              <w:rPr>
                <w:rFonts w:cs="宋体"/>
                <w:i w:val="0"/>
                <w:iCs w:val="0"/>
                <w:color w:val="000000"/>
                <w:spacing w:val="1"/>
                <w:szCs w:val="21"/>
              </w:rPr>
            </w:pPr>
            <w:r>
              <w:rPr>
                <w:rFonts w:hint="eastAsia"/>
                <w:i w:val="0"/>
                <w:iCs w:val="0"/>
                <w:color w:val="000000"/>
                <w:szCs w:val="21"/>
              </w:rPr>
              <w:t>0.3</w:t>
            </w:r>
          </w:p>
        </w:tc>
        <w:tc>
          <w:tcPr>
            <w:tcW w:w="541" w:type="pct"/>
            <w:noWrap w:val="0"/>
            <w:vAlign w:val="center"/>
          </w:tcPr>
          <w:p>
            <w:pPr>
              <w:pStyle w:val="37"/>
              <w:spacing w:line="240" w:lineRule="auto"/>
              <w:ind w:left="-72" w:leftChars="-30" w:right="-72" w:rightChars="-30" w:firstLine="0"/>
              <w:jc w:val="center"/>
              <w:rPr>
                <w:rFonts w:cs="宋体"/>
                <w:i w:val="0"/>
                <w:iCs w:val="0"/>
                <w:color w:val="000000"/>
                <w:spacing w:val="1"/>
                <w:sz w:val="21"/>
                <w:szCs w:val="21"/>
              </w:rPr>
            </w:pPr>
            <w:r>
              <w:rPr>
                <w:rFonts w:hint="eastAsia"/>
                <w:i w:val="0"/>
                <w:iCs w:val="0"/>
                <w:sz w:val="21"/>
                <w:szCs w:val="21"/>
              </w:rPr>
              <w:t>0.015</w:t>
            </w:r>
          </w:p>
        </w:tc>
        <w:tc>
          <w:tcPr>
            <w:tcW w:w="527" w:type="pct"/>
            <w:noWrap w:val="0"/>
            <w:vAlign w:val="center"/>
          </w:tcPr>
          <w:p>
            <w:pPr>
              <w:pStyle w:val="37"/>
              <w:spacing w:line="240" w:lineRule="auto"/>
              <w:ind w:left="-72" w:leftChars="-30" w:right="-72" w:rightChars="-30" w:firstLine="0" w:firstLineChars="0"/>
              <w:jc w:val="center"/>
              <w:rPr>
                <w:rFonts w:cs="宋体"/>
                <w:i w:val="0"/>
                <w:iCs w:val="0"/>
                <w:color w:val="000000"/>
                <w:spacing w:val="1"/>
                <w:sz w:val="21"/>
                <w:szCs w:val="21"/>
              </w:rPr>
            </w:pPr>
            <w:r>
              <w:rPr>
                <w:rFonts w:hint="eastAsia"/>
                <w:i w:val="0"/>
                <w:iCs w:val="0"/>
                <w:sz w:val="21"/>
                <w:szCs w:val="21"/>
              </w:rPr>
              <w:t>0.00</w:t>
            </w:r>
            <w:r>
              <w:rPr>
                <w:rFonts w:hint="eastAsia"/>
                <w:i w:val="0"/>
                <w:iCs w:val="0"/>
                <w:sz w:val="21"/>
                <w:szCs w:val="21"/>
                <w:lang w:val="en-US" w:eastAsia="zh-CN"/>
              </w:rPr>
              <w:t>4</w:t>
            </w:r>
          </w:p>
        </w:tc>
        <w:tc>
          <w:tcPr>
            <w:tcW w:w="420" w:type="pct"/>
            <w:noWrap w:val="0"/>
            <w:vAlign w:val="center"/>
          </w:tcPr>
          <w:p>
            <w:pPr>
              <w:pStyle w:val="37"/>
              <w:spacing w:line="240" w:lineRule="auto"/>
              <w:ind w:left="-72" w:leftChars="-30" w:right="-72" w:rightChars="-30" w:firstLine="0" w:firstLineChars="0"/>
              <w:jc w:val="center"/>
              <w:rPr>
                <w:rFonts w:cs="宋体"/>
                <w:i w:val="0"/>
                <w:iCs w:val="0"/>
                <w:color w:val="000000"/>
                <w:spacing w:val="1"/>
                <w:sz w:val="21"/>
                <w:szCs w:val="21"/>
              </w:rPr>
            </w:pPr>
            <w:r>
              <w:rPr>
                <w:rFonts w:hint="eastAsia"/>
                <w:i w:val="0"/>
                <w:iCs w:val="0"/>
                <w:sz w:val="21"/>
                <w:szCs w:val="21"/>
                <w:lang w:val="en-US" w:eastAsia="zh-CN"/>
              </w:rPr>
              <w:t>2</w:t>
            </w:r>
          </w:p>
        </w:tc>
        <w:tc>
          <w:tcPr>
            <w:tcW w:w="906" w:type="pct"/>
            <w:vMerge w:val="restart"/>
            <w:noWrap w:val="0"/>
            <w:vAlign w:val="center"/>
          </w:tcPr>
          <w:p>
            <w:pPr>
              <w:pStyle w:val="394"/>
              <w:autoSpaceDE/>
              <w:autoSpaceDN/>
              <w:snapToGrid w:val="0"/>
              <w:jc w:val="center"/>
              <w:rPr>
                <w:rFonts w:cs="宋体"/>
                <w:i w:val="0"/>
                <w:iCs w:val="0"/>
                <w:color w:val="000000"/>
                <w:spacing w:val="1"/>
                <w:kern w:val="2"/>
                <w:sz w:val="21"/>
                <w:szCs w:val="21"/>
              </w:rPr>
            </w:pPr>
            <w:r>
              <w:rPr>
                <w:rFonts w:cs="宋体"/>
                <w:i w:val="0"/>
                <w:iCs w:val="0"/>
                <w:color w:val="000000"/>
                <w:spacing w:val="1"/>
                <w:kern w:val="2"/>
                <w:sz w:val="21"/>
                <w:szCs w:val="21"/>
              </w:rPr>
              <w:t>《恶臭污染物排放标准》GB14554-93中表2标准要求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85" w:type="pct"/>
            <w:vMerge w:val="continue"/>
            <w:noWrap w:val="0"/>
            <w:vAlign w:val="center"/>
          </w:tcPr>
          <w:p>
            <w:pPr>
              <w:pStyle w:val="394"/>
              <w:autoSpaceDE/>
              <w:autoSpaceDN/>
              <w:snapToGrid w:val="0"/>
              <w:jc w:val="center"/>
              <w:rPr>
                <w:rFonts w:hint="eastAsia" w:cs="宋体"/>
                <w:i w:val="0"/>
                <w:iCs w:val="0"/>
                <w:color w:val="000000"/>
                <w:spacing w:val="1"/>
                <w:kern w:val="2"/>
                <w:sz w:val="21"/>
                <w:szCs w:val="21"/>
              </w:rPr>
            </w:pPr>
          </w:p>
        </w:tc>
        <w:tc>
          <w:tcPr>
            <w:tcW w:w="419" w:type="pct"/>
            <w:noWrap w:val="0"/>
            <w:vAlign w:val="center"/>
          </w:tcPr>
          <w:p>
            <w:pPr>
              <w:pStyle w:val="394"/>
              <w:autoSpaceDE/>
              <w:autoSpaceDN/>
              <w:snapToGrid w:val="0"/>
              <w:jc w:val="center"/>
              <w:rPr>
                <w:rFonts w:hint="eastAsia" w:cs="宋体"/>
                <w:i w:val="0"/>
                <w:iCs w:val="0"/>
                <w:color w:val="000000"/>
                <w:spacing w:val="1"/>
                <w:kern w:val="2"/>
                <w:sz w:val="21"/>
                <w:szCs w:val="21"/>
              </w:rPr>
            </w:pPr>
            <w:r>
              <w:rPr>
                <w:rFonts w:hint="eastAsia" w:cs="宋体"/>
                <w:i w:val="0"/>
                <w:iCs w:val="0"/>
                <w:color w:val="000000"/>
                <w:spacing w:val="1"/>
                <w:kern w:val="2"/>
                <w:sz w:val="21"/>
                <w:szCs w:val="21"/>
              </w:rPr>
              <w:t>硫化氢</w:t>
            </w:r>
          </w:p>
        </w:tc>
        <w:tc>
          <w:tcPr>
            <w:tcW w:w="897" w:type="pct"/>
            <w:vMerge w:val="continue"/>
            <w:noWrap w:val="0"/>
            <w:vAlign w:val="center"/>
          </w:tcPr>
          <w:p>
            <w:pPr>
              <w:pStyle w:val="394"/>
              <w:autoSpaceDE/>
              <w:autoSpaceDN/>
              <w:snapToGrid w:val="0"/>
              <w:jc w:val="center"/>
              <w:rPr>
                <w:rFonts w:hint="eastAsia" w:cs="宋体"/>
                <w:i w:val="0"/>
                <w:iCs w:val="0"/>
                <w:color w:val="000000"/>
                <w:spacing w:val="1"/>
                <w:kern w:val="2"/>
                <w:sz w:val="21"/>
                <w:szCs w:val="21"/>
              </w:rPr>
            </w:pPr>
          </w:p>
        </w:tc>
        <w:tc>
          <w:tcPr>
            <w:tcW w:w="433" w:type="pct"/>
            <w:vMerge w:val="continue"/>
            <w:noWrap w:val="0"/>
            <w:vAlign w:val="center"/>
          </w:tcPr>
          <w:p>
            <w:pPr>
              <w:pStyle w:val="394"/>
              <w:autoSpaceDE/>
              <w:autoSpaceDN/>
              <w:snapToGrid w:val="0"/>
              <w:jc w:val="center"/>
              <w:rPr>
                <w:rFonts w:hint="eastAsia" w:cs="宋体"/>
                <w:i w:val="0"/>
                <w:iCs w:val="0"/>
                <w:color w:val="000000"/>
                <w:spacing w:val="1"/>
                <w:kern w:val="2"/>
                <w:sz w:val="21"/>
                <w:szCs w:val="21"/>
              </w:rPr>
            </w:pPr>
          </w:p>
        </w:tc>
        <w:tc>
          <w:tcPr>
            <w:tcW w:w="468" w:type="pct"/>
            <w:vMerge w:val="continue"/>
            <w:noWrap w:val="0"/>
            <w:vAlign w:val="center"/>
          </w:tcPr>
          <w:p>
            <w:pPr>
              <w:pStyle w:val="394"/>
              <w:autoSpaceDE/>
              <w:autoSpaceDN/>
              <w:snapToGrid w:val="0"/>
              <w:jc w:val="center"/>
              <w:rPr>
                <w:rFonts w:hint="eastAsia" w:cs="宋体"/>
                <w:i w:val="0"/>
                <w:iCs w:val="0"/>
                <w:color w:val="000000"/>
                <w:spacing w:val="1"/>
                <w:kern w:val="2"/>
                <w:sz w:val="21"/>
                <w:szCs w:val="21"/>
              </w:rPr>
            </w:pPr>
          </w:p>
        </w:tc>
        <w:tc>
          <w:tcPr>
            <w:tcW w:w="541" w:type="pct"/>
            <w:noWrap w:val="0"/>
            <w:vAlign w:val="center"/>
          </w:tcPr>
          <w:p>
            <w:pPr>
              <w:pStyle w:val="37"/>
              <w:spacing w:line="240" w:lineRule="auto"/>
              <w:ind w:left="-72" w:leftChars="-30" w:right="-72" w:rightChars="-30" w:firstLine="0"/>
              <w:jc w:val="center"/>
              <w:rPr>
                <w:rFonts w:cs="宋体"/>
                <w:i w:val="0"/>
                <w:iCs w:val="0"/>
                <w:color w:val="000000"/>
                <w:spacing w:val="1"/>
                <w:sz w:val="21"/>
                <w:szCs w:val="21"/>
              </w:rPr>
            </w:pPr>
            <w:r>
              <w:rPr>
                <w:rFonts w:hint="eastAsia"/>
                <w:i w:val="0"/>
                <w:iCs w:val="0"/>
                <w:sz w:val="21"/>
                <w:szCs w:val="21"/>
              </w:rPr>
              <w:t>0.0005</w:t>
            </w:r>
          </w:p>
        </w:tc>
        <w:tc>
          <w:tcPr>
            <w:tcW w:w="527" w:type="pct"/>
            <w:noWrap w:val="0"/>
            <w:vAlign w:val="center"/>
          </w:tcPr>
          <w:p>
            <w:pPr>
              <w:pStyle w:val="37"/>
              <w:spacing w:line="240" w:lineRule="auto"/>
              <w:ind w:left="-72" w:leftChars="-30" w:right="-72" w:rightChars="-30" w:firstLine="0" w:firstLineChars="0"/>
              <w:jc w:val="center"/>
              <w:rPr>
                <w:rFonts w:cs="宋体"/>
                <w:i w:val="0"/>
                <w:iCs w:val="0"/>
                <w:color w:val="000000"/>
                <w:spacing w:val="1"/>
                <w:sz w:val="21"/>
                <w:szCs w:val="21"/>
              </w:rPr>
            </w:pPr>
            <w:r>
              <w:rPr>
                <w:rFonts w:hint="eastAsia"/>
                <w:i w:val="0"/>
                <w:iCs w:val="0"/>
                <w:sz w:val="21"/>
                <w:szCs w:val="21"/>
              </w:rPr>
              <w:t>0.000</w:t>
            </w:r>
            <w:r>
              <w:rPr>
                <w:rFonts w:hint="eastAsia"/>
                <w:i w:val="0"/>
                <w:iCs w:val="0"/>
                <w:sz w:val="21"/>
                <w:szCs w:val="21"/>
                <w:lang w:val="en-US" w:eastAsia="zh-CN"/>
              </w:rPr>
              <w:t>18</w:t>
            </w:r>
          </w:p>
        </w:tc>
        <w:tc>
          <w:tcPr>
            <w:tcW w:w="420" w:type="pct"/>
            <w:noWrap w:val="0"/>
            <w:vAlign w:val="center"/>
          </w:tcPr>
          <w:p>
            <w:pPr>
              <w:pStyle w:val="37"/>
              <w:spacing w:line="240" w:lineRule="auto"/>
              <w:ind w:left="-72" w:leftChars="-30" w:right="-72" w:rightChars="-30" w:firstLine="0" w:firstLineChars="0"/>
              <w:jc w:val="center"/>
              <w:rPr>
                <w:rFonts w:cs="宋体"/>
                <w:i w:val="0"/>
                <w:iCs w:val="0"/>
                <w:color w:val="000000"/>
                <w:spacing w:val="1"/>
                <w:sz w:val="21"/>
                <w:szCs w:val="21"/>
              </w:rPr>
            </w:pPr>
            <w:r>
              <w:rPr>
                <w:rFonts w:hint="eastAsia"/>
                <w:i w:val="0"/>
                <w:iCs w:val="0"/>
                <w:sz w:val="21"/>
                <w:szCs w:val="21"/>
              </w:rPr>
              <w:t>0.0</w:t>
            </w:r>
            <w:r>
              <w:rPr>
                <w:rFonts w:hint="eastAsia"/>
                <w:i w:val="0"/>
                <w:iCs w:val="0"/>
                <w:sz w:val="21"/>
                <w:szCs w:val="21"/>
                <w:lang w:val="en-US" w:eastAsia="zh-CN"/>
              </w:rPr>
              <w:t>9</w:t>
            </w:r>
          </w:p>
        </w:tc>
        <w:tc>
          <w:tcPr>
            <w:tcW w:w="906" w:type="pct"/>
            <w:vMerge w:val="continue"/>
            <w:noWrap w:val="0"/>
            <w:vAlign w:val="center"/>
          </w:tcPr>
          <w:p>
            <w:pPr>
              <w:pStyle w:val="394"/>
              <w:autoSpaceDE/>
              <w:autoSpaceDN/>
              <w:snapToGrid w:val="0"/>
              <w:jc w:val="center"/>
              <w:rPr>
                <w:rFonts w:hint="eastAsia" w:cs="宋体"/>
                <w:i w:val="0"/>
                <w:iCs w:val="0"/>
                <w:color w:val="000000"/>
                <w:spacing w:val="1"/>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385" w:type="pct"/>
            <w:vMerge w:val="restart"/>
            <w:noWrap w:val="0"/>
            <w:vAlign w:val="center"/>
          </w:tcPr>
          <w:p>
            <w:pPr>
              <w:pStyle w:val="394"/>
              <w:autoSpaceDE/>
              <w:autoSpaceDN/>
              <w:snapToGrid w:val="0"/>
              <w:jc w:val="center"/>
              <w:rPr>
                <w:rFonts w:hint="eastAsia" w:cs="宋体"/>
                <w:i w:val="0"/>
                <w:iCs w:val="0"/>
                <w:color w:val="000000"/>
                <w:spacing w:val="1"/>
                <w:kern w:val="2"/>
                <w:sz w:val="21"/>
                <w:szCs w:val="21"/>
              </w:rPr>
            </w:pPr>
            <w:r>
              <w:rPr>
                <w:rFonts w:hint="eastAsia" w:cs="宋体"/>
                <w:i w:val="0"/>
                <w:iCs w:val="0"/>
                <w:color w:val="000000"/>
                <w:spacing w:val="1"/>
                <w:kern w:val="2"/>
                <w:sz w:val="21"/>
                <w:szCs w:val="21"/>
              </w:rPr>
              <w:t>发酵废气</w:t>
            </w:r>
          </w:p>
        </w:tc>
        <w:tc>
          <w:tcPr>
            <w:tcW w:w="419" w:type="pct"/>
            <w:noWrap w:val="0"/>
            <w:vAlign w:val="center"/>
          </w:tcPr>
          <w:p>
            <w:pPr>
              <w:pStyle w:val="394"/>
              <w:autoSpaceDE/>
              <w:autoSpaceDN/>
              <w:snapToGrid w:val="0"/>
              <w:jc w:val="center"/>
              <w:rPr>
                <w:rFonts w:cs="宋体"/>
                <w:i w:val="0"/>
                <w:iCs w:val="0"/>
                <w:color w:val="000000"/>
                <w:spacing w:val="1"/>
                <w:kern w:val="2"/>
                <w:sz w:val="21"/>
                <w:szCs w:val="21"/>
              </w:rPr>
            </w:pPr>
            <w:r>
              <w:rPr>
                <w:rFonts w:hint="eastAsia" w:cs="宋体"/>
                <w:i w:val="0"/>
                <w:iCs w:val="0"/>
                <w:color w:val="000000"/>
                <w:spacing w:val="1"/>
                <w:kern w:val="2"/>
                <w:sz w:val="21"/>
                <w:szCs w:val="21"/>
              </w:rPr>
              <w:t>氨</w:t>
            </w:r>
          </w:p>
        </w:tc>
        <w:tc>
          <w:tcPr>
            <w:tcW w:w="897" w:type="pct"/>
            <w:noWrap w:val="0"/>
            <w:vAlign w:val="center"/>
          </w:tcPr>
          <w:p>
            <w:pPr>
              <w:pStyle w:val="394"/>
              <w:autoSpaceDE/>
              <w:autoSpaceDN/>
              <w:snapToGrid w:val="0"/>
              <w:jc w:val="center"/>
              <w:rPr>
                <w:rFonts w:hint="eastAsia" w:cs="宋体"/>
                <w:i w:val="0"/>
                <w:iCs w:val="0"/>
                <w:color w:val="000000"/>
                <w:spacing w:val="1"/>
                <w:kern w:val="2"/>
                <w:sz w:val="21"/>
                <w:szCs w:val="21"/>
              </w:rPr>
            </w:pPr>
            <w:r>
              <w:rPr>
                <w:rFonts w:hint="eastAsia" w:cs="宋体"/>
                <w:i w:val="0"/>
                <w:iCs w:val="0"/>
                <w:color w:val="000000"/>
                <w:spacing w:val="1"/>
                <w:kern w:val="2"/>
                <w:sz w:val="21"/>
                <w:szCs w:val="21"/>
              </w:rPr>
              <w:t>水喷淋</w:t>
            </w:r>
          </w:p>
        </w:tc>
        <w:tc>
          <w:tcPr>
            <w:tcW w:w="433" w:type="pct"/>
            <w:vMerge w:val="restart"/>
            <w:noWrap w:val="0"/>
            <w:vAlign w:val="center"/>
          </w:tcPr>
          <w:p>
            <w:pPr>
              <w:pStyle w:val="408"/>
              <w:adjustRightInd w:val="0"/>
              <w:snapToGrid w:val="0"/>
              <w:spacing w:line="240" w:lineRule="auto"/>
              <w:textAlignment w:val="baseline"/>
              <w:rPr>
                <w:rFonts w:hint="eastAsia" w:eastAsia="宋体" w:cs="宋体"/>
                <w:i w:val="0"/>
                <w:iCs w:val="0"/>
                <w:color w:val="000000"/>
                <w:spacing w:val="1"/>
                <w:szCs w:val="21"/>
                <w:lang w:eastAsia="zh-CN"/>
              </w:rPr>
            </w:pPr>
            <w:r>
              <w:rPr>
                <w:rFonts w:hint="eastAsia"/>
                <w:i w:val="0"/>
                <w:iCs w:val="0"/>
                <w:color w:val="000000"/>
                <w:szCs w:val="21"/>
                <w:lang w:eastAsia="zh-CN"/>
              </w:rPr>
              <w:t>24</w:t>
            </w:r>
          </w:p>
        </w:tc>
        <w:tc>
          <w:tcPr>
            <w:tcW w:w="468" w:type="pct"/>
            <w:vMerge w:val="restart"/>
            <w:noWrap w:val="0"/>
            <w:vAlign w:val="center"/>
          </w:tcPr>
          <w:p>
            <w:pPr>
              <w:pStyle w:val="408"/>
              <w:adjustRightInd w:val="0"/>
              <w:snapToGrid w:val="0"/>
              <w:spacing w:line="240" w:lineRule="auto"/>
              <w:textAlignment w:val="baseline"/>
              <w:rPr>
                <w:rFonts w:cs="宋体"/>
                <w:i w:val="0"/>
                <w:iCs w:val="0"/>
                <w:color w:val="000000"/>
                <w:spacing w:val="1"/>
                <w:szCs w:val="21"/>
              </w:rPr>
            </w:pPr>
            <w:r>
              <w:rPr>
                <w:rFonts w:hint="eastAsia"/>
                <w:i w:val="0"/>
                <w:iCs w:val="0"/>
                <w:color w:val="000000"/>
                <w:szCs w:val="21"/>
              </w:rPr>
              <w:t>0.5</w:t>
            </w:r>
          </w:p>
        </w:tc>
        <w:tc>
          <w:tcPr>
            <w:tcW w:w="541" w:type="pct"/>
            <w:noWrap w:val="0"/>
            <w:vAlign w:val="center"/>
          </w:tcPr>
          <w:p>
            <w:pPr>
              <w:pStyle w:val="37"/>
              <w:spacing w:line="240" w:lineRule="auto"/>
              <w:ind w:left="-72" w:leftChars="-30" w:right="-72" w:rightChars="-30" w:firstLine="0"/>
              <w:jc w:val="center"/>
              <w:rPr>
                <w:rFonts w:cs="宋体"/>
                <w:i w:val="0"/>
                <w:iCs w:val="0"/>
                <w:color w:val="000000"/>
                <w:spacing w:val="1"/>
                <w:sz w:val="21"/>
                <w:szCs w:val="21"/>
              </w:rPr>
            </w:pPr>
            <w:r>
              <w:rPr>
                <w:rFonts w:hint="eastAsia"/>
                <w:i w:val="0"/>
                <w:iCs w:val="0"/>
                <w:sz w:val="21"/>
                <w:szCs w:val="21"/>
              </w:rPr>
              <w:t>0.173</w:t>
            </w:r>
          </w:p>
        </w:tc>
        <w:tc>
          <w:tcPr>
            <w:tcW w:w="527" w:type="pct"/>
            <w:noWrap w:val="0"/>
            <w:vAlign w:val="center"/>
          </w:tcPr>
          <w:p>
            <w:pPr>
              <w:pStyle w:val="37"/>
              <w:spacing w:line="240" w:lineRule="auto"/>
              <w:ind w:left="-72" w:leftChars="-30" w:right="-72" w:rightChars="-30" w:firstLine="0" w:firstLineChars="0"/>
              <w:jc w:val="center"/>
              <w:rPr>
                <w:rFonts w:hint="eastAsia" w:cs="宋体"/>
                <w:i w:val="0"/>
                <w:iCs w:val="0"/>
                <w:color w:val="000000"/>
                <w:spacing w:val="1"/>
                <w:sz w:val="21"/>
                <w:szCs w:val="21"/>
              </w:rPr>
            </w:pPr>
            <w:r>
              <w:rPr>
                <w:rFonts w:hint="eastAsia"/>
                <w:i w:val="0"/>
                <w:iCs w:val="0"/>
                <w:sz w:val="21"/>
                <w:szCs w:val="21"/>
                <w:lang w:val="en-US" w:eastAsia="zh-CN"/>
              </w:rPr>
              <w:t>0.022</w:t>
            </w:r>
          </w:p>
        </w:tc>
        <w:tc>
          <w:tcPr>
            <w:tcW w:w="420" w:type="pct"/>
            <w:noWrap w:val="0"/>
            <w:vAlign w:val="center"/>
          </w:tcPr>
          <w:p>
            <w:pPr>
              <w:pStyle w:val="37"/>
              <w:spacing w:line="240" w:lineRule="auto"/>
              <w:ind w:left="-72" w:leftChars="-30" w:right="-72" w:rightChars="-30" w:firstLine="0" w:firstLineChars="0"/>
              <w:jc w:val="center"/>
              <w:rPr>
                <w:rFonts w:cs="宋体"/>
                <w:i w:val="0"/>
                <w:iCs w:val="0"/>
                <w:color w:val="000000"/>
                <w:spacing w:val="1"/>
                <w:sz w:val="21"/>
                <w:szCs w:val="21"/>
              </w:rPr>
            </w:pPr>
            <w:r>
              <w:rPr>
                <w:rFonts w:hint="eastAsia"/>
                <w:i w:val="0"/>
                <w:iCs w:val="0"/>
                <w:sz w:val="21"/>
                <w:szCs w:val="21"/>
                <w:lang w:val="en-US" w:eastAsia="zh-CN"/>
              </w:rPr>
              <w:t>3.67</w:t>
            </w:r>
          </w:p>
        </w:tc>
        <w:tc>
          <w:tcPr>
            <w:tcW w:w="906" w:type="pct"/>
            <w:noWrap w:val="0"/>
            <w:vAlign w:val="center"/>
          </w:tcPr>
          <w:p>
            <w:pPr>
              <w:pStyle w:val="394"/>
              <w:autoSpaceDE/>
              <w:autoSpaceDN/>
              <w:snapToGrid w:val="0"/>
              <w:jc w:val="center"/>
              <w:rPr>
                <w:rFonts w:cs="宋体"/>
                <w:i w:val="0"/>
                <w:iCs w:val="0"/>
                <w:color w:val="000000"/>
                <w:spacing w:val="1"/>
                <w:kern w:val="2"/>
                <w:sz w:val="21"/>
                <w:szCs w:val="21"/>
              </w:rPr>
            </w:pPr>
            <w:r>
              <w:rPr>
                <w:rFonts w:cs="宋体"/>
                <w:i w:val="0"/>
                <w:iCs w:val="0"/>
                <w:color w:val="000000"/>
                <w:spacing w:val="1"/>
                <w:kern w:val="2"/>
                <w:sz w:val="21"/>
                <w:szCs w:val="21"/>
              </w:rPr>
              <w:t>《恶臭污染物排放标准》GB14554-93中表2标准要求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85" w:type="pct"/>
            <w:vMerge w:val="continue"/>
            <w:noWrap w:val="0"/>
            <w:vAlign w:val="center"/>
          </w:tcPr>
          <w:p>
            <w:pPr>
              <w:pStyle w:val="394"/>
              <w:autoSpaceDE/>
              <w:autoSpaceDN/>
              <w:snapToGrid w:val="0"/>
              <w:jc w:val="center"/>
              <w:rPr>
                <w:rFonts w:hint="eastAsia" w:cs="宋体"/>
                <w:i w:val="0"/>
                <w:iCs w:val="0"/>
                <w:color w:val="000000"/>
                <w:spacing w:val="1"/>
                <w:kern w:val="2"/>
                <w:sz w:val="21"/>
                <w:szCs w:val="21"/>
              </w:rPr>
            </w:pPr>
          </w:p>
        </w:tc>
        <w:tc>
          <w:tcPr>
            <w:tcW w:w="419" w:type="pct"/>
            <w:noWrap w:val="0"/>
            <w:vAlign w:val="center"/>
          </w:tcPr>
          <w:p>
            <w:pPr>
              <w:pStyle w:val="394"/>
              <w:autoSpaceDE/>
              <w:autoSpaceDN/>
              <w:snapToGrid w:val="0"/>
              <w:jc w:val="center"/>
              <w:rPr>
                <w:rFonts w:cs="宋体"/>
                <w:i w:val="0"/>
                <w:iCs w:val="0"/>
                <w:color w:val="000000"/>
                <w:spacing w:val="1"/>
                <w:kern w:val="2"/>
                <w:sz w:val="21"/>
                <w:szCs w:val="21"/>
              </w:rPr>
            </w:pPr>
            <w:r>
              <w:rPr>
                <w:rFonts w:hint="eastAsia" w:cs="宋体"/>
                <w:i w:val="0"/>
                <w:iCs w:val="0"/>
                <w:color w:val="000000"/>
                <w:spacing w:val="1"/>
                <w:kern w:val="2"/>
                <w:sz w:val="21"/>
                <w:szCs w:val="21"/>
              </w:rPr>
              <w:t>非甲烷总烃</w:t>
            </w:r>
          </w:p>
        </w:tc>
        <w:tc>
          <w:tcPr>
            <w:tcW w:w="897" w:type="pct"/>
            <w:noWrap w:val="0"/>
            <w:vAlign w:val="center"/>
          </w:tcPr>
          <w:p>
            <w:pPr>
              <w:pStyle w:val="394"/>
              <w:autoSpaceDE/>
              <w:autoSpaceDN/>
              <w:snapToGrid w:val="0"/>
              <w:jc w:val="center"/>
              <w:rPr>
                <w:rFonts w:cs="宋体"/>
                <w:i w:val="0"/>
                <w:iCs w:val="0"/>
                <w:color w:val="000000"/>
                <w:spacing w:val="1"/>
                <w:kern w:val="2"/>
                <w:sz w:val="21"/>
                <w:szCs w:val="21"/>
              </w:rPr>
            </w:pPr>
            <w:r>
              <w:rPr>
                <w:rFonts w:hint="eastAsia" w:cs="宋体"/>
                <w:i w:val="0"/>
                <w:iCs w:val="0"/>
                <w:color w:val="000000"/>
                <w:spacing w:val="1"/>
                <w:kern w:val="2"/>
                <w:sz w:val="21"/>
                <w:szCs w:val="21"/>
              </w:rPr>
              <w:t>水喷淋</w:t>
            </w:r>
          </w:p>
        </w:tc>
        <w:tc>
          <w:tcPr>
            <w:tcW w:w="433" w:type="pct"/>
            <w:vMerge w:val="continue"/>
            <w:noWrap w:val="0"/>
            <w:vAlign w:val="center"/>
          </w:tcPr>
          <w:p>
            <w:pPr>
              <w:pStyle w:val="394"/>
              <w:autoSpaceDE/>
              <w:autoSpaceDN/>
              <w:snapToGrid w:val="0"/>
              <w:jc w:val="center"/>
              <w:rPr>
                <w:rFonts w:hint="eastAsia" w:cs="宋体"/>
                <w:i w:val="0"/>
                <w:iCs w:val="0"/>
                <w:color w:val="000000"/>
                <w:spacing w:val="1"/>
                <w:kern w:val="2"/>
                <w:sz w:val="21"/>
                <w:szCs w:val="21"/>
              </w:rPr>
            </w:pPr>
          </w:p>
        </w:tc>
        <w:tc>
          <w:tcPr>
            <w:tcW w:w="468" w:type="pct"/>
            <w:vMerge w:val="continue"/>
            <w:noWrap w:val="0"/>
            <w:vAlign w:val="center"/>
          </w:tcPr>
          <w:p>
            <w:pPr>
              <w:pStyle w:val="394"/>
              <w:autoSpaceDE/>
              <w:autoSpaceDN/>
              <w:snapToGrid w:val="0"/>
              <w:jc w:val="center"/>
              <w:rPr>
                <w:rFonts w:hint="eastAsia" w:cs="宋体"/>
                <w:i w:val="0"/>
                <w:iCs w:val="0"/>
                <w:color w:val="000000"/>
                <w:spacing w:val="1"/>
                <w:kern w:val="2"/>
                <w:sz w:val="21"/>
                <w:szCs w:val="21"/>
              </w:rPr>
            </w:pPr>
          </w:p>
        </w:tc>
        <w:tc>
          <w:tcPr>
            <w:tcW w:w="541" w:type="pct"/>
            <w:noWrap w:val="0"/>
            <w:vAlign w:val="center"/>
          </w:tcPr>
          <w:p>
            <w:pPr>
              <w:pStyle w:val="37"/>
              <w:spacing w:line="240" w:lineRule="auto"/>
              <w:ind w:left="-72" w:leftChars="-30" w:right="-72" w:rightChars="-30" w:firstLine="0"/>
              <w:jc w:val="center"/>
              <w:rPr>
                <w:rFonts w:cs="宋体"/>
                <w:i w:val="0"/>
                <w:iCs w:val="0"/>
                <w:color w:val="000000"/>
                <w:spacing w:val="1"/>
                <w:sz w:val="21"/>
                <w:szCs w:val="21"/>
              </w:rPr>
            </w:pPr>
            <w:r>
              <w:rPr>
                <w:rFonts w:hint="eastAsia"/>
                <w:i w:val="0"/>
                <w:iCs w:val="0"/>
                <w:sz w:val="21"/>
                <w:szCs w:val="21"/>
              </w:rPr>
              <w:t>3.42</w:t>
            </w:r>
          </w:p>
        </w:tc>
        <w:tc>
          <w:tcPr>
            <w:tcW w:w="527" w:type="pct"/>
            <w:noWrap w:val="0"/>
            <w:vAlign w:val="center"/>
          </w:tcPr>
          <w:p>
            <w:pPr>
              <w:pStyle w:val="37"/>
              <w:spacing w:line="240" w:lineRule="auto"/>
              <w:ind w:left="-72" w:leftChars="-30" w:right="-72" w:rightChars="-30" w:firstLine="0" w:firstLineChars="0"/>
              <w:jc w:val="center"/>
              <w:rPr>
                <w:rFonts w:hint="eastAsia" w:cs="宋体"/>
                <w:i w:val="0"/>
                <w:iCs w:val="0"/>
                <w:color w:val="000000"/>
                <w:spacing w:val="1"/>
                <w:sz w:val="21"/>
                <w:szCs w:val="21"/>
              </w:rPr>
            </w:pPr>
            <w:r>
              <w:rPr>
                <w:rFonts w:hint="eastAsia"/>
                <w:i w:val="0"/>
                <w:iCs w:val="0"/>
                <w:sz w:val="21"/>
                <w:szCs w:val="21"/>
                <w:lang w:val="en-US" w:eastAsia="zh-CN"/>
              </w:rPr>
              <w:t>0.028</w:t>
            </w:r>
          </w:p>
        </w:tc>
        <w:tc>
          <w:tcPr>
            <w:tcW w:w="420" w:type="pct"/>
            <w:noWrap w:val="0"/>
            <w:vAlign w:val="center"/>
          </w:tcPr>
          <w:p>
            <w:pPr>
              <w:pStyle w:val="37"/>
              <w:spacing w:line="240" w:lineRule="auto"/>
              <w:ind w:left="-72" w:leftChars="-30" w:right="-72" w:rightChars="-30" w:firstLine="0" w:firstLineChars="0"/>
              <w:jc w:val="center"/>
              <w:rPr>
                <w:rFonts w:cs="宋体"/>
                <w:i w:val="0"/>
                <w:iCs w:val="0"/>
                <w:color w:val="000000"/>
                <w:spacing w:val="1"/>
                <w:sz w:val="21"/>
                <w:szCs w:val="21"/>
              </w:rPr>
            </w:pPr>
            <w:r>
              <w:rPr>
                <w:rFonts w:hint="eastAsia"/>
                <w:i w:val="0"/>
                <w:iCs w:val="0"/>
                <w:sz w:val="21"/>
                <w:szCs w:val="21"/>
                <w:lang w:val="en-US" w:eastAsia="zh-CN"/>
              </w:rPr>
              <w:t>4.67</w:t>
            </w:r>
          </w:p>
        </w:tc>
        <w:tc>
          <w:tcPr>
            <w:tcW w:w="906" w:type="pct"/>
            <w:noWrap w:val="0"/>
            <w:vAlign w:val="center"/>
          </w:tcPr>
          <w:p>
            <w:pPr>
              <w:pStyle w:val="394"/>
              <w:autoSpaceDE/>
              <w:autoSpaceDN/>
              <w:snapToGrid w:val="0"/>
              <w:jc w:val="center"/>
              <w:rPr>
                <w:rFonts w:hint="eastAsia" w:cs="宋体"/>
                <w:i w:val="0"/>
                <w:iCs w:val="0"/>
                <w:color w:val="000000"/>
                <w:spacing w:val="1"/>
                <w:kern w:val="2"/>
                <w:sz w:val="21"/>
                <w:szCs w:val="21"/>
              </w:rPr>
            </w:pPr>
            <w:r>
              <w:rPr>
                <w:rFonts w:hint="eastAsia" w:cs="宋体"/>
                <w:i w:val="0"/>
                <w:iCs w:val="0"/>
                <w:color w:val="000000"/>
                <w:spacing w:val="1"/>
                <w:kern w:val="2"/>
                <w:sz w:val="21"/>
                <w:szCs w:val="21"/>
              </w:rPr>
              <w:t>《大气污染物综合排放标准》(GB16927-1996) 表2二级标准要求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385" w:type="pct"/>
            <w:vMerge w:val="restart"/>
            <w:noWrap w:val="0"/>
            <w:vAlign w:val="center"/>
          </w:tcPr>
          <w:p>
            <w:pPr>
              <w:pStyle w:val="37"/>
              <w:spacing w:line="240" w:lineRule="auto"/>
              <w:ind w:left="-72" w:leftChars="-30" w:right="-72" w:rightChars="-30" w:firstLine="0" w:firstLineChars="0"/>
              <w:jc w:val="center"/>
              <w:rPr>
                <w:rFonts w:hint="eastAsia" w:cs="宋体"/>
                <w:i w:val="0"/>
                <w:iCs w:val="0"/>
                <w:color w:val="000000"/>
                <w:spacing w:val="1"/>
                <w:kern w:val="2"/>
                <w:sz w:val="21"/>
                <w:szCs w:val="21"/>
              </w:rPr>
            </w:pPr>
            <w:r>
              <w:rPr>
                <w:rFonts w:hint="eastAsia"/>
                <w:i w:val="0"/>
                <w:iCs w:val="0"/>
                <w:sz w:val="21"/>
                <w:szCs w:val="21"/>
                <w:lang w:val="en-US" w:eastAsia="zh-CN"/>
              </w:rPr>
              <w:t>热风炉1烟气及</w:t>
            </w:r>
            <w:r>
              <w:rPr>
                <w:rFonts w:hint="eastAsia"/>
                <w:i w:val="0"/>
                <w:iCs w:val="0"/>
                <w:sz w:val="21"/>
                <w:szCs w:val="21"/>
              </w:rPr>
              <w:t>喷雾干燥塔</w:t>
            </w:r>
            <w:r>
              <w:rPr>
                <w:rFonts w:hint="eastAsia"/>
                <w:i w:val="0"/>
                <w:iCs w:val="0"/>
                <w:sz w:val="21"/>
                <w:szCs w:val="21"/>
                <w:lang w:val="en-US" w:eastAsia="zh-CN"/>
              </w:rPr>
              <w:t>1</w:t>
            </w:r>
            <w:r>
              <w:rPr>
                <w:rFonts w:hint="eastAsia"/>
                <w:i w:val="0"/>
                <w:iCs w:val="0"/>
                <w:sz w:val="21"/>
                <w:szCs w:val="21"/>
              </w:rPr>
              <w:t>喷雾干燥废气</w:t>
            </w:r>
          </w:p>
        </w:tc>
        <w:tc>
          <w:tcPr>
            <w:tcW w:w="419" w:type="pct"/>
            <w:noWrap w:val="0"/>
            <w:vAlign w:val="center"/>
          </w:tcPr>
          <w:p>
            <w:pPr>
              <w:pStyle w:val="37"/>
              <w:spacing w:line="240" w:lineRule="auto"/>
              <w:ind w:left="-72" w:leftChars="-30" w:right="-72" w:rightChars="-30" w:firstLine="0" w:firstLineChars="0"/>
              <w:jc w:val="center"/>
              <w:rPr>
                <w:rFonts w:hint="eastAsia" w:cs="宋体"/>
                <w:i w:val="0"/>
                <w:iCs w:val="0"/>
                <w:color w:val="000000"/>
                <w:spacing w:val="1"/>
                <w:kern w:val="2"/>
                <w:sz w:val="21"/>
                <w:szCs w:val="21"/>
              </w:rPr>
            </w:pPr>
            <w:r>
              <w:rPr>
                <w:rFonts w:hint="eastAsia"/>
                <w:i w:val="0"/>
                <w:iCs w:val="0"/>
                <w:sz w:val="21"/>
                <w:szCs w:val="21"/>
              </w:rPr>
              <w:t>颗粒物</w:t>
            </w:r>
          </w:p>
        </w:tc>
        <w:tc>
          <w:tcPr>
            <w:tcW w:w="897" w:type="pct"/>
            <w:noWrap w:val="0"/>
            <w:vAlign w:val="center"/>
          </w:tcPr>
          <w:p>
            <w:pPr>
              <w:pStyle w:val="394"/>
              <w:autoSpaceDE/>
              <w:autoSpaceDN/>
              <w:snapToGrid w:val="0"/>
              <w:jc w:val="center"/>
              <w:rPr>
                <w:rFonts w:hint="eastAsia" w:cs="宋体"/>
                <w:i w:val="0"/>
                <w:iCs w:val="0"/>
                <w:color w:val="000000"/>
                <w:spacing w:val="1"/>
                <w:kern w:val="2"/>
                <w:sz w:val="21"/>
                <w:szCs w:val="21"/>
              </w:rPr>
            </w:pPr>
            <w:r>
              <w:rPr>
                <w:rFonts w:hint="eastAsia" w:cs="宋体"/>
                <w:i w:val="0"/>
                <w:iCs w:val="0"/>
                <w:color w:val="000000"/>
                <w:spacing w:val="1"/>
                <w:kern w:val="2"/>
                <w:sz w:val="21"/>
                <w:szCs w:val="21"/>
              </w:rPr>
              <w:t>布袋除尘器</w:t>
            </w:r>
          </w:p>
        </w:tc>
        <w:tc>
          <w:tcPr>
            <w:tcW w:w="433" w:type="pct"/>
            <w:vMerge w:val="restart"/>
            <w:noWrap w:val="0"/>
            <w:vAlign w:val="center"/>
          </w:tcPr>
          <w:p>
            <w:pPr>
              <w:pStyle w:val="408"/>
              <w:adjustRightInd w:val="0"/>
              <w:snapToGrid w:val="0"/>
              <w:spacing w:line="240" w:lineRule="auto"/>
              <w:textAlignment w:val="baseline"/>
              <w:rPr>
                <w:rFonts w:hint="eastAsia" w:eastAsia="宋体" w:cs="宋体"/>
                <w:i w:val="0"/>
                <w:iCs w:val="0"/>
                <w:color w:val="000000"/>
                <w:spacing w:val="1"/>
                <w:szCs w:val="21"/>
                <w:lang w:eastAsia="zh-CN"/>
              </w:rPr>
            </w:pPr>
            <w:r>
              <w:rPr>
                <w:rFonts w:hint="eastAsia"/>
                <w:i w:val="0"/>
                <w:iCs w:val="0"/>
                <w:color w:val="000000"/>
                <w:szCs w:val="21"/>
                <w:lang w:eastAsia="zh-CN"/>
              </w:rPr>
              <w:t>24</w:t>
            </w:r>
          </w:p>
        </w:tc>
        <w:tc>
          <w:tcPr>
            <w:tcW w:w="468" w:type="pct"/>
            <w:vMerge w:val="restart"/>
            <w:noWrap w:val="0"/>
            <w:vAlign w:val="center"/>
          </w:tcPr>
          <w:p>
            <w:pPr>
              <w:pStyle w:val="408"/>
              <w:adjustRightInd w:val="0"/>
              <w:snapToGrid w:val="0"/>
              <w:spacing w:line="240" w:lineRule="auto"/>
              <w:textAlignment w:val="baseline"/>
              <w:rPr>
                <w:rFonts w:hint="eastAsia" w:eastAsia="宋体" w:cs="宋体"/>
                <w:i w:val="0"/>
                <w:iCs w:val="0"/>
                <w:color w:val="000000"/>
                <w:spacing w:val="1"/>
                <w:szCs w:val="21"/>
                <w:lang w:eastAsia="zh-CN"/>
              </w:rPr>
            </w:pPr>
            <w:r>
              <w:rPr>
                <w:rFonts w:hint="eastAsia"/>
                <w:i w:val="0"/>
                <w:iCs w:val="0"/>
                <w:color w:val="000000"/>
                <w:szCs w:val="21"/>
              </w:rPr>
              <w:t>0.</w:t>
            </w:r>
            <w:r>
              <w:rPr>
                <w:rFonts w:hint="eastAsia"/>
                <w:i w:val="0"/>
                <w:iCs w:val="0"/>
                <w:color w:val="000000"/>
                <w:szCs w:val="21"/>
                <w:lang w:val="en-US" w:eastAsia="zh-CN"/>
              </w:rPr>
              <w:t>8</w:t>
            </w:r>
          </w:p>
        </w:tc>
        <w:tc>
          <w:tcPr>
            <w:tcW w:w="541" w:type="pct"/>
            <w:noWrap w:val="0"/>
            <w:vAlign w:val="center"/>
          </w:tcPr>
          <w:p>
            <w:pPr>
              <w:pStyle w:val="37"/>
              <w:spacing w:line="240" w:lineRule="auto"/>
              <w:ind w:left="-72" w:leftChars="-30" w:right="-72" w:rightChars="-30" w:firstLine="0"/>
              <w:jc w:val="both"/>
              <w:rPr>
                <w:rFonts w:hint="default" w:eastAsia="宋体" w:cs="宋体"/>
                <w:i w:val="0"/>
                <w:iCs w:val="0"/>
                <w:color w:val="000000"/>
                <w:spacing w:val="1"/>
                <w:sz w:val="21"/>
                <w:szCs w:val="21"/>
                <w:lang w:val="en-US" w:eastAsia="zh-CN"/>
              </w:rPr>
            </w:pPr>
            <w:r>
              <w:rPr>
                <w:rFonts w:hint="eastAsia" w:cs="宋体"/>
                <w:i w:val="0"/>
                <w:iCs w:val="0"/>
                <w:color w:val="000000"/>
                <w:spacing w:val="1"/>
                <w:sz w:val="21"/>
                <w:szCs w:val="21"/>
                <w:lang w:val="en-US" w:eastAsia="zh-CN"/>
              </w:rPr>
              <w:t>1.11343</w:t>
            </w:r>
          </w:p>
        </w:tc>
        <w:tc>
          <w:tcPr>
            <w:tcW w:w="527" w:type="pct"/>
            <w:noWrap w:val="0"/>
            <w:vAlign w:val="center"/>
          </w:tcPr>
          <w:p>
            <w:pPr>
              <w:pStyle w:val="37"/>
              <w:spacing w:line="240" w:lineRule="auto"/>
              <w:ind w:left="-72" w:leftChars="-30" w:right="-72" w:rightChars="-30" w:firstLine="0" w:firstLineChars="0"/>
              <w:jc w:val="center"/>
              <w:rPr>
                <w:rFonts w:cs="宋体"/>
                <w:i w:val="0"/>
                <w:iCs w:val="0"/>
                <w:color w:val="000000"/>
                <w:spacing w:val="1"/>
                <w:sz w:val="21"/>
                <w:szCs w:val="21"/>
              </w:rPr>
            </w:pPr>
            <w:r>
              <w:rPr>
                <w:rFonts w:hint="eastAsia"/>
                <w:i w:val="0"/>
                <w:iCs w:val="0"/>
                <w:sz w:val="21"/>
                <w:szCs w:val="21"/>
                <w:lang w:val="en-US" w:eastAsia="zh-CN"/>
              </w:rPr>
              <w:t>0.222</w:t>
            </w:r>
          </w:p>
        </w:tc>
        <w:tc>
          <w:tcPr>
            <w:tcW w:w="420" w:type="pct"/>
            <w:noWrap w:val="0"/>
            <w:vAlign w:val="center"/>
          </w:tcPr>
          <w:p>
            <w:pPr>
              <w:pStyle w:val="37"/>
              <w:spacing w:line="240" w:lineRule="auto"/>
              <w:ind w:left="-72" w:leftChars="-30" w:right="-72" w:rightChars="-30" w:firstLine="0" w:firstLineChars="0"/>
              <w:jc w:val="center"/>
              <w:rPr>
                <w:rFonts w:hint="eastAsia" w:cs="宋体"/>
                <w:i w:val="0"/>
                <w:iCs w:val="0"/>
                <w:color w:val="000000"/>
                <w:spacing w:val="1"/>
                <w:sz w:val="21"/>
                <w:szCs w:val="21"/>
              </w:rPr>
            </w:pPr>
            <w:r>
              <w:rPr>
                <w:rFonts w:hint="eastAsia"/>
                <w:i w:val="0"/>
                <w:iCs w:val="0"/>
                <w:sz w:val="21"/>
                <w:szCs w:val="21"/>
                <w:lang w:val="en-US" w:eastAsia="zh-CN"/>
              </w:rPr>
              <w:t>11.1</w:t>
            </w:r>
          </w:p>
        </w:tc>
        <w:tc>
          <w:tcPr>
            <w:tcW w:w="906" w:type="pct"/>
            <w:noWrap w:val="0"/>
            <w:vAlign w:val="center"/>
          </w:tcPr>
          <w:p>
            <w:pPr>
              <w:pStyle w:val="37"/>
              <w:spacing w:line="240" w:lineRule="auto"/>
              <w:ind w:left="-72" w:leftChars="-30" w:right="-72" w:rightChars="-30" w:firstLine="0"/>
              <w:jc w:val="center"/>
              <w:rPr>
                <w:rFonts w:hint="default" w:ascii="Times New Roman" w:hAnsi="Times New Roman" w:cs="Times New Roman"/>
                <w:i w:val="0"/>
                <w:iCs w:val="0"/>
                <w:sz w:val="21"/>
                <w:szCs w:val="21"/>
              </w:rPr>
            </w:pPr>
            <w:r>
              <w:rPr>
                <w:rFonts w:hint="default" w:ascii="Times New Roman" w:hAnsi="Times New Roman" w:cs="Times New Roman"/>
                <w:i w:val="0"/>
                <w:iCs w:val="0"/>
                <w:sz w:val="21"/>
                <w:szCs w:val="21"/>
              </w:rPr>
              <w:t>《大气污染物综合排放标准》(GB16927-1996) 表2二级标准要求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385" w:type="pct"/>
            <w:vMerge w:val="continue"/>
            <w:noWrap w:val="0"/>
            <w:vAlign w:val="center"/>
          </w:tcPr>
          <w:p>
            <w:pPr>
              <w:pStyle w:val="394"/>
              <w:autoSpaceDE/>
              <w:autoSpaceDN/>
              <w:snapToGrid w:val="0"/>
              <w:jc w:val="center"/>
              <w:rPr>
                <w:rFonts w:hint="eastAsia" w:cs="宋体"/>
                <w:i w:val="0"/>
                <w:iCs w:val="0"/>
                <w:color w:val="000000"/>
                <w:spacing w:val="1"/>
                <w:kern w:val="2"/>
                <w:sz w:val="21"/>
                <w:szCs w:val="21"/>
              </w:rPr>
            </w:pPr>
          </w:p>
        </w:tc>
        <w:tc>
          <w:tcPr>
            <w:tcW w:w="419" w:type="pct"/>
            <w:noWrap w:val="0"/>
            <w:vAlign w:val="center"/>
          </w:tcPr>
          <w:p>
            <w:pPr>
              <w:pStyle w:val="37"/>
              <w:spacing w:line="240" w:lineRule="auto"/>
              <w:ind w:left="-72" w:leftChars="-30" w:right="-72" w:rightChars="-30" w:firstLine="0" w:firstLineChars="0"/>
              <w:jc w:val="center"/>
              <w:rPr>
                <w:rFonts w:hint="eastAsia" w:cs="宋体"/>
                <w:i w:val="0"/>
                <w:iCs w:val="0"/>
                <w:color w:val="000000"/>
                <w:spacing w:val="1"/>
                <w:kern w:val="2"/>
                <w:sz w:val="21"/>
                <w:szCs w:val="21"/>
              </w:rPr>
            </w:pPr>
            <w:r>
              <w:rPr>
                <w:rFonts w:hint="eastAsia"/>
                <w:i w:val="0"/>
                <w:iCs w:val="0"/>
                <w:sz w:val="21"/>
                <w:szCs w:val="21"/>
                <w:lang w:val="en-US" w:eastAsia="zh-CN"/>
              </w:rPr>
              <w:t>二氧化硫</w:t>
            </w:r>
          </w:p>
        </w:tc>
        <w:tc>
          <w:tcPr>
            <w:tcW w:w="897" w:type="pct"/>
            <w:noWrap w:val="0"/>
            <w:vAlign w:val="center"/>
          </w:tcPr>
          <w:p>
            <w:pPr>
              <w:pStyle w:val="394"/>
              <w:autoSpaceDE/>
              <w:autoSpaceDN/>
              <w:snapToGrid w:val="0"/>
              <w:jc w:val="center"/>
              <w:rPr>
                <w:rFonts w:hint="eastAsia" w:eastAsia="宋体" w:cs="宋体"/>
                <w:i w:val="0"/>
                <w:iCs w:val="0"/>
                <w:color w:val="000000"/>
                <w:spacing w:val="1"/>
                <w:kern w:val="2"/>
                <w:sz w:val="21"/>
                <w:szCs w:val="21"/>
                <w:lang w:val="en-US" w:eastAsia="zh-CN"/>
              </w:rPr>
            </w:pPr>
            <w:r>
              <w:rPr>
                <w:rFonts w:hint="eastAsia" w:cs="宋体"/>
                <w:i w:val="0"/>
                <w:iCs w:val="0"/>
                <w:color w:val="000000"/>
                <w:spacing w:val="1"/>
                <w:kern w:val="2"/>
                <w:sz w:val="21"/>
                <w:szCs w:val="21"/>
                <w:lang w:val="en-US" w:eastAsia="zh-CN"/>
              </w:rPr>
              <w:t>/</w:t>
            </w:r>
          </w:p>
        </w:tc>
        <w:tc>
          <w:tcPr>
            <w:tcW w:w="433" w:type="pct"/>
            <w:vMerge w:val="continue"/>
            <w:noWrap w:val="0"/>
            <w:vAlign w:val="center"/>
          </w:tcPr>
          <w:p>
            <w:pPr>
              <w:pStyle w:val="408"/>
              <w:adjustRightInd w:val="0"/>
              <w:snapToGrid w:val="0"/>
              <w:spacing w:line="240" w:lineRule="auto"/>
              <w:textAlignment w:val="baseline"/>
              <w:rPr>
                <w:rFonts w:hint="eastAsia"/>
                <w:i w:val="0"/>
                <w:iCs w:val="0"/>
                <w:color w:val="000000"/>
                <w:szCs w:val="21"/>
                <w:lang w:eastAsia="zh-CN"/>
              </w:rPr>
            </w:pPr>
          </w:p>
        </w:tc>
        <w:tc>
          <w:tcPr>
            <w:tcW w:w="468" w:type="pct"/>
            <w:vMerge w:val="continue"/>
            <w:noWrap w:val="0"/>
            <w:vAlign w:val="center"/>
          </w:tcPr>
          <w:p>
            <w:pPr>
              <w:pStyle w:val="408"/>
              <w:adjustRightInd w:val="0"/>
              <w:snapToGrid w:val="0"/>
              <w:spacing w:line="240" w:lineRule="auto"/>
              <w:textAlignment w:val="baseline"/>
              <w:rPr>
                <w:rFonts w:hint="eastAsia"/>
                <w:i w:val="0"/>
                <w:iCs w:val="0"/>
                <w:color w:val="000000"/>
                <w:szCs w:val="21"/>
              </w:rPr>
            </w:pPr>
          </w:p>
        </w:tc>
        <w:tc>
          <w:tcPr>
            <w:tcW w:w="541" w:type="pct"/>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sz w:val="21"/>
                <w:szCs w:val="21"/>
                <w:lang w:val="en-US" w:eastAsia="zh-CN"/>
              </w:rPr>
              <w:t>0.48</w:t>
            </w:r>
          </w:p>
        </w:tc>
        <w:tc>
          <w:tcPr>
            <w:tcW w:w="527" w:type="pct"/>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sz w:val="21"/>
                <w:szCs w:val="21"/>
                <w:lang w:val="en-US" w:eastAsia="zh-CN"/>
              </w:rPr>
              <w:t>0.096</w:t>
            </w:r>
          </w:p>
        </w:tc>
        <w:tc>
          <w:tcPr>
            <w:tcW w:w="420" w:type="pct"/>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sz w:val="21"/>
                <w:szCs w:val="21"/>
                <w:lang w:val="en-US" w:eastAsia="zh-CN"/>
              </w:rPr>
              <w:t>4.8</w:t>
            </w:r>
          </w:p>
        </w:tc>
        <w:tc>
          <w:tcPr>
            <w:tcW w:w="906" w:type="pct"/>
            <w:vMerge w:val="restart"/>
            <w:noWrap w:val="0"/>
            <w:vAlign w:val="center"/>
          </w:tcPr>
          <w:p>
            <w:pPr>
              <w:pStyle w:val="37"/>
              <w:spacing w:line="240" w:lineRule="auto"/>
              <w:ind w:left="-72" w:leftChars="-30" w:right="-72" w:rightChars="-30" w:firstLine="0"/>
              <w:jc w:val="center"/>
              <w:rPr>
                <w:rFonts w:hint="default" w:ascii="Times New Roman" w:hAnsi="Times New Roman" w:cs="Times New Roman"/>
                <w:i w:val="0"/>
                <w:iCs w:val="0"/>
                <w:sz w:val="21"/>
                <w:szCs w:val="21"/>
              </w:rPr>
            </w:pPr>
            <w:r>
              <w:rPr>
                <w:rFonts w:hint="default" w:ascii="Times New Roman" w:hAnsi="Times New Roman" w:cs="Times New Roman"/>
                <w:i w:val="0"/>
                <w:iCs w:val="0"/>
                <w:sz w:val="21"/>
                <w:szCs w:val="21"/>
                <w:lang w:eastAsia="zh-CN"/>
              </w:rPr>
              <w:t>《锅炉大气污染物排放标准》（</w:t>
            </w:r>
            <w:r>
              <w:rPr>
                <w:rFonts w:hint="default" w:ascii="Times New Roman" w:hAnsi="Times New Roman" w:cs="Times New Roman"/>
                <w:i w:val="0"/>
                <w:iCs w:val="0"/>
                <w:sz w:val="21"/>
                <w:szCs w:val="21"/>
                <w:lang w:val="en-US" w:eastAsia="zh-CN"/>
              </w:rPr>
              <w:t>GB13271-2014)表2新建锅炉大气污染物排放限值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5" w:type="pct"/>
            <w:vMerge w:val="continue"/>
            <w:noWrap w:val="0"/>
            <w:vAlign w:val="center"/>
          </w:tcPr>
          <w:p>
            <w:pPr>
              <w:pStyle w:val="394"/>
              <w:autoSpaceDE/>
              <w:autoSpaceDN/>
              <w:snapToGrid w:val="0"/>
              <w:jc w:val="center"/>
              <w:rPr>
                <w:rFonts w:hint="eastAsia" w:cs="宋体"/>
                <w:i w:val="0"/>
                <w:iCs w:val="0"/>
                <w:color w:val="000000"/>
                <w:spacing w:val="1"/>
                <w:kern w:val="2"/>
                <w:sz w:val="21"/>
                <w:szCs w:val="21"/>
              </w:rPr>
            </w:pPr>
          </w:p>
        </w:tc>
        <w:tc>
          <w:tcPr>
            <w:tcW w:w="419" w:type="pct"/>
            <w:noWrap w:val="0"/>
            <w:vAlign w:val="center"/>
          </w:tcPr>
          <w:p>
            <w:pPr>
              <w:pStyle w:val="37"/>
              <w:spacing w:line="240" w:lineRule="auto"/>
              <w:ind w:left="-72" w:leftChars="-30" w:right="-72" w:rightChars="-30" w:firstLine="0" w:firstLineChars="0"/>
              <w:jc w:val="center"/>
              <w:rPr>
                <w:rFonts w:hint="eastAsia" w:cs="宋体"/>
                <w:i w:val="0"/>
                <w:iCs w:val="0"/>
                <w:color w:val="000000"/>
                <w:spacing w:val="1"/>
                <w:kern w:val="2"/>
                <w:sz w:val="21"/>
                <w:szCs w:val="21"/>
              </w:rPr>
            </w:pPr>
            <w:r>
              <w:rPr>
                <w:rFonts w:hint="eastAsia"/>
                <w:i w:val="0"/>
                <w:iCs w:val="0"/>
                <w:sz w:val="21"/>
                <w:szCs w:val="21"/>
                <w:lang w:val="en-US" w:eastAsia="zh-CN"/>
              </w:rPr>
              <w:t>氮氧化物</w:t>
            </w:r>
          </w:p>
        </w:tc>
        <w:tc>
          <w:tcPr>
            <w:tcW w:w="897" w:type="pct"/>
            <w:noWrap w:val="0"/>
            <w:vAlign w:val="center"/>
          </w:tcPr>
          <w:p>
            <w:pPr>
              <w:pStyle w:val="394"/>
              <w:autoSpaceDE/>
              <w:autoSpaceDN/>
              <w:snapToGrid w:val="0"/>
              <w:jc w:val="center"/>
              <w:rPr>
                <w:rFonts w:hint="eastAsia"/>
                <w:i w:val="0"/>
                <w:iCs w:val="0"/>
                <w:sz w:val="21"/>
                <w:szCs w:val="21"/>
              </w:rPr>
            </w:pPr>
            <w:r>
              <w:rPr>
                <w:rFonts w:hint="eastAsia"/>
                <w:i w:val="0"/>
                <w:iCs w:val="0"/>
                <w:sz w:val="21"/>
                <w:szCs w:val="21"/>
              </w:rPr>
              <w:t>/</w:t>
            </w:r>
          </w:p>
        </w:tc>
        <w:tc>
          <w:tcPr>
            <w:tcW w:w="433" w:type="pct"/>
            <w:vMerge w:val="continue"/>
            <w:noWrap w:val="0"/>
            <w:vAlign w:val="center"/>
          </w:tcPr>
          <w:p>
            <w:pPr>
              <w:pStyle w:val="394"/>
              <w:autoSpaceDE/>
              <w:autoSpaceDN/>
              <w:snapToGrid w:val="0"/>
              <w:jc w:val="center"/>
              <w:rPr>
                <w:rFonts w:hint="eastAsia" w:cs="宋体"/>
                <w:i w:val="0"/>
                <w:iCs w:val="0"/>
                <w:color w:val="000000"/>
                <w:spacing w:val="1"/>
                <w:kern w:val="2"/>
                <w:sz w:val="21"/>
                <w:szCs w:val="21"/>
              </w:rPr>
            </w:pPr>
          </w:p>
        </w:tc>
        <w:tc>
          <w:tcPr>
            <w:tcW w:w="468" w:type="pct"/>
            <w:vMerge w:val="continue"/>
            <w:noWrap w:val="0"/>
            <w:vAlign w:val="center"/>
          </w:tcPr>
          <w:p>
            <w:pPr>
              <w:pStyle w:val="394"/>
              <w:autoSpaceDE/>
              <w:autoSpaceDN/>
              <w:snapToGrid w:val="0"/>
              <w:jc w:val="center"/>
              <w:rPr>
                <w:rFonts w:hint="eastAsia" w:cs="宋体"/>
                <w:i w:val="0"/>
                <w:iCs w:val="0"/>
                <w:color w:val="000000"/>
                <w:spacing w:val="1"/>
                <w:kern w:val="2"/>
                <w:sz w:val="21"/>
                <w:szCs w:val="21"/>
              </w:rPr>
            </w:pPr>
          </w:p>
        </w:tc>
        <w:tc>
          <w:tcPr>
            <w:tcW w:w="541" w:type="pct"/>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sz w:val="21"/>
                <w:szCs w:val="21"/>
                <w:lang w:val="en-US" w:eastAsia="zh-CN"/>
              </w:rPr>
              <w:t>2.245</w:t>
            </w:r>
          </w:p>
        </w:tc>
        <w:tc>
          <w:tcPr>
            <w:tcW w:w="527" w:type="pct"/>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sz w:val="21"/>
                <w:szCs w:val="21"/>
                <w:lang w:val="en-US" w:eastAsia="zh-CN"/>
              </w:rPr>
              <w:t>0.449</w:t>
            </w:r>
          </w:p>
        </w:tc>
        <w:tc>
          <w:tcPr>
            <w:tcW w:w="420" w:type="pct"/>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sz w:val="21"/>
                <w:szCs w:val="21"/>
                <w:lang w:val="en-US" w:eastAsia="zh-CN"/>
              </w:rPr>
              <w:t>22.45</w:t>
            </w:r>
          </w:p>
        </w:tc>
        <w:tc>
          <w:tcPr>
            <w:tcW w:w="906" w:type="pct"/>
            <w:vMerge w:val="continue"/>
            <w:noWrap w:val="0"/>
            <w:vAlign w:val="center"/>
          </w:tcPr>
          <w:p>
            <w:pPr>
              <w:pStyle w:val="37"/>
              <w:spacing w:line="240" w:lineRule="auto"/>
              <w:ind w:left="-72" w:leftChars="-30" w:right="-72" w:rightChars="-30" w:firstLine="0"/>
              <w:jc w:val="center"/>
              <w:rPr>
                <w:rFonts w:hint="default" w:ascii="Times New Roman" w:hAnsi="Times New Roman" w:cs="Times New Roman"/>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85" w:type="pct"/>
            <w:vMerge w:val="restart"/>
            <w:noWrap w:val="0"/>
            <w:vAlign w:val="center"/>
          </w:tcPr>
          <w:p>
            <w:pPr>
              <w:pStyle w:val="37"/>
              <w:spacing w:line="240" w:lineRule="auto"/>
              <w:ind w:left="-72" w:leftChars="-30" w:right="-72" w:rightChars="-30" w:firstLine="0" w:firstLineChars="0"/>
              <w:jc w:val="center"/>
              <w:rPr>
                <w:rFonts w:hint="eastAsia" w:cs="宋体"/>
                <w:i w:val="0"/>
                <w:iCs w:val="0"/>
                <w:color w:val="000000"/>
                <w:spacing w:val="1"/>
                <w:kern w:val="2"/>
                <w:sz w:val="21"/>
                <w:szCs w:val="21"/>
              </w:rPr>
            </w:pPr>
            <w:r>
              <w:rPr>
                <w:rFonts w:hint="eastAsia"/>
                <w:i w:val="0"/>
                <w:iCs w:val="0"/>
                <w:sz w:val="21"/>
                <w:szCs w:val="21"/>
                <w:lang w:val="en-US" w:eastAsia="zh-CN"/>
              </w:rPr>
              <w:t>热风炉2烟气及</w:t>
            </w:r>
            <w:r>
              <w:rPr>
                <w:rFonts w:hint="eastAsia"/>
                <w:i w:val="0"/>
                <w:iCs w:val="0"/>
                <w:sz w:val="21"/>
                <w:szCs w:val="21"/>
              </w:rPr>
              <w:t>喷雾干燥塔</w:t>
            </w:r>
            <w:r>
              <w:rPr>
                <w:rFonts w:hint="eastAsia"/>
                <w:i w:val="0"/>
                <w:iCs w:val="0"/>
                <w:sz w:val="21"/>
                <w:szCs w:val="21"/>
                <w:lang w:val="en-US" w:eastAsia="zh-CN"/>
              </w:rPr>
              <w:t>2</w:t>
            </w:r>
            <w:r>
              <w:rPr>
                <w:rFonts w:hint="eastAsia"/>
                <w:i w:val="0"/>
                <w:iCs w:val="0"/>
                <w:sz w:val="21"/>
                <w:szCs w:val="21"/>
              </w:rPr>
              <w:t>喷雾干燥废气</w:t>
            </w:r>
          </w:p>
        </w:tc>
        <w:tc>
          <w:tcPr>
            <w:tcW w:w="419" w:type="pct"/>
            <w:noWrap w:val="0"/>
            <w:vAlign w:val="center"/>
          </w:tcPr>
          <w:p>
            <w:pPr>
              <w:pStyle w:val="37"/>
              <w:spacing w:line="240" w:lineRule="auto"/>
              <w:ind w:left="-72" w:leftChars="-30" w:right="-72" w:rightChars="-30" w:firstLine="0" w:firstLineChars="0"/>
              <w:jc w:val="center"/>
              <w:rPr>
                <w:rFonts w:hint="eastAsia" w:cs="宋体"/>
                <w:i w:val="0"/>
                <w:iCs w:val="0"/>
                <w:color w:val="000000"/>
                <w:spacing w:val="1"/>
                <w:kern w:val="2"/>
                <w:sz w:val="21"/>
                <w:szCs w:val="21"/>
              </w:rPr>
            </w:pPr>
            <w:r>
              <w:rPr>
                <w:rFonts w:hint="eastAsia"/>
                <w:i w:val="0"/>
                <w:iCs w:val="0"/>
                <w:sz w:val="21"/>
                <w:szCs w:val="21"/>
              </w:rPr>
              <w:t>颗粒物</w:t>
            </w:r>
          </w:p>
        </w:tc>
        <w:tc>
          <w:tcPr>
            <w:tcW w:w="897" w:type="pct"/>
            <w:noWrap w:val="0"/>
            <w:vAlign w:val="center"/>
          </w:tcPr>
          <w:p>
            <w:pPr>
              <w:pStyle w:val="394"/>
              <w:autoSpaceDE/>
              <w:autoSpaceDN/>
              <w:snapToGrid w:val="0"/>
              <w:jc w:val="center"/>
              <w:rPr>
                <w:rFonts w:hint="eastAsia"/>
                <w:i w:val="0"/>
                <w:iCs w:val="0"/>
                <w:sz w:val="21"/>
                <w:szCs w:val="21"/>
              </w:rPr>
            </w:pPr>
            <w:r>
              <w:rPr>
                <w:rFonts w:hint="eastAsia" w:cs="宋体"/>
                <w:i w:val="0"/>
                <w:iCs w:val="0"/>
                <w:color w:val="000000"/>
                <w:spacing w:val="1"/>
                <w:kern w:val="2"/>
                <w:sz w:val="21"/>
                <w:szCs w:val="21"/>
              </w:rPr>
              <w:t>布袋除尘器</w:t>
            </w:r>
          </w:p>
        </w:tc>
        <w:tc>
          <w:tcPr>
            <w:tcW w:w="433" w:type="pct"/>
            <w:vMerge w:val="restart"/>
            <w:noWrap w:val="0"/>
            <w:vAlign w:val="center"/>
          </w:tcPr>
          <w:p>
            <w:pPr>
              <w:pStyle w:val="408"/>
              <w:adjustRightInd w:val="0"/>
              <w:snapToGrid w:val="0"/>
              <w:spacing w:line="240" w:lineRule="auto"/>
              <w:textAlignment w:val="baseline"/>
              <w:rPr>
                <w:rFonts w:hint="eastAsia" w:cs="宋体"/>
                <w:i w:val="0"/>
                <w:iCs w:val="0"/>
                <w:color w:val="000000"/>
                <w:spacing w:val="1"/>
                <w:kern w:val="2"/>
                <w:sz w:val="21"/>
                <w:szCs w:val="21"/>
              </w:rPr>
            </w:pPr>
            <w:r>
              <w:rPr>
                <w:rFonts w:hint="eastAsia"/>
                <w:i w:val="0"/>
                <w:iCs w:val="0"/>
                <w:color w:val="000000"/>
                <w:szCs w:val="21"/>
                <w:lang w:eastAsia="zh-CN"/>
              </w:rPr>
              <w:t>24</w:t>
            </w:r>
          </w:p>
        </w:tc>
        <w:tc>
          <w:tcPr>
            <w:tcW w:w="468" w:type="pct"/>
            <w:vMerge w:val="restart"/>
            <w:noWrap w:val="0"/>
            <w:vAlign w:val="center"/>
          </w:tcPr>
          <w:p>
            <w:pPr>
              <w:pStyle w:val="408"/>
              <w:adjustRightInd w:val="0"/>
              <w:snapToGrid w:val="0"/>
              <w:spacing w:line="240" w:lineRule="auto"/>
              <w:textAlignment w:val="baseline"/>
              <w:rPr>
                <w:rFonts w:hint="eastAsia" w:cs="宋体"/>
                <w:i w:val="0"/>
                <w:iCs w:val="0"/>
                <w:color w:val="000000"/>
                <w:spacing w:val="1"/>
                <w:kern w:val="2"/>
                <w:sz w:val="21"/>
                <w:szCs w:val="21"/>
              </w:rPr>
            </w:pPr>
            <w:r>
              <w:rPr>
                <w:rFonts w:hint="eastAsia"/>
                <w:i w:val="0"/>
                <w:iCs w:val="0"/>
                <w:color w:val="000000"/>
                <w:szCs w:val="21"/>
              </w:rPr>
              <w:t>0.</w:t>
            </w:r>
            <w:r>
              <w:rPr>
                <w:rFonts w:hint="eastAsia"/>
                <w:i w:val="0"/>
                <w:iCs w:val="0"/>
                <w:color w:val="000000"/>
                <w:szCs w:val="21"/>
                <w:lang w:val="en-US" w:eastAsia="zh-CN"/>
              </w:rPr>
              <w:t>8</w:t>
            </w:r>
          </w:p>
        </w:tc>
        <w:tc>
          <w:tcPr>
            <w:tcW w:w="541" w:type="pct"/>
            <w:noWrap w:val="0"/>
            <w:vAlign w:val="center"/>
          </w:tcPr>
          <w:p>
            <w:pPr>
              <w:pStyle w:val="37"/>
              <w:spacing w:line="240" w:lineRule="auto"/>
              <w:ind w:left="-72" w:leftChars="-30" w:right="-72" w:rightChars="-30" w:firstLine="0" w:firstLineChars="0"/>
              <w:jc w:val="both"/>
              <w:rPr>
                <w:rFonts w:hint="eastAsia"/>
                <w:i w:val="0"/>
                <w:iCs w:val="0"/>
                <w:sz w:val="21"/>
                <w:szCs w:val="21"/>
              </w:rPr>
            </w:pPr>
            <w:r>
              <w:rPr>
                <w:rFonts w:hint="eastAsia" w:cs="宋体"/>
                <w:i w:val="0"/>
                <w:iCs w:val="0"/>
                <w:color w:val="000000"/>
                <w:spacing w:val="1"/>
                <w:sz w:val="21"/>
                <w:szCs w:val="21"/>
                <w:lang w:val="en-US" w:eastAsia="zh-CN"/>
              </w:rPr>
              <w:t>1.11343</w:t>
            </w:r>
          </w:p>
        </w:tc>
        <w:tc>
          <w:tcPr>
            <w:tcW w:w="527" w:type="pct"/>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sz w:val="21"/>
                <w:szCs w:val="21"/>
                <w:lang w:val="en-US" w:eastAsia="zh-CN"/>
              </w:rPr>
              <w:t>0.222</w:t>
            </w:r>
          </w:p>
        </w:tc>
        <w:tc>
          <w:tcPr>
            <w:tcW w:w="420" w:type="pct"/>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sz w:val="21"/>
                <w:szCs w:val="21"/>
                <w:lang w:val="en-US" w:eastAsia="zh-CN"/>
              </w:rPr>
              <w:t>11.1</w:t>
            </w:r>
          </w:p>
        </w:tc>
        <w:tc>
          <w:tcPr>
            <w:tcW w:w="1887" w:type="dxa"/>
            <w:noWrap w:val="0"/>
            <w:vAlign w:val="center"/>
          </w:tcPr>
          <w:p>
            <w:pPr>
              <w:pStyle w:val="37"/>
              <w:spacing w:line="240" w:lineRule="auto"/>
              <w:ind w:left="-72" w:leftChars="-30" w:right="-72" w:rightChars="-30" w:firstLine="0" w:firstLineChars="0"/>
              <w:jc w:val="center"/>
              <w:rPr>
                <w:rFonts w:hint="default" w:ascii="Times New Roman" w:hAnsi="Times New Roman" w:cs="Times New Roman"/>
                <w:i w:val="0"/>
                <w:iCs w:val="0"/>
                <w:sz w:val="21"/>
                <w:szCs w:val="21"/>
              </w:rPr>
            </w:pPr>
            <w:r>
              <w:rPr>
                <w:rFonts w:hint="default" w:ascii="Times New Roman" w:hAnsi="Times New Roman" w:cs="Times New Roman"/>
                <w:i w:val="0"/>
                <w:iCs w:val="0"/>
                <w:sz w:val="21"/>
                <w:szCs w:val="21"/>
              </w:rPr>
              <w:t>《大气污染物综合排放标准》(GB16927-1996) 表2二级标准要求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5" w:type="pct"/>
            <w:vMerge w:val="continue"/>
            <w:noWrap w:val="0"/>
            <w:vAlign w:val="center"/>
          </w:tcPr>
          <w:p>
            <w:pPr>
              <w:pStyle w:val="394"/>
              <w:autoSpaceDE/>
              <w:autoSpaceDN/>
              <w:snapToGrid w:val="0"/>
              <w:jc w:val="center"/>
              <w:rPr>
                <w:rFonts w:hint="eastAsia" w:cs="宋体"/>
                <w:i w:val="0"/>
                <w:iCs w:val="0"/>
                <w:color w:val="000000"/>
                <w:spacing w:val="1"/>
                <w:kern w:val="2"/>
                <w:sz w:val="21"/>
                <w:szCs w:val="21"/>
              </w:rPr>
            </w:pPr>
          </w:p>
        </w:tc>
        <w:tc>
          <w:tcPr>
            <w:tcW w:w="419" w:type="pct"/>
            <w:noWrap w:val="0"/>
            <w:vAlign w:val="center"/>
          </w:tcPr>
          <w:p>
            <w:pPr>
              <w:pStyle w:val="37"/>
              <w:spacing w:line="240" w:lineRule="auto"/>
              <w:ind w:left="-72" w:leftChars="-30" w:right="-72" w:rightChars="-30" w:firstLine="0" w:firstLineChars="0"/>
              <w:jc w:val="center"/>
              <w:rPr>
                <w:rFonts w:hint="eastAsia" w:cs="宋体"/>
                <w:i w:val="0"/>
                <w:iCs w:val="0"/>
                <w:color w:val="000000"/>
                <w:spacing w:val="1"/>
                <w:kern w:val="2"/>
                <w:sz w:val="21"/>
                <w:szCs w:val="21"/>
              </w:rPr>
            </w:pPr>
            <w:r>
              <w:rPr>
                <w:rFonts w:hint="eastAsia"/>
                <w:i w:val="0"/>
                <w:iCs w:val="0"/>
                <w:sz w:val="21"/>
                <w:szCs w:val="21"/>
                <w:lang w:val="en-US" w:eastAsia="zh-CN"/>
              </w:rPr>
              <w:t>二氧化硫</w:t>
            </w:r>
          </w:p>
        </w:tc>
        <w:tc>
          <w:tcPr>
            <w:tcW w:w="897" w:type="pct"/>
            <w:noWrap w:val="0"/>
            <w:vAlign w:val="center"/>
          </w:tcPr>
          <w:p>
            <w:pPr>
              <w:pStyle w:val="394"/>
              <w:autoSpaceDE/>
              <w:autoSpaceDN/>
              <w:snapToGrid w:val="0"/>
              <w:jc w:val="center"/>
              <w:rPr>
                <w:rFonts w:hint="eastAsia"/>
                <w:i w:val="0"/>
                <w:iCs w:val="0"/>
                <w:sz w:val="21"/>
                <w:szCs w:val="21"/>
              </w:rPr>
            </w:pPr>
            <w:r>
              <w:rPr>
                <w:rFonts w:hint="eastAsia" w:cs="宋体"/>
                <w:i w:val="0"/>
                <w:iCs w:val="0"/>
                <w:color w:val="000000"/>
                <w:spacing w:val="1"/>
                <w:kern w:val="2"/>
                <w:sz w:val="21"/>
                <w:szCs w:val="21"/>
                <w:lang w:val="en-US" w:eastAsia="zh-CN"/>
              </w:rPr>
              <w:t>/</w:t>
            </w:r>
          </w:p>
        </w:tc>
        <w:tc>
          <w:tcPr>
            <w:tcW w:w="433" w:type="pct"/>
            <w:vMerge w:val="continue"/>
            <w:noWrap w:val="0"/>
            <w:vAlign w:val="center"/>
          </w:tcPr>
          <w:p>
            <w:pPr>
              <w:pStyle w:val="408"/>
              <w:adjustRightInd w:val="0"/>
              <w:snapToGrid w:val="0"/>
              <w:spacing w:line="240" w:lineRule="auto"/>
              <w:textAlignment w:val="baseline"/>
              <w:rPr>
                <w:rFonts w:hint="eastAsia" w:cs="宋体"/>
                <w:i w:val="0"/>
                <w:iCs w:val="0"/>
                <w:color w:val="000000"/>
                <w:spacing w:val="1"/>
                <w:kern w:val="2"/>
                <w:sz w:val="21"/>
                <w:szCs w:val="21"/>
              </w:rPr>
            </w:pPr>
          </w:p>
        </w:tc>
        <w:tc>
          <w:tcPr>
            <w:tcW w:w="468" w:type="pct"/>
            <w:vMerge w:val="continue"/>
            <w:noWrap w:val="0"/>
            <w:vAlign w:val="center"/>
          </w:tcPr>
          <w:p>
            <w:pPr>
              <w:pStyle w:val="408"/>
              <w:adjustRightInd w:val="0"/>
              <w:snapToGrid w:val="0"/>
              <w:spacing w:line="240" w:lineRule="auto"/>
              <w:textAlignment w:val="baseline"/>
              <w:rPr>
                <w:rFonts w:hint="eastAsia" w:cs="宋体"/>
                <w:i w:val="0"/>
                <w:iCs w:val="0"/>
                <w:color w:val="000000"/>
                <w:spacing w:val="1"/>
                <w:kern w:val="2"/>
                <w:sz w:val="21"/>
                <w:szCs w:val="21"/>
              </w:rPr>
            </w:pPr>
          </w:p>
        </w:tc>
        <w:tc>
          <w:tcPr>
            <w:tcW w:w="541" w:type="pct"/>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sz w:val="21"/>
                <w:szCs w:val="21"/>
                <w:lang w:val="en-US" w:eastAsia="zh-CN"/>
              </w:rPr>
              <w:t>0.48</w:t>
            </w:r>
          </w:p>
        </w:tc>
        <w:tc>
          <w:tcPr>
            <w:tcW w:w="527" w:type="pct"/>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sz w:val="21"/>
                <w:szCs w:val="21"/>
                <w:lang w:val="en-US" w:eastAsia="zh-CN"/>
              </w:rPr>
              <w:t>0.096</w:t>
            </w:r>
          </w:p>
        </w:tc>
        <w:tc>
          <w:tcPr>
            <w:tcW w:w="420" w:type="pct"/>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sz w:val="21"/>
                <w:szCs w:val="21"/>
                <w:lang w:val="en-US" w:eastAsia="zh-CN"/>
              </w:rPr>
              <w:t>4.8</w:t>
            </w:r>
          </w:p>
        </w:tc>
        <w:tc>
          <w:tcPr>
            <w:tcW w:w="1887" w:type="dxa"/>
            <w:vMerge w:val="restart"/>
            <w:noWrap w:val="0"/>
            <w:vAlign w:val="center"/>
          </w:tcPr>
          <w:p>
            <w:pPr>
              <w:pStyle w:val="37"/>
              <w:spacing w:line="240" w:lineRule="auto"/>
              <w:ind w:left="-72" w:leftChars="-30" w:right="-72" w:rightChars="-30" w:firstLine="0" w:firstLineChars="0"/>
              <w:jc w:val="center"/>
              <w:rPr>
                <w:rFonts w:hint="default" w:ascii="Times New Roman" w:hAnsi="Times New Roman" w:cs="Times New Roman"/>
                <w:i w:val="0"/>
                <w:iCs w:val="0"/>
                <w:sz w:val="21"/>
                <w:szCs w:val="21"/>
              </w:rPr>
            </w:pPr>
            <w:r>
              <w:rPr>
                <w:rFonts w:hint="default" w:ascii="Times New Roman" w:hAnsi="Times New Roman" w:cs="Times New Roman"/>
                <w:i w:val="0"/>
                <w:iCs w:val="0"/>
                <w:sz w:val="21"/>
                <w:szCs w:val="21"/>
                <w:lang w:eastAsia="zh-CN"/>
              </w:rPr>
              <w:t>《锅炉大气污染物排放标准》（</w:t>
            </w:r>
            <w:r>
              <w:rPr>
                <w:rFonts w:hint="default" w:ascii="Times New Roman" w:hAnsi="Times New Roman" w:cs="Times New Roman"/>
                <w:i w:val="0"/>
                <w:iCs w:val="0"/>
                <w:sz w:val="21"/>
                <w:szCs w:val="21"/>
                <w:lang w:val="en-US" w:eastAsia="zh-CN"/>
              </w:rPr>
              <w:t>GB13271-2014)表2新建锅炉大气污染物排放限值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5" w:type="pct"/>
            <w:vMerge w:val="continue"/>
            <w:noWrap w:val="0"/>
            <w:vAlign w:val="center"/>
          </w:tcPr>
          <w:p>
            <w:pPr>
              <w:pStyle w:val="394"/>
              <w:autoSpaceDE/>
              <w:autoSpaceDN/>
              <w:snapToGrid w:val="0"/>
              <w:jc w:val="center"/>
              <w:rPr>
                <w:rFonts w:hint="eastAsia" w:cs="宋体"/>
                <w:i w:val="0"/>
                <w:iCs w:val="0"/>
                <w:color w:val="000000"/>
                <w:spacing w:val="1"/>
                <w:kern w:val="2"/>
                <w:sz w:val="21"/>
                <w:szCs w:val="21"/>
              </w:rPr>
            </w:pPr>
          </w:p>
        </w:tc>
        <w:tc>
          <w:tcPr>
            <w:tcW w:w="419" w:type="pct"/>
            <w:noWrap w:val="0"/>
            <w:vAlign w:val="center"/>
          </w:tcPr>
          <w:p>
            <w:pPr>
              <w:pStyle w:val="37"/>
              <w:spacing w:line="240" w:lineRule="auto"/>
              <w:ind w:left="-72" w:leftChars="-30" w:right="-72" w:rightChars="-30" w:firstLine="0" w:firstLineChars="0"/>
              <w:jc w:val="center"/>
              <w:rPr>
                <w:rFonts w:hint="eastAsia" w:cs="宋体"/>
                <w:i w:val="0"/>
                <w:iCs w:val="0"/>
                <w:color w:val="000000"/>
                <w:spacing w:val="1"/>
                <w:kern w:val="2"/>
                <w:sz w:val="21"/>
                <w:szCs w:val="21"/>
              </w:rPr>
            </w:pPr>
            <w:r>
              <w:rPr>
                <w:rFonts w:hint="eastAsia"/>
                <w:i w:val="0"/>
                <w:iCs w:val="0"/>
                <w:sz w:val="21"/>
                <w:szCs w:val="21"/>
                <w:lang w:val="en-US" w:eastAsia="zh-CN"/>
              </w:rPr>
              <w:t>氮氧化物</w:t>
            </w:r>
          </w:p>
        </w:tc>
        <w:tc>
          <w:tcPr>
            <w:tcW w:w="897" w:type="pct"/>
            <w:noWrap w:val="0"/>
            <w:vAlign w:val="center"/>
          </w:tcPr>
          <w:p>
            <w:pPr>
              <w:pStyle w:val="394"/>
              <w:autoSpaceDE/>
              <w:autoSpaceDN/>
              <w:snapToGrid w:val="0"/>
              <w:jc w:val="center"/>
              <w:rPr>
                <w:rFonts w:hint="eastAsia"/>
                <w:i w:val="0"/>
                <w:iCs w:val="0"/>
                <w:sz w:val="21"/>
                <w:szCs w:val="21"/>
              </w:rPr>
            </w:pPr>
            <w:r>
              <w:rPr>
                <w:rFonts w:hint="eastAsia"/>
                <w:i w:val="0"/>
                <w:iCs w:val="0"/>
                <w:sz w:val="21"/>
                <w:szCs w:val="21"/>
              </w:rPr>
              <w:t>/</w:t>
            </w:r>
          </w:p>
        </w:tc>
        <w:tc>
          <w:tcPr>
            <w:tcW w:w="433" w:type="pct"/>
            <w:vMerge w:val="continue"/>
            <w:noWrap w:val="0"/>
            <w:vAlign w:val="center"/>
          </w:tcPr>
          <w:p>
            <w:pPr>
              <w:pStyle w:val="394"/>
              <w:autoSpaceDE/>
              <w:autoSpaceDN/>
              <w:snapToGrid w:val="0"/>
              <w:jc w:val="center"/>
              <w:rPr>
                <w:rFonts w:hint="eastAsia" w:cs="宋体"/>
                <w:i w:val="0"/>
                <w:iCs w:val="0"/>
                <w:color w:val="000000"/>
                <w:spacing w:val="1"/>
                <w:kern w:val="2"/>
                <w:sz w:val="21"/>
                <w:szCs w:val="21"/>
              </w:rPr>
            </w:pPr>
          </w:p>
        </w:tc>
        <w:tc>
          <w:tcPr>
            <w:tcW w:w="468" w:type="pct"/>
            <w:vMerge w:val="continue"/>
            <w:noWrap w:val="0"/>
            <w:vAlign w:val="center"/>
          </w:tcPr>
          <w:p>
            <w:pPr>
              <w:pStyle w:val="394"/>
              <w:autoSpaceDE/>
              <w:autoSpaceDN/>
              <w:snapToGrid w:val="0"/>
              <w:jc w:val="center"/>
              <w:rPr>
                <w:rFonts w:hint="eastAsia" w:cs="宋体"/>
                <w:i w:val="0"/>
                <w:iCs w:val="0"/>
                <w:color w:val="000000"/>
                <w:spacing w:val="1"/>
                <w:kern w:val="2"/>
                <w:sz w:val="21"/>
                <w:szCs w:val="21"/>
              </w:rPr>
            </w:pPr>
          </w:p>
        </w:tc>
        <w:tc>
          <w:tcPr>
            <w:tcW w:w="541" w:type="pct"/>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sz w:val="21"/>
                <w:szCs w:val="21"/>
                <w:lang w:val="en-US" w:eastAsia="zh-CN"/>
              </w:rPr>
              <w:t>2.245</w:t>
            </w:r>
          </w:p>
        </w:tc>
        <w:tc>
          <w:tcPr>
            <w:tcW w:w="527" w:type="pct"/>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sz w:val="21"/>
                <w:szCs w:val="21"/>
                <w:lang w:val="en-US" w:eastAsia="zh-CN"/>
              </w:rPr>
              <w:t>0.449</w:t>
            </w:r>
          </w:p>
        </w:tc>
        <w:tc>
          <w:tcPr>
            <w:tcW w:w="420" w:type="pct"/>
            <w:noWrap w:val="0"/>
            <w:vAlign w:val="center"/>
          </w:tcPr>
          <w:p>
            <w:pPr>
              <w:pStyle w:val="37"/>
              <w:spacing w:line="240" w:lineRule="auto"/>
              <w:ind w:left="-72" w:leftChars="-30" w:right="-72" w:rightChars="-30" w:firstLine="0" w:firstLineChars="0"/>
              <w:jc w:val="center"/>
              <w:rPr>
                <w:rFonts w:hint="eastAsia"/>
                <w:i w:val="0"/>
                <w:iCs w:val="0"/>
                <w:sz w:val="21"/>
                <w:szCs w:val="21"/>
              </w:rPr>
            </w:pPr>
            <w:r>
              <w:rPr>
                <w:rFonts w:hint="eastAsia"/>
                <w:i w:val="0"/>
                <w:iCs w:val="0"/>
                <w:sz w:val="21"/>
                <w:szCs w:val="21"/>
                <w:lang w:val="en-US" w:eastAsia="zh-CN"/>
              </w:rPr>
              <w:t>22.45</w:t>
            </w:r>
          </w:p>
        </w:tc>
        <w:tc>
          <w:tcPr>
            <w:tcW w:w="906" w:type="pct"/>
            <w:vMerge w:val="continue"/>
            <w:noWrap w:val="0"/>
            <w:vAlign w:val="center"/>
          </w:tcPr>
          <w:p>
            <w:pPr>
              <w:pStyle w:val="37"/>
              <w:spacing w:line="240" w:lineRule="auto"/>
              <w:ind w:left="-72" w:leftChars="-30" w:right="-72" w:rightChars="-30" w:firstLine="0"/>
              <w:jc w:val="center"/>
              <w:rPr>
                <w:i w:val="0"/>
                <w:iCs w:val="0"/>
                <w:sz w:val="21"/>
                <w:szCs w:val="21"/>
              </w:rPr>
            </w:pPr>
          </w:p>
        </w:tc>
      </w:tr>
    </w:tbl>
    <w:p>
      <w:pPr>
        <w:pStyle w:val="24"/>
        <w:spacing w:before="5" w:line="360" w:lineRule="auto"/>
        <w:rPr>
          <w:rFonts w:ascii="Microsoft YaHei UI"/>
          <w:b/>
          <w:i w:val="0"/>
          <w:iCs w:val="0"/>
          <w:color w:val="000000"/>
          <w:sz w:val="3"/>
        </w:rPr>
      </w:pPr>
    </w:p>
    <w:p>
      <w:pPr>
        <w:adjustRightInd w:val="0"/>
        <w:snapToGrid w:val="0"/>
        <w:spacing w:line="360" w:lineRule="auto"/>
        <w:ind w:firstLine="480" w:firstLineChars="200"/>
        <w:rPr>
          <w:rFonts w:hint="eastAsia"/>
          <w:i w:val="0"/>
          <w:iCs w:val="0"/>
          <w:color w:val="000000"/>
        </w:rPr>
      </w:pPr>
      <w:r>
        <w:rPr>
          <w:rFonts w:hint="eastAsia"/>
          <w:i w:val="0"/>
          <w:iCs w:val="0"/>
          <w:color w:val="000000"/>
        </w:rPr>
        <w:t>（2）废水</w:t>
      </w:r>
    </w:p>
    <w:p>
      <w:pPr>
        <w:adjustRightInd w:val="0"/>
        <w:snapToGrid w:val="0"/>
        <w:spacing w:line="360" w:lineRule="auto"/>
        <w:ind w:firstLine="480" w:firstLineChars="200"/>
        <w:rPr>
          <w:rFonts w:hint="eastAsia"/>
          <w:i w:val="0"/>
          <w:iCs w:val="0"/>
          <w:color w:val="000000"/>
        </w:rPr>
      </w:pPr>
      <w:r>
        <w:rPr>
          <w:rFonts w:hint="eastAsia"/>
          <w:i w:val="0"/>
          <w:iCs w:val="0"/>
          <w:color w:val="000000"/>
        </w:rPr>
        <w:t>废水污染物、排放标准及污染治理设施详见表 8-3。</w:t>
      </w:r>
    </w:p>
    <w:p>
      <w:pPr>
        <w:adjustRightInd w:val="0"/>
        <w:snapToGrid w:val="0"/>
        <w:ind w:firstLine="482" w:firstLineChars="200"/>
        <w:jc w:val="center"/>
        <w:rPr>
          <w:rFonts w:hint="eastAsia"/>
          <w:b/>
          <w:bCs/>
          <w:i w:val="0"/>
          <w:iCs w:val="0"/>
          <w:color w:val="000000"/>
        </w:rPr>
      </w:pPr>
      <w:r>
        <w:rPr>
          <w:rFonts w:hint="eastAsia"/>
          <w:b/>
          <w:bCs/>
          <w:i w:val="0"/>
          <w:iCs w:val="0"/>
          <w:color w:val="000000"/>
        </w:rPr>
        <w:t>表 8-3</w:t>
      </w:r>
      <w:r>
        <w:rPr>
          <w:rFonts w:hint="eastAsia"/>
          <w:b/>
          <w:bCs/>
          <w:i w:val="0"/>
          <w:iCs w:val="0"/>
          <w:color w:val="000000"/>
        </w:rPr>
        <w:tab/>
      </w:r>
      <w:r>
        <w:rPr>
          <w:rFonts w:hint="eastAsia"/>
          <w:b/>
          <w:bCs/>
          <w:i w:val="0"/>
          <w:iCs w:val="0"/>
          <w:color w:val="000000"/>
        </w:rPr>
        <w:t>本项目废水排污节点、污染物及污染治理设施一览表</w:t>
      </w:r>
    </w:p>
    <w:tbl>
      <w:tblPr>
        <w:tblStyle w:val="5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2"/>
        <w:gridCol w:w="1184"/>
        <w:gridCol w:w="2964"/>
        <w:gridCol w:w="1863"/>
        <w:gridCol w:w="28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5" w:type="pct"/>
            <w:gridSpan w:val="2"/>
            <w:noWrap w:val="0"/>
            <w:vAlign w:val="center"/>
          </w:tcPr>
          <w:p>
            <w:pPr>
              <w:wordWrap w:val="0"/>
              <w:jc w:val="center"/>
              <w:rPr>
                <w:i w:val="0"/>
                <w:iCs w:val="0"/>
                <w:sz w:val="21"/>
                <w:szCs w:val="21"/>
              </w:rPr>
            </w:pPr>
            <w:r>
              <w:rPr>
                <w:i w:val="0"/>
                <w:iCs w:val="0"/>
                <w:sz w:val="21"/>
                <w:szCs w:val="21"/>
              </w:rPr>
              <w:t>污染物</w:t>
            </w:r>
          </w:p>
        </w:tc>
        <w:tc>
          <w:tcPr>
            <w:tcW w:w="1596" w:type="pct"/>
            <w:noWrap w:val="0"/>
            <w:vAlign w:val="center"/>
          </w:tcPr>
          <w:p>
            <w:pPr>
              <w:wordWrap w:val="0"/>
              <w:jc w:val="center"/>
              <w:rPr>
                <w:i w:val="0"/>
                <w:iCs w:val="0"/>
                <w:sz w:val="21"/>
                <w:szCs w:val="21"/>
              </w:rPr>
            </w:pPr>
            <w:r>
              <w:rPr>
                <w:i w:val="0"/>
                <w:iCs w:val="0"/>
                <w:sz w:val="21"/>
                <w:szCs w:val="21"/>
              </w:rPr>
              <w:t>排放浓度及排放量</w:t>
            </w:r>
          </w:p>
        </w:tc>
        <w:tc>
          <w:tcPr>
            <w:tcW w:w="1003" w:type="pct"/>
            <w:noWrap w:val="0"/>
            <w:vAlign w:val="center"/>
          </w:tcPr>
          <w:p>
            <w:pPr>
              <w:wordWrap w:val="0"/>
              <w:jc w:val="center"/>
              <w:rPr>
                <w:i w:val="0"/>
                <w:iCs w:val="0"/>
                <w:sz w:val="21"/>
                <w:szCs w:val="21"/>
              </w:rPr>
            </w:pPr>
            <w:r>
              <w:rPr>
                <w:i w:val="0"/>
                <w:iCs w:val="0"/>
                <w:sz w:val="21"/>
                <w:szCs w:val="21"/>
              </w:rPr>
              <w:t>排放标准</w:t>
            </w:r>
          </w:p>
        </w:tc>
        <w:tc>
          <w:tcPr>
            <w:tcW w:w="1533" w:type="pct"/>
            <w:noWrap w:val="0"/>
            <w:vAlign w:val="top"/>
          </w:tcPr>
          <w:p>
            <w:pPr>
              <w:wordWrap w:val="0"/>
              <w:jc w:val="center"/>
              <w:rPr>
                <w:rFonts w:hint="eastAsia"/>
                <w:i w:val="0"/>
                <w:iCs w:val="0"/>
                <w:sz w:val="21"/>
                <w:szCs w:val="21"/>
              </w:rPr>
            </w:pPr>
            <w:r>
              <w:rPr>
                <w:rFonts w:hint="eastAsia"/>
                <w:i w:val="0"/>
                <w:iCs w:val="0"/>
                <w:sz w:val="21"/>
                <w:szCs w:val="21"/>
              </w:rPr>
              <w:t>污染治理设施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06" w:hRule="atLeast"/>
          <w:jc w:val="center"/>
        </w:trPr>
        <w:tc>
          <w:tcPr>
            <w:tcW w:w="227" w:type="pct"/>
            <w:noWrap w:val="0"/>
            <w:vAlign w:val="center"/>
          </w:tcPr>
          <w:p>
            <w:pPr>
              <w:wordWrap w:val="0"/>
              <w:ind w:left="-122" w:leftChars="-51" w:right="-122" w:rightChars="-51"/>
              <w:jc w:val="center"/>
              <w:rPr>
                <w:rFonts w:hint="eastAsia"/>
                <w:i w:val="0"/>
                <w:iCs w:val="0"/>
                <w:sz w:val="21"/>
                <w:szCs w:val="21"/>
              </w:rPr>
            </w:pPr>
            <w:r>
              <w:rPr>
                <w:rFonts w:hint="eastAsia"/>
                <w:i w:val="0"/>
                <w:iCs w:val="0"/>
                <w:sz w:val="21"/>
                <w:szCs w:val="21"/>
              </w:rPr>
              <w:t>废水</w:t>
            </w:r>
          </w:p>
        </w:tc>
        <w:tc>
          <w:tcPr>
            <w:tcW w:w="637" w:type="pct"/>
            <w:noWrap w:val="0"/>
            <w:vAlign w:val="center"/>
          </w:tcPr>
          <w:p>
            <w:pPr>
              <w:wordWrap w:val="0"/>
              <w:ind w:left="-122" w:leftChars="-51" w:right="-122" w:rightChars="-51"/>
              <w:jc w:val="center"/>
              <w:rPr>
                <w:rFonts w:hint="eastAsia"/>
                <w:i w:val="0"/>
                <w:iCs w:val="0"/>
                <w:sz w:val="21"/>
                <w:szCs w:val="21"/>
              </w:rPr>
            </w:pPr>
            <w:r>
              <w:rPr>
                <w:rFonts w:hint="eastAsia"/>
                <w:i w:val="0"/>
                <w:iCs w:val="0"/>
                <w:sz w:val="21"/>
                <w:szCs w:val="21"/>
              </w:rPr>
              <w:t>综合废水</w:t>
            </w:r>
          </w:p>
        </w:tc>
        <w:tc>
          <w:tcPr>
            <w:tcW w:w="1596" w:type="pct"/>
            <w:noWrap w:val="0"/>
            <w:vAlign w:val="center"/>
          </w:tcPr>
          <w:p>
            <w:pPr>
              <w:wordWrap w:val="0"/>
              <w:jc w:val="center"/>
              <w:rPr>
                <w:rFonts w:hint="eastAsia" w:eastAsia="宋体"/>
                <w:i w:val="0"/>
                <w:iCs w:val="0"/>
                <w:sz w:val="21"/>
                <w:szCs w:val="21"/>
                <w:lang w:eastAsia="zh-CN"/>
              </w:rPr>
            </w:pPr>
            <w:r>
              <w:rPr>
                <w:i w:val="0"/>
                <w:iCs w:val="0"/>
                <w:sz w:val="21"/>
                <w:szCs w:val="21"/>
              </w:rPr>
              <w:t>废水排放量</w:t>
            </w:r>
            <w:r>
              <w:rPr>
                <w:rFonts w:hint="eastAsia"/>
                <w:i w:val="0"/>
                <w:iCs w:val="0"/>
                <w:sz w:val="21"/>
                <w:szCs w:val="21"/>
                <w:lang w:val="en-US" w:eastAsia="zh-CN"/>
              </w:rPr>
              <w:t>35568.02</w:t>
            </w:r>
            <w:r>
              <w:rPr>
                <w:i w:val="0"/>
                <w:iCs w:val="0"/>
                <w:sz w:val="21"/>
                <w:szCs w:val="21"/>
              </w:rPr>
              <w:t>m</w:t>
            </w:r>
            <w:r>
              <w:rPr>
                <w:i w:val="0"/>
                <w:iCs w:val="0"/>
                <w:sz w:val="21"/>
                <w:szCs w:val="21"/>
                <w:vertAlign w:val="superscript"/>
              </w:rPr>
              <w:t>3</w:t>
            </w:r>
            <w:r>
              <w:rPr>
                <w:i w:val="0"/>
                <w:iCs w:val="0"/>
                <w:sz w:val="21"/>
                <w:szCs w:val="21"/>
              </w:rPr>
              <w:t>/</w:t>
            </w:r>
            <w:r>
              <w:rPr>
                <w:rFonts w:hint="eastAsia"/>
                <w:i w:val="0"/>
                <w:iCs w:val="0"/>
                <w:sz w:val="21"/>
                <w:szCs w:val="21"/>
                <w:lang w:val="en-US" w:eastAsia="zh-CN"/>
              </w:rPr>
              <w:t>a</w:t>
            </w:r>
          </w:p>
          <w:p>
            <w:pPr>
              <w:wordWrap w:val="0"/>
              <w:rPr>
                <w:i w:val="0"/>
                <w:iCs w:val="0"/>
                <w:sz w:val="21"/>
                <w:szCs w:val="21"/>
              </w:rPr>
            </w:pPr>
          </w:p>
          <w:p>
            <w:pPr>
              <w:wordWrap w:val="0"/>
              <w:rPr>
                <w:i w:val="0"/>
                <w:iCs w:val="0"/>
                <w:sz w:val="21"/>
                <w:szCs w:val="21"/>
              </w:rPr>
            </w:pPr>
            <w:r>
              <w:rPr>
                <w:i w:val="0"/>
                <w:iCs w:val="0"/>
                <w:sz w:val="21"/>
                <w:szCs w:val="21"/>
              </w:rPr>
              <w:t>COD：</w:t>
            </w:r>
            <w:r>
              <w:rPr>
                <w:rFonts w:hint="eastAsia"/>
                <w:i w:val="0"/>
                <w:iCs w:val="0"/>
                <w:sz w:val="21"/>
                <w:szCs w:val="21"/>
                <w:lang w:val="en-US" w:eastAsia="zh-CN"/>
              </w:rPr>
              <w:t>42.3</w:t>
            </w:r>
            <w:r>
              <w:rPr>
                <w:i w:val="0"/>
                <w:iCs w:val="0"/>
                <w:sz w:val="21"/>
                <w:szCs w:val="21"/>
              </w:rPr>
              <w:t>mg/L，</w:t>
            </w:r>
            <w:r>
              <w:rPr>
                <w:rFonts w:hint="eastAsia"/>
                <w:i w:val="0"/>
                <w:iCs w:val="0"/>
                <w:sz w:val="21"/>
                <w:szCs w:val="21"/>
                <w:lang w:val="en-US" w:eastAsia="zh-CN"/>
              </w:rPr>
              <w:t>1.5</w:t>
            </w:r>
            <w:r>
              <w:rPr>
                <w:i w:val="0"/>
                <w:iCs w:val="0"/>
                <w:sz w:val="21"/>
                <w:szCs w:val="21"/>
              </w:rPr>
              <w:t>t/d</w:t>
            </w:r>
          </w:p>
          <w:p>
            <w:pPr>
              <w:wordWrap w:val="0"/>
              <w:rPr>
                <w:i w:val="0"/>
                <w:iCs w:val="0"/>
                <w:sz w:val="21"/>
                <w:szCs w:val="21"/>
              </w:rPr>
            </w:pPr>
            <w:r>
              <w:rPr>
                <w:i w:val="0"/>
                <w:iCs w:val="0"/>
                <w:sz w:val="21"/>
                <w:szCs w:val="21"/>
              </w:rPr>
              <w:t>BOD</w:t>
            </w:r>
            <w:r>
              <w:rPr>
                <w:i w:val="0"/>
                <w:iCs w:val="0"/>
                <w:sz w:val="21"/>
                <w:szCs w:val="21"/>
                <w:vertAlign w:val="subscript"/>
              </w:rPr>
              <w:t>5</w:t>
            </w:r>
            <w:r>
              <w:rPr>
                <w:i w:val="0"/>
                <w:iCs w:val="0"/>
                <w:sz w:val="21"/>
                <w:szCs w:val="21"/>
              </w:rPr>
              <w:t>：</w:t>
            </w:r>
            <w:r>
              <w:rPr>
                <w:rFonts w:hint="eastAsia"/>
                <w:i w:val="0"/>
                <w:iCs w:val="0"/>
                <w:sz w:val="21"/>
                <w:szCs w:val="21"/>
                <w:lang w:val="en-US" w:eastAsia="zh-CN"/>
              </w:rPr>
              <w:t>4.81</w:t>
            </w:r>
            <w:r>
              <w:rPr>
                <w:i w:val="0"/>
                <w:iCs w:val="0"/>
                <w:sz w:val="21"/>
                <w:szCs w:val="21"/>
              </w:rPr>
              <w:t>mg/L，</w:t>
            </w:r>
            <w:r>
              <w:rPr>
                <w:rFonts w:hint="eastAsia"/>
                <w:i w:val="0"/>
                <w:iCs w:val="0"/>
                <w:sz w:val="21"/>
                <w:szCs w:val="21"/>
                <w:lang w:val="en-US" w:eastAsia="zh-CN"/>
              </w:rPr>
              <w:t>0.17</w:t>
            </w:r>
            <w:r>
              <w:rPr>
                <w:i w:val="0"/>
                <w:iCs w:val="0"/>
                <w:sz w:val="21"/>
                <w:szCs w:val="21"/>
              </w:rPr>
              <w:t>t/d</w:t>
            </w:r>
          </w:p>
          <w:p>
            <w:pPr>
              <w:wordWrap w:val="0"/>
              <w:jc w:val="center"/>
              <w:rPr>
                <w:i w:val="0"/>
                <w:iCs w:val="0"/>
                <w:sz w:val="21"/>
                <w:szCs w:val="21"/>
              </w:rPr>
            </w:pPr>
            <w:r>
              <w:rPr>
                <w:rFonts w:hint="eastAsia"/>
                <w:i w:val="0"/>
                <w:iCs w:val="0"/>
                <w:sz w:val="21"/>
                <w:szCs w:val="21"/>
              </w:rPr>
              <w:t>SS：</w:t>
            </w:r>
            <w:r>
              <w:rPr>
                <w:rFonts w:hint="eastAsia"/>
                <w:i w:val="0"/>
                <w:iCs w:val="0"/>
                <w:sz w:val="21"/>
                <w:szCs w:val="21"/>
                <w:lang w:val="en-US" w:eastAsia="zh-CN"/>
              </w:rPr>
              <w:t>3.6</w:t>
            </w:r>
            <w:r>
              <w:rPr>
                <w:i w:val="0"/>
                <w:iCs w:val="0"/>
                <w:sz w:val="21"/>
                <w:szCs w:val="21"/>
              </w:rPr>
              <w:t>mg/L，</w:t>
            </w:r>
            <w:r>
              <w:rPr>
                <w:rFonts w:hint="eastAsia"/>
                <w:i w:val="0"/>
                <w:iCs w:val="0"/>
                <w:sz w:val="21"/>
                <w:szCs w:val="21"/>
                <w:lang w:val="en-US" w:eastAsia="zh-CN"/>
              </w:rPr>
              <w:t>0.13</w:t>
            </w:r>
            <w:r>
              <w:rPr>
                <w:i w:val="0"/>
                <w:iCs w:val="0"/>
                <w:sz w:val="21"/>
                <w:szCs w:val="21"/>
              </w:rPr>
              <w:t>t/d</w:t>
            </w:r>
          </w:p>
          <w:p>
            <w:pPr>
              <w:wordWrap w:val="0"/>
              <w:jc w:val="center"/>
              <w:rPr>
                <w:i w:val="0"/>
                <w:iCs w:val="0"/>
                <w:sz w:val="21"/>
                <w:szCs w:val="21"/>
              </w:rPr>
            </w:pPr>
            <w:r>
              <w:rPr>
                <w:i w:val="0"/>
                <w:iCs w:val="0"/>
                <w:sz w:val="21"/>
                <w:szCs w:val="21"/>
              </w:rPr>
              <w:t>NH</w:t>
            </w:r>
            <w:r>
              <w:rPr>
                <w:i w:val="0"/>
                <w:iCs w:val="0"/>
                <w:sz w:val="21"/>
                <w:szCs w:val="21"/>
                <w:vertAlign w:val="subscript"/>
              </w:rPr>
              <w:t>3</w:t>
            </w:r>
            <w:r>
              <w:rPr>
                <w:i w:val="0"/>
                <w:iCs w:val="0"/>
                <w:sz w:val="21"/>
                <w:szCs w:val="21"/>
              </w:rPr>
              <w:t>-N：</w:t>
            </w:r>
            <w:r>
              <w:rPr>
                <w:rFonts w:hint="eastAsia"/>
                <w:i w:val="0"/>
                <w:iCs w:val="0"/>
                <w:sz w:val="21"/>
                <w:szCs w:val="21"/>
                <w:lang w:val="en-US" w:eastAsia="zh-CN"/>
              </w:rPr>
              <w:t>0.32</w:t>
            </w:r>
            <w:r>
              <w:rPr>
                <w:i w:val="0"/>
                <w:iCs w:val="0"/>
                <w:sz w:val="21"/>
                <w:szCs w:val="21"/>
              </w:rPr>
              <w:t>mg/L，</w:t>
            </w:r>
            <w:r>
              <w:rPr>
                <w:rFonts w:hint="eastAsia"/>
                <w:i w:val="0"/>
                <w:iCs w:val="0"/>
                <w:sz w:val="21"/>
                <w:szCs w:val="21"/>
                <w:lang w:val="en-US" w:eastAsia="zh-CN"/>
              </w:rPr>
              <w:t>0.01</w:t>
            </w:r>
            <w:r>
              <w:rPr>
                <w:i w:val="0"/>
                <w:iCs w:val="0"/>
                <w:sz w:val="21"/>
                <w:szCs w:val="21"/>
              </w:rPr>
              <w:t>t/d</w:t>
            </w:r>
          </w:p>
        </w:tc>
        <w:tc>
          <w:tcPr>
            <w:tcW w:w="1003" w:type="pct"/>
            <w:noWrap w:val="0"/>
            <w:vAlign w:val="center"/>
          </w:tcPr>
          <w:p>
            <w:pPr>
              <w:wordWrap w:val="0"/>
              <w:jc w:val="left"/>
              <w:rPr>
                <w:i w:val="0"/>
                <w:iCs w:val="0"/>
                <w:sz w:val="21"/>
                <w:szCs w:val="21"/>
              </w:rPr>
            </w:pPr>
            <w:r>
              <w:rPr>
                <w:rFonts w:hint="eastAsia"/>
                <w:bCs/>
                <w:i w:val="0"/>
                <w:iCs w:val="0"/>
                <w:sz w:val="21"/>
                <w:szCs w:val="21"/>
              </w:rPr>
              <w:t>《污水综合排放标准》GB8978-1996表2三级标准排放限值及园区污水处理厂进水指标</w:t>
            </w:r>
          </w:p>
        </w:tc>
        <w:tc>
          <w:tcPr>
            <w:tcW w:w="1533" w:type="pct"/>
            <w:noWrap w:val="0"/>
            <w:vAlign w:val="center"/>
          </w:tcPr>
          <w:p>
            <w:pPr>
              <w:wordWrap w:val="0"/>
              <w:jc w:val="left"/>
              <w:rPr>
                <w:rFonts w:hint="eastAsia"/>
                <w:i w:val="0"/>
                <w:iCs w:val="0"/>
                <w:sz w:val="21"/>
                <w:szCs w:val="21"/>
              </w:rPr>
            </w:pPr>
            <w:r>
              <w:rPr>
                <w:rFonts w:hint="eastAsia"/>
                <w:i w:val="0"/>
                <w:iCs w:val="0"/>
                <w:sz w:val="21"/>
                <w:szCs w:val="21"/>
              </w:rPr>
              <w:t>项目产生的食堂废水由油水分离器处理后与生活污水、生产废水经厂内污水管道收集经污水站处理后，排入市政管网进入长白山特色食药科技产业园污水处理厂处理，入厂废水满足与污水厂签订的标准限值</w:t>
            </w:r>
          </w:p>
        </w:tc>
      </w:tr>
    </w:tbl>
    <w:p>
      <w:pPr>
        <w:adjustRightInd w:val="0"/>
        <w:snapToGrid w:val="0"/>
        <w:spacing w:line="360" w:lineRule="auto"/>
        <w:ind w:firstLine="480" w:firstLineChars="200"/>
        <w:rPr>
          <w:rFonts w:hint="eastAsia"/>
          <w:i w:val="0"/>
          <w:iCs w:val="0"/>
          <w:color w:val="000000"/>
        </w:rPr>
      </w:pPr>
      <w:r>
        <w:rPr>
          <w:rFonts w:hint="eastAsia"/>
          <w:i w:val="0"/>
          <w:iCs w:val="0"/>
          <w:color w:val="000000"/>
        </w:rPr>
        <w:t>（3）固体废物</w:t>
      </w:r>
    </w:p>
    <w:p>
      <w:pPr>
        <w:adjustRightInd w:val="0"/>
        <w:snapToGrid w:val="0"/>
        <w:ind w:firstLine="482" w:firstLineChars="200"/>
        <w:jc w:val="center"/>
        <w:rPr>
          <w:rFonts w:hint="eastAsia"/>
          <w:b/>
          <w:bCs/>
          <w:i w:val="0"/>
          <w:iCs w:val="0"/>
          <w:color w:val="000000"/>
        </w:rPr>
      </w:pPr>
      <w:r>
        <w:rPr>
          <w:rFonts w:hint="eastAsia"/>
          <w:b/>
          <w:bCs/>
          <w:i w:val="0"/>
          <w:iCs w:val="0"/>
          <w:color w:val="000000"/>
        </w:rPr>
        <w:t>表 8-4</w:t>
      </w:r>
      <w:r>
        <w:rPr>
          <w:rFonts w:hint="eastAsia"/>
          <w:b/>
          <w:bCs/>
          <w:i w:val="0"/>
          <w:iCs w:val="0"/>
          <w:color w:val="000000"/>
        </w:rPr>
        <w:tab/>
      </w:r>
      <w:r>
        <w:rPr>
          <w:rFonts w:hint="eastAsia"/>
          <w:b/>
          <w:bCs/>
          <w:i w:val="0"/>
          <w:iCs w:val="0"/>
          <w:color w:val="000000"/>
        </w:rPr>
        <w:t>本项目固体废物产生情况一览表</w:t>
      </w:r>
    </w:p>
    <w:tbl>
      <w:tblPr>
        <w:tblStyle w:val="58"/>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51"/>
        <w:gridCol w:w="1882"/>
        <w:gridCol w:w="1316"/>
        <w:gridCol w:w="1327"/>
        <w:gridCol w:w="25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3" w:type="pct"/>
            <w:noWrap w:val="0"/>
            <w:vAlign w:val="center"/>
          </w:tcPr>
          <w:p>
            <w:pPr>
              <w:jc w:val="center"/>
              <w:rPr>
                <w:rFonts w:hint="eastAsia"/>
                <w:i w:val="0"/>
                <w:iCs w:val="0"/>
                <w:sz w:val="21"/>
                <w:szCs w:val="21"/>
              </w:rPr>
            </w:pPr>
            <w:r>
              <w:rPr>
                <w:rFonts w:hint="eastAsia"/>
                <w:i w:val="0"/>
                <w:iCs w:val="0"/>
                <w:sz w:val="21"/>
                <w:szCs w:val="21"/>
              </w:rPr>
              <w:t>种类</w:t>
            </w:r>
          </w:p>
        </w:tc>
        <w:tc>
          <w:tcPr>
            <w:tcW w:w="1014" w:type="pct"/>
            <w:noWrap w:val="0"/>
            <w:vAlign w:val="center"/>
          </w:tcPr>
          <w:p>
            <w:pPr>
              <w:jc w:val="center"/>
              <w:rPr>
                <w:rFonts w:hint="eastAsia"/>
                <w:i w:val="0"/>
                <w:iCs w:val="0"/>
                <w:sz w:val="21"/>
                <w:szCs w:val="21"/>
              </w:rPr>
            </w:pPr>
            <w:r>
              <w:rPr>
                <w:rFonts w:hint="eastAsia"/>
                <w:i w:val="0"/>
                <w:iCs w:val="0"/>
                <w:sz w:val="21"/>
                <w:szCs w:val="21"/>
              </w:rPr>
              <w:t>类别</w:t>
            </w:r>
          </w:p>
        </w:tc>
        <w:tc>
          <w:tcPr>
            <w:tcW w:w="709" w:type="pct"/>
            <w:noWrap w:val="0"/>
            <w:vAlign w:val="center"/>
          </w:tcPr>
          <w:p>
            <w:pPr>
              <w:jc w:val="center"/>
              <w:rPr>
                <w:rFonts w:hint="eastAsia"/>
                <w:i w:val="0"/>
                <w:iCs w:val="0"/>
                <w:sz w:val="21"/>
                <w:szCs w:val="21"/>
              </w:rPr>
            </w:pPr>
            <w:r>
              <w:rPr>
                <w:rFonts w:hint="eastAsia"/>
                <w:i w:val="0"/>
                <w:iCs w:val="0"/>
                <w:sz w:val="21"/>
                <w:szCs w:val="21"/>
              </w:rPr>
              <w:t>产生量（t/a）</w:t>
            </w:r>
          </w:p>
        </w:tc>
        <w:tc>
          <w:tcPr>
            <w:tcW w:w="715" w:type="pct"/>
            <w:noWrap w:val="0"/>
            <w:vAlign w:val="center"/>
          </w:tcPr>
          <w:p>
            <w:pPr>
              <w:jc w:val="center"/>
              <w:rPr>
                <w:rFonts w:hint="eastAsia"/>
                <w:i w:val="0"/>
                <w:iCs w:val="0"/>
                <w:sz w:val="21"/>
                <w:szCs w:val="21"/>
              </w:rPr>
            </w:pPr>
            <w:r>
              <w:rPr>
                <w:rFonts w:hint="eastAsia"/>
                <w:i w:val="0"/>
                <w:iCs w:val="0"/>
                <w:sz w:val="21"/>
                <w:szCs w:val="21"/>
              </w:rPr>
              <w:t>排放量（t/a）</w:t>
            </w:r>
          </w:p>
        </w:tc>
        <w:tc>
          <w:tcPr>
            <w:tcW w:w="1347" w:type="pct"/>
            <w:noWrap w:val="0"/>
            <w:vAlign w:val="center"/>
          </w:tcPr>
          <w:p>
            <w:pPr>
              <w:jc w:val="center"/>
              <w:rPr>
                <w:rFonts w:hint="eastAsia"/>
                <w:i w:val="0"/>
                <w:iCs w:val="0"/>
                <w:sz w:val="21"/>
                <w:szCs w:val="21"/>
              </w:rPr>
            </w:pPr>
            <w:r>
              <w:rPr>
                <w:rFonts w:hint="eastAsia"/>
                <w:i w:val="0"/>
                <w:iCs w:val="0"/>
                <w:sz w:val="21"/>
                <w:szCs w:val="21"/>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2" w:hRule="atLeast"/>
          <w:jc w:val="center"/>
        </w:trPr>
        <w:tc>
          <w:tcPr>
            <w:tcW w:w="1213" w:type="pct"/>
            <w:noWrap w:val="0"/>
            <w:vAlign w:val="center"/>
          </w:tcPr>
          <w:p>
            <w:pPr>
              <w:jc w:val="center"/>
              <w:rPr>
                <w:rFonts w:hint="eastAsia"/>
                <w:i w:val="0"/>
                <w:iCs w:val="0"/>
                <w:sz w:val="21"/>
                <w:szCs w:val="21"/>
              </w:rPr>
            </w:pPr>
            <w:r>
              <w:rPr>
                <w:rFonts w:hint="eastAsia"/>
                <w:i w:val="0"/>
                <w:iCs w:val="0"/>
                <w:sz w:val="21"/>
                <w:szCs w:val="21"/>
              </w:rPr>
              <w:t>生活垃圾</w:t>
            </w:r>
          </w:p>
        </w:tc>
        <w:tc>
          <w:tcPr>
            <w:tcW w:w="1014" w:type="pct"/>
            <w:noWrap w:val="0"/>
            <w:vAlign w:val="center"/>
          </w:tcPr>
          <w:p>
            <w:pPr>
              <w:jc w:val="center"/>
              <w:rPr>
                <w:rFonts w:hint="eastAsia"/>
                <w:i w:val="0"/>
                <w:iCs w:val="0"/>
                <w:sz w:val="21"/>
                <w:szCs w:val="21"/>
              </w:rPr>
            </w:pPr>
            <w:r>
              <w:rPr>
                <w:rFonts w:hint="eastAsia"/>
                <w:i w:val="0"/>
                <w:iCs w:val="0"/>
                <w:sz w:val="21"/>
                <w:szCs w:val="21"/>
              </w:rPr>
              <w:t>一般固体废物</w:t>
            </w:r>
          </w:p>
          <w:p>
            <w:pPr>
              <w:jc w:val="center"/>
              <w:rPr>
                <w:i w:val="0"/>
                <w:iCs w:val="0"/>
                <w:sz w:val="21"/>
                <w:szCs w:val="21"/>
              </w:rPr>
            </w:pPr>
            <w:r>
              <w:rPr>
                <w:i w:val="0"/>
                <w:iCs w:val="0"/>
                <w:sz w:val="21"/>
                <w:szCs w:val="21"/>
              </w:rPr>
              <w:t>900-999-99</w:t>
            </w:r>
          </w:p>
        </w:tc>
        <w:tc>
          <w:tcPr>
            <w:tcW w:w="709" w:type="pct"/>
            <w:noWrap w:val="0"/>
            <w:vAlign w:val="center"/>
          </w:tcPr>
          <w:p>
            <w:pPr>
              <w:jc w:val="center"/>
              <w:rPr>
                <w:i w:val="0"/>
                <w:iCs w:val="0"/>
                <w:sz w:val="21"/>
                <w:szCs w:val="21"/>
              </w:rPr>
            </w:pPr>
            <w:r>
              <w:rPr>
                <w:rFonts w:hint="eastAsia"/>
                <w:i w:val="0"/>
                <w:iCs w:val="0"/>
                <w:sz w:val="21"/>
                <w:szCs w:val="21"/>
              </w:rPr>
              <w:t>12</w:t>
            </w:r>
          </w:p>
        </w:tc>
        <w:tc>
          <w:tcPr>
            <w:tcW w:w="715" w:type="pct"/>
            <w:noWrap w:val="0"/>
            <w:vAlign w:val="center"/>
          </w:tcPr>
          <w:p>
            <w:pPr>
              <w:jc w:val="center"/>
              <w:rPr>
                <w:i w:val="0"/>
                <w:iCs w:val="0"/>
                <w:sz w:val="21"/>
                <w:szCs w:val="21"/>
              </w:rPr>
            </w:pPr>
            <w:r>
              <w:rPr>
                <w:rFonts w:hint="eastAsia"/>
                <w:i w:val="0"/>
                <w:iCs w:val="0"/>
                <w:sz w:val="21"/>
                <w:szCs w:val="21"/>
              </w:rPr>
              <w:t>12</w:t>
            </w:r>
          </w:p>
        </w:tc>
        <w:tc>
          <w:tcPr>
            <w:tcW w:w="1347" w:type="pct"/>
            <w:noWrap w:val="0"/>
            <w:vAlign w:val="center"/>
          </w:tcPr>
          <w:p>
            <w:pPr>
              <w:jc w:val="center"/>
              <w:rPr>
                <w:rFonts w:hint="eastAsia"/>
                <w:i w:val="0"/>
                <w:iCs w:val="0"/>
                <w:sz w:val="21"/>
                <w:szCs w:val="21"/>
              </w:rPr>
            </w:pPr>
            <w:r>
              <w:rPr>
                <w:rFonts w:hint="eastAsia"/>
                <w:i w:val="0"/>
                <w:iCs w:val="0"/>
                <w:sz w:val="21"/>
                <w:szCs w:val="21"/>
              </w:rPr>
              <w:t>暂存防渗垃圾桶，由环卫部门定期清运。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2" w:hRule="atLeast"/>
          <w:jc w:val="center"/>
        </w:trPr>
        <w:tc>
          <w:tcPr>
            <w:tcW w:w="1213" w:type="pct"/>
            <w:noWrap w:val="0"/>
            <w:vAlign w:val="center"/>
          </w:tcPr>
          <w:p>
            <w:pPr>
              <w:jc w:val="center"/>
              <w:rPr>
                <w:rFonts w:hint="eastAsia"/>
                <w:i w:val="0"/>
                <w:iCs w:val="0"/>
                <w:sz w:val="21"/>
                <w:szCs w:val="21"/>
              </w:rPr>
            </w:pPr>
            <w:r>
              <w:rPr>
                <w:rFonts w:hint="eastAsia"/>
                <w:i w:val="0"/>
                <w:iCs w:val="0"/>
                <w:sz w:val="21"/>
                <w:szCs w:val="21"/>
              </w:rPr>
              <w:t>污泥</w:t>
            </w:r>
          </w:p>
        </w:tc>
        <w:tc>
          <w:tcPr>
            <w:tcW w:w="1014" w:type="pct"/>
            <w:noWrap w:val="0"/>
            <w:vAlign w:val="center"/>
          </w:tcPr>
          <w:p>
            <w:pPr>
              <w:jc w:val="center"/>
              <w:rPr>
                <w:i w:val="0"/>
                <w:iCs w:val="0"/>
                <w:sz w:val="21"/>
                <w:szCs w:val="21"/>
              </w:rPr>
            </w:pPr>
            <w:r>
              <w:rPr>
                <w:i w:val="0"/>
                <w:iCs w:val="0"/>
                <w:sz w:val="21"/>
                <w:szCs w:val="21"/>
              </w:rPr>
              <w:t>一般固体废物</w:t>
            </w:r>
          </w:p>
          <w:p>
            <w:pPr>
              <w:jc w:val="center"/>
              <w:rPr>
                <w:i w:val="0"/>
                <w:iCs w:val="0"/>
                <w:sz w:val="21"/>
                <w:szCs w:val="21"/>
              </w:rPr>
            </w:pPr>
            <w:r>
              <w:rPr>
                <w:i w:val="0"/>
                <w:iCs w:val="0"/>
                <w:sz w:val="21"/>
                <w:szCs w:val="21"/>
              </w:rPr>
              <w:t>900-999-61</w:t>
            </w:r>
          </w:p>
        </w:tc>
        <w:tc>
          <w:tcPr>
            <w:tcW w:w="709" w:type="pct"/>
            <w:noWrap w:val="0"/>
            <w:vAlign w:val="center"/>
          </w:tcPr>
          <w:p>
            <w:pPr>
              <w:jc w:val="center"/>
              <w:rPr>
                <w:i w:val="0"/>
                <w:iCs w:val="0"/>
                <w:sz w:val="21"/>
                <w:szCs w:val="21"/>
              </w:rPr>
            </w:pPr>
            <w:r>
              <w:rPr>
                <w:rFonts w:hint="eastAsia"/>
                <w:i w:val="0"/>
                <w:iCs w:val="0"/>
                <w:sz w:val="21"/>
                <w:szCs w:val="21"/>
              </w:rPr>
              <w:t>316</w:t>
            </w:r>
          </w:p>
        </w:tc>
        <w:tc>
          <w:tcPr>
            <w:tcW w:w="715" w:type="pct"/>
            <w:noWrap w:val="0"/>
            <w:vAlign w:val="center"/>
          </w:tcPr>
          <w:p>
            <w:pPr>
              <w:jc w:val="center"/>
              <w:rPr>
                <w:i w:val="0"/>
                <w:iCs w:val="0"/>
                <w:sz w:val="21"/>
                <w:szCs w:val="21"/>
              </w:rPr>
            </w:pPr>
            <w:r>
              <w:rPr>
                <w:rFonts w:hint="eastAsia"/>
                <w:i w:val="0"/>
                <w:iCs w:val="0"/>
                <w:sz w:val="21"/>
                <w:szCs w:val="21"/>
              </w:rPr>
              <w:t>316</w:t>
            </w:r>
          </w:p>
        </w:tc>
        <w:tc>
          <w:tcPr>
            <w:tcW w:w="1347" w:type="pct"/>
            <w:noWrap w:val="0"/>
            <w:vAlign w:val="center"/>
          </w:tcPr>
          <w:p>
            <w:pPr>
              <w:jc w:val="center"/>
              <w:rPr>
                <w:rFonts w:hint="eastAsia"/>
                <w:i w:val="0"/>
                <w:iCs w:val="0"/>
                <w:sz w:val="21"/>
                <w:szCs w:val="21"/>
              </w:rPr>
            </w:pPr>
            <w:r>
              <w:rPr>
                <w:rFonts w:hint="eastAsia"/>
                <w:i w:val="0"/>
                <w:iCs w:val="0"/>
                <w:sz w:val="21"/>
                <w:szCs w:val="21"/>
              </w:rPr>
              <w:t>经脱水后，送至白山绿能新能源有限公司处置。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2" w:hRule="atLeast"/>
          <w:jc w:val="center"/>
        </w:trPr>
        <w:tc>
          <w:tcPr>
            <w:tcW w:w="1213" w:type="pct"/>
            <w:noWrap w:val="0"/>
            <w:vAlign w:val="center"/>
          </w:tcPr>
          <w:p>
            <w:pPr>
              <w:jc w:val="center"/>
              <w:rPr>
                <w:rFonts w:hint="eastAsia" w:eastAsia="宋体"/>
                <w:i w:val="0"/>
                <w:iCs w:val="0"/>
                <w:sz w:val="21"/>
                <w:szCs w:val="21"/>
                <w:lang w:eastAsia="zh-CN"/>
              </w:rPr>
            </w:pPr>
            <w:r>
              <w:rPr>
                <w:rFonts w:hint="eastAsia"/>
                <w:i w:val="0"/>
                <w:iCs w:val="0"/>
                <w:sz w:val="21"/>
                <w:szCs w:val="21"/>
                <w:lang w:eastAsia="zh-CN"/>
              </w:rPr>
              <w:t>收集到的粉尘</w:t>
            </w:r>
          </w:p>
        </w:tc>
        <w:tc>
          <w:tcPr>
            <w:tcW w:w="1014" w:type="pct"/>
            <w:noWrap w:val="0"/>
            <w:vAlign w:val="center"/>
          </w:tcPr>
          <w:p>
            <w:pPr>
              <w:jc w:val="center"/>
              <w:rPr>
                <w:i w:val="0"/>
                <w:iCs w:val="0"/>
                <w:sz w:val="21"/>
                <w:szCs w:val="21"/>
              </w:rPr>
            </w:pPr>
            <w:r>
              <w:rPr>
                <w:i w:val="0"/>
                <w:iCs w:val="0"/>
                <w:sz w:val="21"/>
                <w:szCs w:val="21"/>
              </w:rPr>
              <w:t>一般固体废物</w:t>
            </w:r>
          </w:p>
          <w:p>
            <w:pPr>
              <w:jc w:val="center"/>
              <w:rPr>
                <w:rFonts w:hint="eastAsia" w:eastAsia="宋体"/>
                <w:i w:val="0"/>
                <w:iCs w:val="0"/>
                <w:sz w:val="21"/>
                <w:szCs w:val="21"/>
                <w:lang w:eastAsia="zh-CN"/>
              </w:rPr>
            </w:pPr>
            <w:r>
              <w:rPr>
                <w:i w:val="0"/>
                <w:iCs w:val="0"/>
                <w:sz w:val="21"/>
                <w:szCs w:val="21"/>
              </w:rPr>
              <w:t>900-999-6</w:t>
            </w:r>
            <w:r>
              <w:rPr>
                <w:rFonts w:hint="eastAsia"/>
                <w:i w:val="0"/>
                <w:iCs w:val="0"/>
                <w:sz w:val="21"/>
                <w:szCs w:val="21"/>
                <w:lang w:val="en-US" w:eastAsia="zh-CN"/>
              </w:rPr>
              <w:t>6</w:t>
            </w:r>
          </w:p>
        </w:tc>
        <w:tc>
          <w:tcPr>
            <w:tcW w:w="709" w:type="pct"/>
            <w:noWrap w:val="0"/>
            <w:vAlign w:val="center"/>
          </w:tcPr>
          <w:p>
            <w:pPr>
              <w:jc w:val="center"/>
              <w:rPr>
                <w:rFonts w:hint="default" w:eastAsia="宋体"/>
                <w:i w:val="0"/>
                <w:iCs w:val="0"/>
                <w:sz w:val="21"/>
                <w:szCs w:val="21"/>
                <w:lang w:val="en-US" w:eastAsia="zh-CN"/>
              </w:rPr>
            </w:pPr>
            <w:r>
              <w:rPr>
                <w:rFonts w:hint="eastAsia"/>
                <w:i w:val="0"/>
                <w:iCs w:val="0"/>
                <w:sz w:val="21"/>
                <w:szCs w:val="21"/>
                <w:lang w:val="en-US" w:eastAsia="zh-CN"/>
              </w:rPr>
              <w:t>220.681</w:t>
            </w:r>
          </w:p>
        </w:tc>
        <w:tc>
          <w:tcPr>
            <w:tcW w:w="715" w:type="pct"/>
            <w:noWrap w:val="0"/>
            <w:vAlign w:val="center"/>
          </w:tcPr>
          <w:p>
            <w:pPr>
              <w:jc w:val="center"/>
              <w:rPr>
                <w:rFonts w:hint="eastAsia"/>
                <w:i w:val="0"/>
                <w:iCs w:val="0"/>
                <w:sz w:val="21"/>
                <w:szCs w:val="21"/>
              </w:rPr>
            </w:pPr>
            <w:r>
              <w:rPr>
                <w:rFonts w:hint="eastAsia"/>
                <w:i w:val="0"/>
                <w:iCs w:val="0"/>
                <w:sz w:val="21"/>
                <w:szCs w:val="21"/>
                <w:lang w:val="en-US" w:eastAsia="zh-CN"/>
              </w:rPr>
              <w:t>220.681</w:t>
            </w:r>
          </w:p>
        </w:tc>
        <w:tc>
          <w:tcPr>
            <w:tcW w:w="1347" w:type="pct"/>
            <w:noWrap w:val="0"/>
            <w:vAlign w:val="center"/>
          </w:tcPr>
          <w:p>
            <w:pPr>
              <w:jc w:val="center"/>
              <w:rPr>
                <w:rFonts w:hint="eastAsia" w:eastAsia="宋体"/>
                <w:i w:val="0"/>
                <w:iCs w:val="0"/>
                <w:sz w:val="21"/>
                <w:szCs w:val="21"/>
                <w:lang w:eastAsia="zh-CN"/>
              </w:rPr>
            </w:pPr>
            <w:r>
              <w:rPr>
                <w:rFonts w:hint="eastAsia"/>
                <w:i w:val="0"/>
                <w:iCs w:val="0"/>
                <w:sz w:val="21"/>
                <w:szCs w:val="21"/>
                <w:lang w:eastAsia="zh-CN"/>
              </w:rPr>
              <w:t>外卖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3" w:type="pct"/>
            <w:noWrap w:val="0"/>
            <w:vAlign w:val="center"/>
          </w:tcPr>
          <w:p>
            <w:pPr>
              <w:jc w:val="center"/>
              <w:rPr>
                <w:rFonts w:hint="eastAsia"/>
                <w:i w:val="0"/>
                <w:iCs w:val="0"/>
                <w:sz w:val="21"/>
                <w:szCs w:val="21"/>
              </w:rPr>
            </w:pPr>
            <w:r>
              <w:rPr>
                <w:rFonts w:hint="eastAsia"/>
                <w:i w:val="0"/>
                <w:iCs w:val="0"/>
                <w:sz w:val="21"/>
                <w:szCs w:val="21"/>
              </w:rPr>
              <w:t>废包装材料</w:t>
            </w:r>
          </w:p>
        </w:tc>
        <w:tc>
          <w:tcPr>
            <w:tcW w:w="1014" w:type="pct"/>
            <w:noWrap w:val="0"/>
            <w:vAlign w:val="center"/>
          </w:tcPr>
          <w:p>
            <w:pPr>
              <w:jc w:val="center"/>
              <w:rPr>
                <w:i w:val="0"/>
                <w:iCs w:val="0"/>
                <w:sz w:val="21"/>
                <w:szCs w:val="21"/>
              </w:rPr>
            </w:pPr>
            <w:r>
              <w:rPr>
                <w:i w:val="0"/>
                <w:iCs w:val="0"/>
                <w:sz w:val="21"/>
                <w:szCs w:val="21"/>
              </w:rPr>
              <w:t>一般固体废物</w:t>
            </w:r>
            <w:r>
              <w:rPr>
                <w:rFonts w:hint="eastAsia"/>
                <w:i w:val="0"/>
                <w:iCs w:val="0"/>
                <w:sz w:val="21"/>
                <w:szCs w:val="21"/>
              </w:rPr>
              <w:t>999-999-99</w:t>
            </w:r>
          </w:p>
        </w:tc>
        <w:tc>
          <w:tcPr>
            <w:tcW w:w="709" w:type="pct"/>
            <w:noWrap w:val="0"/>
            <w:vAlign w:val="center"/>
          </w:tcPr>
          <w:p>
            <w:pPr>
              <w:jc w:val="center"/>
              <w:rPr>
                <w:i w:val="0"/>
                <w:iCs w:val="0"/>
                <w:sz w:val="21"/>
                <w:szCs w:val="21"/>
              </w:rPr>
            </w:pPr>
            <w:r>
              <w:rPr>
                <w:rFonts w:hint="eastAsia"/>
                <w:i w:val="0"/>
                <w:iCs w:val="0"/>
                <w:sz w:val="21"/>
                <w:szCs w:val="21"/>
              </w:rPr>
              <w:t>5</w:t>
            </w:r>
          </w:p>
        </w:tc>
        <w:tc>
          <w:tcPr>
            <w:tcW w:w="715" w:type="pct"/>
            <w:noWrap w:val="0"/>
            <w:vAlign w:val="center"/>
          </w:tcPr>
          <w:p>
            <w:pPr>
              <w:jc w:val="center"/>
              <w:rPr>
                <w:i w:val="0"/>
                <w:iCs w:val="0"/>
                <w:sz w:val="21"/>
                <w:szCs w:val="21"/>
              </w:rPr>
            </w:pPr>
            <w:r>
              <w:rPr>
                <w:rFonts w:hint="eastAsia"/>
                <w:i w:val="0"/>
                <w:iCs w:val="0"/>
                <w:sz w:val="21"/>
                <w:szCs w:val="21"/>
              </w:rPr>
              <w:t>5</w:t>
            </w:r>
          </w:p>
        </w:tc>
        <w:tc>
          <w:tcPr>
            <w:tcW w:w="1347" w:type="pct"/>
            <w:noWrap w:val="0"/>
            <w:vAlign w:val="center"/>
          </w:tcPr>
          <w:p>
            <w:pPr>
              <w:jc w:val="center"/>
              <w:rPr>
                <w:rFonts w:hint="eastAsia"/>
                <w:i w:val="0"/>
                <w:iCs w:val="0"/>
                <w:sz w:val="21"/>
                <w:szCs w:val="21"/>
              </w:rPr>
            </w:pPr>
            <w:r>
              <w:rPr>
                <w:rFonts w:hint="eastAsia"/>
                <w:i w:val="0"/>
                <w:iCs w:val="0"/>
                <w:sz w:val="21"/>
                <w:szCs w:val="21"/>
              </w:rPr>
              <w:t>外卖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13" w:type="pct"/>
            <w:noWrap w:val="0"/>
            <w:vAlign w:val="center"/>
          </w:tcPr>
          <w:p>
            <w:pPr>
              <w:jc w:val="center"/>
              <w:rPr>
                <w:rFonts w:hint="eastAsia"/>
                <w:i w:val="0"/>
                <w:iCs w:val="0"/>
                <w:sz w:val="21"/>
                <w:szCs w:val="21"/>
              </w:rPr>
            </w:pPr>
            <w:r>
              <w:rPr>
                <w:rFonts w:hint="eastAsia"/>
                <w:i w:val="0"/>
                <w:iCs w:val="0"/>
                <w:sz w:val="21"/>
                <w:szCs w:val="21"/>
              </w:rPr>
              <w:t>废滤材（初中高效过滤器、过滤芯）</w:t>
            </w:r>
          </w:p>
        </w:tc>
        <w:tc>
          <w:tcPr>
            <w:tcW w:w="1014" w:type="pct"/>
            <w:noWrap w:val="0"/>
            <w:vAlign w:val="center"/>
          </w:tcPr>
          <w:p>
            <w:pPr>
              <w:jc w:val="center"/>
              <w:rPr>
                <w:i w:val="0"/>
                <w:iCs w:val="0"/>
                <w:sz w:val="21"/>
                <w:szCs w:val="21"/>
              </w:rPr>
            </w:pPr>
            <w:r>
              <w:rPr>
                <w:i w:val="0"/>
                <w:iCs w:val="0"/>
                <w:sz w:val="21"/>
                <w:szCs w:val="21"/>
              </w:rPr>
              <w:t>一般固体废物</w:t>
            </w:r>
            <w:r>
              <w:rPr>
                <w:rFonts w:hint="eastAsia"/>
                <w:i w:val="0"/>
                <w:iCs w:val="0"/>
                <w:sz w:val="21"/>
                <w:szCs w:val="21"/>
              </w:rPr>
              <w:t>999-999-99</w:t>
            </w:r>
          </w:p>
        </w:tc>
        <w:tc>
          <w:tcPr>
            <w:tcW w:w="709" w:type="pct"/>
            <w:noWrap w:val="0"/>
            <w:vAlign w:val="center"/>
          </w:tcPr>
          <w:p>
            <w:pPr>
              <w:jc w:val="center"/>
              <w:rPr>
                <w:rFonts w:hint="default" w:eastAsia="宋体"/>
                <w:i w:val="0"/>
                <w:iCs w:val="0"/>
                <w:sz w:val="21"/>
                <w:szCs w:val="21"/>
                <w:lang w:val="en-US" w:eastAsia="zh-CN"/>
              </w:rPr>
            </w:pPr>
            <w:r>
              <w:rPr>
                <w:rFonts w:hint="eastAsia"/>
                <w:i w:val="0"/>
                <w:iCs w:val="0"/>
                <w:sz w:val="21"/>
                <w:szCs w:val="21"/>
                <w:lang w:val="en-US" w:eastAsia="zh-CN"/>
              </w:rPr>
              <w:t>0.5</w:t>
            </w:r>
          </w:p>
        </w:tc>
        <w:tc>
          <w:tcPr>
            <w:tcW w:w="715" w:type="pct"/>
            <w:noWrap w:val="0"/>
            <w:vAlign w:val="center"/>
          </w:tcPr>
          <w:p>
            <w:pPr>
              <w:jc w:val="center"/>
              <w:rPr>
                <w:rFonts w:hint="default" w:eastAsia="宋体"/>
                <w:i w:val="0"/>
                <w:iCs w:val="0"/>
                <w:sz w:val="21"/>
                <w:szCs w:val="21"/>
                <w:lang w:val="en-US" w:eastAsia="zh-CN"/>
              </w:rPr>
            </w:pPr>
            <w:r>
              <w:rPr>
                <w:rFonts w:hint="eastAsia"/>
                <w:i w:val="0"/>
                <w:iCs w:val="0"/>
                <w:sz w:val="21"/>
                <w:szCs w:val="21"/>
                <w:lang w:val="en-US" w:eastAsia="zh-CN"/>
              </w:rPr>
              <w:t>0.5</w:t>
            </w:r>
          </w:p>
        </w:tc>
        <w:tc>
          <w:tcPr>
            <w:tcW w:w="1347" w:type="pct"/>
            <w:noWrap w:val="0"/>
            <w:vAlign w:val="center"/>
          </w:tcPr>
          <w:p>
            <w:pPr>
              <w:jc w:val="center"/>
              <w:rPr>
                <w:rFonts w:hint="eastAsia"/>
                <w:i w:val="0"/>
                <w:iCs w:val="0"/>
                <w:sz w:val="21"/>
                <w:szCs w:val="21"/>
              </w:rPr>
            </w:pPr>
            <w:r>
              <w:rPr>
                <w:rFonts w:hint="eastAsia"/>
                <w:i w:val="0"/>
                <w:iCs w:val="0"/>
                <w:sz w:val="21"/>
                <w:szCs w:val="21"/>
              </w:rPr>
              <w:t>外卖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2" w:hRule="atLeast"/>
          <w:jc w:val="center"/>
        </w:trPr>
        <w:tc>
          <w:tcPr>
            <w:tcW w:w="1213" w:type="pct"/>
            <w:noWrap w:val="0"/>
            <w:vAlign w:val="center"/>
          </w:tcPr>
          <w:p>
            <w:pPr>
              <w:jc w:val="center"/>
              <w:rPr>
                <w:rFonts w:hint="eastAsia"/>
                <w:i w:val="0"/>
                <w:iCs w:val="0"/>
                <w:sz w:val="21"/>
                <w:szCs w:val="21"/>
              </w:rPr>
            </w:pPr>
            <w:r>
              <w:rPr>
                <w:rFonts w:hint="eastAsia"/>
                <w:i w:val="0"/>
                <w:iCs w:val="0"/>
                <w:sz w:val="21"/>
                <w:szCs w:val="21"/>
              </w:rPr>
              <w:t>废活性炭</w:t>
            </w:r>
          </w:p>
        </w:tc>
        <w:tc>
          <w:tcPr>
            <w:tcW w:w="1014" w:type="pct"/>
            <w:noWrap w:val="0"/>
            <w:vAlign w:val="center"/>
          </w:tcPr>
          <w:p>
            <w:pPr>
              <w:jc w:val="center"/>
              <w:rPr>
                <w:i w:val="0"/>
                <w:iCs w:val="0"/>
                <w:sz w:val="21"/>
                <w:szCs w:val="21"/>
              </w:rPr>
            </w:pPr>
            <w:r>
              <w:rPr>
                <w:i w:val="0"/>
                <w:iCs w:val="0"/>
                <w:sz w:val="21"/>
                <w:szCs w:val="21"/>
              </w:rPr>
              <w:t>危险废物（代码：</w:t>
            </w:r>
            <w:r>
              <w:rPr>
                <w:rFonts w:hint="eastAsia"/>
                <w:i w:val="0"/>
                <w:iCs w:val="0"/>
                <w:sz w:val="21"/>
                <w:szCs w:val="21"/>
              </w:rPr>
              <w:t>HW49 900-041-49</w:t>
            </w:r>
            <w:r>
              <w:rPr>
                <w:i w:val="0"/>
                <w:iCs w:val="0"/>
                <w:sz w:val="21"/>
                <w:szCs w:val="21"/>
              </w:rPr>
              <w:t>）</w:t>
            </w:r>
          </w:p>
        </w:tc>
        <w:tc>
          <w:tcPr>
            <w:tcW w:w="709" w:type="pct"/>
            <w:noWrap w:val="0"/>
            <w:vAlign w:val="center"/>
          </w:tcPr>
          <w:p>
            <w:pPr>
              <w:widowControl/>
              <w:jc w:val="center"/>
              <w:textAlignment w:val="center"/>
              <w:rPr>
                <w:i w:val="0"/>
                <w:iCs w:val="0"/>
                <w:sz w:val="21"/>
                <w:szCs w:val="21"/>
              </w:rPr>
            </w:pPr>
            <w:r>
              <w:rPr>
                <w:rFonts w:hint="eastAsia"/>
                <w:i w:val="0"/>
                <w:iCs w:val="0"/>
                <w:sz w:val="21"/>
                <w:szCs w:val="21"/>
              </w:rPr>
              <w:t>0.5</w:t>
            </w:r>
          </w:p>
        </w:tc>
        <w:tc>
          <w:tcPr>
            <w:tcW w:w="715" w:type="pct"/>
            <w:noWrap w:val="0"/>
            <w:vAlign w:val="center"/>
          </w:tcPr>
          <w:p>
            <w:pPr>
              <w:widowControl/>
              <w:jc w:val="center"/>
              <w:textAlignment w:val="center"/>
              <w:rPr>
                <w:i w:val="0"/>
                <w:iCs w:val="0"/>
                <w:sz w:val="21"/>
                <w:szCs w:val="21"/>
              </w:rPr>
            </w:pPr>
            <w:r>
              <w:rPr>
                <w:rFonts w:hint="eastAsia"/>
                <w:i w:val="0"/>
                <w:iCs w:val="0"/>
                <w:sz w:val="21"/>
                <w:szCs w:val="21"/>
              </w:rPr>
              <w:t>0.5</w:t>
            </w:r>
          </w:p>
        </w:tc>
        <w:tc>
          <w:tcPr>
            <w:tcW w:w="1347" w:type="pct"/>
            <w:vMerge w:val="restart"/>
            <w:noWrap w:val="0"/>
            <w:vAlign w:val="center"/>
          </w:tcPr>
          <w:p>
            <w:pPr>
              <w:jc w:val="center"/>
              <w:rPr>
                <w:rFonts w:hint="eastAsia"/>
                <w:i w:val="0"/>
                <w:iCs w:val="0"/>
                <w:sz w:val="21"/>
                <w:szCs w:val="21"/>
              </w:rPr>
            </w:pPr>
            <w:r>
              <w:rPr>
                <w:i w:val="0"/>
                <w:iCs w:val="0"/>
                <w:sz w:val="21"/>
                <w:szCs w:val="21"/>
              </w:rPr>
              <w:t>暂存危险废物</w:t>
            </w:r>
            <w:r>
              <w:rPr>
                <w:rFonts w:hint="eastAsia"/>
                <w:i w:val="0"/>
                <w:iCs w:val="0"/>
                <w:sz w:val="21"/>
                <w:szCs w:val="21"/>
              </w:rPr>
              <w:t>暂存间内</w:t>
            </w:r>
            <w:r>
              <w:rPr>
                <w:i w:val="0"/>
                <w:iCs w:val="0"/>
                <w:sz w:val="21"/>
                <w:szCs w:val="21"/>
              </w:rPr>
              <w:t>，委托</w:t>
            </w:r>
            <w:r>
              <w:rPr>
                <w:rFonts w:hint="eastAsia"/>
                <w:i w:val="0"/>
                <w:iCs w:val="0"/>
                <w:sz w:val="21"/>
                <w:szCs w:val="21"/>
              </w:rPr>
              <w:t>有资质单位处理</w:t>
            </w:r>
            <w:r>
              <w:rPr>
                <w:i w:val="0"/>
                <w:iCs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2" w:hRule="atLeast"/>
          <w:jc w:val="center"/>
        </w:trPr>
        <w:tc>
          <w:tcPr>
            <w:tcW w:w="1213" w:type="pct"/>
            <w:noWrap w:val="0"/>
            <w:vAlign w:val="center"/>
          </w:tcPr>
          <w:p>
            <w:pPr>
              <w:jc w:val="center"/>
              <w:rPr>
                <w:rFonts w:hint="eastAsia" w:eastAsia="宋体"/>
                <w:i w:val="0"/>
                <w:iCs w:val="0"/>
                <w:sz w:val="21"/>
                <w:szCs w:val="21"/>
                <w:lang w:eastAsia="zh-CN"/>
              </w:rPr>
            </w:pPr>
            <w:r>
              <w:rPr>
                <w:rFonts w:hint="eastAsia"/>
                <w:i w:val="0"/>
                <w:iCs w:val="0"/>
                <w:sz w:val="21"/>
                <w:szCs w:val="21"/>
                <w:lang w:eastAsia="zh-CN"/>
              </w:rPr>
              <w:t>实验废液</w:t>
            </w:r>
          </w:p>
        </w:tc>
        <w:tc>
          <w:tcPr>
            <w:tcW w:w="1014" w:type="pct"/>
            <w:noWrap w:val="0"/>
            <w:vAlign w:val="center"/>
          </w:tcPr>
          <w:p>
            <w:pPr>
              <w:jc w:val="center"/>
              <w:rPr>
                <w:i w:val="0"/>
                <w:iCs w:val="0"/>
                <w:sz w:val="21"/>
                <w:szCs w:val="21"/>
              </w:rPr>
            </w:pPr>
            <w:r>
              <w:rPr>
                <w:i w:val="0"/>
                <w:iCs w:val="0"/>
                <w:sz w:val="21"/>
                <w:szCs w:val="21"/>
              </w:rPr>
              <w:t>危险废物（代码：</w:t>
            </w:r>
            <w:r>
              <w:rPr>
                <w:rFonts w:hint="eastAsia"/>
                <w:i w:val="0"/>
                <w:iCs w:val="0"/>
                <w:sz w:val="21"/>
                <w:szCs w:val="21"/>
              </w:rPr>
              <w:t>HW49 900-047-49</w:t>
            </w:r>
            <w:r>
              <w:rPr>
                <w:i w:val="0"/>
                <w:iCs w:val="0"/>
                <w:sz w:val="21"/>
                <w:szCs w:val="21"/>
              </w:rPr>
              <w:t>）</w:t>
            </w:r>
          </w:p>
        </w:tc>
        <w:tc>
          <w:tcPr>
            <w:tcW w:w="709" w:type="pct"/>
            <w:noWrap w:val="0"/>
            <w:vAlign w:val="center"/>
          </w:tcPr>
          <w:p>
            <w:pPr>
              <w:widowControl/>
              <w:jc w:val="center"/>
              <w:textAlignment w:val="center"/>
              <w:rPr>
                <w:rFonts w:hint="default" w:eastAsia="宋体"/>
                <w:i w:val="0"/>
                <w:iCs w:val="0"/>
                <w:sz w:val="21"/>
                <w:szCs w:val="21"/>
                <w:lang w:val="en-US" w:eastAsia="zh-CN"/>
              </w:rPr>
            </w:pPr>
            <w:r>
              <w:rPr>
                <w:rFonts w:hint="eastAsia"/>
                <w:i w:val="0"/>
                <w:iCs w:val="0"/>
                <w:sz w:val="21"/>
                <w:szCs w:val="21"/>
                <w:lang w:val="en-US" w:eastAsia="zh-CN"/>
              </w:rPr>
              <w:t>0.07</w:t>
            </w:r>
          </w:p>
        </w:tc>
        <w:tc>
          <w:tcPr>
            <w:tcW w:w="715" w:type="pct"/>
            <w:noWrap w:val="0"/>
            <w:vAlign w:val="center"/>
          </w:tcPr>
          <w:p>
            <w:pPr>
              <w:widowControl/>
              <w:jc w:val="center"/>
              <w:textAlignment w:val="center"/>
              <w:rPr>
                <w:rFonts w:hint="eastAsia"/>
                <w:i w:val="0"/>
                <w:iCs w:val="0"/>
                <w:sz w:val="21"/>
                <w:szCs w:val="21"/>
              </w:rPr>
            </w:pPr>
            <w:r>
              <w:rPr>
                <w:rFonts w:hint="eastAsia"/>
                <w:i w:val="0"/>
                <w:iCs w:val="0"/>
                <w:sz w:val="21"/>
                <w:szCs w:val="21"/>
                <w:lang w:val="en-US" w:eastAsia="zh-CN"/>
              </w:rPr>
              <w:t>0.07</w:t>
            </w:r>
          </w:p>
        </w:tc>
        <w:tc>
          <w:tcPr>
            <w:tcW w:w="1347" w:type="pct"/>
            <w:vMerge w:val="continue"/>
            <w:noWrap w:val="0"/>
            <w:vAlign w:val="center"/>
          </w:tcPr>
          <w:p>
            <w:pPr>
              <w:jc w:val="center"/>
              <w:rPr>
                <w:rFonts w:hint="eastAsia"/>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2" w:hRule="atLeast"/>
          <w:jc w:val="center"/>
        </w:trPr>
        <w:tc>
          <w:tcPr>
            <w:tcW w:w="1213" w:type="pct"/>
            <w:noWrap w:val="0"/>
            <w:vAlign w:val="center"/>
          </w:tcPr>
          <w:p>
            <w:pPr>
              <w:jc w:val="center"/>
              <w:rPr>
                <w:rFonts w:hint="eastAsia"/>
                <w:i w:val="0"/>
                <w:iCs w:val="0"/>
                <w:sz w:val="21"/>
                <w:szCs w:val="21"/>
              </w:rPr>
            </w:pPr>
            <w:r>
              <w:rPr>
                <w:rFonts w:hint="eastAsia"/>
                <w:i w:val="0"/>
                <w:iCs w:val="0"/>
                <w:sz w:val="21"/>
                <w:szCs w:val="21"/>
              </w:rPr>
              <w:t>废包装瓶</w:t>
            </w:r>
          </w:p>
        </w:tc>
        <w:tc>
          <w:tcPr>
            <w:tcW w:w="1014" w:type="pct"/>
            <w:noWrap w:val="0"/>
            <w:vAlign w:val="center"/>
          </w:tcPr>
          <w:p>
            <w:pPr>
              <w:jc w:val="center"/>
              <w:rPr>
                <w:i w:val="0"/>
                <w:iCs w:val="0"/>
                <w:sz w:val="21"/>
                <w:szCs w:val="21"/>
              </w:rPr>
            </w:pPr>
            <w:r>
              <w:rPr>
                <w:i w:val="0"/>
                <w:iCs w:val="0"/>
                <w:sz w:val="21"/>
                <w:szCs w:val="21"/>
              </w:rPr>
              <w:t>危险废物（代码：</w:t>
            </w:r>
            <w:r>
              <w:rPr>
                <w:rFonts w:hint="eastAsia"/>
                <w:i w:val="0"/>
                <w:iCs w:val="0"/>
                <w:sz w:val="21"/>
                <w:szCs w:val="21"/>
              </w:rPr>
              <w:t>HW49 900-047-49</w:t>
            </w:r>
            <w:r>
              <w:rPr>
                <w:i w:val="0"/>
                <w:iCs w:val="0"/>
                <w:sz w:val="21"/>
                <w:szCs w:val="21"/>
              </w:rPr>
              <w:t>）</w:t>
            </w:r>
          </w:p>
        </w:tc>
        <w:tc>
          <w:tcPr>
            <w:tcW w:w="709" w:type="pct"/>
            <w:noWrap w:val="0"/>
            <w:vAlign w:val="center"/>
          </w:tcPr>
          <w:p>
            <w:pPr>
              <w:widowControl/>
              <w:jc w:val="center"/>
              <w:textAlignment w:val="center"/>
              <w:rPr>
                <w:rFonts w:hint="default" w:eastAsia="宋体"/>
                <w:i w:val="0"/>
                <w:iCs w:val="0"/>
                <w:sz w:val="21"/>
                <w:szCs w:val="21"/>
                <w:lang w:val="en-US" w:eastAsia="zh-CN"/>
              </w:rPr>
            </w:pPr>
            <w:r>
              <w:rPr>
                <w:rFonts w:hint="eastAsia"/>
                <w:i w:val="0"/>
                <w:iCs w:val="0"/>
                <w:sz w:val="21"/>
                <w:szCs w:val="21"/>
                <w:lang w:val="en-US" w:eastAsia="zh-CN"/>
              </w:rPr>
              <w:t>0.05</w:t>
            </w:r>
          </w:p>
        </w:tc>
        <w:tc>
          <w:tcPr>
            <w:tcW w:w="715" w:type="pct"/>
            <w:noWrap w:val="0"/>
            <w:vAlign w:val="center"/>
          </w:tcPr>
          <w:p>
            <w:pPr>
              <w:widowControl/>
              <w:jc w:val="center"/>
              <w:textAlignment w:val="center"/>
              <w:rPr>
                <w:rFonts w:hint="eastAsia"/>
                <w:i w:val="0"/>
                <w:iCs w:val="0"/>
                <w:sz w:val="21"/>
                <w:szCs w:val="21"/>
              </w:rPr>
            </w:pPr>
            <w:r>
              <w:rPr>
                <w:rFonts w:hint="eastAsia"/>
                <w:i w:val="0"/>
                <w:iCs w:val="0"/>
                <w:sz w:val="21"/>
                <w:szCs w:val="21"/>
                <w:lang w:val="en-US" w:eastAsia="zh-CN"/>
              </w:rPr>
              <w:t>0.05</w:t>
            </w:r>
          </w:p>
        </w:tc>
        <w:tc>
          <w:tcPr>
            <w:tcW w:w="1347" w:type="pct"/>
            <w:vMerge w:val="continue"/>
            <w:noWrap w:val="0"/>
            <w:vAlign w:val="center"/>
          </w:tcPr>
          <w:p>
            <w:pPr>
              <w:jc w:val="center"/>
              <w:rPr>
                <w:rFonts w:hint="eastAsia"/>
                <w:i w:val="0"/>
                <w:iCs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2" w:hRule="atLeast"/>
          <w:jc w:val="center"/>
        </w:trPr>
        <w:tc>
          <w:tcPr>
            <w:tcW w:w="1213" w:type="pct"/>
            <w:noWrap w:val="0"/>
            <w:vAlign w:val="center"/>
          </w:tcPr>
          <w:p>
            <w:pPr>
              <w:jc w:val="center"/>
              <w:rPr>
                <w:rFonts w:hint="eastAsia"/>
                <w:i w:val="0"/>
                <w:iCs w:val="0"/>
                <w:sz w:val="21"/>
                <w:szCs w:val="21"/>
              </w:rPr>
            </w:pPr>
            <w:bookmarkStart w:id="310" w:name="_Toc19373"/>
            <w:r>
              <w:rPr>
                <w:rFonts w:hint="eastAsia"/>
                <w:i w:val="0"/>
                <w:iCs w:val="0"/>
                <w:sz w:val="21"/>
                <w:szCs w:val="21"/>
                <w:lang w:eastAsia="zh-CN"/>
              </w:rPr>
              <w:t>废机油及废机油桶</w:t>
            </w:r>
          </w:p>
        </w:tc>
        <w:tc>
          <w:tcPr>
            <w:tcW w:w="1014" w:type="pct"/>
            <w:noWrap w:val="0"/>
            <w:vAlign w:val="center"/>
          </w:tcPr>
          <w:p>
            <w:pPr>
              <w:jc w:val="center"/>
              <w:rPr>
                <w:i w:val="0"/>
                <w:iCs w:val="0"/>
                <w:sz w:val="21"/>
                <w:szCs w:val="21"/>
              </w:rPr>
            </w:pPr>
            <w:r>
              <w:rPr>
                <w:i w:val="0"/>
                <w:iCs w:val="0"/>
                <w:sz w:val="21"/>
                <w:szCs w:val="21"/>
              </w:rPr>
              <w:t>危险废物（代码：</w:t>
            </w:r>
            <w:r>
              <w:rPr>
                <w:rFonts w:hint="eastAsia"/>
                <w:i w:val="0"/>
                <w:iCs w:val="0"/>
                <w:sz w:val="21"/>
                <w:szCs w:val="21"/>
              </w:rPr>
              <w:t>HW</w:t>
            </w:r>
            <w:r>
              <w:rPr>
                <w:rFonts w:hint="eastAsia"/>
                <w:i w:val="0"/>
                <w:iCs w:val="0"/>
                <w:sz w:val="21"/>
                <w:szCs w:val="21"/>
                <w:lang w:val="en-US" w:eastAsia="zh-CN"/>
              </w:rPr>
              <w:t>08</w:t>
            </w:r>
            <w:r>
              <w:rPr>
                <w:rFonts w:hint="eastAsia"/>
                <w:i w:val="0"/>
                <w:iCs w:val="0"/>
                <w:sz w:val="21"/>
                <w:szCs w:val="21"/>
              </w:rPr>
              <w:t xml:space="preserve"> 900-</w:t>
            </w:r>
            <w:r>
              <w:rPr>
                <w:rFonts w:hint="eastAsia"/>
                <w:i w:val="0"/>
                <w:iCs w:val="0"/>
                <w:sz w:val="21"/>
                <w:szCs w:val="21"/>
                <w:lang w:val="en-US" w:eastAsia="zh-CN"/>
              </w:rPr>
              <w:t>249</w:t>
            </w:r>
            <w:r>
              <w:rPr>
                <w:rFonts w:hint="eastAsia"/>
                <w:i w:val="0"/>
                <w:iCs w:val="0"/>
                <w:sz w:val="21"/>
                <w:szCs w:val="21"/>
              </w:rPr>
              <w:t>-</w:t>
            </w:r>
            <w:r>
              <w:rPr>
                <w:rFonts w:hint="eastAsia"/>
                <w:i w:val="0"/>
                <w:iCs w:val="0"/>
                <w:sz w:val="21"/>
                <w:szCs w:val="21"/>
                <w:lang w:val="en-US" w:eastAsia="zh-CN"/>
              </w:rPr>
              <w:t>08</w:t>
            </w:r>
            <w:r>
              <w:rPr>
                <w:i w:val="0"/>
                <w:iCs w:val="0"/>
                <w:sz w:val="21"/>
                <w:szCs w:val="21"/>
              </w:rPr>
              <w:t>）</w:t>
            </w:r>
          </w:p>
        </w:tc>
        <w:tc>
          <w:tcPr>
            <w:tcW w:w="709" w:type="pct"/>
            <w:noWrap w:val="0"/>
            <w:vAlign w:val="center"/>
          </w:tcPr>
          <w:p>
            <w:pPr>
              <w:widowControl/>
              <w:jc w:val="center"/>
              <w:textAlignment w:val="center"/>
              <w:rPr>
                <w:rFonts w:hint="eastAsia"/>
                <w:i w:val="0"/>
                <w:iCs w:val="0"/>
                <w:sz w:val="21"/>
                <w:szCs w:val="21"/>
                <w:lang w:val="en-US" w:eastAsia="zh-CN"/>
              </w:rPr>
            </w:pPr>
            <w:r>
              <w:rPr>
                <w:rFonts w:hint="eastAsia"/>
                <w:i w:val="0"/>
                <w:iCs w:val="0"/>
                <w:sz w:val="21"/>
                <w:szCs w:val="21"/>
                <w:lang w:val="en-US" w:eastAsia="zh-CN"/>
              </w:rPr>
              <w:t>0.05</w:t>
            </w:r>
          </w:p>
        </w:tc>
        <w:tc>
          <w:tcPr>
            <w:tcW w:w="715" w:type="pct"/>
            <w:noWrap w:val="0"/>
            <w:vAlign w:val="center"/>
          </w:tcPr>
          <w:p>
            <w:pPr>
              <w:widowControl/>
              <w:jc w:val="center"/>
              <w:textAlignment w:val="center"/>
              <w:rPr>
                <w:rFonts w:hint="eastAsia"/>
                <w:i w:val="0"/>
                <w:iCs w:val="0"/>
                <w:sz w:val="21"/>
                <w:szCs w:val="21"/>
                <w:lang w:val="en-US" w:eastAsia="zh-CN"/>
              </w:rPr>
            </w:pPr>
            <w:r>
              <w:rPr>
                <w:rFonts w:hint="eastAsia"/>
                <w:i w:val="0"/>
                <w:iCs w:val="0"/>
                <w:sz w:val="21"/>
                <w:szCs w:val="21"/>
                <w:lang w:val="en-US" w:eastAsia="zh-CN"/>
              </w:rPr>
              <w:t>0.05</w:t>
            </w:r>
          </w:p>
        </w:tc>
        <w:tc>
          <w:tcPr>
            <w:tcW w:w="1347" w:type="pct"/>
            <w:vMerge w:val="continue"/>
            <w:noWrap w:val="0"/>
            <w:vAlign w:val="center"/>
          </w:tcPr>
          <w:p>
            <w:pPr>
              <w:jc w:val="center"/>
              <w:rPr>
                <w:rFonts w:hint="eastAsia"/>
                <w:i w:val="0"/>
                <w:iCs w:val="0"/>
                <w:sz w:val="21"/>
                <w:szCs w:val="21"/>
              </w:rPr>
            </w:pPr>
          </w:p>
        </w:tc>
      </w:tr>
    </w:tbl>
    <w:p>
      <w:pPr>
        <w:pStyle w:val="4"/>
        <w:rPr>
          <w:rFonts w:ascii="Times New Roman" w:hAnsi="Times New Roman" w:eastAsia="宋体"/>
          <w:b/>
          <w:i w:val="0"/>
          <w:iCs w:val="0"/>
          <w:sz w:val="28"/>
          <w:szCs w:val="28"/>
        </w:rPr>
      </w:pPr>
      <w:r>
        <w:rPr>
          <w:rFonts w:hint="eastAsia" w:ascii="Times New Roman" w:hAnsi="Times New Roman" w:eastAsia="宋体"/>
          <w:b/>
          <w:i w:val="0"/>
          <w:iCs w:val="0"/>
          <w:sz w:val="28"/>
          <w:szCs w:val="28"/>
        </w:rPr>
        <w:t>8</w:t>
      </w:r>
      <w:r>
        <w:rPr>
          <w:rFonts w:ascii="Times New Roman" w:hAnsi="Times New Roman" w:eastAsia="宋体"/>
          <w:b/>
          <w:i w:val="0"/>
          <w:iCs w:val="0"/>
          <w:sz w:val="28"/>
          <w:szCs w:val="28"/>
        </w:rPr>
        <w:t>.2环境监测</w:t>
      </w:r>
      <w:bookmarkEnd w:id="310"/>
    </w:p>
    <w:p>
      <w:pPr>
        <w:spacing w:line="360" w:lineRule="auto"/>
        <w:ind w:firstLine="480" w:firstLineChars="200"/>
        <w:rPr>
          <w:i w:val="0"/>
          <w:iCs w:val="0"/>
        </w:rPr>
      </w:pPr>
      <w:r>
        <w:rPr>
          <w:i w:val="0"/>
          <w:iCs w:val="0"/>
        </w:rPr>
        <w:t>企业的环境监测主要任务是对全厂生产过程中所排放的各类污染物进行监测与监督，以达到及时掌握全厂污染源排放情况和厂区环境质量的变化趋势，监督生产安全运行，并配合环境管理工作的改进与完善，经常进行各类环境监测仪器设备的维护、检验等工作，以确保全厂环境监测工作的正常进行，为全厂污染防治提供科学依据。</w:t>
      </w:r>
    </w:p>
    <w:p>
      <w:pPr>
        <w:spacing w:line="360" w:lineRule="auto"/>
        <w:ind w:firstLine="480" w:firstLineChars="200"/>
        <w:rPr>
          <w:i w:val="0"/>
          <w:iCs w:val="0"/>
        </w:rPr>
      </w:pPr>
      <w:r>
        <w:rPr>
          <w:rFonts w:hint="eastAsia"/>
          <w:i w:val="0"/>
          <w:iCs w:val="0"/>
        </w:rPr>
        <w:t>8</w:t>
      </w:r>
      <w:r>
        <w:rPr>
          <w:i w:val="0"/>
          <w:iCs w:val="0"/>
        </w:rPr>
        <w:t>.2.1环境监测职责</w:t>
      </w:r>
    </w:p>
    <w:p>
      <w:pPr>
        <w:spacing w:line="360" w:lineRule="auto"/>
        <w:ind w:firstLine="480" w:firstLineChars="200"/>
        <w:rPr>
          <w:i w:val="0"/>
          <w:iCs w:val="0"/>
        </w:rPr>
      </w:pPr>
      <w:r>
        <w:rPr>
          <w:i w:val="0"/>
          <w:iCs w:val="0"/>
        </w:rPr>
        <w:t>例行对全厂生产过程中排放的污染物进行定期或不定期采样监测，掌握各种污染物产生和排放情况，为防治污染提供科学依据。</w:t>
      </w:r>
    </w:p>
    <w:p>
      <w:pPr>
        <w:spacing w:line="360" w:lineRule="auto"/>
        <w:ind w:firstLine="480" w:firstLineChars="200"/>
        <w:rPr>
          <w:i w:val="0"/>
          <w:iCs w:val="0"/>
        </w:rPr>
      </w:pPr>
      <w:r>
        <w:rPr>
          <w:i w:val="0"/>
          <w:iCs w:val="0"/>
        </w:rPr>
        <w:t>（1）在有关环境管理部门的领导下，完成全厂监测任务，重点是对废水污染物进行监测。</w:t>
      </w:r>
    </w:p>
    <w:p>
      <w:pPr>
        <w:spacing w:line="360" w:lineRule="auto"/>
        <w:ind w:firstLine="480" w:firstLineChars="200"/>
        <w:rPr>
          <w:i w:val="0"/>
          <w:iCs w:val="0"/>
        </w:rPr>
      </w:pPr>
      <w:r>
        <w:rPr>
          <w:i w:val="0"/>
          <w:iCs w:val="0"/>
        </w:rPr>
        <w:t>（2）及时准确地向环保主管部门提供可靠数据及资料。</w:t>
      </w:r>
    </w:p>
    <w:p>
      <w:pPr>
        <w:spacing w:line="360" w:lineRule="auto"/>
        <w:ind w:firstLine="480" w:firstLineChars="200"/>
        <w:rPr>
          <w:i w:val="0"/>
          <w:iCs w:val="0"/>
        </w:rPr>
      </w:pPr>
      <w:r>
        <w:rPr>
          <w:i w:val="0"/>
          <w:iCs w:val="0"/>
        </w:rPr>
        <w:t>（3）建立监测分析数据档案，并定期向上级主管部门报送监测数据。</w:t>
      </w:r>
    </w:p>
    <w:p>
      <w:pPr>
        <w:spacing w:line="360" w:lineRule="auto"/>
        <w:ind w:left="79" w:firstLine="480" w:firstLineChars="200"/>
        <w:rPr>
          <w:i w:val="0"/>
          <w:iCs w:val="0"/>
        </w:rPr>
      </w:pPr>
      <w:r>
        <w:rPr>
          <w:rFonts w:hint="eastAsia"/>
          <w:i w:val="0"/>
          <w:iCs w:val="0"/>
        </w:rPr>
        <w:t>8</w:t>
      </w:r>
      <w:r>
        <w:rPr>
          <w:i w:val="0"/>
          <w:iCs w:val="0"/>
        </w:rPr>
        <w:t>.2.2</w:t>
      </w:r>
      <w:r>
        <w:rPr>
          <w:rFonts w:hint="eastAsia"/>
          <w:i w:val="0"/>
          <w:iCs w:val="0"/>
        </w:rPr>
        <w:t>本项目建成后全厂</w:t>
      </w:r>
      <w:r>
        <w:rPr>
          <w:i w:val="0"/>
          <w:iCs w:val="0"/>
        </w:rPr>
        <w:t>污染源监测以及环境质量监测</w:t>
      </w:r>
    </w:p>
    <w:p>
      <w:pPr>
        <w:spacing w:line="360" w:lineRule="auto"/>
        <w:ind w:left="79" w:firstLine="480" w:firstLineChars="200"/>
        <w:rPr>
          <w:i w:val="0"/>
          <w:iCs w:val="0"/>
        </w:rPr>
      </w:pPr>
      <w:r>
        <w:rPr>
          <w:i w:val="0"/>
          <w:iCs w:val="0"/>
        </w:rPr>
        <w:t>根据《</w:t>
      </w:r>
      <w:r>
        <w:rPr>
          <w:rFonts w:hint="eastAsia"/>
          <w:i w:val="0"/>
          <w:iCs w:val="0"/>
        </w:rPr>
        <w:t>排污许可申请与核发技术规范 食品制造工业—方便食品、食品及饲料添加剂制造工业</w:t>
      </w:r>
      <w:r>
        <w:rPr>
          <w:i w:val="0"/>
          <w:iCs w:val="0"/>
        </w:rPr>
        <w:t>》（HJ</w:t>
      </w:r>
      <w:r>
        <w:rPr>
          <w:rFonts w:hint="eastAsia"/>
          <w:i w:val="0"/>
          <w:iCs w:val="0"/>
        </w:rPr>
        <w:t>1030.3</w:t>
      </w:r>
      <w:r>
        <w:rPr>
          <w:i w:val="0"/>
          <w:iCs w:val="0"/>
        </w:rPr>
        <w:t>-201</w:t>
      </w:r>
      <w:r>
        <w:rPr>
          <w:rFonts w:hint="eastAsia"/>
          <w:i w:val="0"/>
          <w:iCs w:val="0"/>
        </w:rPr>
        <w:t>9</w:t>
      </w:r>
      <w:r>
        <w:rPr>
          <w:i w:val="0"/>
          <w:iCs w:val="0"/>
        </w:rPr>
        <w:t>）</w:t>
      </w:r>
      <w:r>
        <w:rPr>
          <w:rFonts w:hint="eastAsia"/>
          <w:i w:val="0"/>
          <w:iCs w:val="0"/>
          <w:lang w:eastAsia="zh-CN"/>
        </w:rPr>
        <w:t>及《排污单位自行监测技术指南</w:t>
      </w:r>
      <w:r>
        <w:rPr>
          <w:rFonts w:hint="eastAsia"/>
          <w:i w:val="0"/>
          <w:iCs w:val="0"/>
          <w:lang w:val="en-US" w:eastAsia="zh-CN"/>
        </w:rPr>
        <w:t xml:space="preserve"> 火力发电及锅炉</w:t>
      </w:r>
      <w:r>
        <w:rPr>
          <w:rFonts w:hint="eastAsia"/>
          <w:i w:val="0"/>
          <w:iCs w:val="0"/>
          <w:lang w:eastAsia="zh-CN"/>
        </w:rPr>
        <w:t>》</w:t>
      </w:r>
      <w:r>
        <w:rPr>
          <w:i w:val="0"/>
          <w:iCs w:val="0"/>
        </w:rPr>
        <w:t>（HJ</w:t>
      </w:r>
      <w:r>
        <w:rPr>
          <w:rFonts w:hint="eastAsia"/>
          <w:i w:val="0"/>
          <w:iCs w:val="0"/>
          <w:lang w:val="en-US" w:eastAsia="zh-CN"/>
        </w:rPr>
        <w:t>820</w:t>
      </w:r>
      <w:r>
        <w:rPr>
          <w:i w:val="0"/>
          <w:iCs w:val="0"/>
        </w:rPr>
        <w:t>-201</w:t>
      </w:r>
      <w:r>
        <w:rPr>
          <w:rFonts w:hint="eastAsia"/>
          <w:i w:val="0"/>
          <w:iCs w:val="0"/>
          <w:lang w:val="en-US" w:eastAsia="zh-CN"/>
        </w:rPr>
        <w:t>7</w:t>
      </w:r>
      <w:r>
        <w:rPr>
          <w:i w:val="0"/>
          <w:iCs w:val="0"/>
        </w:rPr>
        <w:t>）制定了</w:t>
      </w:r>
      <w:r>
        <w:rPr>
          <w:rFonts w:hint="eastAsia"/>
          <w:i w:val="0"/>
          <w:iCs w:val="0"/>
        </w:rPr>
        <w:t>全厂</w:t>
      </w:r>
      <w:r>
        <w:rPr>
          <w:i w:val="0"/>
          <w:iCs w:val="0"/>
        </w:rPr>
        <w:t>污染源监测计划</w:t>
      </w:r>
      <w:r>
        <w:rPr>
          <w:rFonts w:hint="eastAsia"/>
          <w:i w:val="0"/>
          <w:iCs w:val="0"/>
        </w:rPr>
        <w:t>，</w:t>
      </w:r>
      <w:r>
        <w:rPr>
          <w:i w:val="0"/>
          <w:iCs w:val="0"/>
        </w:rPr>
        <w:t>具体见表</w:t>
      </w:r>
      <w:r>
        <w:rPr>
          <w:rFonts w:hint="eastAsia"/>
          <w:i w:val="0"/>
          <w:iCs w:val="0"/>
        </w:rPr>
        <w:t>8</w:t>
      </w:r>
      <w:r>
        <w:rPr>
          <w:i w:val="0"/>
          <w:iCs w:val="0"/>
        </w:rPr>
        <w:t>-</w:t>
      </w:r>
      <w:r>
        <w:rPr>
          <w:rFonts w:hint="eastAsia"/>
          <w:i w:val="0"/>
          <w:iCs w:val="0"/>
        </w:rPr>
        <w:t>5</w:t>
      </w:r>
      <w:r>
        <w:rPr>
          <w:i w:val="0"/>
          <w:iCs w:val="0"/>
        </w:rPr>
        <w:t>。</w:t>
      </w:r>
    </w:p>
    <w:p>
      <w:pPr>
        <w:keepNext w:val="0"/>
        <w:keepLines w:val="0"/>
        <w:pageBreakBefore w:val="0"/>
        <w:widowControl w:val="0"/>
        <w:kinsoku/>
        <w:wordWrap/>
        <w:overflowPunct/>
        <w:topLinePunct w:val="0"/>
        <w:autoSpaceDE/>
        <w:autoSpaceDN/>
        <w:bidi w:val="0"/>
        <w:adjustRightInd/>
        <w:snapToGrid/>
        <w:spacing w:line="240" w:lineRule="auto"/>
        <w:ind w:left="79" w:firstLine="482" w:firstLineChars="200"/>
        <w:jc w:val="center"/>
        <w:textAlignment w:val="auto"/>
        <w:rPr>
          <w:b/>
          <w:bCs/>
          <w:i w:val="0"/>
          <w:iCs w:val="0"/>
          <w:u w:val="single"/>
        </w:rPr>
      </w:pPr>
      <w:r>
        <w:rPr>
          <w:b/>
          <w:bCs/>
          <w:i w:val="0"/>
          <w:iCs w:val="0"/>
          <w:u w:val="single"/>
        </w:rPr>
        <w:t>表</w:t>
      </w:r>
      <w:r>
        <w:rPr>
          <w:rFonts w:hint="eastAsia"/>
          <w:b/>
          <w:bCs/>
          <w:i w:val="0"/>
          <w:iCs w:val="0"/>
          <w:u w:val="single"/>
        </w:rPr>
        <w:t>8</w:t>
      </w:r>
      <w:r>
        <w:rPr>
          <w:b/>
          <w:bCs/>
          <w:i w:val="0"/>
          <w:iCs w:val="0"/>
          <w:u w:val="single"/>
        </w:rPr>
        <w:t>-</w:t>
      </w:r>
      <w:r>
        <w:rPr>
          <w:rFonts w:hint="eastAsia"/>
          <w:b/>
          <w:bCs/>
          <w:i w:val="0"/>
          <w:iCs w:val="0"/>
          <w:u w:val="single"/>
        </w:rPr>
        <w:t>5全厂</w:t>
      </w:r>
      <w:r>
        <w:rPr>
          <w:b/>
          <w:bCs/>
          <w:i w:val="0"/>
          <w:iCs w:val="0"/>
          <w:u w:val="single"/>
        </w:rPr>
        <w:t>污染源监测工作计划</w:t>
      </w:r>
    </w:p>
    <w:tbl>
      <w:tblPr>
        <w:tblStyle w:val="5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1623"/>
        <w:gridCol w:w="1448"/>
        <w:gridCol w:w="1441"/>
        <w:gridCol w:w="3032"/>
        <w:gridCol w:w="8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3" w:hRule="atLeast"/>
          <w:jc w:val="center"/>
        </w:trPr>
        <w:tc>
          <w:tcPr>
            <w:tcW w:w="487" w:type="pct"/>
            <w:noWrap w:val="0"/>
            <w:vAlign w:val="center"/>
          </w:tcPr>
          <w:p>
            <w:pPr>
              <w:spacing w:line="360" w:lineRule="auto"/>
              <w:jc w:val="center"/>
              <w:rPr>
                <w:i w:val="0"/>
                <w:iCs w:val="0"/>
                <w:sz w:val="21"/>
                <w:szCs w:val="21"/>
                <w:u w:val="single"/>
              </w:rPr>
            </w:pPr>
            <w:r>
              <w:rPr>
                <w:i w:val="0"/>
                <w:iCs w:val="0"/>
                <w:sz w:val="21"/>
                <w:szCs w:val="21"/>
                <w:u w:val="single"/>
              </w:rPr>
              <w:t>类别</w:t>
            </w:r>
          </w:p>
        </w:tc>
        <w:tc>
          <w:tcPr>
            <w:tcW w:w="874" w:type="pct"/>
            <w:noWrap w:val="0"/>
            <w:vAlign w:val="center"/>
          </w:tcPr>
          <w:p>
            <w:pPr>
              <w:spacing w:line="360" w:lineRule="auto"/>
              <w:jc w:val="center"/>
              <w:rPr>
                <w:i w:val="0"/>
                <w:iCs w:val="0"/>
                <w:sz w:val="21"/>
                <w:szCs w:val="21"/>
                <w:u w:val="single"/>
              </w:rPr>
            </w:pPr>
            <w:r>
              <w:rPr>
                <w:i w:val="0"/>
                <w:iCs w:val="0"/>
                <w:sz w:val="21"/>
                <w:szCs w:val="21"/>
                <w:u w:val="single"/>
              </w:rPr>
              <w:t>监测位置</w:t>
            </w:r>
          </w:p>
        </w:tc>
        <w:tc>
          <w:tcPr>
            <w:tcW w:w="780" w:type="pct"/>
            <w:noWrap w:val="0"/>
            <w:vAlign w:val="center"/>
          </w:tcPr>
          <w:p>
            <w:pPr>
              <w:spacing w:line="360" w:lineRule="auto"/>
              <w:jc w:val="center"/>
              <w:rPr>
                <w:i w:val="0"/>
                <w:iCs w:val="0"/>
                <w:sz w:val="21"/>
                <w:szCs w:val="21"/>
                <w:u w:val="single"/>
              </w:rPr>
            </w:pPr>
            <w:r>
              <w:rPr>
                <w:i w:val="0"/>
                <w:iCs w:val="0"/>
                <w:sz w:val="21"/>
                <w:szCs w:val="21"/>
                <w:u w:val="single"/>
              </w:rPr>
              <w:t>监测污染物</w:t>
            </w:r>
          </w:p>
        </w:tc>
        <w:tc>
          <w:tcPr>
            <w:tcW w:w="776" w:type="pct"/>
            <w:tcBorders>
              <w:bottom w:val="single" w:color="auto" w:sz="4" w:space="0"/>
            </w:tcBorders>
            <w:noWrap w:val="0"/>
            <w:vAlign w:val="center"/>
          </w:tcPr>
          <w:p>
            <w:pPr>
              <w:spacing w:line="360" w:lineRule="auto"/>
              <w:jc w:val="center"/>
              <w:rPr>
                <w:i w:val="0"/>
                <w:iCs w:val="0"/>
                <w:sz w:val="21"/>
                <w:szCs w:val="21"/>
                <w:u w:val="single"/>
              </w:rPr>
            </w:pPr>
            <w:r>
              <w:rPr>
                <w:i w:val="0"/>
                <w:iCs w:val="0"/>
                <w:sz w:val="21"/>
                <w:szCs w:val="21"/>
                <w:u w:val="single"/>
              </w:rPr>
              <w:t>监测频率</w:t>
            </w:r>
          </w:p>
        </w:tc>
        <w:tc>
          <w:tcPr>
            <w:tcW w:w="1633" w:type="pct"/>
            <w:tcBorders>
              <w:bottom w:val="single" w:color="auto" w:sz="4" w:space="0"/>
            </w:tcBorders>
            <w:noWrap w:val="0"/>
            <w:vAlign w:val="center"/>
          </w:tcPr>
          <w:p>
            <w:pPr>
              <w:spacing w:line="360" w:lineRule="auto"/>
              <w:jc w:val="center"/>
              <w:rPr>
                <w:i w:val="0"/>
                <w:iCs w:val="0"/>
                <w:sz w:val="21"/>
                <w:szCs w:val="21"/>
                <w:u w:val="single"/>
              </w:rPr>
            </w:pPr>
            <w:r>
              <w:rPr>
                <w:i w:val="0"/>
                <w:iCs w:val="0"/>
                <w:sz w:val="21"/>
                <w:szCs w:val="21"/>
                <w:u w:val="single"/>
              </w:rPr>
              <w:t>执行标准</w:t>
            </w:r>
          </w:p>
        </w:tc>
        <w:tc>
          <w:tcPr>
            <w:tcW w:w="448" w:type="pct"/>
            <w:tcBorders>
              <w:bottom w:val="single" w:color="auto" w:sz="4" w:space="0"/>
            </w:tcBorders>
            <w:noWrap w:val="0"/>
            <w:vAlign w:val="center"/>
          </w:tcPr>
          <w:p>
            <w:pPr>
              <w:spacing w:line="360" w:lineRule="auto"/>
              <w:jc w:val="center"/>
              <w:rPr>
                <w:i w:val="0"/>
                <w:iCs w:val="0"/>
                <w:sz w:val="21"/>
                <w:szCs w:val="21"/>
                <w:u w:val="single"/>
              </w:rPr>
            </w:pPr>
            <w:r>
              <w:rPr>
                <w:i w:val="0"/>
                <w:iCs w:val="0"/>
                <w:sz w:val="21"/>
                <w:szCs w:val="21"/>
                <w:u w:val="single"/>
              </w:rPr>
              <w:t>监测机构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 w:hRule="atLeast"/>
          <w:jc w:val="center"/>
        </w:trPr>
        <w:tc>
          <w:tcPr>
            <w:tcW w:w="487" w:type="pct"/>
            <w:tcBorders>
              <w:top w:val="single" w:color="auto" w:sz="4" w:space="0"/>
            </w:tcBorders>
            <w:noWrap w:val="0"/>
            <w:vAlign w:val="center"/>
          </w:tcPr>
          <w:p>
            <w:pPr>
              <w:jc w:val="center"/>
              <w:rPr>
                <w:i w:val="0"/>
                <w:iCs w:val="0"/>
                <w:sz w:val="21"/>
                <w:szCs w:val="21"/>
                <w:u w:val="single"/>
              </w:rPr>
            </w:pPr>
            <w:r>
              <w:rPr>
                <w:i w:val="0"/>
                <w:iCs w:val="0"/>
                <w:sz w:val="21"/>
                <w:szCs w:val="21"/>
                <w:u w:val="single"/>
              </w:rPr>
              <w:t>废水</w:t>
            </w:r>
          </w:p>
        </w:tc>
        <w:tc>
          <w:tcPr>
            <w:tcW w:w="874" w:type="pct"/>
            <w:tcBorders>
              <w:top w:val="single" w:color="auto" w:sz="4" w:space="0"/>
            </w:tcBorders>
            <w:noWrap w:val="0"/>
            <w:vAlign w:val="center"/>
          </w:tcPr>
          <w:p>
            <w:pPr>
              <w:jc w:val="center"/>
              <w:rPr>
                <w:i w:val="0"/>
                <w:iCs w:val="0"/>
                <w:sz w:val="21"/>
                <w:szCs w:val="21"/>
                <w:u w:val="single"/>
              </w:rPr>
            </w:pPr>
            <w:r>
              <w:rPr>
                <w:i w:val="0"/>
                <w:iCs w:val="0"/>
                <w:sz w:val="21"/>
                <w:szCs w:val="21"/>
                <w:u w:val="single"/>
              </w:rPr>
              <w:t>污水</w:t>
            </w:r>
            <w:r>
              <w:rPr>
                <w:rFonts w:hint="eastAsia"/>
                <w:i w:val="0"/>
                <w:iCs w:val="0"/>
                <w:sz w:val="21"/>
                <w:szCs w:val="21"/>
                <w:u w:val="single"/>
              </w:rPr>
              <w:t>站</w:t>
            </w:r>
            <w:r>
              <w:rPr>
                <w:i w:val="0"/>
                <w:iCs w:val="0"/>
                <w:sz w:val="21"/>
                <w:szCs w:val="21"/>
                <w:u w:val="single"/>
              </w:rPr>
              <w:t>总排口</w:t>
            </w:r>
          </w:p>
        </w:tc>
        <w:tc>
          <w:tcPr>
            <w:tcW w:w="780" w:type="pct"/>
            <w:tcBorders>
              <w:top w:val="single" w:color="auto" w:sz="2" w:space="0"/>
            </w:tcBorders>
            <w:noWrap w:val="0"/>
            <w:vAlign w:val="center"/>
          </w:tcPr>
          <w:p>
            <w:pPr>
              <w:jc w:val="center"/>
              <w:rPr>
                <w:rFonts w:hint="eastAsia"/>
                <w:i w:val="0"/>
                <w:iCs w:val="0"/>
                <w:sz w:val="21"/>
                <w:szCs w:val="21"/>
                <w:u w:val="single"/>
              </w:rPr>
            </w:pPr>
            <w:r>
              <w:rPr>
                <w:rFonts w:hint="eastAsia"/>
                <w:i w:val="0"/>
                <w:iCs w:val="0"/>
                <w:sz w:val="21"/>
                <w:szCs w:val="21"/>
                <w:u w:val="single"/>
              </w:rPr>
              <w:t>流量、pH 值、化学需氧量、氨氮、总氮、</w:t>
            </w:r>
          </w:p>
          <w:p>
            <w:pPr>
              <w:jc w:val="center"/>
              <w:rPr>
                <w:rFonts w:hint="eastAsia"/>
                <w:i w:val="0"/>
                <w:iCs w:val="0"/>
                <w:sz w:val="21"/>
                <w:szCs w:val="21"/>
                <w:u w:val="single"/>
              </w:rPr>
            </w:pPr>
            <w:r>
              <w:rPr>
                <w:rFonts w:hint="eastAsia"/>
                <w:i w:val="0"/>
                <w:iCs w:val="0"/>
                <w:sz w:val="21"/>
                <w:szCs w:val="21"/>
                <w:u w:val="single"/>
              </w:rPr>
              <w:t>悬浮物、五日生化需氧量、总磷、动植物油</w:t>
            </w:r>
          </w:p>
          <w:p>
            <w:pPr>
              <w:jc w:val="center"/>
              <w:rPr>
                <w:i w:val="0"/>
                <w:iCs w:val="0"/>
                <w:sz w:val="21"/>
                <w:szCs w:val="21"/>
                <w:u w:val="single"/>
              </w:rPr>
            </w:pPr>
          </w:p>
        </w:tc>
        <w:tc>
          <w:tcPr>
            <w:tcW w:w="776" w:type="pct"/>
            <w:tcBorders>
              <w:top w:val="single" w:color="auto" w:sz="4" w:space="0"/>
            </w:tcBorders>
            <w:noWrap w:val="0"/>
            <w:vAlign w:val="center"/>
          </w:tcPr>
          <w:p>
            <w:pPr>
              <w:jc w:val="center"/>
              <w:rPr>
                <w:rFonts w:hint="eastAsia"/>
                <w:i w:val="0"/>
                <w:iCs w:val="0"/>
                <w:sz w:val="21"/>
                <w:szCs w:val="21"/>
                <w:u w:val="single"/>
              </w:rPr>
            </w:pPr>
            <w:r>
              <w:rPr>
                <w:rFonts w:hint="eastAsia"/>
                <w:i w:val="0"/>
                <w:iCs w:val="0"/>
                <w:sz w:val="21"/>
                <w:szCs w:val="21"/>
                <w:u w:val="single"/>
              </w:rPr>
              <w:t>1 次/半年</w:t>
            </w:r>
          </w:p>
          <w:p>
            <w:pPr>
              <w:jc w:val="center"/>
              <w:rPr>
                <w:i w:val="0"/>
                <w:iCs w:val="0"/>
                <w:sz w:val="21"/>
                <w:szCs w:val="21"/>
                <w:u w:val="single"/>
              </w:rPr>
            </w:pPr>
          </w:p>
        </w:tc>
        <w:tc>
          <w:tcPr>
            <w:tcW w:w="1633" w:type="pct"/>
            <w:tcBorders>
              <w:top w:val="single" w:color="auto" w:sz="4" w:space="0"/>
            </w:tcBorders>
            <w:noWrap w:val="0"/>
            <w:vAlign w:val="center"/>
          </w:tcPr>
          <w:p>
            <w:pPr>
              <w:jc w:val="center"/>
              <w:rPr>
                <w:i w:val="0"/>
                <w:iCs w:val="0"/>
                <w:sz w:val="21"/>
                <w:szCs w:val="21"/>
                <w:u w:val="single"/>
              </w:rPr>
            </w:pPr>
            <w:r>
              <w:rPr>
                <w:rFonts w:hint="eastAsia"/>
                <w:i w:val="0"/>
                <w:iCs w:val="0"/>
                <w:sz w:val="21"/>
                <w:szCs w:val="21"/>
                <w:u w:val="single"/>
              </w:rPr>
              <w:t>《污水综合排放标准》GB8978-1996表2三级标准排放限值</w:t>
            </w:r>
            <w:r>
              <w:rPr>
                <w:i w:val="0"/>
                <w:iCs w:val="0"/>
                <w:sz w:val="21"/>
                <w:szCs w:val="21"/>
                <w:u w:val="single"/>
              </w:rPr>
              <w:t>及园区污水处理厂进水指标</w:t>
            </w:r>
          </w:p>
        </w:tc>
        <w:tc>
          <w:tcPr>
            <w:tcW w:w="448" w:type="pct"/>
            <w:vMerge w:val="restart"/>
            <w:tcBorders>
              <w:top w:val="single" w:color="000000" w:sz="2" w:space="0"/>
            </w:tcBorders>
            <w:noWrap w:val="0"/>
            <w:vAlign w:val="center"/>
          </w:tcPr>
          <w:p>
            <w:pPr>
              <w:spacing w:line="360" w:lineRule="auto"/>
              <w:jc w:val="center"/>
              <w:rPr>
                <w:i w:val="0"/>
                <w:iCs w:val="0"/>
                <w:sz w:val="21"/>
                <w:szCs w:val="21"/>
                <w:u w:val="single"/>
              </w:rPr>
            </w:pPr>
            <w:r>
              <w:rPr>
                <w:i w:val="0"/>
                <w:iCs w:val="0"/>
                <w:sz w:val="21"/>
                <w:szCs w:val="21"/>
                <w:u w:val="single"/>
              </w:rPr>
              <w:t>委托有资质单位</w:t>
            </w:r>
          </w:p>
          <w:p>
            <w:pPr>
              <w:spacing w:line="360" w:lineRule="auto"/>
              <w:jc w:val="center"/>
              <w:rPr>
                <w:i w:val="0"/>
                <w:iCs w:val="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86" w:hRule="atLeast"/>
          <w:jc w:val="center"/>
        </w:trPr>
        <w:tc>
          <w:tcPr>
            <w:tcW w:w="487" w:type="pct"/>
            <w:vMerge w:val="restart"/>
            <w:noWrap w:val="0"/>
            <w:vAlign w:val="center"/>
          </w:tcPr>
          <w:p>
            <w:pPr>
              <w:jc w:val="center"/>
              <w:rPr>
                <w:i w:val="0"/>
                <w:iCs w:val="0"/>
                <w:sz w:val="21"/>
                <w:szCs w:val="21"/>
                <w:u w:val="single"/>
              </w:rPr>
            </w:pPr>
            <w:r>
              <w:rPr>
                <w:i w:val="0"/>
                <w:iCs w:val="0"/>
                <w:sz w:val="21"/>
                <w:szCs w:val="21"/>
                <w:u w:val="single"/>
              </w:rPr>
              <w:t>废气</w:t>
            </w:r>
          </w:p>
        </w:tc>
        <w:tc>
          <w:tcPr>
            <w:tcW w:w="874" w:type="pct"/>
            <w:noWrap w:val="0"/>
            <w:vAlign w:val="center"/>
          </w:tcPr>
          <w:p>
            <w:pPr>
              <w:jc w:val="center"/>
              <w:rPr>
                <w:rFonts w:hint="eastAsia"/>
                <w:i w:val="0"/>
                <w:iCs w:val="0"/>
                <w:sz w:val="21"/>
                <w:szCs w:val="21"/>
                <w:u w:val="single"/>
              </w:rPr>
            </w:pPr>
            <w:r>
              <w:rPr>
                <w:rFonts w:hint="eastAsia"/>
                <w:i w:val="0"/>
                <w:iCs w:val="0"/>
                <w:sz w:val="21"/>
                <w:szCs w:val="21"/>
                <w:u w:val="single"/>
              </w:rPr>
              <w:t>污水站</w:t>
            </w:r>
            <w:r>
              <w:rPr>
                <w:rFonts w:hint="eastAsia"/>
                <w:i w:val="0"/>
                <w:iCs w:val="0"/>
                <w:sz w:val="21"/>
                <w:szCs w:val="21"/>
                <w:u w:val="single"/>
                <w:lang w:eastAsia="zh-CN"/>
              </w:rPr>
              <w:t>排气筒</w:t>
            </w:r>
          </w:p>
        </w:tc>
        <w:tc>
          <w:tcPr>
            <w:tcW w:w="780" w:type="pct"/>
            <w:noWrap w:val="0"/>
            <w:vAlign w:val="center"/>
          </w:tcPr>
          <w:p>
            <w:pPr>
              <w:jc w:val="center"/>
              <w:rPr>
                <w:rFonts w:hint="eastAsia"/>
                <w:i w:val="0"/>
                <w:iCs w:val="0"/>
                <w:sz w:val="21"/>
                <w:szCs w:val="21"/>
                <w:u w:val="single"/>
              </w:rPr>
            </w:pPr>
            <w:r>
              <w:rPr>
                <w:rFonts w:hint="eastAsia"/>
                <w:i w:val="0"/>
                <w:iCs w:val="0"/>
                <w:sz w:val="21"/>
                <w:szCs w:val="21"/>
                <w:u w:val="single"/>
              </w:rPr>
              <w:t>氨、硫化氢及臭气浓度</w:t>
            </w:r>
          </w:p>
        </w:tc>
        <w:tc>
          <w:tcPr>
            <w:tcW w:w="776" w:type="pct"/>
            <w:noWrap w:val="0"/>
            <w:vAlign w:val="center"/>
          </w:tcPr>
          <w:p>
            <w:pPr>
              <w:jc w:val="center"/>
              <w:rPr>
                <w:i w:val="0"/>
                <w:iCs w:val="0"/>
                <w:sz w:val="21"/>
                <w:szCs w:val="21"/>
                <w:u w:val="single"/>
              </w:rPr>
            </w:pPr>
            <w:r>
              <w:rPr>
                <w:rFonts w:hint="eastAsia"/>
                <w:i w:val="0"/>
                <w:iCs w:val="0"/>
                <w:sz w:val="21"/>
                <w:szCs w:val="21"/>
                <w:u w:val="single"/>
              </w:rPr>
              <w:t>1 次/半年</w:t>
            </w:r>
          </w:p>
        </w:tc>
        <w:tc>
          <w:tcPr>
            <w:tcW w:w="1633" w:type="pct"/>
            <w:noWrap w:val="0"/>
            <w:vAlign w:val="center"/>
          </w:tcPr>
          <w:p>
            <w:pPr>
              <w:jc w:val="center"/>
              <w:rPr>
                <w:i w:val="0"/>
                <w:iCs w:val="0"/>
                <w:sz w:val="21"/>
                <w:szCs w:val="21"/>
                <w:u w:val="single"/>
              </w:rPr>
            </w:pPr>
            <w:r>
              <w:rPr>
                <w:i w:val="0"/>
                <w:iCs w:val="0"/>
                <w:sz w:val="21"/>
                <w:szCs w:val="21"/>
                <w:u w:val="single"/>
              </w:rPr>
              <w:t>《恶臭污染物排放标准》（GB14554-93）中表2中标准</w:t>
            </w:r>
          </w:p>
        </w:tc>
        <w:tc>
          <w:tcPr>
            <w:tcW w:w="448" w:type="pct"/>
            <w:vMerge w:val="continue"/>
            <w:noWrap w:val="0"/>
            <w:vAlign w:val="center"/>
          </w:tcPr>
          <w:p>
            <w:pPr>
              <w:spacing w:line="360" w:lineRule="auto"/>
              <w:jc w:val="center"/>
              <w:rPr>
                <w:i w:val="0"/>
                <w:iCs w:val="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9" w:hRule="atLeast"/>
          <w:jc w:val="center"/>
        </w:trPr>
        <w:tc>
          <w:tcPr>
            <w:tcW w:w="487" w:type="pct"/>
            <w:vMerge w:val="continue"/>
            <w:noWrap w:val="0"/>
            <w:vAlign w:val="center"/>
          </w:tcPr>
          <w:p>
            <w:pPr>
              <w:jc w:val="center"/>
              <w:rPr>
                <w:i w:val="0"/>
                <w:iCs w:val="0"/>
                <w:sz w:val="21"/>
                <w:szCs w:val="21"/>
                <w:u w:val="single"/>
              </w:rPr>
            </w:pPr>
          </w:p>
        </w:tc>
        <w:tc>
          <w:tcPr>
            <w:tcW w:w="874" w:type="pct"/>
            <w:vMerge w:val="restart"/>
            <w:noWrap w:val="0"/>
            <w:vAlign w:val="center"/>
          </w:tcPr>
          <w:p>
            <w:pPr>
              <w:jc w:val="center"/>
              <w:rPr>
                <w:rFonts w:hint="eastAsia"/>
                <w:i w:val="0"/>
                <w:iCs w:val="0"/>
                <w:sz w:val="21"/>
                <w:szCs w:val="21"/>
                <w:u w:val="single"/>
              </w:rPr>
            </w:pPr>
            <w:r>
              <w:rPr>
                <w:rFonts w:hint="eastAsia"/>
                <w:i w:val="0"/>
                <w:iCs w:val="0"/>
                <w:sz w:val="21"/>
                <w:szCs w:val="21"/>
                <w:u w:val="single"/>
              </w:rPr>
              <w:t>发酵车间</w:t>
            </w:r>
            <w:r>
              <w:rPr>
                <w:rFonts w:hint="eastAsia"/>
                <w:i w:val="0"/>
                <w:iCs w:val="0"/>
                <w:sz w:val="21"/>
                <w:szCs w:val="21"/>
                <w:u w:val="single"/>
                <w:lang w:eastAsia="zh-CN"/>
              </w:rPr>
              <w:t>排气筒</w:t>
            </w:r>
          </w:p>
        </w:tc>
        <w:tc>
          <w:tcPr>
            <w:tcW w:w="780" w:type="pct"/>
            <w:noWrap w:val="0"/>
            <w:vAlign w:val="center"/>
          </w:tcPr>
          <w:p>
            <w:pPr>
              <w:jc w:val="center"/>
              <w:rPr>
                <w:rFonts w:hint="eastAsia"/>
                <w:i w:val="0"/>
                <w:iCs w:val="0"/>
                <w:sz w:val="21"/>
                <w:szCs w:val="21"/>
                <w:u w:val="single"/>
              </w:rPr>
            </w:pPr>
            <w:r>
              <w:rPr>
                <w:rFonts w:hint="eastAsia"/>
                <w:i w:val="0"/>
                <w:iCs w:val="0"/>
                <w:sz w:val="21"/>
                <w:szCs w:val="21"/>
                <w:u w:val="single"/>
              </w:rPr>
              <w:t>氨</w:t>
            </w:r>
          </w:p>
        </w:tc>
        <w:tc>
          <w:tcPr>
            <w:tcW w:w="776" w:type="pct"/>
            <w:vMerge w:val="restart"/>
            <w:noWrap w:val="0"/>
            <w:vAlign w:val="center"/>
          </w:tcPr>
          <w:p>
            <w:pPr>
              <w:jc w:val="center"/>
              <w:rPr>
                <w:rFonts w:hint="eastAsia"/>
                <w:i w:val="0"/>
                <w:iCs w:val="0"/>
                <w:sz w:val="21"/>
                <w:szCs w:val="21"/>
                <w:u w:val="single"/>
              </w:rPr>
            </w:pPr>
            <w:r>
              <w:rPr>
                <w:rFonts w:hint="eastAsia"/>
                <w:i w:val="0"/>
                <w:iCs w:val="0"/>
                <w:sz w:val="21"/>
                <w:szCs w:val="21"/>
                <w:u w:val="single"/>
              </w:rPr>
              <w:t>1 次/半年</w:t>
            </w:r>
          </w:p>
        </w:tc>
        <w:tc>
          <w:tcPr>
            <w:tcW w:w="1633" w:type="pct"/>
            <w:noWrap w:val="0"/>
            <w:vAlign w:val="center"/>
          </w:tcPr>
          <w:p>
            <w:pPr>
              <w:jc w:val="center"/>
              <w:rPr>
                <w:i w:val="0"/>
                <w:iCs w:val="0"/>
                <w:sz w:val="21"/>
                <w:szCs w:val="21"/>
                <w:u w:val="single"/>
              </w:rPr>
            </w:pPr>
            <w:r>
              <w:rPr>
                <w:i w:val="0"/>
                <w:iCs w:val="0"/>
                <w:sz w:val="21"/>
                <w:szCs w:val="21"/>
                <w:u w:val="single"/>
              </w:rPr>
              <w:t>《恶臭污染物排放标准》（GB14554-93）中表2中标准</w:t>
            </w:r>
          </w:p>
        </w:tc>
        <w:tc>
          <w:tcPr>
            <w:tcW w:w="448" w:type="pct"/>
            <w:vMerge w:val="continue"/>
            <w:noWrap w:val="0"/>
            <w:vAlign w:val="center"/>
          </w:tcPr>
          <w:p>
            <w:pPr>
              <w:spacing w:line="360" w:lineRule="auto"/>
              <w:jc w:val="center"/>
              <w:rPr>
                <w:i w:val="0"/>
                <w:iCs w:val="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9" w:hRule="atLeast"/>
          <w:jc w:val="center"/>
        </w:trPr>
        <w:tc>
          <w:tcPr>
            <w:tcW w:w="487" w:type="pct"/>
            <w:vMerge w:val="continue"/>
            <w:noWrap w:val="0"/>
            <w:vAlign w:val="center"/>
          </w:tcPr>
          <w:p>
            <w:pPr>
              <w:jc w:val="center"/>
              <w:rPr>
                <w:i w:val="0"/>
                <w:iCs w:val="0"/>
                <w:sz w:val="21"/>
                <w:szCs w:val="21"/>
                <w:u w:val="single"/>
              </w:rPr>
            </w:pPr>
          </w:p>
        </w:tc>
        <w:tc>
          <w:tcPr>
            <w:tcW w:w="874" w:type="pct"/>
            <w:vMerge w:val="continue"/>
            <w:noWrap w:val="0"/>
            <w:vAlign w:val="center"/>
          </w:tcPr>
          <w:p>
            <w:pPr>
              <w:jc w:val="center"/>
              <w:rPr>
                <w:i w:val="0"/>
                <w:iCs w:val="0"/>
                <w:sz w:val="21"/>
                <w:szCs w:val="21"/>
                <w:u w:val="single"/>
              </w:rPr>
            </w:pPr>
          </w:p>
        </w:tc>
        <w:tc>
          <w:tcPr>
            <w:tcW w:w="780" w:type="pct"/>
            <w:noWrap w:val="0"/>
            <w:vAlign w:val="center"/>
          </w:tcPr>
          <w:p>
            <w:pPr>
              <w:jc w:val="center"/>
              <w:rPr>
                <w:rFonts w:hint="eastAsia"/>
                <w:i w:val="0"/>
                <w:iCs w:val="0"/>
                <w:sz w:val="21"/>
                <w:szCs w:val="21"/>
                <w:u w:val="single"/>
              </w:rPr>
            </w:pPr>
            <w:r>
              <w:rPr>
                <w:rFonts w:hint="eastAsia"/>
                <w:i w:val="0"/>
                <w:iCs w:val="0"/>
                <w:sz w:val="21"/>
                <w:szCs w:val="21"/>
                <w:u w:val="single"/>
              </w:rPr>
              <w:t>非甲烷总烃</w:t>
            </w:r>
          </w:p>
        </w:tc>
        <w:tc>
          <w:tcPr>
            <w:tcW w:w="776" w:type="pct"/>
            <w:vMerge w:val="continue"/>
            <w:noWrap w:val="0"/>
            <w:vAlign w:val="center"/>
          </w:tcPr>
          <w:p>
            <w:pPr>
              <w:jc w:val="center"/>
              <w:rPr>
                <w:rFonts w:hint="eastAsia"/>
                <w:i w:val="0"/>
                <w:iCs w:val="0"/>
                <w:sz w:val="21"/>
                <w:szCs w:val="21"/>
                <w:u w:val="single"/>
              </w:rPr>
            </w:pPr>
          </w:p>
        </w:tc>
        <w:tc>
          <w:tcPr>
            <w:tcW w:w="1633" w:type="pct"/>
            <w:noWrap w:val="0"/>
            <w:vAlign w:val="center"/>
          </w:tcPr>
          <w:p>
            <w:pPr>
              <w:jc w:val="center"/>
              <w:rPr>
                <w:rFonts w:hint="eastAsia"/>
                <w:i w:val="0"/>
                <w:iCs w:val="0"/>
                <w:sz w:val="21"/>
                <w:szCs w:val="21"/>
                <w:u w:val="single"/>
              </w:rPr>
            </w:pPr>
            <w:r>
              <w:rPr>
                <w:rFonts w:hint="eastAsia"/>
                <w:i w:val="0"/>
                <w:iCs w:val="0"/>
                <w:sz w:val="21"/>
                <w:szCs w:val="21"/>
                <w:u w:val="single"/>
              </w:rPr>
              <w:t>《大气污染物综合排放标准》(GB16927-1996) 表2二级标准</w:t>
            </w:r>
          </w:p>
        </w:tc>
        <w:tc>
          <w:tcPr>
            <w:tcW w:w="448" w:type="pct"/>
            <w:vMerge w:val="continue"/>
            <w:noWrap w:val="0"/>
            <w:vAlign w:val="center"/>
          </w:tcPr>
          <w:p>
            <w:pPr>
              <w:spacing w:line="360" w:lineRule="auto"/>
              <w:ind w:left="-79" w:leftChars="-33" w:right="-72" w:rightChars="-30"/>
              <w:jc w:val="center"/>
              <w:rPr>
                <w:rFonts w:hint="eastAsia"/>
                <w:i w:val="0"/>
                <w:iCs w:val="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487" w:type="pct"/>
            <w:vMerge w:val="continue"/>
            <w:noWrap w:val="0"/>
            <w:vAlign w:val="center"/>
          </w:tcPr>
          <w:p>
            <w:pPr>
              <w:jc w:val="center"/>
              <w:rPr>
                <w:i w:val="0"/>
                <w:iCs w:val="0"/>
                <w:sz w:val="21"/>
                <w:szCs w:val="21"/>
                <w:u w:val="single"/>
              </w:rPr>
            </w:pPr>
          </w:p>
        </w:tc>
        <w:tc>
          <w:tcPr>
            <w:tcW w:w="874" w:type="pct"/>
            <w:vMerge w:val="restart"/>
            <w:noWrap w:val="0"/>
            <w:vAlign w:val="center"/>
          </w:tcPr>
          <w:p>
            <w:pPr>
              <w:pStyle w:val="37"/>
              <w:spacing w:line="240" w:lineRule="auto"/>
              <w:ind w:left="-72" w:leftChars="-30" w:right="-72" w:rightChars="-30" w:firstLine="0" w:firstLineChars="0"/>
              <w:jc w:val="center"/>
              <w:rPr>
                <w:rFonts w:hint="eastAsia" w:eastAsia="宋体"/>
                <w:i w:val="0"/>
                <w:iCs w:val="0"/>
                <w:sz w:val="21"/>
                <w:szCs w:val="21"/>
                <w:u w:val="single"/>
                <w:lang w:eastAsia="zh-CN"/>
              </w:rPr>
            </w:pPr>
            <w:r>
              <w:rPr>
                <w:rFonts w:hint="eastAsia"/>
                <w:i w:val="0"/>
                <w:iCs w:val="0"/>
                <w:sz w:val="21"/>
                <w:szCs w:val="21"/>
                <w:u w:val="single"/>
                <w:lang w:val="en-US" w:eastAsia="zh-CN"/>
              </w:rPr>
              <w:t>热风炉1烟气及</w:t>
            </w:r>
            <w:r>
              <w:rPr>
                <w:rFonts w:hint="eastAsia"/>
                <w:i w:val="0"/>
                <w:iCs w:val="0"/>
                <w:sz w:val="21"/>
                <w:szCs w:val="21"/>
                <w:u w:val="single"/>
              </w:rPr>
              <w:t>喷雾干燥塔</w:t>
            </w:r>
            <w:r>
              <w:rPr>
                <w:rFonts w:hint="eastAsia"/>
                <w:i w:val="0"/>
                <w:iCs w:val="0"/>
                <w:sz w:val="21"/>
                <w:szCs w:val="21"/>
                <w:u w:val="single"/>
                <w:lang w:val="en-US" w:eastAsia="zh-CN"/>
              </w:rPr>
              <w:t>1</w:t>
            </w:r>
            <w:r>
              <w:rPr>
                <w:rFonts w:hint="eastAsia"/>
                <w:i w:val="0"/>
                <w:iCs w:val="0"/>
                <w:sz w:val="21"/>
                <w:szCs w:val="21"/>
                <w:u w:val="single"/>
              </w:rPr>
              <w:t>喷雾干燥废气</w:t>
            </w:r>
            <w:r>
              <w:rPr>
                <w:rFonts w:hint="eastAsia"/>
                <w:i w:val="0"/>
                <w:iCs w:val="0"/>
                <w:sz w:val="21"/>
                <w:szCs w:val="21"/>
                <w:u w:val="single"/>
                <w:lang w:eastAsia="zh-CN"/>
              </w:rPr>
              <w:t>排气筒</w:t>
            </w:r>
          </w:p>
        </w:tc>
        <w:tc>
          <w:tcPr>
            <w:tcW w:w="780" w:type="pct"/>
            <w:noWrap w:val="0"/>
            <w:vAlign w:val="center"/>
          </w:tcPr>
          <w:p>
            <w:pPr>
              <w:jc w:val="center"/>
              <w:rPr>
                <w:rFonts w:hint="eastAsia"/>
                <w:i w:val="0"/>
                <w:iCs w:val="0"/>
                <w:sz w:val="21"/>
                <w:szCs w:val="21"/>
                <w:u w:val="single"/>
              </w:rPr>
            </w:pPr>
            <w:r>
              <w:rPr>
                <w:rFonts w:hint="eastAsia"/>
                <w:i w:val="0"/>
                <w:iCs w:val="0"/>
                <w:sz w:val="21"/>
                <w:szCs w:val="21"/>
                <w:u w:val="single"/>
                <w:lang w:eastAsia="zh-CN"/>
              </w:rPr>
              <w:t>颗粒物、二氧化硫及</w:t>
            </w:r>
          </w:p>
        </w:tc>
        <w:tc>
          <w:tcPr>
            <w:tcW w:w="776" w:type="pct"/>
            <w:noWrap w:val="0"/>
            <w:vAlign w:val="center"/>
          </w:tcPr>
          <w:p>
            <w:pPr>
              <w:jc w:val="center"/>
              <w:rPr>
                <w:rFonts w:hint="eastAsia"/>
                <w:i w:val="0"/>
                <w:iCs w:val="0"/>
                <w:sz w:val="21"/>
                <w:szCs w:val="21"/>
                <w:u w:val="single"/>
              </w:rPr>
            </w:pPr>
            <w:r>
              <w:rPr>
                <w:rFonts w:hint="eastAsia"/>
                <w:i w:val="0"/>
                <w:iCs w:val="0"/>
                <w:sz w:val="21"/>
                <w:szCs w:val="21"/>
                <w:u w:val="single"/>
              </w:rPr>
              <w:t>1 次/年</w:t>
            </w:r>
          </w:p>
        </w:tc>
        <w:tc>
          <w:tcPr>
            <w:tcW w:w="1633" w:type="pct"/>
            <w:vMerge w:val="restart"/>
            <w:noWrap w:val="0"/>
            <w:vAlign w:val="center"/>
          </w:tcPr>
          <w:p>
            <w:pPr>
              <w:jc w:val="center"/>
              <w:rPr>
                <w:rFonts w:hint="eastAsia" w:eastAsia="宋体"/>
                <w:i w:val="0"/>
                <w:iCs w:val="0"/>
                <w:sz w:val="21"/>
                <w:szCs w:val="21"/>
                <w:u w:val="single"/>
                <w:lang w:eastAsia="zh-CN"/>
              </w:rPr>
            </w:pPr>
            <w:r>
              <w:rPr>
                <w:i w:val="0"/>
                <w:iCs w:val="0"/>
                <w:sz w:val="21"/>
                <w:szCs w:val="21"/>
                <w:u w:val="single"/>
              </w:rPr>
              <w:t>《大气污染物综合排放标准》(GB16927-1996) 表2二级标准</w:t>
            </w:r>
            <w:r>
              <w:rPr>
                <w:rFonts w:hint="eastAsia"/>
                <w:i w:val="0"/>
                <w:iCs w:val="0"/>
                <w:sz w:val="21"/>
                <w:szCs w:val="21"/>
                <w:u w:val="single"/>
                <w:lang w:eastAsia="zh-CN"/>
              </w:rPr>
              <w:t>及《锅炉大气污染物排放标准》（</w:t>
            </w:r>
            <w:r>
              <w:rPr>
                <w:rFonts w:hint="eastAsia"/>
                <w:i w:val="0"/>
                <w:iCs w:val="0"/>
                <w:sz w:val="21"/>
                <w:szCs w:val="21"/>
                <w:u w:val="single"/>
                <w:lang w:val="en-US" w:eastAsia="zh-CN"/>
              </w:rPr>
              <w:t>GB13271-2014)表2新建锅炉大气污染物排放限值</w:t>
            </w:r>
          </w:p>
        </w:tc>
        <w:tc>
          <w:tcPr>
            <w:tcW w:w="448" w:type="pct"/>
            <w:vMerge w:val="continue"/>
            <w:noWrap w:val="0"/>
            <w:vAlign w:val="center"/>
          </w:tcPr>
          <w:p>
            <w:pPr>
              <w:spacing w:line="360" w:lineRule="auto"/>
              <w:jc w:val="center"/>
              <w:rPr>
                <w:i w:val="0"/>
                <w:iCs w:val="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487" w:type="pct"/>
            <w:vMerge w:val="continue"/>
            <w:noWrap w:val="0"/>
            <w:vAlign w:val="center"/>
          </w:tcPr>
          <w:p>
            <w:pPr>
              <w:jc w:val="center"/>
              <w:rPr>
                <w:i w:val="0"/>
                <w:iCs w:val="0"/>
                <w:u w:val="single"/>
              </w:rPr>
            </w:pPr>
          </w:p>
        </w:tc>
        <w:tc>
          <w:tcPr>
            <w:tcW w:w="874" w:type="pct"/>
            <w:vMerge w:val="continue"/>
            <w:noWrap w:val="0"/>
            <w:vAlign w:val="center"/>
          </w:tcPr>
          <w:p>
            <w:pPr>
              <w:jc w:val="center"/>
              <w:rPr>
                <w:i w:val="0"/>
                <w:iCs w:val="0"/>
                <w:u w:val="single"/>
              </w:rPr>
            </w:pPr>
          </w:p>
        </w:tc>
        <w:tc>
          <w:tcPr>
            <w:tcW w:w="780" w:type="pct"/>
            <w:noWrap w:val="0"/>
            <w:vAlign w:val="center"/>
          </w:tcPr>
          <w:p>
            <w:pPr>
              <w:jc w:val="center"/>
              <w:rPr>
                <w:rFonts w:hint="eastAsia"/>
                <w:i w:val="0"/>
                <w:iCs w:val="0"/>
                <w:sz w:val="21"/>
                <w:szCs w:val="21"/>
                <w:u w:val="single"/>
                <w:lang w:eastAsia="zh-CN"/>
              </w:rPr>
            </w:pPr>
            <w:r>
              <w:rPr>
                <w:rFonts w:hint="eastAsia"/>
                <w:i w:val="0"/>
                <w:iCs w:val="0"/>
                <w:sz w:val="21"/>
                <w:szCs w:val="21"/>
                <w:u w:val="single"/>
                <w:lang w:eastAsia="zh-CN"/>
              </w:rPr>
              <w:t>氮氧化物</w:t>
            </w:r>
          </w:p>
        </w:tc>
        <w:tc>
          <w:tcPr>
            <w:tcW w:w="776" w:type="pct"/>
            <w:noWrap w:val="0"/>
            <w:vAlign w:val="center"/>
          </w:tcPr>
          <w:p>
            <w:pPr>
              <w:jc w:val="center"/>
              <w:rPr>
                <w:rFonts w:hint="eastAsia" w:eastAsia="宋体"/>
                <w:i w:val="0"/>
                <w:iCs w:val="0"/>
                <w:sz w:val="21"/>
                <w:szCs w:val="21"/>
                <w:u w:val="single"/>
                <w:lang w:eastAsia="zh-CN"/>
              </w:rPr>
            </w:pPr>
            <w:r>
              <w:rPr>
                <w:rFonts w:hint="eastAsia"/>
                <w:i w:val="0"/>
                <w:iCs w:val="0"/>
                <w:sz w:val="21"/>
                <w:szCs w:val="21"/>
                <w:u w:val="single"/>
              </w:rPr>
              <w:t>1 次/</w:t>
            </w:r>
            <w:r>
              <w:rPr>
                <w:rFonts w:hint="eastAsia"/>
                <w:i w:val="0"/>
                <w:iCs w:val="0"/>
                <w:sz w:val="21"/>
                <w:szCs w:val="21"/>
                <w:u w:val="single"/>
                <w:lang w:eastAsia="zh-CN"/>
              </w:rPr>
              <w:t>月</w:t>
            </w:r>
          </w:p>
        </w:tc>
        <w:tc>
          <w:tcPr>
            <w:tcW w:w="1633" w:type="pct"/>
            <w:vMerge w:val="continue"/>
            <w:noWrap w:val="0"/>
            <w:vAlign w:val="center"/>
          </w:tcPr>
          <w:p>
            <w:pPr>
              <w:jc w:val="center"/>
              <w:rPr>
                <w:rFonts w:hint="eastAsia"/>
                <w:i w:val="0"/>
                <w:iCs w:val="0"/>
                <w:sz w:val="21"/>
                <w:szCs w:val="21"/>
                <w:u w:val="single"/>
                <w:lang w:eastAsia="zh-CN"/>
              </w:rPr>
            </w:pPr>
          </w:p>
        </w:tc>
        <w:tc>
          <w:tcPr>
            <w:tcW w:w="448" w:type="pct"/>
            <w:vMerge w:val="continue"/>
            <w:noWrap w:val="0"/>
            <w:vAlign w:val="center"/>
          </w:tcPr>
          <w:p>
            <w:pPr>
              <w:jc w:val="center"/>
              <w:rPr>
                <w:rFonts w:hint="eastAsia"/>
                <w:i w:val="0"/>
                <w:iCs w:val="0"/>
                <w:sz w:val="21"/>
                <w:szCs w:val="21"/>
                <w:u w:val="singl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487" w:type="pct"/>
            <w:vMerge w:val="continue"/>
            <w:noWrap w:val="0"/>
            <w:vAlign w:val="center"/>
          </w:tcPr>
          <w:p>
            <w:pPr>
              <w:jc w:val="center"/>
              <w:rPr>
                <w:i w:val="0"/>
                <w:iCs w:val="0"/>
                <w:sz w:val="21"/>
                <w:szCs w:val="21"/>
                <w:u w:val="single"/>
              </w:rPr>
            </w:pPr>
          </w:p>
        </w:tc>
        <w:tc>
          <w:tcPr>
            <w:tcW w:w="874" w:type="pct"/>
            <w:vMerge w:val="restart"/>
            <w:noWrap w:val="0"/>
            <w:vAlign w:val="center"/>
          </w:tcPr>
          <w:p>
            <w:pPr>
              <w:pStyle w:val="37"/>
              <w:spacing w:line="240" w:lineRule="auto"/>
              <w:ind w:left="-72" w:leftChars="-30" w:right="-72" w:rightChars="-30" w:firstLine="0" w:firstLineChars="0"/>
              <w:jc w:val="center"/>
              <w:rPr>
                <w:rFonts w:hint="eastAsia"/>
                <w:i w:val="0"/>
                <w:iCs w:val="0"/>
                <w:sz w:val="21"/>
                <w:szCs w:val="21"/>
                <w:u w:val="single"/>
              </w:rPr>
            </w:pPr>
            <w:r>
              <w:rPr>
                <w:rFonts w:hint="eastAsia"/>
                <w:i w:val="0"/>
                <w:iCs w:val="0"/>
                <w:sz w:val="21"/>
                <w:szCs w:val="21"/>
                <w:u w:val="single"/>
                <w:lang w:val="en-US" w:eastAsia="zh-CN"/>
              </w:rPr>
              <w:t>热风炉2烟气及</w:t>
            </w:r>
            <w:r>
              <w:rPr>
                <w:rFonts w:hint="eastAsia"/>
                <w:i w:val="0"/>
                <w:iCs w:val="0"/>
                <w:sz w:val="21"/>
                <w:szCs w:val="21"/>
                <w:u w:val="single"/>
              </w:rPr>
              <w:t>喷雾干燥塔</w:t>
            </w:r>
            <w:r>
              <w:rPr>
                <w:rFonts w:hint="eastAsia"/>
                <w:i w:val="0"/>
                <w:iCs w:val="0"/>
                <w:sz w:val="21"/>
                <w:szCs w:val="21"/>
                <w:u w:val="single"/>
                <w:lang w:val="en-US" w:eastAsia="zh-CN"/>
              </w:rPr>
              <w:t>2</w:t>
            </w:r>
            <w:r>
              <w:rPr>
                <w:rFonts w:hint="eastAsia"/>
                <w:i w:val="0"/>
                <w:iCs w:val="0"/>
                <w:sz w:val="21"/>
                <w:szCs w:val="21"/>
                <w:u w:val="single"/>
              </w:rPr>
              <w:t>喷雾干燥废气</w:t>
            </w:r>
            <w:r>
              <w:rPr>
                <w:rFonts w:hint="eastAsia"/>
                <w:i w:val="0"/>
                <w:iCs w:val="0"/>
                <w:sz w:val="21"/>
                <w:szCs w:val="21"/>
                <w:u w:val="single"/>
                <w:lang w:eastAsia="zh-CN"/>
              </w:rPr>
              <w:t>排气筒（</w:t>
            </w:r>
            <w:r>
              <w:rPr>
                <w:rFonts w:hint="eastAsia"/>
                <w:i w:val="0"/>
                <w:iCs w:val="0"/>
                <w:sz w:val="21"/>
                <w:szCs w:val="21"/>
                <w:u w:val="single"/>
                <w:lang w:val="en-US" w:eastAsia="zh-CN"/>
              </w:rPr>
              <w:t>DA004</w:t>
            </w:r>
            <w:r>
              <w:rPr>
                <w:rFonts w:hint="eastAsia"/>
                <w:i w:val="0"/>
                <w:iCs w:val="0"/>
                <w:sz w:val="21"/>
                <w:szCs w:val="21"/>
                <w:u w:val="single"/>
                <w:lang w:eastAsia="zh-CN"/>
              </w:rPr>
              <w:t>）</w:t>
            </w:r>
          </w:p>
        </w:tc>
        <w:tc>
          <w:tcPr>
            <w:tcW w:w="780" w:type="pct"/>
            <w:noWrap w:val="0"/>
            <w:vAlign w:val="center"/>
          </w:tcPr>
          <w:p>
            <w:pPr>
              <w:jc w:val="center"/>
              <w:rPr>
                <w:rFonts w:hint="eastAsia" w:eastAsia="宋体"/>
                <w:i w:val="0"/>
                <w:iCs w:val="0"/>
                <w:sz w:val="21"/>
                <w:szCs w:val="21"/>
                <w:u w:val="single"/>
                <w:lang w:eastAsia="zh-CN"/>
              </w:rPr>
            </w:pPr>
            <w:r>
              <w:rPr>
                <w:rFonts w:hint="eastAsia"/>
                <w:i w:val="0"/>
                <w:iCs w:val="0"/>
                <w:sz w:val="21"/>
                <w:szCs w:val="21"/>
                <w:u w:val="single"/>
                <w:lang w:eastAsia="zh-CN"/>
              </w:rPr>
              <w:t>颗粒物、二氧化硫</w:t>
            </w:r>
          </w:p>
        </w:tc>
        <w:tc>
          <w:tcPr>
            <w:tcW w:w="1441" w:type="dxa"/>
            <w:noWrap w:val="0"/>
            <w:vAlign w:val="center"/>
          </w:tcPr>
          <w:p>
            <w:pPr>
              <w:jc w:val="center"/>
              <w:rPr>
                <w:rFonts w:hint="eastAsia"/>
                <w:i w:val="0"/>
                <w:iCs w:val="0"/>
                <w:sz w:val="21"/>
                <w:szCs w:val="21"/>
                <w:u w:val="single"/>
              </w:rPr>
            </w:pPr>
            <w:r>
              <w:rPr>
                <w:rFonts w:hint="eastAsia"/>
                <w:i w:val="0"/>
                <w:iCs w:val="0"/>
                <w:sz w:val="21"/>
                <w:szCs w:val="21"/>
                <w:u w:val="single"/>
              </w:rPr>
              <w:t>1 次/年</w:t>
            </w:r>
          </w:p>
        </w:tc>
        <w:tc>
          <w:tcPr>
            <w:tcW w:w="1633" w:type="pct"/>
            <w:vMerge w:val="restart"/>
            <w:noWrap w:val="0"/>
            <w:vAlign w:val="center"/>
          </w:tcPr>
          <w:p>
            <w:pPr>
              <w:jc w:val="center"/>
              <w:rPr>
                <w:i w:val="0"/>
                <w:iCs w:val="0"/>
                <w:sz w:val="21"/>
                <w:szCs w:val="21"/>
                <w:u w:val="single"/>
              </w:rPr>
            </w:pPr>
            <w:r>
              <w:rPr>
                <w:i w:val="0"/>
                <w:iCs w:val="0"/>
                <w:sz w:val="21"/>
                <w:szCs w:val="21"/>
                <w:u w:val="single"/>
              </w:rPr>
              <w:t>《大气污染物综合排放标准》(GB16927-1996) 表2二级标准</w:t>
            </w:r>
            <w:r>
              <w:rPr>
                <w:rFonts w:hint="eastAsia"/>
                <w:i w:val="0"/>
                <w:iCs w:val="0"/>
                <w:sz w:val="21"/>
                <w:szCs w:val="21"/>
                <w:u w:val="single"/>
                <w:lang w:eastAsia="zh-CN"/>
              </w:rPr>
              <w:t>及《锅炉大气污染物排放标准》（</w:t>
            </w:r>
            <w:r>
              <w:rPr>
                <w:rFonts w:hint="eastAsia"/>
                <w:i w:val="0"/>
                <w:iCs w:val="0"/>
                <w:sz w:val="21"/>
                <w:szCs w:val="21"/>
                <w:u w:val="single"/>
                <w:lang w:val="en-US" w:eastAsia="zh-CN"/>
              </w:rPr>
              <w:t>GB13271-2014)表2新建锅炉大气污染物排放限值</w:t>
            </w:r>
          </w:p>
        </w:tc>
        <w:tc>
          <w:tcPr>
            <w:tcW w:w="448" w:type="pct"/>
            <w:vMerge w:val="continue"/>
            <w:noWrap w:val="0"/>
            <w:vAlign w:val="center"/>
          </w:tcPr>
          <w:p>
            <w:pPr>
              <w:spacing w:line="360" w:lineRule="auto"/>
              <w:jc w:val="center"/>
              <w:rPr>
                <w:i w:val="0"/>
                <w:iCs w:val="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487" w:type="pct"/>
            <w:vMerge w:val="continue"/>
            <w:noWrap w:val="0"/>
            <w:vAlign w:val="center"/>
          </w:tcPr>
          <w:p>
            <w:pPr>
              <w:jc w:val="center"/>
              <w:rPr>
                <w:i w:val="0"/>
                <w:iCs w:val="0"/>
                <w:u w:val="single"/>
              </w:rPr>
            </w:pPr>
          </w:p>
        </w:tc>
        <w:tc>
          <w:tcPr>
            <w:tcW w:w="874" w:type="pct"/>
            <w:vMerge w:val="continue"/>
            <w:noWrap w:val="0"/>
            <w:vAlign w:val="center"/>
          </w:tcPr>
          <w:p>
            <w:pPr>
              <w:jc w:val="center"/>
              <w:rPr>
                <w:i w:val="0"/>
                <w:iCs w:val="0"/>
                <w:u w:val="single"/>
              </w:rPr>
            </w:pPr>
          </w:p>
        </w:tc>
        <w:tc>
          <w:tcPr>
            <w:tcW w:w="780" w:type="pct"/>
            <w:noWrap w:val="0"/>
            <w:vAlign w:val="center"/>
          </w:tcPr>
          <w:p>
            <w:pPr>
              <w:jc w:val="center"/>
              <w:rPr>
                <w:rFonts w:hint="eastAsia"/>
                <w:i w:val="0"/>
                <w:iCs w:val="0"/>
                <w:sz w:val="21"/>
                <w:szCs w:val="21"/>
                <w:u w:val="single"/>
                <w:lang w:eastAsia="zh-CN"/>
              </w:rPr>
            </w:pPr>
            <w:r>
              <w:rPr>
                <w:rFonts w:hint="eastAsia"/>
                <w:i w:val="0"/>
                <w:iCs w:val="0"/>
                <w:sz w:val="21"/>
                <w:szCs w:val="21"/>
                <w:u w:val="single"/>
                <w:lang w:eastAsia="zh-CN"/>
              </w:rPr>
              <w:t>氮氧化物</w:t>
            </w:r>
          </w:p>
        </w:tc>
        <w:tc>
          <w:tcPr>
            <w:tcW w:w="1441" w:type="dxa"/>
            <w:noWrap w:val="0"/>
            <w:vAlign w:val="center"/>
          </w:tcPr>
          <w:p>
            <w:pPr>
              <w:jc w:val="center"/>
              <w:rPr>
                <w:rFonts w:hint="eastAsia"/>
                <w:i w:val="0"/>
                <w:iCs w:val="0"/>
                <w:sz w:val="21"/>
                <w:szCs w:val="21"/>
                <w:u w:val="single"/>
                <w:lang w:eastAsia="zh-CN"/>
              </w:rPr>
            </w:pPr>
            <w:r>
              <w:rPr>
                <w:rFonts w:hint="eastAsia"/>
                <w:i w:val="0"/>
                <w:iCs w:val="0"/>
                <w:sz w:val="21"/>
                <w:szCs w:val="21"/>
                <w:u w:val="single"/>
              </w:rPr>
              <w:t>1 次/</w:t>
            </w:r>
            <w:r>
              <w:rPr>
                <w:rFonts w:hint="eastAsia"/>
                <w:i w:val="0"/>
                <w:iCs w:val="0"/>
                <w:sz w:val="21"/>
                <w:szCs w:val="21"/>
                <w:u w:val="single"/>
                <w:lang w:eastAsia="zh-CN"/>
              </w:rPr>
              <w:t>月</w:t>
            </w:r>
          </w:p>
        </w:tc>
        <w:tc>
          <w:tcPr>
            <w:tcW w:w="1633" w:type="pct"/>
            <w:vMerge w:val="continue"/>
            <w:noWrap w:val="0"/>
            <w:vAlign w:val="center"/>
          </w:tcPr>
          <w:p>
            <w:pPr>
              <w:jc w:val="center"/>
              <w:rPr>
                <w:rFonts w:hint="eastAsia"/>
                <w:i w:val="0"/>
                <w:iCs w:val="0"/>
                <w:sz w:val="21"/>
                <w:szCs w:val="21"/>
                <w:u w:val="single"/>
                <w:lang w:eastAsia="zh-CN"/>
              </w:rPr>
            </w:pPr>
          </w:p>
        </w:tc>
        <w:tc>
          <w:tcPr>
            <w:tcW w:w="448" w:type="pct"/>
            <w:vMerge w:val="continue"/>
            <w:noWrap w:val="0"/>
            <w:vAlign w:val="center"/>
          </w:tcPr>
          <w:p>
            <w:pPr>
              <w:jc w:val="center"/>
              <w:rPr>
                <w:rFonts w:hint="eastAsia"/>
                <w:i w:val="0"/>
                <w:iCs w:val="0"/>
                <w:sz w:val="21"/>
                <w:szCs w:val="21"/>
                <w:u w:val="singl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8" w:hRule="atLeast"/>
          <w:jc w:val="center"/>
        </w:trPr>
        <w:tc>
          <w:tcPr>
            <w:tcW w:w="487" w:type="pct"/>
            <w:vMerge w:val="continue"/>
            <w:noWrap w:val="0"/>
            <w:vAlign w:val="center"/>
          </w:tcPr>
          <w:p>
            <w:pPr>
              <w:jc w:val="center"/>
              <w:rPr>
                <w:i w:val="0"/>
                <w:iCs w:val="0"/>
                <w:sz w:val="21"/>
                <w:szCs w:val="21"/>
                <w:u w:val="single"/>
              </w:rPr>
            </w:pPr>
          </w:p>
        </w:tc>
        <w:tc>
          <w:tcPr>
            <w:tcW w:w="874" w:type="pct"/>
            <w:vMerge w:val="restart"/>
            <w:noWrap w:val="0"/>
            <w:vAlign w:val="center"/>
          </w:tcPr>
          <w:p>
            <w:pPr>
              <w:jc w:val="center"/>
              <w:rPr>
                <w:i w:val="0"/>
                <w:iCs w:val="0"/>
                <w:sz w:val="21"/>
                <w:szCs w:val="21"/>
                <w:u w:val="single"/>
              </w:rPr>
            </w:pPr>
            <w:r>
              <w:rPr>
                <w:i w:val="0"/>
                <w:iCs w:val="0"/>
                <w:sz w:val="21"/>
                <w:szCs w:val="21"/>
                <w:u w:val="single"/>
              </w:rPr>
              <w:t>厂界无组织废气</w:t>
            </w:r>
          </w:p>
          <w:p>
            <w:pPr>
              <w:jc w:val="center"/>
              <w:rPr>
                <w:i w:val="0"/>
                <w:iCs w:val="0"/>
                <w:sz w:val="21"/>
                <w:szCs w:val="21"/>
                <w:u w:val="single"/>
              </w:rPr>
            </w:pPr>
            <w:r>
              <w:rPr>
                <w:i w:val="0"/>
                <w:iCs w:val="0"/>
                <w:sz w:val="21"/>
                <w:szCs w:val="21"/>
                <w:u w:val="single"/>
              </w:rPr>
              <w:t>（厂界上风向1个监测点、下风向3个监测点）</w:t>
            </w:r>
          </w:p>
        </w:tc>
        <w:tc>
          <w:tcPr>
            <w:tcW w:w="780" w:type="pct"/>
            <w:noWrap w:val="0"/>
            <w:vAlign w:val="center"/>
          </w:tcPr>
          <w:p>
            <w:pPr>
              <w:jc w:val="center"/>
              <w:rPr>
                <w:i w:val="0"/>
                <w:iCs w:val="0"/>
                <w:sz w:val="21"/>
                <w:szCs w:val="21"/>
                <w:u w:val="single"/>
              </w:rPr>
            </w:pPr>
            <w:r>
              <w:rPr>
                <w:i w:val="0"/>
                <w:iCs w:val="0"/>
                <w:sz w:val="21"/>
                <w:szCs w:val="21"/>
                <w:u w:val="single"/>
              </w:rPr>
              <w:t>NH</w:t>
            </w:r>
            <w:r>
              <w:rPr>
                <w:i w:val="0"/>
                <w:iCs w:val="0"/>
                <w:sz w:val="21"/>
                <w:szCs w:val="21"/>
                <w:u w:val="single"/>
                <w:vertAlign w:val="subscript"/>
              </w:rPr>
              <w:t>3</w:t>
            </w:r>
            <w:r>
              <w:rPr>
                <w:rFonts w:hint="eastAsia"/>
                <w:i w:val="0"/>
                <w:iCs w:val="0"/>
                <w:sz w:val="21"/>
                <w:szCs w:val="21"/>
                <w:u w:val="single"/>
              </w:rPr>
              <w:t>、</w:t>
            </w:r>
            <w:r>
              <w:rPr>
                <w:i w:val="0"/>
                <w:iCs w:val="0"/>
                <w:sz w:val="21"/>
                <w:szCs w:val="21"/>
                <w:u w:val="single"/>
              </w:rPr>
              <w:t>H</w:t>
            </w:r>
            <w:r>
              <w:rPr>
                <w:i w:val="0"/>
                <w:iCs w:val="0"/>
                <w:sz w:val="21"/>
                <w:szCs w:val="21"/>
                <w:u w:val="single"/>
                <w:vertAlign w:val="subscript"/>
              </w:rPr>
              <w:t>2</w:t>
            </w:r>
            <w:r>
              <w:rPr>
                <w:i w:val="0"/>
                <w:iCs w:val="0"/>
                <w:sz w:val="21"/>
                <w:szCs w:val="21"/>
                <w:u w:val="single"/>
              </w:rPr>
              <w:t>S</w:t>
            </w:r>
            <w:r>
              <w:rPr>
                <w:rFonts w:hint="eastAsia"/>
                <w:i w:val="0"/>
                <w:iCs w:val="0"/>
                <w:sz w:val="21"/>
                <w:szCs w:val="21"/>
                <w:u w:val="single"/>
              </w:rPr>
              <w:t>、臭气浓度</w:t>
            </w:r>
          </w:p>
        </w:tc>
        <w:tc>
          <w:tcPr>
            <w:tcW w:w="776" w:type="pct"/>
            <w:vMerge w:val="restart"/>
            <w:noWrap w:val="0"/>
            <w:vAlign w:val="center"/>
          </w:tcPr>
          <w:p>
            <w:pPr>
              <w:jc w:val="center"/>
              <w:rPr>
                <w:i w:val="0"/>
                <w:iCs w:val="0"/>
                <w:sz w:val="21"/>
                <w:szCs w:val="21"/>
                <w:u w:val="single"/>
              </w:rPr>
            </w:pPr>
            <w:r>
              <w:rPr>
                <w:i w:val="0"/>
                <w:iCs w:val="0"/>
                <w:sz w:val="21"/>
                <w:szCs w:val="21"/>
                <w:u w:val="single"/>
              </w:rPr>
              <w:t>1次/一年</w:t>
            </w:r>
          </w:p>
        </w:tc>
        <w:tc>
          <w:tcPr>
            <w:tcW w:w="1633" w:type="pct"/>
            <w:noWrap w:val="0"/>
            <w:vAlign w:val="center"/>
          </w:tcPr>
          <w:p>
            <w:pPr>
              <w:jc w:val="center"/>
              <w:rPr>
                <w:i w:val="0"/>
                <w:iCs w:val="0"/>
                <w:sz w:val="21"/>
                <w:szCs w:val="21"/>
                <w:u w:val="single"/>
              </w:rPr>
            </w:pPr>
            <w:r>
              <w:rPr>
                <w:i w:val="0"/>
                <w:iCs w:val="0"/>
                <w:sz w:val="21"/>
                <w:szCs w:val="21"/>
                <w:u w:val="single"/>
              </w:rPr>
              <w:t>《恶臭污染物排放标准》(GB14554-93)</w:t>
            </w:r>
          </w:p>
        </w:tc>
        <w:tc>
          <w:tcPr>
            <w:tcW w:w="448" w:type="pct"/>
            <w:vMerge w:val="continue"/>
            <w:noWrap w:val="0"/>
            <w:vAlign w:val="center"/>
          </w:tcPr>
          <w:p>
            <w:pPr>
              <w:spacing w:line="360" w:lineRule="auto"/>
              <w:jc w:val="center"/>
              <w:rPr>
                <w:i w:val="0"/>
                <w:iCs w:val="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8" w:hRule="atLeast"/>
          <w:jc w:val="center"/>
        </w:trPr>
        <w:tc>
          <w:tcPr>
            <w:tcW w:w="487" w:type="pct"/>
            <w:vMerge w:val="continue"/>
            <w:noWrap w:val="0"/>
            <w:vAlign w:val="center"/>
          </w:tcPr>
          <w:p>
            <w:pPr>
              <w:jc w:val="center"/>
              <w:rPr>
                <w:i w:val="0"/>
                <w:iCs w:val="0"/>
                <w:sz w:val="21"/>
                <w:szCs w:val="21"/>
                <w:u w:val="single"/>
              </w:rPr>
            </w:pPr>
          </w:p>
        </w:tc>
        <w:tc>
          <w:tcPr>
            <w:tcW w:w="874" w:type="pct"/>
            <w:vMerge w:val="continue"/>
            <w:noWrap w:val="0"/>
            <w:vAlign w:val="center"/>
          </w:tcPr>
          <w:p>
            <w:pPr>
              <w:jc w:val="center"/>
              <w:rPr>
                <w:i w:val="0"/>
                <w:iCs w:val="0"/>
                <w:sz w:val="21"/>
                <w:szCs w:val="21"/>
                <w:u w:val="single"/>
              </w:rPr>
            </w:pPr>
          </w:p>
        </w:tc>
        <w:tc>
          <w:tcPr>
            <w:tcW w:w="780" w:type="pct"/>
            <w:noWrap w:val="0"/>
            <w:vAlign w:val="center"/>
          </w:tcPr>
          <w:p>
            <w:pPr>
              <w:jc w:val="center"/>
              <w:rPr>
                <w:rFonts w:hint="eastAsia"/>
                <w:i w:val="0"/>
                <w:iCs w:val="0"/>
                <w:sz w:val="21"/>
                <w:szCs w:val="21"/>
                <w:u w:val="single"/>
              </w:rPr>
            </w:pPr>
            <w:r>
              <w:rPr>
                <w:rFonts w:hint="eastAsia"/>
                <w:i w:val="0"/>
                <w:iCs w:val="0"/>
                <w:sz w:val="21"/>
                <w:szCs w:val="21"/>
                <w:u w:val="single"/>
              </w:rPr>
              <w:t>颗粒物、非甲烷总烃</w:t>
            </w:r>
          </w:p>
        </w:tc>
        <w:tc>
          <w:tcPr>
            <w:tcW w:w="776" w:type="pct"/>
            <w:vMerge w:val="continue"/>
            <w:noWrap w:val="0"/>
            <w:vAlign w:val="center"/>
          </w:tcPr>
          <w:p>
            <w:pPr>
              <w:jc w:val="center"/>
              <w:rPr>
                <w:i w:val="0"/>
                <w:iCs w:val="0"/>
                <w:sz w:val="21"/>
                <w:szCs w:val="21"/>
                <w:u w:val="single"/>
              </w:rPr>
            </w:pPr>
          </w:p>
        </w:tc>
        <w:tc>
          <w:tcPr>
            <w:tcW w:w="1633" w:type="pct"/>
            <w:noWrap w:val="0"/>
            <w:vAlign w:val="center"/>
          </w:tcPr>
          <w:p>
            <w:pPr>
              <w:jc w:val="center"/>
              <w:rPr>
                <w:i w:val="0"/>
                <w:iCs w:val="0"/>
                <w:sz w:val="21"/>
                <w:szCs w:val="21"/>
                <w:u w:val="single"/>
              </w:rPr>
            </w:pPr>
            <w:r>
              <w:rPr>
                <w:i w:val="0"/>
                <w:iCs w:val="0"/>
                <w:sz w:val="21"/>
                <w:szCs w:val="21"/>
                <w:u w:val="single"/>
              </w:rPr>
              <w:t>《大气污染物综合排放标准》</w:t>
            </w:r>
          </w:p>
          <w:p>
            <w:pPr>
              <w:jc w:val="center"/>
              <w:rPr>
                <w:i w:val="0"/>
                <w:iCs w:val="0"/>
                <w:sz w:val="21"/>
                <w:szCs w:val="21"/>
                <w:u w:val="single"/>
              </w:rPr>
            </w:pPr>
            <w:r>
              <w:rPr>
                <w:i w:val="0"/>
                <w:iCs w:val="0"/>
                <w:sz w:val="21"/>
                <w:szCs w:val="21"/>
                <w:u w:val="single"/>
              </w:rPr>
              <w:t>（GB16297-1996</w:t>
            </w:r>
          </w:p>
        </w:tc>
        <w:tc>
          <w:tcPr>
            <w:tcW w:w="448" w:type="pct"/>
            <w:vMerge w:val="continue"/>
            <w:noWrap w:val="0"/>
            <w:vAlign w:val="center"/>
          </w:tcPr>
          <w:p>
            <w:pPr>
              <w:spacing w:line="360" w:lineRule="auto"/>
              <w:ind w:left="-79" w:leftChars="-33" w:right="-72" w:rightChars="-30"/>
              <w:jc w:val="center"/>
              <w:rPr>
                <w:i w:val="0"/>
                <w:iCs w:val="0"/>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8" w:hRule="atLeast"/>
          <w:jc w:val="center"/>
        </w:trPr>
        <w:tc>
          <w:tcPr>
            <w:tcW w:w="487" w:type="pct"/>
            <w:noWrap w:val="0"/>
            <w:vAlign w:val="center"/>
          </w:tcPr>
          <w:p>
            <w:pPr>
              <w:jc w:val="center"/>
              <w:rPr>
                <w:i w:val="0"/>
                <w:iCs w:val="0"/>
                <w:sz w:val="21"/>
                <w:szCs w:val="21"/>
                <w:u w:val="single"/>
              </w:rPr>
            </w:pPr>
            <w:r>
              <w:rPr>
                <w:i w:val="0"/>
                <w:iCs w:val="0"/>
                <w:sz w:val="21"/>
                <w:szCs w:val="21"/>
                <w:u w:val="single"/>
              </w:rPr>
              <w:t>噪声</w:t>
            </w:r>
          </w:p>
        </w:tc>
        <w:tc>
          <w:tcPr>
            <w:tcW w:w="874" w:type="pct"/>
            <w:noWrap w:val="0"/>
            <w:vAlign w:val="center"/>
          </w:tcPr>
          <w:p>
            <w:pPr>
              <w:jc w:val="center"/>
              <w:rPr>
                <w:i w:val="0"/>
                <w:iCs w:val="0"/>
                <w:sz w:val="21"/>
                <w:szCs w:val="21"/>
                <w:u w:val="single"/>
              </w:rPr>
            </w:pPr>
            <w:r>
              <w:rPr>
                <w:i w:val="0"/>
                <w:iCs w:val="0"/>
                <w:sz w:val="21"/>
                <w:szCs w:val="21"/>
                <w:u w:val="single"/>
              </w:rPr>
              <w:t>厂界外1米</w:t>
            </w:r>
          </w:p>
        </w:tc>
        <w:tc>
          <w:tcPr>
            <w:tcW w:w="780" w:type="pct"/>
            <w:noWrap w:val="0"/>
            <w:vAlign w:val="center"/>
          </w:tcPr>
          <w:p>
            <w:pPr>
              <w:jc w:val="center"/>
              <w:rPr>
                <w:i w:val="0"/>
                <w:iCs w:val="0"/>
                <w:sz w:val="21"/>
                <w:szCs w:val="21"/>
                <w:u w:val="single"/>
              </w:rPr>
            </w:pPr>
            <w:r>
              <w:rPr>
                <w:i w:val="0"/>
                <w:iCs w:val="0"/>
                <w:sz w:val="21"/>
                <w:szCs w:val="21"/>
                <w:u w:val="single"/>
              </w:rPr>
              <w:t>Leq[dB(A)]</w:t>
            </w:r>
          </w:p>
        </w:tc>
        <w:tc>
          <w:tcPr>
            <w:tcW w:w="776" w:type="pct"/>
            <w:noWrap w:val="0"/>
            <w:vAlign w:val="center"/>
          </w:tcPr>
          <w:p>
            <w:pPr>
              <w:jc w:val="center"/>
              <w:rPr>
                <w:i w:val="0"/>
                <w:iCs w:val="0"/>
                <w:sz w:val="21"/>
                <w:szCs w:val="21"/>
                <w:u w:val="single"/>
              </w:rPr>
            </w:pPr>
            <w:r>
              <w:rPr>
                <w:i w:val="0"/>
                <w:iCs w:val="0"/>
                <w:sz w:val="21"/>
                <w:szCs w:val="21"/>
                <w:u w:val="single"/>
              </w:rPr>
              <w:t>1次/季</w:t>
            </w:r>
          </w:p>
          <w:p>
            <w:pPr>
              <w:jc w:val="center"/>
              <w:rPr>
                <w:i w:val="0"/>
                <w:iCs w:val="0"/>
                <w:sz w:val="21"/>
                <w:szCs w:val="21"/>
                <w:u w:val="single"/>
              </w:rPr>
            </w:pPr>
            <w:r>
              <w:rPr>
                <w:i w:val="0"/>
                <w:iCs w:val="0"/>
                <w:sz w:val="21"/>
                <w:szCs w:val="21"/>
                <w:u w:val="single"/>
              </w:rPr>
              <w:t>（每次连续2天，每天昼间、夜间各1次）</w:t>
            </w:r>
          </w:p>
        </w:tc>
        <w:tc>
          <w:tcPr>
            <w:tcW w:w="1633" w:type="pct"/>
            <w:noWrap w:val="0"/>
            <w:vAlign w:val="center"/>
          </w:tcPr>
          <w:p>
            <w:pPr>
              <w:jc w:val="center"/>
              <w:rPr>
                <w:i w:val="0"/>
                <w:iCs w:val="0"/>
                <w:sz w:val="21"/>
                <w:szCs w:val="21"/>
                <w:u w:val="single"/>
              </w:rPr>
            </w:pPr>
            <w:r>
              <w:rPr>
                <w:i w:val="0"/>
                <w:iCs w:val="0"/>
                <w:sz w:val="21"/>
                <w:szCs w:val="21"/>
                <w:u w:val="single"/>
              </w:rPr>
              <w:t>《工业企业厂界环境噪声排放标准》B12348-2008）中</w:t>
            </w:r>
            <w:r>
              <w:rPr>
                <w:rFonts w:hint="eastAsia"/>
                <w:i w:val="0"/>
                <w:iCs w:val="0"/>
                <w:sz w:val="21"/>
                <w:szCs w:val="21"/>
                <w:u w:val="single"/>
                <w:lang w:val="en-US" w:eastAsia="zh-CN"/>
              </w:rPr>
              <w:t>2</w:t>
            </w:r>
            <w:r>
              <w:rPr>
                <w:i w:val="0"/>
                <w:iCs w:val="0"/>
                <w:sz w:val="21"/>
                <w:szCs w:val="21"/>
                <w:u w:val="single"/>
              </w:rPr>
              <w:t>类标准要求</w:t>
            </w:r>
          </w:p>
        </w:tc>
        <w:tc>
          <w:tcPr>
            <w:tcW w:w="448" w:type="pct"/>
            <w:vMerge w:val="continue"/>
            <w:noWrap w:val="0"/>
            <w:vAlign w:val="center"/>
          </w:tcPr>
          <w:p>
            <w:pPr>
              <w:spacing w:line="360" w:lineRule="auto"/>
              <w:jc w:val="center"/>
              <w:rPr>
                <w:i w:val="0"/>
                <w:iCs w:val="0"/>
                <w:sz w:val="21"/>
                <w:szCs w:val="21"/>
                <w:u w:val="single"/>
              </w:rPr>
            </w:pPr>
          </w:p>
        </w:tc>
      </w:tr>
      <w:bookmarkEnd w:id="275"/>
      <w:bookmarkEnd w:id="276"/>
      <w:bookmarkEnd w:id="277"/>
      <w:bookmarkEnd w:id="278"/>
      <w:bookmarkEnd w:id="279"/>
      <w:bookmarkEnd w:id="301"/>
      <w:bookmarkEnd w:id="302"/>
      <w:bookmarkEnd w:id="303"/>
      <w:bookmarkEnd w:id="304"/>
      <w:bookmarkEnd w:id="305"/>
      <w:bookmarkEnd w:id="306"/>
      <w:bookmarkEnd w:id="307"/>
      <w:bookmarkEnd w:id="308"/>
      <w:bookmarkEnd w:id="309"/>
    </w:tbl>
    <w:p>
      <w:pPr>
        <w:spacing w:line="360" w:lineRule="auto"/>
        <w:ind w:firstLine="480" w:firstLineChars="200"/>
        <w:rPr>
          <w:i w:val="0"/>
          <w:iCs w:val="0"/>
        </w:rPr>
      </w:pPr>
      <w:r>
        <w:rPr>
          <w:rFonts w:hint="eastAsia"/>
          <w:i w:val="0"/>
          <w:iCs w:val="0"/>
        </w:rPr>
        <w:t>8</w:t>
      </w:r>
      <w:r>
        <w:rPr>
          <w:i w:val="0"/>
          <w:iCs w:val="0"/>
        </w:rPr>
        <w:t>.2.4信息公开</w:t>
      </w:r>
    </w:p>
    <w:p>
      <w:pPr>
        <w:spacing w:line="360" w:lineRule="auto"/>
        <w:ind w:firstLine="480" w:firstLineChars="200"/>
        <w:rPr>
          <w:i w:val="0"/>
          <w:iCs w:val="0"/>
        </w:rPr>
      </w:pPr>
      <w:r>
        <w:rPr>
          <w:i w:val="0"/>
          <w:iCs w:val="0"/>
        </w:rPr>
        <w:t>1、公开内容</w:t>
      </w:r>
    </w:p>
    <w:p>
      <w:pPr>
        <w:spacing w:line="360" w:lineRule="auto"/>
        <w:ind w:firstLine="480" w:firstLineChars="200"/>
        <w:rPr>
          <w:i w:val="0"/>
          <w:iCs w:val="0"/>
        </w:rPr>
      </w:pPr>
      <w:r>
        <w:rPr>
          <w:i w:val="0"/>
          <w:iCs w:val="0"/>
        </w:rPr>
        <w:t>企业应将自行监测工作开展情况及监测结果向社会公众公开，公开内容应包括：</w:t>
      </w:r>
    </w:p>
    <w:p>
      <w:pPr>
        <w:spacing w:line="360" w:lineRule="auto"/>
        <w:ind w:firstLine="480" w:firstLineChars="200"/>
        <w:rPr>
          <w:i w:val="0"/>
          <w:iCs w:val="0"/>
        </w:rPr>
      </w:pPr>
      <w:r>
        <w:rPr>
          <w:i w:val="0"/>
          <w:iCs w:val="0"/>
        </w:rPr>
        <w:t>（1）基础信息：企业名称、法人代表、所属行业、地理位置、生产周期、联系方式、委托监测机构名称等；</w:t>
      </w:r>
    </w:p>
    <w:p>
      <w:pPr>
        <w:spacing w:line="360" w:lineRule="auto"/>
        <w:ind w:firstLine="480" w:firstLineChars="200"/>
        <w:rPr>
          <w:i w:val="0"/>
          <w:iCs w:val="0"/>
        </w:rPr>
      </w:pPr>
      <w:r>
        <w:rPr>
          <w:i w:val="0"/>
          <w:iCs w:val="0"/>
        </w:rPr>
        <w:t>（2）自行监测方案；</w:t>
      </w:r>
    </w:p>
    <w:p>
      <w:pPr>
        <w:spacing w:line="360" w:lineRule="auto"/>
        <w:ind w:firstLine="480" w:firstLineChars="200"/>
        <w:rPr>
          <w:i w:val="0"/>
          <w:iCs w:val="0"/>
        </w:rPr>
      </w:pPr>
      <w:r>
        <w:rPr>
          <w:i w:val="0"/>
          <w:iCs w:val="0"/>
        </w:rPr>
        <w:t>（3）自行监测结果：全部监测点位、监测时间、污染物种类及浓度、标准限值、达标情况、超标倍数、污染物排放方式及排放去向；</w:t>
      </w:r>
    </w:p>
    <w:p>
      <w:pPr>
        <w:spacing w:line="360" w:lineRule="auto"/>
        <w:ind w:firstLine="480" w:firstLineChars="200"/>
        <w:rPr>
          <w:i w:val="0"/>
          <w:iCs w:val="0"/>
        </w:rPr>
      </w:pPr>
      <w:r>
        <w:rPr>
          <w:i w:val="0"/>
          <w:iCs w:val="0"/>
        </w:rPr>
        <w:t>（4）未开展自行监测的原因；</w:t>
      </w:r>
    </w:p>
    <w:p>
      <w:pPr>
        <w:spacing w:line="360" w:lineRule="auto"/>
        <w:ind w:firstLine="480" w:firstLineChars="200"/>
        <w:rPr>
          <w:i w:val="0"/>
          <w:iCs w:val="0"/>
        </w:rPr>
      </w:pPr>
      <w:r>
        <w:rPr>
          <w:i w:val="0"/>
          <w:iCs w:val="0"/>
        </w:rPr>
        <w:t>（5）污染源监测年度报告。</w:t>
      </w:r>
    </w:p>
    <w:p>
      <w:pPr>
        <w:spacing w:line="360" w:lineRule="auto"/>
        <w:ind w:firstLine="480" w:firstLineChars="200"/>
        <w:rPr>
          <w:i w:val="0"/>
          <w:iCs w:val="0"/>
        </w:rPr>
      </w:pPr>
      <w:r>
        <w:rPr>
          <w:i w:val="0"/>
          <w:iCs w:val="0"/>
        </w:rPr>
        <w:t>2、公开方式</w:t>
      </w:r>
    </w:p>
    <w:p>
      <w:pPr>
        <w:spacing w:line="360" w:lineRule="auto"/>
        <w:ind w:firstLine="480" w:firstLineChars="200"/>
        <w:rPr>
          <w:i w:val="0"/>
          <w:iCs w:val="0"/>
        </w:rPr>
      </w:pPr>
      <w:r>
        <w:rPr>
          <w:i w:val="0"/>
          <w:iCs w:val="0"/>
        </w:rPr>
        <w:t>企业可通过对外网站、报纸、广播、电视、公开栏等便于公众知晓的方式公开自行监测信息。同时，应当在市级环境保护主管部门统一组织建立的公布平台上公开自行监测信息，并至少保存1年。</w:t>
      </w:r>
    </w:p>
    <w:p>
      <w:pPr>
        <w:spacing w:line="360" w:lineRule="auto"/>
        <w:ind w:firstLine="480" w:firstLineChars="200"/>
        <w:rPr>
          <w:i w:val="0"/>
          <w:iCs w:val="0"/>
        </w:rPr>
      </w:pPr>
      <w:r>
        <w:rPr>
          <w:i w:val="0"/>
          <w:iCs w:val="0"/>
        </w:rPr>
        <w:t>3、公开时限</w:t>
      </w:r>
    </w:p>
    <w:p>
      <w:pPr>
        <w:spacing w:line="360" w:lineRule="auto"/>
        <w:ind w:firstLine="480" w:firstLineChars="200"/>
        <w:rPr>
          <w:i w:val="0"/>
          <w:iCs w:val="0"/>
        </w:rPr>
      </w:pPr>
      <w:r>
        <w:rPr>
          <w:i w:val="0"/>
          <w:iCs w:val="0"/>
        </w:rPr>
        <w:t>企业自行监测信息按以下要求的时限公开：</w:t>
      </w:r>
    </w:p>
    <w:p>
      <w:pPr>
        <w:spacing w:line="360" w:lineRule="auto"/>
        <w:ind w:firstLine="480" w:firstLineChars="200"/>
        <w:rPr>
          <w:i w:val="0"/>
          <w:iCs w:val="0"/>
        </w:rPr>
      </w:pPr>
      <w:r>
        <w:rPr>
          <w:i w:val="0"/>
          <w:iCs w:val="0"/>
        </w:rPr>
        <w:t>（1）企业基础信息应随监测数据一并公布，基础信息、自行监测方案如有调整变化时，应于变更后的五日内公布最新内容；</w:t>
      </w:r>
    </w:p>
    <w:p>
      <w:pPr>
        <w:spacing w:line="360" w:lineRule="auto"/>
        <w:ind w:firstLine="480" w:firstLineChars="200"/>
        <w:rPr>
          <w:i w:val="0"/>
          <w:iCs w:val="0"/>
        </w:rPr>
      </w:pPr>
      <w:r>
        <w:rPr>
          <w:i w:val="0"/>
          <w:iCs w:val="0"/>
        </w:rPr>
        <w:t>（2）手工监测数据应于每次监测完成后的次日公布；</w:t>
      </w:r>
    </w:p>
    <w:p>
      <w:pPr>
        <w:spacing w:line="360" w:lineRule="auto"/>
        <w:ind w:firstLine="480" w:firstLineChars="200"/>
        <w:rPr>
          <w:i w:val="0"/>
          <w:iCs w:val="0"/>
        </w:rPr>
      </w:pPr>
      <w:r>
        <w:rPr>
          <w:i w:val="0"/>
          <w:iCs w:val="0"/>
        </w:rPr>
        <w:t>（3）自动监测数据应实时公布监测结果；</w:t>
      </w:r>
    </w:p>
    <w:p>
      <w:pPr>
        <w:spacing w:line="360" w:lineRule="auto"/>
        <w:ind w:firstLine="480" w:firstLineChars="200"/>
        <w:rPr>
          <w:bCs/>
          <w:i w:val="0"/>
          <w:iCs w:val="0"/>
        </w:rPr>
      </w:pPr>
      <w:r>
        <w:rPr>
          <w:bCs/>
          <w:i w:val="0"/>
          <w:iCs w:val="0"/>
        </w:rPr>
        <w:t>（4）每年1月底前公布上年度自行监测年度报告。</w:t>
      </w:r>
    </w:p>
    <w:p>
      <w:pPr>
        <w:pStyle w:val="4"/>
        <w:rPr>
          <w:rFonts w:ascii="Times New Roman" w:hAnsi="Times New Roman" w:eastAsia="宋体"/>
          <w:b/>
          <w:i w:val="0"/>
          <w:iCs w:val="0"/>
          <w:sz w:val="28"/>
          <w:szCs w:val="28"/>
        </w:rPr>
      </w:pPr>
      <w:bookmarkStart w:id="311" w:name="_Toc13711"/>
      <w:r>
        <w:rPr>
          <w:rFonts w:hint="eastAsia" w:ascii="Times New Roman" w:hAnsi="Times New Roman" w:eastAsia="宋体"/>
          <w:b/>
          <w:i w:val="0"/>
          <w:iCs w:val="0"/>
          <w:sz w:val="28"/>
          <w:szCs w:val="28"/>
        </w:rPr>
        <w:t>8</w:t>
      </w:r>
      <w:r>
        <w:rPr>
          <w:rFonts w:ascii="Times New Roman" w:hAnsi="Times New Roman" w:eastAsia="宋体"/>
          <w:b/>
          <w:i w:val="0"/>
          <w:iCs w:val="0"/>
          <w:sz w:val="28"/>
          <w:szCs w:val="28"/>
        </w:rPr>
        <w:t>.3排污许可证</w:t>
      </w:r>
      <w:r>
        <w:rPr>
          <w:rFonts w:hint="eastAsia" w:ascii="Times New Roman" w:hAnsi="Times New Roman" w:eastAsia="宋体"/>
          <w:b/>
          <w:i w:val="0"/>
          <w:iCs w:val="0"/>
          <w:sz w:val="28"/>
          <w:szCs w:val="28"/>
        </w:rPr>
        <w:t>制度</w:t>
      </w:r>
      <w:bookmarkEnd w:id="311"/>
    </w:p>
    <w:p>
      <w:pPr>
        <w:pStyle w:val="47"/>
        <w:spacing w:line="360" w:lineRule="auto"/>
        <w:ind w:firstLine="576"/>
        <w:rPr>
          <w:i w:val="0"/>
          <w:iCs w:val="0"/>
          <w:sz w:val="24"/>
          <w:szCs w:val="24"/>
        </w:rPr>
      </w:pPr>
      <w:r>
        <w:rPr>
          <w:rFonts w:hint="eastAsia" w:ascii="宋体" w:hAnsi="宋体" w:eastAsia="宋体" w:cs="宋体"/>
          <w:i w:val="0"/>
          <w:iCs w:val="0"/>
          <w:sz w:val="24"/>
          <w:szCs w:val="24"/>
        </w:rPr>
        <w:t>根据《排污许可管理办法（试行）》（部令第</w:t>
      </w:r>
      <w:r>
        <w:rPr>
          <w:i w:val="0"/>
          <w:iCs w:val="0"/>
          <w:sz w:val="24"/>
          <w:szCs w:val="24"/>
        </w:rPr>
        <w:t>48</w:t>
      </w:r>
      <w:r>
        <w:rPr>
          <w:rFonts w:hint="eastAsia" w:ascii="宋体" w:hAnsi="宋体" w:eastAsia="宋体" w:cs="宋体"/>
          <w:i w:val="0"/>
          <w:iCs w:val="0"/>
          <w:sz w:val="24"/>
          <w:szCs w:val="24"/>
        </w:rPr>
        <w:t>号）中：纳入固定污染源排污许可分类管理名录的企业事业单位和其他生产经营者（以下简称排污单位）应当按照规定的时限申请并取得排污许可证。</w:t>
      </w:r>
    </w:p>
    <w:p>
      <w:pPr>
        <w:pStyle w:val="47"/>
        <w:spacing w:line="360" w:lineRule="auto"/>
        <w:ind w:firstLine="480" w:firstLineChars="200"/>
        <w:rPr>
          <w:rFonts w:hint="eastAsia" w:eastAsia="宋体"/>
          <w:i w:val="0"/>
          <w:iCs w:val="0"/>
          <w:sz w:val="24"/>
          <w:szCs w:val="24"/>
        </w:rPr>
      </w:pPr>
      <w:r>
        <w:rPr>
          <w:rFonts w:hint="eastAsia" w:eastAsia="宋体"/>
          <w:i w:val="0"/>
          <w:iCs w:val="0"/>
          <w:sz w:val="24"/>
          <w:szCs w:val="24"/>
        </w:rPr>
        <w:t>吉林万方东巽虾青素产业科技发展有限公司项目建设完成后需按照《排污许可证申请与核发技术规范 食品制造业—方便食品、食品及饲料添加剂制造工业》</w:t>
      </w:r>
      <w:r>
        <w:rPr>
          <w:rFonts w:hint="eastAsia" w:eastAsia="宋体"/>
          <w:i w:val="0"/>
          <w:iCs w:val="0"/>
          <w:sz w:val="24"/>
          <w:szCs w:val="24"/>
          <w:lang w:eastAsia="zh-CN"/>
        </w:rPr>
        <w:t>及</w:t>
      </w:r>
      <w:r>
        <w:rPr>
          <w:rFonts w:hint="eastAsia" w:eastAsia="宋体"/>
          <w:i w:val="0"/>
          <w:iCs w:val="0"/>
          <w:sz w:val="24"/>
          <w:szCs w:val="24"/>
        </w:rPr>
        <w:t xml:space="preserve">《排污许可证申请与核发技术规范 </w:t>
      </w:r>
      <w:r>
        <w:rPr>
          <w:rFonts w:hint="eastAsia" w:eastAsia="宋体"/>
          <w:i w:val="0"/>
          <w:iCs w:val="0"/>
          <w:sz w:val="24"/>
          <w:szCs w:val="24"/>
          <w:lang w:eastAsia="zh-CN"/>
        </w:rPr>
        <w:t>锅炉</w:t>
      </w:r>
      <w:r>
        <w:rPr>
          <w:rFonts w:hint="eastAsia" w:eastAsia="宋体"/>
          <w:i w:val="0"/>
          <w:iCs w:val="0"/>
          <w:sz w:val="24"/>
          <w:szCs w:val="24"/>
        </w:rPr>
        <w:t>》申领排污许可证。</w:t>
      </w:r>
    </w:p>
    <w:p>
      <w:pPr>
        <w:pStyle w:val="4"/>
        <w:rPr>
          <w:rFonts w:ascii="Times New Roman" w:hAnsi="Times New Roman" w:eastAsia="宋体"/>
          <w:b/>
          <w:i w:val="0"/>
          <w:iCs w:val="0"/>
          <w:sz w:val="28"/>
          <w:szCs w:val="28"/>
        </w:rPr>
      </w:pPr>
      <w:bookmarkStart w:id="312" w:name="_Toc26548"/>
      <w:r>
        <w:rPr>
          <w:rFonts w:hint="eastAsia" w:ascii="Times New Roman" w:hAnsi="Times New Roman" w:eastAsia="宋体"/>
          <w:b/>
          <w:i w:val="0"/>
          <w:iCs w:val="0"/>
          <w:sz w:val="28"/>
          <w:szCs w:val="28"/>
        </w:rPr>
        <w:t>8</w:t>
      </w:r>
      <w:r>
        <w:rPr>
          <w:rFonts w:ascii="Times New Roman" w:hAnsi="Times New Roman" w:eastAsia="宋体"/>
          <w:b/>
          <w:i w:val="0"/>
          <w:iCs w:val="0"/>
          <w:sz w:val="28"/>
          <w:szCs w:val="28"/>
        </w:rPr>
        <w:t>.4环保验收</w:t>
      </w:r>
      <w:bookmarkEnd w:id="312"/>
    </w:p>
    <w:p>
      <w:pPr>
        <w:pStyle w:val="24"/>
        <w:spacing w:line="360" w:lineRule="auto"/>
        <w:ind w:firstLine="480" w:firstLineChars="200"/>
        <w:jc w:val="left"/>
        <w:rPr>
          <w:i w:val="0"/>
          <w:iCs w:val="0"/>
        </w:rPr>
      </w:pPr>
      <w:r>
        <w:rPr>
          <w:i w:val="0"/>
          <w:iCs w:val="0"/>
        </w:rPr>
        <w:t>建设单位根据《建设项目竣工环境保护验收暂行办法》中华人民共和国环境保护部国环规环评【2017】4号要求执行验收规定。</w:t>
      </w:r>
    </w:p>
    <w:p>
      <w:pPr>
        <w:pStyle w:val="24"/>
        <w:spacing w:line="360" w:lineRule="auto"/>
        <w:ind w:firstLine="480" w:firstLineChars="200"/>
        <w:jc w:val="left"/>
        <w:rPr>
          <w:i w:val="0"/>
          <w:iCs w:val="0"/>
        </w:rPr>
      </w:pPr>
      <w:r>
        <w:rPr>
          <w:i w:val="0"/>
          <w:iCs w:val="0"/>
        </w:rPr>
        <w:t>该办法适用于编制环境影响报告书（表）并根据环保法律法规的规定由建设单位实施环境保护设施竣工验收的建设项目及相关监督管理。</w:t>
      </w:r>
    </w:p>
    <w:p>
      <w:pPr>
        <w:pStyle w:val="24"/>
        <w:spacing w:line="360" w:lineRule="auto"/>
        <w:ind w:firstLine="480" w:firstLineChars="200"/>
        <w:jc w:val="left"/>
        <w:rPr>
          <w:i w:val="0"/>
          <w:iCs w:val="0"/>
        </w:rPr>
      </w:pPr>
      <w:r>
        <w:rPr>
          <w:i w:val="0"/>
          <w:iCs w:val="0"/>
        </w:rPr>
        <w:t>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pPr>
        <w:pStyle w:val="24"/>
        <w:spacing w:line="360" w:lineRule="auto"/>
        <w:ind w:firstLine="480" w:firstLineChars="200"/>
        <w:jc w:val="left"/>
        <w:rPr>
          <w:i w:val="0"/>
          <w:iCs w:val="0"/>
        </w:rPr>
      </w:pPr>
      <w:r>
        <w:rPr>
          <w:i w:val="0"/>
          <w:iCs w:val="0"/>
        </w:rPr>
        <w:t>环境保护设施是指防治环境污染和生态破坏以及开展环境监测所需的装置、设备和工程设施等。</w:t>
      </w:r>
    </w:p>
    <w:p>
      <w:pPr>
        <w:pStyle w:val="24"/>
        <w:spacing w:line="360" w:lineRule="auto"/>
        <w:ind w:firstLine="480" w:firstLineChars="200"/>
        <w:jc w:val="left"/>
        <w:rPr>
          <w:i w:val="0"/>
          <w:iCs w:val="0"/>
        </w:rPr>
      </w:pPr>
      <w:r>
        <w:rPr>
          <w:i w:val="0"/>
          <w:iCs w:val="0"/>
        </w:rPr>
        <w:t>验收报告分为验收监测（调查）报告、验收意见和其他需要说明的事项等三项内容。</w:t>
      </w:r>
    </w:p>
    <w:p>
      <w:pPr>
        <w:snapToGrid w:val="0"/>
        <w:spacing w:line="360" w:lineRule="auto"/>
        <w:ind w:firstLine="480" w:firstLineChars="200"/>
        <w:rPr>
          <w:rFonts w:hint="eastAsia" w:ascii="楷体" w:hAnsi="楷体" w:eastAsia="楷体"/>
          <w:i w:val="0"/>
          <w:iCs w:val="0"/>
          <w:color w:val="666666"/>
          <w:shd w:val="clear" w:color="auto" w:fill="FFFFFF"/>
        </w:rPr>
      </w:pPr>
    </w:p>
    <w:p>
      <w:pPr>
        <w:snapToGrid w:val="0"/>
        <w:spacing w:line="360" w:lineRule="auto"/>
        <w:ind w:firstLine="480" w:firstLineChars="200"/>
        <w:rPr>
          <w:rFonts w:hint="eastAsia" w:ascii="楷体" w:hAnsi="楷体" w:eastAsia="楷体"/>
          <w:i w:val="0"/>
          <w:iCs w:val="0"/>
          <w:color w:val="666666"/>
          <w:shd w:val="clear" w:color="auto" w:fill="FFFFFF"/>
        </w:rPr>
      </w:pPr>
    </w:p>
    <w:p>
      <w:pPr>
        <w:snapToGrid w:val="0"/>
        <w:spacing w:line="360" w:lineRule="auto"/>
        <w:ind w:firstLine="480" w:firstLineChars="200"/>
        <w:rPr>
          <w:rFonts w:hint="eastAsia" w:ascii="楷体" w:hAnsi="楷体" w:eastAsia="楷体"/>
          <w:i w:val="0"/>
          <w:iCs w:val="0"/>
          <w:color w:val="666666"/>
          <w:shd w:val="clear" w:color="auto" w:fill="FFFFFF"/>
        </w:rPr>
      </w:pPr>
    </w:p>
    <w:p>
      <w:pPr>
        <w:snapToGrid w:val="0"/>
        <w:spacing w:line="360" w:lineRule="auto"/>
        <w:ind w:firstLine="482" w:firstLineChars="200"/>
        <w:rPr>
          <w:rFonts w:hint="eastAsia"/>
          <w:b/>
          <w:bCs/>
          <w:i w:val="0"/>
          <w:iCs w:val="0"/>
        </w:rPr>
      </w:pPr>
    </w:p>
    <w:p>
      <w:pPr>
        <w:pStyle w:val="42"/>
        <w:spacing w:line="360" w:lineRule="auto"/>
        <w:rPr>
          <w:i w:val="0"/>
          <w:iCs w:val="0"/>
        </w:rPr>
        <w:sectPr>
          <w:pgSz w:w="11907" w:h="16840"/>
          <w:pgMar w:top="1304" w:right="1418" w:bottom="1304" w:left="1418"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
        <w:spacing w:before="120" w:after="360" w:line="360" w:lineRule="auto"/>
        <w:jc w:val="center"/>
        <w:rPr>
          <w:rFonts w:hint="eastAsia" w:ascii="Times New Roman" w:hAnsi="Times New Roman" w:eastAsia="宋体" w:cs="Times New Roman"/>
          <w:i w:val="0"/>
          <w:iCs w:val="0"/>
          <w:sz w:val="36"/>
        </w:rPr>
      </w:pPr>
      <w:bookmarkStart w:id="313" w:name="_Toc424219482"/>
      <w:bookmarkStart w:id="314" w:name="_Toc238959318"/>
      <w:bookmarkStart w:id="315" w:name="_Toc8083"/>
      <w:r>
        <w:rPr>
          <w:rFonts w:hint="eastAsia" w:ascii="Times New Roman" w:hAnsi="Times New Roman" w:eastAsia="宋体" w:cs="Times New Roman"/>
          <w:i w:val="0"/>
          <w:iCs w:val="0"/>
          <w:sz w:val="36"/>
          <w:lang w:val="en-US" w:eastAsia="zh-CN"/>
        </w:rPr>
        <w:t xml:space="preserve">第九章 </w:t>
      </w:r>
      <w:r>
        <w:rPr>
          <w:rFonts w:hint="eastAsia" w:ascii="Times New Roman" w:hAnsi="Times New Roman" w:eastAsia="宋体" w:cs="Times New Roman"/>
          <w:i w:val="0"/>
          <w:iCs w:val="0"/>
          <w:sz w:val="36"/>
        </w:rPr>
        <w:t>清洁生产</w:t>
      </w:r>
      <w:bookmarkEnd w:id="313"/>
      <w:bookmarkEnd w:id="314"/>
      <w:bookmarkEnd w:id="315"/>
    </w:p>
    <w:p>
      <w:pPr>
        <w:pStyle w:val="4"/>
        <w:rPr>
          <w:rFonts w:ascii="Times New Roman" w:hAnsi="Times New Roman" w:eastAsia="宋体"/>
          <w:b/>
          <w:i w:val="0"/>
          <w:iCs w:val="0"/>
          <w:sz w:val="28"/>
          <w:szCs w:val="28"/>
          <w:u w:val="single"/>
        </w:rPr>
      </w:pPr>
      <w:bookmarkStart w:id="316" w:name="_Toc29696"/>
      <w:bookmarkStart w:id="317" w:name="_Toc424219483"/>
      <w:r>
        <w:rPr>
          <w:rFonts w:hint="eastAsia" w:ascii="Times New Roman" w:hAnsi="Times New Roman" w:eastAsia="宋体"/>
          <w:b/>
          <w:i w:val="0"/>
          <w:iCs w:val="0"/>
          <w:sz w:val="28"/>
          <w:szCs w:val="28"/>
          <w:u w:val="single"/>
          <w:lang w:val="en-US" w:eastAsia="zh-CN"/>
        </w:rPr>
        <w:t>9.1</w:t>
      </w:r>
      <w:r>
        <w:rPr>
          <w:rFonts w:ascii="Times New Roman" w:hAnsi="Times New Roman" w:eastAsia="宋体"/>
          <w:b/>
          <w:i w:val="0"/>
          <w:iCs w:val="0"/>
          <w:sz w:val="28"/>
          <w:szCs w:val="28"/>
          <w:u w:val="single"/>
        </w:rPr>
        <w:t>清洁生产</w:t>
      </w:r>
      <w:r>
        <w:rPr>
          <w:rFonts w:hint="eastAsia" w:ascii="Times New Roman" w:hAnsi="Times New Roman" w:eastAsia="宋体"/>
          <w:b/>
          <w:i w:val="0"/>
          <w:iCs w:val="0"/>
          <w:sz w:val="28"/>
          <w:szCs w:val="28"/>
          <w:u w:val="single"/>
        </w:rPr>
        <w:t>定义</w:t>
      </w:r>
      <w:bookmarkEnd w:id="316"/>
      <w:bookmarkEnd w:id="317"/>
    </w:p>
    <w:p>
      <w:pPr>
        <w:pStyle w:val="402"/>
        <w:rPr>
          <w:rFonts w:hAnsi="Times New Roman"/>
          <w:i w:val="0"/>
          <w:iCs w:val="0"/>
          <w:color w:val="000000"/>
          <w:u w:val="single"/>
        </w:rPr>
      </w:pPr>
      <w:r>
        <w:rPr>
          <w:rFonts w:hAnsi="Times New Roman"/>
          <w:i w:val="0"/>
          <w:iCs w:val="0"/>
          <w:color w:val="000000"/>
          <w:u w:val="single"/>
        </w:rPr>
        <w:t>清洁生产是对产品和产品的生产过程采用预防污染的策略来减少污染物的产生。它是一种创新性的思想，该思想将整体预防的环境战略持续应用于生产过程、产品和服务中，以增加生态效率和减少人类及环境的风险。对生产过程要求节约原材料和能源，淘汰有毒原材料，降减所有废弃物的数量和毒性。对产品要求减少从原材料提炼到产品最终处置的全生命周期的不利影响。对服务要求将环境因素纳入设计和所提供的服务中。实行清洁生产可实现合理利用资源，减缓资源的枯竭，节水、节能、省料。且在生产过程中，削减甚至消除废物和污染物的产生和排放，促进工业产品生产和产品消费过程与环境相协调，减少在产品整个生命周期内对人类和环境的危害。</w:t>
      </w:r>
    </w:p>
    <w:p>
      <w:pPr>
        <w:pStyle w:val="4"/>
        <w:rPr>
          <w:rFonts w:hint="eastAsia" w:ascii="Times New Roman" w:hAnsi="Times New Roman" w:eastAsia="宋体" w:cs="Times New Roman"/>
          <w:b/>
          <w:i w:val="0"/>
          <w:iCs w:val="0"/>
          <w:sz w:val="28"/>
          <w:szCs w:val="28"/>
          <w:u w:val="single"/>
          <w:lang w:val="en-US" w:eastAsia="zh-CN"/>
        </w:rPr>
      </w:pPr>
      <w:bookmarkStart w:id="318" w:name="_Toc387350766"/>
      <w:bookmarkStart w:id="319" w:name="_Toc424219484"/>
      <w:bookmarkStart w:id="320" w:name="_Toc3532"/>
      <w:r>
        <w:rPr>
          <w:rFonts w:hint="eastAsia" w:ascii="Times New Roman" w:hAnsi="Times New Roman" w:eastAsia="宋体" w:cs="Times New Roman"/>
          <w:b/>
          <w:i w:val="0"/>
          <w:iCs w:val="0"/>
          <w:sz w:val="28"/>
          <w:szCs w:val="28"/>
          <w:u w:val="single"/>
          <w:lang w:val="en-US" w:eastAsia="zh-CN"/>
        </w:rPr>
        <w:t>9.2推行清洁生产的必要性分析</w:t>
      </w:r>
      <w:bookmarkEnd w:id="318"/>
      <w:bookmarkEnd w:id="319"/>
      <w:bookmarkEnd w:id="320"/>
    </w:p>
    <w:p>
      <w:pPr>
        <w:pStyle w:val="402"/>
        <w:rPr>
          <w:rFonts w:hAnsi="Times New Roman"/>
          <w:i w:val="0"/>
          <w:iCs w:val="0"/>
          <w:snapToGrid w:val="0"/>
          <w:color w:val="000000"/>
          <w:u w:val="single"/>
        </w:rPr>
      </w:pPr>
      <w:r>
        <w:rPr>
          <w:rFonts w:hAnsi="Times New Roman"/>
          <w:i w:val="0"/>
          <w:iCs w:val="0"/>
          <w:snapToGrid w:val="0"/>
          <w:color w:val="000000"/>
          <w:u w:val="single"/>
        </w:rPr>
        <w:t>清洁生产是一种全新的发展战略，企业推进清洁生产，有利于经济增长方式实现粗放型向集约型的转变，有利于污染防治由传统的末端治理转变从源头抓起、预防为主的全过程控制，有利于由过去的大量消耗资源、能源转变为综合利用资源、节约能源、建立符合现代工业文明的生产模式，实现经济发展和环境保护双赢的目标。《中华人民共和国清洁生产促进法》于2003年1月1日起施行，标志着从此进入依法全面推行清洁生产的新阶段，加快企业开展清洁生产的步伐。企业通过推进清洁生产，可取得以下几方面积极意义。</w:t>
      </w:r>
    </w:p>
    <w:p>
      <w:pPr>
        <w:pStyle w:val="402"/>
        <w:rPr>
          <w:rFonts w:hAnsi="Times New Roman"/>
          <w:i w:val="0"/>
          <w:iCs w:val="0"/>
          <w:snapToGrid w:val="0"/>
          <w:color w:val="000000"/>
          <w:u w:val="single"/>
        </w:rPr>
      </w:pPr>
      <w:r>
        <w:rPr>
          <w:rFonts w:hint="eastAsia"/>
          <w:i w:val="0"/>
          <w:iCs w:val="0"/>
          <w:color w:val="000000"/>
          <w:u w:val="single"/>
        </w:rPr>
        <w:t>（1）</w:t>
      </w:r>
      <w:r>
        <w:rPr>
          <w:rFonts w:hAnsi="Times New Roman"/>
          <w:i w:val="0"/>
          <w:iCs w:val="0"/>
          <w:snapToGrid w:val="0"/>
          <w:color w:val="000000"/>
          <w:u w:val="single"/>
        </w:rPr>
        <w:t>促进企业整体素质的提高。全员、全方位、全过程整体预防，必然促进企业管理水平和全体职工素质的提高；</w:t>
      </w:r>
    </w:p>
    <w:p>
      <w:pPr>
        <w:pStyle w:val="402"/>
        <w:rPr>
          <w:rFonts w:hAnsi="Times New Roman"/>
          <w:i w:val="0"/>
          <w:iCs w:val="0"/>
          <w:snapToGrid w:val="0"/>
          <w:color w:val="000000"/>
          <w:u w:val="single"/>
        </w:rPr>
      </w:pPr>
      <w:r>
        <w:rPr>
          <w:rFonts w:hint="eastAsia"/>
          <w:i w:val="0"/>
          <w:iCs w:val="0"/>
          <w:color w:val="000000"/>
          <w:u w:val="single"/>
        </w:rPr>
        <w:t>（2）</w:t>
      </w:r>
      <w:r>
        <w:rPr>
          <w:rFonts w:hAnsi="Times New Roman"/>
          <w:i w:val="0"/>
          <w:iCs w:val="0"/>
          <w:snapToGrid w:val="0"/>
          <w:color w:val="000000"/>
          <w:u w:val="single"/>
        </w:rPr>
        <w:t>大大减轻末端治理的负担，通过生产全过程控制，减少甚至消除污染物的产生的排放。不仅可减少末端治理设施的建设投资，还可以减少其日常运转费用，大大减轻企业的负担；</w:t>
      </w:r>
    </w:p>
    <w:p>
      <w:pPr>
        <w:pStyle w:val="402"/>
        <w:rPr>
          <w:rFonts w:hAnsi="Times New Roman"/>
          <w:i w:val="0"/>
          <w:iCs w:val="0"/>
          <w:snapToGrid w:val="0"/>
          <w:color w:val="000000"/>
          <w:u w:val="single"/>
        </w:rPr>
      </w:pPr>
      <w:r>
        <w:rPr>
          <w:rFonts w:hint="eastAsia"/>
          <w:i w:val="0"/>
          <w:iCs w:val="0"/>
          <w:color w:val="000000"/>
          <w:u w:val="single"/>
        </w:rPr>
        <w:t>（3）</w:t>
      </w:r>
      <w:r>
        <w:rPr>
          <w:rFonts w:hAnsi="Times New Roman"/>
          <w:i w:val="0"/>
          <w:iCs w:val="0"/>
          <w:snapToGrid w:val="0"/>
          <w:color w:val="000000"/>
          <w:u w:val="single"/>
        </w:rPr>
        <w:t>增加企业经济效益，为企业生存、发展营造环境空间。由于节能、降耗、减污，必然降低包括废弃物处理费用在内的产业成本；</w:t>
      </w:r>
    </w:p>
    <w:p>
      <w:pPr>
        <w:pStyle w:val="402"/>
        <w:rPr>
          <w:rFonts w:hAnsi="Times New Roman"/>
          <w:i w:val="0"/>
          <w:iCs w:val="0"/>
          <w:snapToGrid w:val="0"/>
          <w:color w:val="000000"/>
          <w:u w:val="single"/>
        </w:rPr>
      </w:pPr>
      <w:r>
        <w:rPr>
          <w:rFonts w:hint="eastAsia"/>
          <w:i w:val="0"/>
          <w:iCs w:val="0"/>
          <w:color w:val="000000"/>
          <w:u w:val="single"/>
        </w:rPr>
        <w:t>（4）</w:t>
      </w:r>
      <w:r>
        <w:rPr>
          <w:rFonts w:hAnsi="Times New Roman"/>
          <w:i w:val="0"/>
          <w:iCs w:val="0"/>
          <w:snapToGrid w:val="0"/>
          <w:color w:val="000000"/>
          <w:u w:val="single"/>
        </w:rPr>
        <w:t>可以树立企业形象，促使公众对其产品的支持，提高企业的市场竞争力；</w:t>
      </w:r>
    </w:p>
    <w:p>
      <w:pPr>
        <w:pStyle w:val="402"/>
        <w:rPr>
          <w:rFonts w:hAnsi="Times New Roman"/>
          <w:i w:val="0"/>
          <w:iCs w:val="0"/>
          <w:snapToGrid w:val="0"/>
          <w:color w:val="000000"/>
          <w:u w:val="single"/>
        </w:rPr>
      </w:pPr>
      <w:r>
        <w:rPr>
          <w:rFonts w:hint="eastAsia"/>
          <w:i w:val="0"/>
          <w:iCs w:val="0"/>
          <w:color w:val="000000"/>
          <w:u w:val="single"/>
        </w:rPr>
        <w:t>（5）</w:t>
      </w:r>
      <w:r>
        <w:rPr>
          <w:rFonts w:hAnsi="Times New Roman"/>
          <w:i w:val="0"/>
          <w:iCs w:val="0"/>
          <w:snapToGrid w:val="0"/>
          <w:color w:val="000000"/>
          <w:u w:val="single"/>
        </w:rPr>
        <w:t>通过淘汰高能耗、排污量大的工艺、产品，采用先进、低污染、资源循环利用的技术和工艺，促进企业的技术进步；</w:t>
      </w:r>
    </w:p>
    <w:p>
      <w:pPr>
        <w:pStyle w:val="402"/>
        <w:rPr>
          <w:rFonts w:hint="eastAsia" w:hAnsi="Times New Roman"/>
          <w:i w:val="0"/>
          <w:iCs w:val="0"/>
          <w:snapToGrid w:val="0"/>
          <w:color w:val="000000"/>
          <w:u w:val="single"/>
        </w:rPr>
      </w:pPr>
      <w:r>
        <w:rPr>
          <w:rFonts w:hint="eastAsia"/>
          <w:i w:val="0"/>
          <w:iCs w:val="0"/>
          <w:color w:val="000000"/>
          <w:u w:val="single"/>
        </w:rPr>
        <w:t>（6）</w:t>
      </w:r>
      <w:r>
        <w:rPr>
          <w:rFonts w:hAnsi="Times New Roman"/>
          <w:i w:val="0"/>
          <w:iCs w:val="0"/>
          <w:snapToGrid w:val="0"/>
          <w:color w:val="000000"/>
          <w:u w:val="single"/>
        </w:rPr>
        <w:t>改善职工的生产、生活环境。改善职工的生产操作乃至生活环境，减轻对职工身心健康的影响。</w:t>
      </w:r>
    </w:p>
    <w:p>
      <w:pPr>
        <w:pStyle w:val="4"/>
        <w:rPr>
          <w:rFonts w:hint="eastAsia" w:ascii="Times New Roman" w:hAnsi="Times New Roman" w:eastAsia="宋体" w:cs="Times New Roman"/>
          <w:b/>
          <w:i w:val="0"/>
          <w:iCs w:val="0"/>
          <w:sz w:val="28"/>
          <w:szCs w:val="28"/>
          <w:u w:val="single"/>
          <w:lang w:val="en-US" w:eastAsia="zh-CN"/>
        </w:rPr>
      </w:pPr>
      <w:bookmarkStart w:id="321" w:name="_Toc6554"/>
      <w:bookmarkStart w:id="322" w:name="_Toc424219485"/>
      <w:r>
        <w:rPr>
          <w:rFonts w:hint="eastAsia" w:ascii="Times New Roman" w:hAnsi="Times New Roman" w:eastAsia="宋体" w:cs="Times New Roman"/>
          <w:b/>
          <w:i w:val="0"/>
          <w:iCs w:val="0"/>
          <w:sz w:val="28"/>
          <w:szCs w:val="28"/>
          <w:u w:val="single"/>
          <w:lang w:val="en-US" w:eastAsia="zh-CN"/>
        </w:rPr>
        <w:t>9.3产品及原辅材料</w:t>
      </w:r>
      <w:bookmarkEnd w:id="321"/>
      <w:bookmarkEnd w:id="32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i w:val="0"/>
          <w:iCs w:val="0"/>
          <w:color w:val="000000"/>
          <w:sz w:val="24"/>
          <w:u w:val="single"/>
        </w:rPr>
      </w:pPr>
      <w:r>
        <w:rPr>
          <w:rFonts w:hint="eastAsia"/>
          <w:i w:val="0"/>
          <w:iCs w:val="0"/>
          <w:color w:val="000000"/>
          <w:sz w:val="24"/>
          <w:u w:val="single"/>
        </w:rPr>
        <w:t>清洁能源的使用应包括三方面的内容：清洁能源的开发利用、现有矿物能源的高效利用和能源节约利用。对于本项目来说，利用电能、蒸汽、压缩空气等无污染的清洁无污染的能源，可在满足生产的条件下合理有效的利用能源，节省能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i w:val="0"/>
          <w:iCs w:val="0"/>
          <w:color w:val="000000"/>
          <w:sz w:val="24"/>
          <w:u w:val="single"/>
        </w:rPr>
      </w:pPr>
      <w:r>
        <w:rPr>
          <w:rFonts w:hint="eastAsia"/>
          <w:i w:val="0"/>
          <w:iCs w:val="0"/>
          <w:color w:val="000000"/>
          <w:sz w:val="24"/>
          <w:u w:val="single"/>
        </w:rPr>
        <w:t>本项目以葡萄糖、酵母浸粉、</w:t>
      </w:r>
      <w:r>
        <w:rPr>
          <w:rFonts w:hint="eastAsia"/>
          <w:i w:val="0"/>
          <w:iCs w:val="0"/>
          <w:color w:val="000000"/>
          <w:sz w:val="24"/>
          <w:u w:val="single"/>
          <w:lang w:val="en-US" w:eastAsia="zh-CN"/>
        </w:rPr>
        <w:t>蛋白胨、消</w:t>
      </w:r>
      <w:r>
        <w:rPr>
          <w:rFonts w:hint="eastAsia"/>
          <w:i w:val="0"/>
          <w:iCs w:val="0"/>
          <w:color w:val="000000"/>
          <w:sz w:val="24"/>
          <w:u w:val="single"/>
        </w:rPr>
        <w:t>泡剂、柠檬酸</w:t>
      </w:r>
      <w:r>
        <w:rPr>
          <w:i w:val="0"/>
          <w:iCs w:val="0"/>
          <w:color w:val="000000"/>
          <w:sz w:val="24"/>
          <w:u w:val="single"/>
        </w:rPr>
        <w:t>等</w:t>
      </w:r>
      <w:r>
        <w:rPr>
          <w:rFonts w:hint="eastAsia"/>
          <w:i w:val="0"/>
          <w:iCs w:val="0"/>
          <w:color w:val="000000"/>
          <w:sz w:val="24"/>
          <w:u w:val="single"/>
        </w:rPr>
        <w:t>为原辅材料，所采用的原料均为无毒、无害的清洁物质，符合清洁的原材料要求。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i w:val="0"/>
          <w:iCs w:val="0"/>
          <w:color w:val="000000"/>
          <w:sz w:val="24"/>
          <w:u w:val="single"/>
        </w:rPr>
      </w:pPr>
      <w:r>
        <w:rPr>
          <w:rFonts w:hint="eastAsia"/>
          <w:i w:val="0"/>
          <w:iCs w:val="0"/>
          <w:color w:val="000000"/>
          <w:sz w:val="24"/>
          <w:u w:val="single"/>
        </w:rPr>
        <w:t>水产品中鲑鱼、虹鳟、虾等对胡萝卜素类产品依赖性很强，如果缺乏会严重影响此类水产品的品质。因此，拟建项目产品红发夫酵母虾青素是其饲养中的必不缺少的成分，本项目的产品对蟹、海参鲍鱼、鲟鱼等水产动物具有很好的增加生长速度，提高产量，增加单体体重，提高成活率，提高品质的效果。海红虾青素活菌制剂还可以改善水产品养殖的水质，提高从而增加社会财富社会效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i w:val="0"/>
          <w:iCs w:val="0"/>
          <w:color w:val="000000"/>
          <w:sz w:val="24"/>
          <w:u w:val="single"/>
        </w:rPr>
      </w:pPr>
      <w:r>
        <w:rPr>
          <w:rFonts w:hint="eastAsia"/>
          <w:i w:val="0"/>
          <w:iCs w:val="0"/>
          <w:color w:val="000000"/>
          <w:sz w:val="24"/>
          <w:u w:val="single"/>
        </w:rPr>
        <w:t>项目的产品属于清洁产品</w:t>
      </w:r>
      <w:r>
        <w:rPr>
          <w:i w:val="0"/>
          <w:iCs w:val="0"/>
          <w:color w:val="000000"/>
          <w:sz w:val="24"/>
          <w:u w:val="single"/>
        </w:rPr>
        <w:t>，符合清洁生产的要求。</w:t>
      </w:r>
    </w:p>
    <w:p>
      <w:pPr>
        <w:pStyle w:val="4"/>
        <w:rPr>
          <w:rFonts w:hint="eastAsia" w:ascii="Times New Roman" w:hAnsi="Times New Roman" w:eastAsia="宋体" w:cs="Times New Roman"/>
          <w:b/>
          <w:i w:val="0"/>
          <w:iCs w:val="0"/>
          <w:sz w:val="28"/>
          <w:szCs w:val="28"/>
          <w:u w:val="single"/>
          <w:lang w:val="en-US" w:eastAsia="zh-CN"/>
        </w:rPr>
      </w:pPr>
      <w:bookmarkStart w:id="323" w:name="_Toc424219486"/>
      <w:bookmarkStart w:id="324" w:name="_Toc387350767"/>
      <w:bookmarkStart w:id="325" w:name="_Toc20301"/>
      <w:r>
        <w:rPr>
          <w:rFonts w:hint="eastAsia" w:ascii="Times New Roman" w:hAnsi="Times New Roman" w:eastAsia="宋体" w:cs="Times New Roman"/>
          <w:b/>
          <w:i w:val="0"/>
          <w:iCs w:val="0"/>
          <w:sz w:val="28"/>
          <w:szCs w:val="28"/>
          <w:u w:val="single"/>
          <w:lang w:val="en-US" w:eastAsia="zh-CN"/>
        </w:rPr>
        <w:t>9.4生产工艺与设备</w:t>
      </w:r>
      <w:bookmarkEnd w:id="323"/>
      <w:bookmarkEnd w:id="324"/>
      <w:bookmarkEnd w:id="325"/>
    </w:p>
    <w:p>
      <w:pPr>
        <w:spacing w:line="360" w:lineRule="auto"/>
        <w:ind w:firstLine="480" w:firstLineChars="200"/>
        <w:rPr>
          <w:rFonts w:hint="eastAsia" w:ascii="Times New Roman" w:hAnsi="Times New Roman" w:eastAsia="宋体" w:cs="Times New Roman"/>
          <w:i w:val="0"/>
          <w:iCs w:val="0"/>
          <w:color w:val="000000"/>
          <w:sz w:val="24"/>
          <w:u w:val="single"/>
        </w:rPr>
      </w:pPr>
      <w:r>
        <w:rPr>
          <w:rFonts w:hint="eastAsia" w:ascii="Times New Roman" w:hAnsi="Times New Roman" w:eastAsia="宋体" w:cs="Times New Roman"/>
          <w:i w:val="0"/>
          <w:iCs w:val="0"/>
          <w:color w:val="000000"/>
          <w:sz w:val="24"/>
          <w:u w:val="single"/>
        </w:rPr>
        <w:t>（1）目前，国内红发夫酵母虾青素生产工艺大致归类如下：</w:t>
      </w:r>
    </w:p>
    <w:p>
      <w:pPr>
        <w:spacing w:line="360" w:lineRule="auto"/>
        <w:ind w:firstLine="480" w:firstLineChars="200"/>
        <w:rPr>
          <w:rFonts w:hint="eastAsia" w:ascii="Times New Roman" w:hAnsi="Times New Roman" w:eastAsia="宋体" w:cs="Times New Roman"/>
          <w:i w:val="0"/>
          <w:iCs w:val="0"/>
          <w:color w:val="000000"/>
          <w:sz w:val="24"/>
          <w:u w:val="single"/>
        </w:rPr>
      </w:pPr>
      <w:r>
        <w:rPr>
          <w:rFonts w:hint="eastAsia" w:ascii="Times New Roman" w:hAnsi="Times New Roman" w:eastAsia="宋体" w:cs="Times New Roman"/>
          <w:i w:val="0"/>
          <w:iCs w:val="0"/>
          <w:color w:val="000000"/>
          <w:sz w:val="24"/>
          <w:u w:val="single"/>
        </w:rPr>
        <w:t>1）小雨红藻培养繁殖</w:t>
      </w:r>
    </w:p>
    <w:p>
      <w:pPr>
        <w:spacing w:line="360" w:lineRule="auto"/>
        <w:ind w:firstLine="480" w:firstLineChars="200"/>
        <w:rPr>
          <w:rFonts w:hint="eastAsia" w:ascii="Times New Roman" w:hAnsi="Times New Roman" w:eastAsia="宋体" w:cs="Times New Roman"/>
          <w:i w:val="0"/>
          <w:iCs w:val="0"/>
          <w:color w:val="000000"/>
          <w:sz w:val="24"/>
          <w:u w:val="single"/>
        </w:rPr>
      </w:pPr>
      <w:r>
        <w:rPr>
          <w:rFonts w:hint="eastAsia" w:ascii="Times New Roman" w:hAnsi="Times New Roman" w:eastAsia="宋体" w:cs="Times New Roman"/>
          <w:i w:val="0"/>
          <w:iCs w:val="0"/>
          <w:color w:val="000000"/>
          <w:sz w:val="24"/>
          <w:u w:val="single"/>
        </w:rPr>
        <w:t>该方法是目前生产天然虾青素的最主要的方式，缺点诱导环节不稳定，占地面积大，容易受到环境干扰，生产周期长达40天左右。</w:t>
      </w:r>
    </w:p>
    <w:p>
      <w:pPr>
        <w:spacing w:line="360" w:lineRule="auto"/>
        <w:ind w:firstLine="480" w:firstLineChars="200"/>
        <w:rPr>
          <w:rFonts w:hint="eastAsia" w:ascii="Times New Roman" w:hAnsi="Times New Roman" w:eastAsia="宋体" w:cs="Times New Roman"/>
          <w:i w:val="0"/>
          <w:iCs w:val="0"/>
          <w:color w:val="000000"/>
          <w:sz w:val="24"/>
          <w:u w:val="single"/>
        </w:rPr>
      </w:pPr>
      <w:r>
        <w:rPr>
          <w:rFonts w:hint="eastAsia" w:ascii="Times New Roman" w:hAnsi="Times New Roman" w:eastAsia="宋体" w:cs="Times New Roman"/>
          <w:i w:val="0"/>
          <w:iCs w:val="0"/>
          <w:color w:val="000000"/>
          <w:sz w:val="24"/>
          <w:u w:val="single"/>
        </w:rPr>
        <w:t>2）虾、蟹下脚料提取</w:t>
      </w:r>
    </w:p>
    <w:p>
      <w:pPr>
        <w:spacing w:line="360" w:lineRule="auto"/>
        <w:ind w:firstLine="480" w:firstLineChars="200"/>
        <w:rPr>
          <w:rFonts w:hint="eastAsia" w:ascii="Times New Roman" w:hAnsi="Times New Roman" w:eastAsia="宋体" w:cs="Times New Roman"/>
          <w:i w:val="0"/>
          <w:iCs w:val="0"/>
          <w:color w:val="000000"/>
          <w:sz w:val="24"/>
          <w:u w:val="single"/>
        </w:rPr>
      </w:pPr>
      <w:r>
        <w:rPr>
          <w:rFonts w:hint="eastAsia" w:ascii="Times New Roman" w:hAnsi="Times New Roman" w:eastAsia="宋体" w:cs="Times New Roman"/>
          <w:i w:val="0"/>
          <w:iCs w:val="0"/>
          <w:color w:val="000000"/>
          <w:sz w:val="24"/>
          <w:u w:val="single"/>
        </w:rPr>
        <w:t>该方法原料来源有限，而且获取的产品中难以除去原料中带有的腥味。</w:t>
      </w:r>
    </w:p>
    <w:p>
      <w:pPr>
        <w:spacing w:line="360" w:lineRule="auto"/>
        <w:ind w:firstLine="480" w:firstLineChars="200"/>
        <w:rPr>
          <w:rFonts w:hint="eastAsia" w:ascii="Times New Roman" w:hAnsi="Times New Roman" w:eastAsia="宋体" w:cs="Times New Roman"/>
          <w:i w:val="0"/>
          <w:iCs w:val="0"/>
          <w:color w:val="000000"/>
          <w:sz w:val="24"/>
          <w:u w:val="single"/>
        </w:rPr>
      </w:pPr>
      <w:r>
        <w:rPr>
          <w:rFonts w:hint="eastAsia" w:ascii="Times New Roman" w:hAnsi="Times New Roman" w:eastAsia="宋体" w:cs="Times New Roman"/>
          <w:i w:val="0"/>
          <w:iCs w:val="0"/>
          <w:color w:val="000000"/>
          <w:sz w:val="24"/>
          <w:u w:val="single"/>
        </w:rPr>
        <w:t>3）化工合成</w:t>
      </w:r>
    </w:p>
    <w:p>
      <w:pPr>
        <w:spacing w:line="360" w:lineRule="auto"/>
        <w:ind w:firstLine="480" w:firstLineChars="200"/>
        <w:rPr>
          <w:rFonts w:hint="eastAsia" w:ascii="Times New Roman" w:hAnsi="Times New Roman" w:eastAsia="宋体" w:cs="Times New Roman"/>
          <w:i w:val="0"/>
          <w:iCs w:val="0"/>
          <w:color w:val="000000"/>
          <w:sz w:val="24"/>
          <w:u w:val="single"/>
        </w:rPr>
      </w:pPr>
      <w:r>
        <w:rPr>
          <w:rFonts w:hint="eastAsia" w:ascii="Times New Roman" w:hAnsi="Times New Roman" w:eastAsia="宋体" w:cs="Times New Roman"/>
          <w:i w:val="0"/>
          <w:iCs w:val="0"/>
          <w:color w:val="000000"/>
          <w:sz w:val="24"/>
          <w:u w:val="single"/>
        </w:rPr>
        <w:t>该方法生产规定不可用于食源性动物，而且成本高于小雨红藻的生产方式。</w:t>
      </w:r>
    </w:p>
    <w:p>
      <w:pPr>
        <w:spacing w:line="360" w:lineRule="auto"/>
        <w:ind w:firstLine="480" w:firstLineChars="200"/>
        <w:rPr>
          <w:rFonts w:hint="eastAsia" w:ascii="Times New Roman" w:hAnsi="Times New Roman" w:eastAsia="宋体" w:cs="Times New Roman"/>
          <w:i w:val="0"/>
          <w:iCs w:val="0"/>
          <w:color w:val="000000"/>
          <w:sz w:val="24"/>
          <w:u w:val="single"/>
        </w:rPr>
      </w:pPr>
      <w:r>
        <w:rPr>
          <w:rFonts w:ascii="Times New Roman" w:hAnsi="Times New Roman" w:eastAsia="宋体" w:cs="Times New Roman"/>
          <w:i w:val="0"/>
          <w:iCs w:val="0"/>
          <w:color w:val="000000"/>
          <w:sz w:val="24"/>
          <w:u w:val="single"/>
        </w:rPr>
        <w:t>本项目采用的是</w:t>
      </w:r>
      <w:r>
        <w:rPr>
          <w:rFonts w:hint="eastAsia" w:ascii="Times New Roman" w:hAnsi="Times New Roman" w:eastAsia="宋体" w:cs="Times New Roman"/>
          <w:i w:val="0"/>
          <w:iCs w:val="0"/>
          <w:color w:val="000000"/>
          <w:sz w:val="24"/>
          <w:u w:val="single"/>
        </w:rPr>
        <w:t>酵母发酵法</w:t>
      </w:r>
      <w:r>
        <w:rPr>
          <w:rFonts w:ascii="Times New Roman" w:hAnsi="Times New Roman" w:eastAsia="宋体" w:cs="Times New Roman"/>
          <w:i w:val="0"/>
          <w:iCs w:val="0"/>
          <w:color w:val="000000"/>
          <w:sz w:val="24"/>
          <w:u w:val="single"/>
        </w:rPr>
        <w:t>生产工艺，技术稳定，工艺较先进，在保证产品质量的前提下，做到了生产工艺的清洁性。</w:t>
      </w:r>
      <w:r>
        <w:rPr>
          <w:rFonts w:hint="eastAsia" w:ascii="Times New Roman" w:hAnsi="Times New Roman" w:eastAsia="宋体" w:cs="Times New Roman"/>
          <w:i w:val="0"/>
          <w:iCs w:val="0"/>
          <w:color w:val="000000"/>
          <w:sz w:val="24"/>
          <w:u w:val="single"/>
        </w:rPr>
        <w:t>本项目与其他方法生产对比情况见表9</w:t>
      </w:r>
      <w:r>
        <w:rPr>
          <w:rFonts w:hint="eastAsia" w:cs="Times New Roman"/>
          <w:i w:val="0"/>
          <w:iCs w:val="0"/>
          <w:color w:val="000000"/>
          <w:sz w:val="24"/>
          <w:u w:val="single"/>
          <w:lang w:val="en-US" w:eastAsia="zh-CN"/>
        </w:rPr>
        <w:t>-1</w:t>
      </w:r>
      <w:r>
        <w:rPr>
          <w:rFonts w:hint="eastAsia" w:ascii="Times New Roman" w:hAnsi="Times New Roman" w:eastAsia="宋体" w:cs="Times New Roman"/>
          <w:i w:val="0"/>
          <w:iCs w:val="0"/>
          <w:color w:val="000000"/>
          <w:sz w:val="24"/>
          <w:u w:val="single"/>
        </w:rPr>
        <w:t>。</w:t>
      </w:r>
    </w:p>
    <w:p>
      <w:pPr>
        <w:pStyle w:val="404"/>
        <w:keepNext w:val="0"/>
        <w:keepLines w:val="0"/>
        <w:pageBreakBefore w:val="0"/>
        <w:widowControl w:val="0"/>
        <w:kinsoku/>
        <w:wordWrap/>
        <w:overflowPunct/>
        <w:topLinePunct w:val="0"/>
        <w:autoSpaceDE/>
        <w:autoSpaceDN/>
        <w:bidi w:val="0"/>
        <w:adjustRightInd/>
        <w:snapToGrid/>
        <w:spacing w:before="0" w:beforeLines="0" w:line="240" w:lineRule="auto"/>
        <w:textAlignment w:val="auto"/>
        <w:rPr>
          <w:rFonts w:hint="default" w:ascii="Times New Roman" w:hAnsi="Times New Roman" w:cs="Times New Roman"/>
          <w:i w:val="0"/>
          <w:iCs w:val="0"/>
          <w:color w:val="000000"/>
          <w:u w:val="single"/>
          <w:lang w:eastAsia="zh-CN"/>
        </w:rPr>
      </w:pPr>
      <w:r>
        <w:rPr>
          <w:rFonts w:hint="default" w:ascii="Times New Roman" w:hAnsi="Times New Roman" w:cs="Times New Roman"/>
          <w:i w:val="0"/>
          <w:iCs w:val="0"/>
          <w:color w:val="000000"/>
          <w:u w:val="single"/>
        </w:rPr>
        <w:t>表</w:t>
      </w:r>
      <w:r>
        <w:rPr>
          <w:rFonts w:hint="default" w:ascii="Times New Roman" w:hAnsi="Times New Roman" w:cs="Times New Roman"/>
          <w:b w:val="0"/>
          <w:i w:val="0"/>
          <w:iCs w:val="0"/>
          <w:color w:val="000000"/>
          <w:u w:val="single"/>
          <w:lang w:eastAsia="zh-CN"/>
        </w:rPr>
        <w:t>9</w:t>
      </w:r>
      <w:r>
        <w:rPr>
          <w:rFonts w:hint="default" w:ascii="Times New Roman" w:hAnsi="Times New Roman" w:cs="Times New Roman"/>
          <w:b w:val="0"/>
          <w:i w:val="0"/>
          <w:iCs w:val="0"/>
          <w:color w:val="000000"/>
          <w:u w:val="single"/>
          <w:lang w:val="en-US" w:eastAsia="zh-CN"/>
        </w:rPr>
        <w:t>-1</w:t>
      </w:r>
      <w:r>
        <w:rPr>
          <w:rFonts w:hint="default" w:ascii="Times New Roman" w:hAnsi="Times New Roman" w:cs="Times New Roman"/>
          <w:b w:val="0"/>
          <w:i w:val="0"/>
          <w:iCs w:val="0"/>
          <w:color w:val="000000"/>
          <w:u w:val="single"/>
        </w:rPr>
        <w:t xml:space="preserve"> </w:t>
      </w:r>
      <w:r>
        <w:rPr>
          <w:rFonts w:hint="default" w:ascii="Times New Roman" w:hAnsi="Times New Roman" w:cs="Times New Roman"/>
          <w:i w:val="0"/>
          <w:iCs w:val="0"/>
          <w:color w:val="000000"/>
          <w:u w:val="single"/>
        </w:rPr>
        <w:t xml:space="preserve"> </w:t>
      </w:r>
      <w:r>
        <w:rPr>
          <w:rFonts w:hint="default" w:ascii="Times New Roman" w:hAnsi="Times New Roman" w:cs="Times New Roman"/>
          <w:i w:val="0"/>
          <w:iCs w:val="0"/>
          <w:color w:val="000000"/>
          <w:u w:val="single"/>
          <w:lang w:eastAsia="zh-CN"/>
        </w:rPr>
        <w:t>本项目与其他方法生产对比情况表</w:t>
      </w:r>
    </w:p>
    <w:tbl>
      <w:tblPr>
        <w:tblStyle w:val="58"/>
        <w:tblW w:w="917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927"/>
        <w:gridCol w:w="2247"/>
        <w:gridCol w:w="2903"/>
        <w:gridCol w:w="10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tblHeader/>
          <w:jc w:val="center"/>
        </w:trPr>
        <w:tc>
          <w:tcPr>
            <w:tcW w:w="1061" w:type="dxa"/>
            <w:noWrap w:val="0"/>
            <w:vAlign w:val="center"/>
          </w:tcPr>
          <w:p>
            <w:pPr>
              <w:autoSpaceDE w:val="0"/>
              <w:autoSpaceDN w:val="0"/>
              <w:adjustRightInd w:val="0"/>
              <w:snapToGrid w:val="0"/>
              <w:spacing w:before="48" w:beforeLines="20" w:after="48" w:afterLines="20"/>
              <w:jc w:val="center"/>
              <w:rPr>
                <w:rFonts w:hint="eastAsia"/>
                <w:i w:val="0"/>
                <w:iCs w:val="0"/>
                <w:color w:val="000000"/>
                <w:sz w:val="21"/>
                <w:szCs w:val="21"/>
                <w:u w:val="single"/>
              </w:rPr>
            </w:pPr>
            <w:r>
              <w:rPr>
                <w:rFonts w:hint="eastAsia"/>
                <w:i w:val="0"/>
                <w:iCs w:val="0"/>
                <w:color w:val="000000"/>
                <w:sz w:val="21"/>
                <w:szCs w:val="21"/>
                <w:u w:val="single"/>
              </w:rPr>
              <w:t>生产方法</w:t>
            </w:r>
          </w:p>
        </w:tc>
        <w:tc>
          <w:tcPr>
            <w:tcW w:w="1927" w:type="dxa"/>
            <w:noWrap w:val="0"/>
            <w:vAlign w:val="center"/>
          </w:tcPr>
          <w:p>
            <w:pPr>
              <w:autoSpaceDE w:val="0"/>
              <w:autoSpaceDN w:val="0"/>
              <w:adjustRightInd w:val="0"/>
              <w:snapToGrid w:val="0"/>
              <w:spacing w:before="48" w:beforeLines="20" w:after="48" w:afterLines="20"/>
              <w:jc w:val="center"/>
              <w:rPr>
                <w:rFonts w:hint="eastAsia"/>
                <w:i w:val="0"/>
                <w:iCs w:val="0"/>
                <w:color w:val="000000"/>
                <w:sz w:val="21"/>
                <w:szCs w:val="21"/>
                <w:u w:val="single"/>
              </w:rPr>
            </w:pPr>
            <w:r>
              <w:rPr>
                <w:rFonts w:hint="eastAsia"/>
                <w:i w:val="0"/>
                <w:iCs w:val="0"/>
                <w:color w:val="000000"/>
                <w:sz w:val="21"/>
                <w:szCs w:val="21"/>
                <w:u w:val="single"/>
              </w:rPr>
              <w:t>原料</w:t>
            </w:r>
          </w:p>
        </w:tc>
        <w:tc>
          <w:tcPr>
            <w:tcW w:w="2247" w:type="dxa"/>
            <w:noWrap w:val="0"/>
            <w:vAlign w:val="top"/>
          </w:tcPr>
          <w:p>
            <w:pPr>
              <w:autoSpaceDE w:val="0"/>
              <w:autoSpaceDN w:val="0"/>
              <w:adjustRightInd w:val="0"/>
              <w:snapToGrid w:val="0"/>
              <w:spacing w:before="48" w:beforeLines="20" w:after="48" w:afterLines="20"/>
              <w:jc w:val="center"/>
              <w:rPr>
                <w:rFonts w:hint="eastAsia"/>
                <w:i w:val="0"/>
                <w:iCs w:val="0"/>
                <w:color w:val="000000"/>
                <w:sz w:val="21"/>
                <w:szCs w:val="21"/>
                <w:u w:val="single"/>
              </w:rPr>
            </w:pPr>
            <w:r>
              <w:rPr>
                <w:rFonts w:hint="eastAsia"/>
                <w:i w:val="0"/>
                <w:iCs w:val="0"/>
                <w:color w:val="000000"/>
                <w:sz w:val="21"/>
                <w:szCs w:val="21"/>
                <w:u w:val="single"/>
              </w:rPr>
              <w:t>生产方法</w:t>
            </w:r>
          </w:p>
        </w:tc>
        <w:tc>
          <w:tcPr>
            <w:tcW w:w="2903" w:type="dxa"/>
            <w:noWrap w:val="0"/>
            <w:vAlign w:val="center"/>
          </w:tcPr>
          <w:p>
            <w:pPr>
              <w:autoSpaceDE w:val="0"/>
              <w:autoSpaceDN w:val="0"/>
              <w:adjustRightInd w:val="0"/>
              <w:snapToGrid w:val="0"/>
              <w:spacing w:before="48" w:beforeLines="20" w:after="48" w:afterLines="20"/>
              <w:jc w:val="center"/>
              <w:rPr>
                <w:rFonts w:hint="eastAsia"/>
                <w:i w:val="0"/>
                <w:iCs w:val="0"/>
                <w:color w:val="000000"/>
                <w:sz w:val="21"/>
                <w:szCs w:val="21"/>
                <w:u w:val="single"/>
              </w:rPr>
            </w:pPr>
            <w:r>
              <w:rPr>
                <w:rFonts w:hint="eastAsia"/>
                <w:i w:val="0"/>
                <w:iCs w:val="0"/>
                <w:color w:val="000000"/>
                <w:sz w:val="21"/>
                <w:szCs w:val="21"/>
                <w:u w:val="single"/>
              </w:rPr>
              <w:t>产品特点</w:t>
            </w:r>
          </w:p>
        </w:tc>
        <w:tc>
          <w:tcPr>
            <w:tcW w:w="1036" w:type="dxa"/>
            <w:noWrap w:val="0"/>
            <w:vAlign w:val="center"/>
          </w:tcPr>
          <w:p>
            <w:pPr>
              <w:autoSpaceDE w:val="0"/>
              <w:autoSpaceDN w:val="0"/>
              <w:adjustRightInd w:val="0"/>
              <w:snapToGrid w:val="0"/>
              <w:spacing w:before="48" w:beforeLines="20" w:after="48" w:afterLines="20"/>
              <w:jc w:val="center"/>
              <w:rPr>
                <w:rFonts w:hint="eastAsia"/>
                <w:i w:val="0"/>
                <w:iCs w:val="0"/>
                <w:color w:val="000000"/>
                <w:sz w:val="21"/>
                <w:szCs w:val="21"/>
                <w:u w:val="single"/>
              </w:rPr>
            </w:pPr>
            <w:r>
              <w:rPr>
                <w:rFonts w:hint="eastAsia"/>
                <w:i w:val="0"/>
                <w:iCs w:val="0"/>
                <w:color w:val="000000"/>
                <w:sz w:val="21"/>
                <w:szCs w:val="21"/>
                <w:u w:val="single"/>
              </w:rPr>
              <w:t>能耗指标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61" w:type="dxa"/>
            <w:noWrap w:val="0"/>
            <w:vAlign w:val="center"/>
          </w:tcPr>
          <w:p>
            <w:pPr>
              <w:autoSpaceDE w:val="0"/>
              <w:autoSpaceDN w:val="0"/>
              <w:adjustRightInd w:val="0"/>
              <w:snapToGrid w:val="0"/>
              <w:spacing w:before="48" w:beforeLines="20" w:after="48" w:afterLines="20"/>
              <w:jc w:val="center"/>
              <w:rPr>
                <w:i w:val="0"/>
                <w:iCs w:val="0"/>
                <w:color w:val="000000"/>
                <w:sz w:val="21"/>
                <w:szCs w:val="21"/>
                <w:u w:val="single"/>
              </w:rPr>
            </w:pPr>
            <w:r>
              <w:rPr>
                <w:rFonts w:hint="eastAsia"/>
                <w:i w:val="0"/>
                <w:iCs w:val="0"/>
                <w:color w:val="000000"/>
                <w:sz w:val="21"/>
                <w:szCs w:val="21"/>
                <w:u w:val="single"/>
              </w:rPr>
              <w:t>小雨红藻培养繁殖</w:t>
            </w:r>
          </w:p>
        </w:tc>
        <w:tc>
          <w:tcPr>
            <w:tcW w:w="1927" w:type="dxa"/>
            <w:noWrap w:val="0"/>
            <w:vAlign w:val="center"/>
          </w:tcPr>
          <w:p>
            <w:pPr>
              <w:autoSpaceDE w:val="0"/>
              <w:autoSpaceDN w:val="0"/>
              <w:adjustRightInd w:val="0"/>
              <w:snapToGrid w:val="0"/>
              <w:spacing w:before="48" w:beforeLines="20" w:after="48" w:afterLines="20"/>
              <w:jc w:val="center"/>
              <w:rPr>
                <w:rFonts w:hint="eastAsia"/>
                <w:i w:val="0"/>
                <w:iCs w:val="0"/>
                <w:color w:val="000000"/>
                <w:sz w:val="21"/>
                <w:szCs w:val="21"/>
                <w:u w:val="single"/>
              </w:rPr>
            </w:pPr>
            <w:r>
              <w:rPr>
                <w:rFonts w:hint="eastAsia"/>
                <w:i w:val="0"/>
                <w:iCs w:val="0"/>
                <w:color w:val="000000"/>
                <w:sz w:val="21"/>
                <w:szCs w:val="21"/>
                <w:u w:val="single"/>
              </w:rPr>
              <w:t>雨生红球藻、葡萄糖等（原料清洁）</w:t>
            </w:r>
          </w:p>
        </w:tc>
        <w:tc>
          <w:tcPr>
            <w:tcW w:w="2247" w:type="dxa"/>
            <w:noWrap w:val="0"/>
            <w:vAlign w:val="center"/>
          </w:tcPr>
          <w:p>
            <w:pPr>
              <w:autoSpaceDE w:val="0"/>
              <w:autoSpaceDN w:val="0"/>
              <w:adjustRightInd w:val="0"/>
              <w:snapToGrid w:val="0"/>
              <w:spacing w:before="48" w:beforeLines="20" w:after="48" w:afterLines="20"/>
              <w:jc w:val="center"/>
              <w:rPr>
                <w:rFonts w:hint="eastAsia"/>
                <w:i w:val="0"/>
                <w:iCs w:val="0"/>
                <w:color w:val="000000"/>
                <w:sz w:val="21"/>
                <w:szCs w:val="21"/>
                <w:u w:val="single"/>
              </w:rPr>
            </w:pPr>
            <w:r>
              <w:rPr>
                <w:rFonts w:hint="eastAsia"/>
                <w:i w:val="0"/>
                <w:iCs w:val="0"/>
                <w:color w:val="000000"/>
                <w:sz w:val="21"/>
                <w:szCs w:val="21"/>
                <w:u w:val="single"/>
              </w:rPr>
              <w:t>生物培养</w:t>
            </w:r>
          </w:p>
          <w:p>
            <w:pPr>
              <w:autoSpaceDE w:val="0"/>
              <w:autoSpaceDN w:val="0"/>
              <w:adjustRightInd w:val="0"/>
              <w:snapToGrid w:val="0"/>
              <w:spacing w:before="48" w:beforeLines="20" w:after="48" w:afterLines="20"/>
              <w:jc w:val="center"/>
              <w:rPr>
                <w:rFonts w:hint="eastAsia"/>
                <w:i w:val="0"/>
                <w:iCs w:val="0"/>
                <w:color w:val="000000"/>
                <w:sz w:val="21"/>
                <w:szCs w:val="21"/>
                <w:u w:val="single"/>
              </w:rPr>
            </w:pPr>
            <w:r>
              <w:rPr>
                <w:rFonts w:hint="eastAsia"/>
                <w:i w:val="0"/>
                <w:iCs w:val="0"/>
                <w:color w:val="000000"/>
                <w:sz w:val="21"/>
                <w:szCs w:val="21"/>
                <w:u w:val="single"/>
              </w:rPr>
              <w:t>（生产工艺较清洁）</w:t>
            </w:r>
          </w:p>
        </w:tc>
        <w:tc>
          <w:tcPr>
            <w:tcW w:w="2903" w:type="dxa"/>
            <w:noWrap w:val="0"/>
            <w:vAlign w:val="center"/>
          </w:tcPr>
          <w:p>
            <w:pPr>
              <w:autoSpaceDE w:val="0"/>
              <w:autoSpaceDN w:val="0"/>
              <w:adjustRightInd w:val="0"/>
              <w:snapToGrid w:val="0"/>
              <w:spacing w:before="48" w:beforeLines="20" w:after="48" w:afterLines="20"/>
              <w:jc w:val="center"/>
              <w:rPr>
                <w:rFonts w:hint="eastAsia"/>
                <w:i w:val="0"/>
                <w:iCs w:val="0"/>
                <w:color w:val="000000"/>
                <w:sz w:val="21"/>
                <w:szCs w:val="21"/>
                <w:u w:val="single"/>
              </w:rPr>
            </w:pPr>
            <w:r>
              <w:rPr>
                <w:rFonts w:hint="eastAsia"/>
                <w:i w:val="0"/>
                <w:iCs w:val="0"/>
                <w:color w:val="000000"/>
                <w:sz w:val="21"/>
                <w:szCs w:val="21"/>
                <w:u w:val="single"/>
              </w:rPr>
              <w:t>自养周期长，技术要求严，大规模生产较困难</w:t>
            </w:r>
          </w:p>
          <w:p>
            <w:pPr>
              <w:autoSpaceDE w:val="0"/>
              <w:autoSpaceDN w:val="0"/>
              <w:adjustRightInd w:val="0"/>
              <w:snapToGrid w:val="0"/>
              <w:spacing w:before="48" w:beforeLines="20" w:after="48" w:afterLines="20"/>
              <w:jc w:val="center"/>
              <w:rPr>
                <w:rFonts w:hint="eastAsia"/>
                <w:i w:val="0"/>
                <w:iCs w:val="0"/>
                <w:color w:val="000000"/>
                <w:sz w:val="21"/>
                <w:szCs w:val="21"/>
                <w:u w:val="single"/>
              </w:rPr>
            </w:pPr>
            <w:r>
              <w:rPr>
                <w:rFonts w:hint="eastAsia"/>
                <w:i w:val="0"/>
                <w:iCs w:val="0"/>
                <w:color w:val="000000"/>
                <w:sz w:val="21"/>
                <w:szCs w:val="21"/>
                <w:u w:val="single"/>
              </w:rPr>
              <w:t>（相对本项目产品清洁生产水平较低）</w:t>
            </w:r>
          </w:p>
        </w:tc>
        <w:tc>
          <w:tcPr>
            <w:tcW w:w="1036" w:type="dxa"/>
            <w:noWrap w:val="0"/>
            <w:vAlign w:val="center"/>
          </w:tcPr>
          <w:p>
            <w:pPr>
              <w:autoSpaceDE w:val="0"/>
              <w:autoSpaceDN w:val="0"/>
              <w:adjustRightInd w:val="0"/>
              <w:snapToGrid w:val="0"/>
              <w:spacing w:before="48" w:beforeLines="20" w:after="48" w:afterLines="20"/>
              <w:jc w:val="center"/>
              <w:rPr>
                <w:rFonts w:hint="eastAsia"/>
                <w:i w:val="0"/>
                <w:iCs w:val="0"/>
                <w:color w:val="000000"/>
                <w:sz w:val="21"/>
                <w:szCs w:val="21"/>
                <w:u w:val="single"/>
              </w:rPr>
            </w:pPr>
            <w:r>
              <w:rPr>
                <w:rFonts w:hint="eastAsia"/>
                <w:i w:val="0"/>
                <w:iCs w:val="0"/>
                <w:color w:val="000000"/>
                <w:sz w:val="21"/>
                <w:szCs w:val="21"/>
                <w:u w:val="single"/>
              </w:rPr>
              <w:t>较高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1061" w:type="dxa"/>
            <w:noWrap w:val="0"/>
            <w:vAlign w:val="center"/>
          </w:tcPr>
          <w:p>
            <w:pPr>
              <w:autoSpaceDE w:val="0"/>
              <w:autoSpaceDN w:val="0"/>
              <w:adjustRightInd w:val="0"/>
              <w:snapToGrid w:val="0"/>
              <w:spacing w:before="48" w:beforeLines="20" w:after="48" w:afterLines="20"/>
              <w:jc w:val="center"/>
              <w:rPr>
                <w:i w:val="0"/>
                <w:iCs w:val="0"/>
                <w:color w:val="000000"/>
                <w:sz w:val="21"/>
                <w:szCs w:val="21"/>
                <w:u w:val="single"/>
              </w:rPr>
            </w:pPr>
            <w:r>
              <w:rPr>
                <w:rFonts w:hint="eastAsia"/>
                <w:i w:val="0"/>
                <w:iCs w:val="0"/>
                <w:color w:val="000000"/>
                <w:sz w:val="21"/>
                <w:szCs w:val="21"/>
                <w:u w:val="single"/>
              </w:rPr>
              <w:t>虾、蟹下脚料提取</w:t>
            </w:r>
          </w:p>
        </w:tc>
        <w:tc>
          <w:tcPr>
            <w:tcW w:w="1927" w:type="dxa"/>
            <w:noWrap w:val="0"/>
            <w:vAlign w:val="center"/>
          </w:tcPr>
          <w:p>
            <w:pPr>
              <w:autoSpaceDE w:val="0"/>
              <w:autoSpaceDN w:val="0"/>
              <w:adjustRightInd w:val="0"/>
              <w:snapToGrid w:val="0"/>
              <w:spacing w:before="48" w:beforeLines="20" w:after="48" w:afterLines="20"/>
              <w:jc w:val="center"/>
              <w:rPr>
                <w:rFonts w:hint="eastAsia"/>
                <w:i w:val="0"/>
                <w:iCs w:val="0"/>
                <w:color w:val="000000"/>
                <w:sz w:val="21"/>
                <w:szCs w:val="21"/>
                <w:u w:val="single"/>
              </w:rPr>
            </w:pPr>
            <w:r>
              <w:rPr>
                <w:rFonts w:hint="eastAsia"/>
                <w:i w:val="0"/>
                <w:iCs w:val="0"/>
                <w:color w:val="000000"/>
                <w:sz w:val="21"/>
                <w:szCs w:val="21"/>
                <w:u w:val="single"/>
              </w:rPr>
              <w:t>虾、蟹等水产品壳</w:t>
            </w:r>
          </w:p>
          <w:p>
            <w:pPr>
              <w:autoSpaceDE w:val="0"/>
              <w:autoSpaceDN w:val="0"/>
              <w:adjustRightInd w:val="0"/>
              <w:snapToGrid w:val="0"/>
              <w:spacing w:before="48" w:beforeLines="20" w:after="48" w:afterLines="20"/>
              <w:jc w:val="center"/>
              <w:rPr>
                <w:rFonts w:hint="eastAsia"/>
                <w:i w:val="0"/>
                <w:iCs w:val="0"/>
                <w:color w:val="000000"/>
                <w:sz w:val="21"/>
                <w:szCs w:val="21"/>
                <w:u w:val="single"/>
              </w:rPr>
            </w:pPr>
            <w:r>
              <w:rPr>
                <w:rFonts w:hint="eastAsia"/>
                <w:i w:val="0"/>
                <w:iCs w:val="0"/>
                <w:color w:val="000000"/>
                <w:sz w:val="21"/>
                <w:szCs w:val="21"/>
                <w:u w:val="single"/>
              </w:rPr>
              <w:t>（废物利用，符合清洁生产要求）</w:t>
            </w:r>
          </w:p>
        </w:tc>
        <w:tc>
          <w:tcPr>
            <w:tcW w:w="2247" w:type="dxa"/>
            <w:noWrap w:val="0"/>
            <w:vAlign w:val="top"/>
          </w:tcPr>
          <w:p>
            <w:pPr>
              <w:autoSpaceDE w:val="0"/>
              <w:autoSpaceDN w:val="0"/>
              <w:adjustRightInd w:val="0"/>
              <w:snapToGrid w:val="0"/>
              <w:spacing w:before="48" w:beforeLines="20" w:after="48" w:afterLines="20"/>
              <w:jc w:val="both"/>
              <w:rPr>
                <w:rFonts w:hint="eastAsia"/>
                <w:i w:val="0"/>
                <w:iCs w:val="0"/>
                <w:color w:val="000000"/>
                <w:sz w:val="21"/>
                <w:szCs w:val="21"/>
                <w:u w:val="single"/>
              </w:rPr>
            </w:pPr>
            <w:r>
              <w:rPr>
                <w:rFonts w:hint="eastAsia"/>
                <w:i w:val="0"/>
                <w:iCs w:val="0"/>
                <w:color w:val="000000"/>
                <w:sz w:val="21"/>
                <w:szCs w:val="21"/>
                <w:u w:val="single"/>
              </w:rPr>
              <w:t>虾、蟹壳粉碎，利用有机溶剂萃取或用酸、酶水解后提取（相对其他生产方法生产工艺清洁生产水平较低）</w:t>
            </w:r>
          </w:p>
        </w:tc>
        <w:tc>
          <w:tcPr>
            <w:tcW w:w="2903" w:type="dxa"/>
            <w:noWrap w:val="0"/>
            <w:vAlign w:val="center"/>
          </w:tcPr>
          <w:p>
            <w:pPr>
              <w:autoSpaceDE w:val="0"/>
              <w:autoSpaceDN w:val="0"/>
              <w:adjustRightInd w:val="0"/>
              <w:snapToGrid w:val="0"/>
              <w:spacing w:before="48" w:beforeLines="20" w:after="48" w:afterLines="20"/>
              <w:jc w:val="both"/>
              <w:rPr>
                <w:i w:val="0"/>
                <w:iCs w:val="0"/>
                <w:color w:val="000000"/>
                <w:sz w:val="21"/>
                <w:szCs w:val="21"/>
                <w:u w:val="single"/>
              </w:rPr>
            </w:pPr>
            <w:r>
              <w:rPr>
                <w:rFonts w:hint="eastAsia"/>
                <w:i w:val="0"/>
                <w:iCs w:val="0"/>
                <w:color w:val="000000"/>
                <w:sz w:val="21"/>
                <w:szCs w:val="21"/>
                <w:u w:val="single"/>
              </w:rPr>
              <w:t>原料易腐败变质产品含量低，提取费用高（相对本项目产品清洁生产水平低）</w:t>
            </w:r>
          </w:p>
        </w:tc>
        <w:tc>
          <w:tcPr>
            <w:tcW w:w="1036" w:type="dxa"/>
            <w:noWrap w:val="0"/>
            <w:vAlign w:val="center"/>
          </w:tcPr>
          <w:p>
            <w:pPr>
              <w:autoSpaceDE w:val="0"/>
              <w:autoSpaceDN w:val="0"/>
              <w:adjustRightInd w:val="0"/>
              <w:snapToGrid w:val="0"/>
              <w:spacing w:before="48" w:beforeLines="20" w:after="48" w:afterLines="20"/>
              <w:jc w:val="center"/>
              <w:rPr>
                <w:rFonts w:hint="eastAsia"/>
                <w:i w:val="0"/>
                <w:iCs w:val="0"/>
                <w:color w:val="000000"/>
                <w:sz w:val="21"/>
                <w:szCs w:val="21"/>
                <w:u w:val="single"/>
              </w:rPr>
            </w:pPr>
            <w:r>
              <w:rPr>
                <w:rFonts w:hint="eastAsia"/>
                <w:i w:val="0"/>
                <w:iCs w:val="0"/>
                <w:color w:val="000000"/>
                <w:sz w:val="21"/>
                <w:szCs w:val="21"/>
                <w:u w:val="single"/>
              </w:rPr>
              <w:t>较高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61" w:type="dxa"/>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before="48" w:beforeLines="20" w:after="48" w:afterLines="20"/>
              <w:jc w:val="center"/>
              <w:textAlignment w:val="auto"/>
              <w:rPr>
                <w:i w:val="0"/>
                <w:iCs w:val="0"/>
                <w:color w:val="000000"/>
                <w:sz w:val="21"/>
                <w:szCs w:val="21"/>
                <w:u w:val="single"/>
              </w:rPr>
            </w:pPr>
            <w:r>
              <w:rPr>
                <w:rFonts w:hint="eastAsia"/>
                <w:i w:val="0"/>
                <w:iCs w:val="0"/>
                <w:color w:val="000000"/>
                <w:sz w:val="21"/>
                <w:szCs w:val="21"/>
                <w:u w:val="single"/>
              </w:rPr>
              <w:t>化工合成</w:t>
            </w:r>
          </w:p>
        </w:tc>
        <w:tc>
          <w:tcPr>
            <w:tcW w:w="1927" w:type="dxa"/>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before="48" w:beforeLines="20" w:after="48" w:afterLines="20"/>
              <w:jc w:val="both"/>
              <w:textAlignment w:val="auto"/>
              <w:rPr>
                <w:i w:val="0"/>
                <w:iCs w:val="0"/>
                <w:color w:val="000000"/>
                <w:sz w:val="21"/>
                <w:szCs w:val="21"/>
                <w:u w:val="single"/>
              </w:rPr>
            </w:pPr>
            <w:r>
              <w:rPr>
                <w:rFonts w:hint="eastAsia"/>
                <w:i w:val="0"/>
                <w:iCs w:val="0"/>
                <w:color w:val="000000"/>
                <w:sz w:val="21"/>
                <w:szCs w:val="21"/>
                <w:u w:val="single"/>
              </w:rPr>
              <w:t>（S）-3-乙酸基-4-氧代-</w:t>
            </w:r>
            <w:r>
              <w:rPr>
                <w:rFonts w:hint="eastAsia" w:ascii="宋体" w:hAnsi="宋体"/>
                <w:i w:val="0"/>
                <w:iCs w:val="0"/>
                <w:color w:val="000000"/>
                <w:sz w:val="21"/>
                <w:szCs w:val="21"/>
                <w:u w:val="single"/>
              </w:rPr>
              <w:t>β</w:t>
            </w:r>
            <w:r>
              <w:rPr>
                <w:rFonts w:hint="eastAsia"/>
                <w:i w:val="0"/>
                <w:iCs w:val="0"/>
                <w:color w:val="000000"/>
                <w:sz w:val="21"/>
                <w:szCs w:val="21"/>
                <w:u w:val="single"/>
              </w:rPr>
              <w:t>-紫罗酮（（S）-3-acetoxy-4-oxo-</w:t>
            </w:r>
            <w:r>
              <w:rPr>
                <w:rFonts w:hint="eastAsia" w:ascii="宋体" w:hAnsi="宋体"/>
                <w:i w:val="0"/>
                <w:iCs w:val="0"/>
                <w:color w:val="000000"/>
                <w:sz w:val="21"/>
                <w:szCs w:val="21"/>
                <w:u w:val="single"/>
              </w:rPr>
              <w:t>β</w:t>
            </w:r>
            <w:r>
              <w:rPr>
                <w:rFonts w:hint="eastAsia"/>
                <w:i w:val="0"/>
                <w:iCs w:val="0"/>
                <w:color w:val="000000"/>
                <w:sz w:val="21"/>
                <w:szCs w:val="21"/>
                <w:u w:val="single"/>
              </w:rPr>
              <w:t>-ionone）（原料相对其他生产方法清洁生产水平较低）</w:t>
            </w:r>
          </w:p>
        </w:tc>
        <w:tc>
          <w:tcPr>
            <w:tcW w:w="2247" w:type="dxa"/>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before="48" w:beforeLines="20" w:after="48" w:afterLines="20"/>
              <w:jc w:val="both"/>
              <w:textAlignment w:val="auto"/>
              <w:rPr>
                <w:rFonts w:hint="eastAsia"/>
                <w:i w:val="0"/>
                <w:iCs w:val="0"/>
                <w:color w:val="000000"/>
                <w:sz w:val="21"/>
                <w:szCs w:val="21"/>
                <w:u w:val="single"/>
              </w:rPr>
            </w:pPr>
            <w:r>
              <w:rPr>
                <w:rFonts w:hint="eastAsia"/>
                <w:i w:val="0"/>
                <w:iCs w:val="0"/>
                <w:color w:val="000000"/>
                <w:sz w:val="21"/>
                <w:szCs w:val="21"/>
                <w:u w:val="single"/>
              </w:rPr>
              <w:t>多步化学和生物催化反应（相对其他生产方法生产工艺清洁生产水平较低）</w:t>
            </w:r>
          </w:p>
        </w:tc>
        <w:tc>
          <w:tcPr>
            <w:tcW w:w="2903" w:type="dxa"/>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before="48" w:beforeLines="20" w:after="48" w:afterLines="20"/>
              <w:jc w:val="both"/>
              <w:textAlignment w:val="auto"/>
              <w:rPr>
                <w:rFonts w:hint="eastAsia"/>
                <w:i w:val="0"/>
                <w:iCs w:val="0"/>
                <w:color w:val="000000"/>
                <w:sz w:val="21"/>
                <w:szCs w:val="21"/>
                <w:u w:val="single"/>
              </w:rPr>
            </w:pPr>
            <w:r>
              <w:rPr>
                <w:rFonts w:hint="eastAsia"/>
                <w:i w:val="0"/>
                <w:iCs w:val="0"/>
                <w:color w:val="000000"/>
                <w:sz w:val="21"/>
                <w:szCs w:val="21"/>
                <w:u w:val="single"/>
              </w:rPr>
              <w:t>化学合成过程复杂，生产纯度不高（相对本项目产品清洁生产水平较低）</w:t>
            </w:r>
          </w:p>
        </w:tc>
        <w:tc>
          <w:tcPr>
            <w:tcW w:w="1036" w:type="dxa"/>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before="48" w:beforeLines="20" w:after="48" w:afterLines="20"/>
              <w:jc w:val="center"/>
              <w:textAlignment w:val="auto"/>
              <w:rPr>
                <w:rFonts w:hint="eastAsia"/>
                <w:i w:val="0"/>
                <w:iCs w:val="0"/>
                <w:color w:val="000000"/>
                <w:sz w:val="21"/>
                <w:szCs w:val="21"/>
                <w:u w:val="single"/>
              </w:rPr>
            </w:pPr>
            <w:r>
              <w:rPr>
                <w:rFonts w:hint="eastAsia"/>
                <w:i w:val="0"/>
                <w:iCs w:val="0"/>
                <w:color w:val="000000"/>
                <w:sz w:val="21"/>
                <w:szCs w:val="21"/>
                <w:u w:val="single"/>
              </w:rPr>
              <w:t>较高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61" w:type="dxa"/>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before="48" w:beforeLines="20" w:after="48" w:afterLines="20"/>
              <w:jc w:val="center"/>
              <w:textAlignment w:val="auto"/>
              <w:rPr>
                <w:rFonts w:hint="eastAsia"/>
                <w:i w:val="0"/>
                <w:iCs w:val="0"/>
                <w:color w:val="000000"/>
                <w:sz w:val="21"/>
                <w:szCs w:val="21"/>
                <w:u w:val="single"/>
              </w:rPr>
            </w:pPr>
            <w:r>
              <w:rPr>
                <w:rFonts w:hint="eastAsia"/>
                <w:i w:val="0"/>
                <w:iCs w:val="0"/>
                <w:color w:val="000000"/>
                <w:sz w:val="21"/>
                <w:szCs w:val="21"/>
                <w:u w:val="single"/>
              </w:rPr>
              <w:t>本项目</w:t>
            </w:r>
          </w:p>
        </w:tc>
        <w:tc>
          <w:tcPr>
            <w:tcW w:w="1927" w:type="dxa"/>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before="48" w:beforeLines="20" w:after="48" w:afterLines="20"/>
              <w:jc w:val="center"/>
              <w:textAlignment w:val="auto"/>
              <w:rPr>
                <w:rFonts w:hint="eastAsia"/>
                <w:i w:val="0"/>
                <w:iCs w:val="0"/>
                <w:color w:val="000000"/>
                <w:sz w:val="21"/>
                <w:szCs w:val="21"/>
                <w:u w:val="single"/>
              </w:rPr>
            </w:pPr>
            <w:r>
              <w:rPr>
                <w:i w:val="0"/>
                <w:iCs w:val="0"/>
                <w:color w:val="000000"/>
                <w:sz w:val="21"/>
                <w:szCs w:val="21"/>
                <w:u w:val="single"/>
              </w:rPr>
              <w:t>酵母</w:t>
            </w:r>
            <w:r>
              <w:rPr>
                <w:rFonts w:hint="eastAsia"/>
                <w:i w:val="0"/>
                <w:iCs w:val="0"/>
                <w:color w:val="000000"/>
                <w:sz w:val="21"/>
                <w:szCs w:val="21"/>
                <w:u w:val="single"/>
                <w:lang w:val="en-US" w:eastAsia="zh-CN"/>
              </w:rPr>
              <w:t>浸粉</w:t>
            </w:r>
            <w:r>
              <w:rPr>
                <w:rFonts w:hint="eastAsia"/>
                <w:i w:val="0"/>
                <w:iCs w:val="0"/>
                <w:color w:val="000000"/>
                <w:sz w:val="21"/>
                <w:szCs w:val="21"/>
                <w:u w:val="single"/>
              </w:rPr>
              <w:t>、葡萄糖等（原料清洁）</w:t>
            </w:r>
          </w:p>
        </w:tc>
        <w:tc>
          <w:tcPr>
            <w:tcW w:w="2247" w:type="dxa"/>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before="48" w:beforeLines="20" w:after="48" w:afterLines="20"/>
              <w:jc w:val="both"/>
              <w:textAlignment w:val="auto"/>
              <w:rPr>
                <w:rFonts w:hint="eastAsia"/>
                <w:i w:val="0"/>
                <w:iCs w:val="0"/>
                <w:color w:val="000000"/>
                <w:sz w:val="21"/>
                <w:szCs w:val="21"/>
                <w:u w:val="single"/>
              </w:rPr>
            </w:pPr>
            <w:r>
              <w:rPr>
                <w:i w:val="0"/>
                <w:iCs w:val="0"/>
                <w:color w:val="000000"/>
                <w:sz w:val="21"/>
                <w:szCs w:val="21"/>
                <w:u w:val="single"/>
              </w:rPr>
              <w:t>采用现代生物高密度发酵技术生产</w:t>
            </w:r>
            <w:r>
              <w:rPr>
                <w:rFonts w:hint="eastAsia"/>
                <w:i w:val="0"/>
                <w:iCs w:val="0"/>
                <w:color w:val="000000"/>
                <w:sz w:val="21"/>
                <w:szCs w:val="21"/>
                <w:u w:val="single"/>
              </w:rPr>
              <w:t>（生产工艺清洁）</w:t>
            </w:r>
          </w:p>
        </w:tc>
        <w:tc>
          <w:tcPr>
            <w:tcW w:w="2903" w:type="dxa"/>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before="48" w:beforeLines="20" w:after="48" w:afterLines="20"/>
              <w:jc w:val="both"/>
              <w:textAlignment w:val="auto"/>
              <w:rPr>
                <w:rFonts w:hint="eastAsia"/>
                <w:i w:val="0"/>
                <w:iCs w:val="0"/>
                <w:color w:val="000000"/>
                <w:sz w:val="21"/>
                <w:szCs w:val="21"/>
                <w:u w:val="single"/>
              </w:rPr>
            </w:pPr>
            <w:r>
              <w:rPr>
                <w:rFonts w:hint="eastAsia"/>
                <w:i w:val="0"/>
                <w:iCs w:val="0"/>
                <w:color w:val="000000"/>
                <w:sz w:val="21"/>
                <w:szCs w:val="21"/>
                <w:u w:val="single"/>
              </w:rPr>
              <w:t>产品</w:t>
            </w:r>
            <w:r>
              <w:rPr>
                <w:i w:val="0"/>
                <w:iCs w:val="0"/>
                <w:color w:val="000000"/>
                <w:sz w:val="21"/>
                <w:szCs w:val="21"/>
                <w:u w:val="single"/>
              </w:rPr>
              <w:t>含量高，原材料廉价易获取，生产成本低</w:t>
            </w:r>
            <w:r>
              <w:rPr>
                <w:rFonts w:hint="eastAsia"/>
                <w:i w:val="0"/>
                <w:iCs w:val="0"/>
                <w:color w:val="000000"/>
                <w:sz w:val="21"/>
                <w:szCs w:val="21"/>
                <w:u w:val="single"/>
              </w:rPr>
              <w:t>（产品清洁生产水平较高）</w:t>
            </w:r>
          </w:p>
        </w:tc>
        <w:tc>
          <w:tcPr>
            <w:tcW w:w="1036" w:type="dxa"/>
            <w:noWrap w:val="0"/>
            <w:vAlign w:val="center"/>
          </w:tcPr>
          <w:p>
            <w:pPr>
              <w:keepNext w:val="0"/>
              <w:keepLines w:val="0"/>
              <w:pageBreakBefore w:val="0"/>
              <w:widowControl w:val="0"/>
              <w:kinsoku/>
              <w:wordWrap w:val="0"/>
              <w:overflowPunct/>
              <w:topLinePunct w:val="0"/>
              <w:autoSpaceDE w:val="0"/>
              <w:autoSpaceDN w:val="0"/>
              <w:bidi w:val="0"/>
              <w:adjustRightInd w:val="0"/>
              <w:snapToGrid w:val="0"/>
              <w:spacing w:before="48" w:beforeLines="20" w:after="48" w:afterLines="20"/>
              <w:jc w:val="center"/>
              <w:textAlignment w:val="auto"/>
              <w:rPr>
                <w:rFonts w:hint="eastAsia"/>
                <w:i w:val="0"/>
                <w:iCs w:val="0"/>
                <w:color w:val="000000"/>
                <w:sz w:val="21"/>
                <w:szCs w:val="21"/>
                <w:u w:val="single"/>
              </w:rPr>
            </w:pPr>
            <w:r>
              <w:rPr>
                <w:rFonts w:hint="eastAsia"/>
                <w:i w:val="0"/>
                <w:iCs w:val="0"/>
                <w:color w:val="000000"/>
                <w:sz w:val="21"/>
                <w:szCs w:val="21"/>
                <w:u w:val="single"/>
              </w:rPr>
              <w:t>能效水平较好</w:t>
            </w:r>
          </w:p>
        </w:tc>
      </w:tr>
    </w:tbl>
    <w:p>
      <w:pPr>
        <w:pStyle w:val="402"/>
        <w:rPr>
          <w:rFonts w:hint="eastAsia" w:hAnsi="Times New Roman"/>
          <w:i w:val="0"/>
          <w:iCs w:val="0"/>
          <w:snapToGrid w:val="0"/>
          <w:color w:val="000000"/>
          <w:u w:val="single"/>
        </w:rPr>
      </w:pPr>
      <w:r>
        <w:rPr>
          <w:rFonts w:hint="eastAsia"/>
          <w:i w:val="0"/>
          <w:iCs w:val="0"/>
          <w:color w:val="000000"/>
          <w:u w:val="single"/>
        </w:rPr>
        <w:t>（2）</w:t>
      </w:r>
      <w:r>
        <w:rPr>
          <w:rFonts w:hAnsi="Times New Roman"/>
          <w:i w:val="0"/>
          <w:iCs w:val="0"/>
          <w:snapToGrid w:val="0"/>
          <w:color w:val="000000"/>
          <w:u w:val="single"/>
        </w:rPr>
        <w:t>项目建</w:t>
      </w:r>
      <w:r>
        <w:rPr>
          <w:rFonts w:hint="eastAsia" w:hAnsi="Times New Roman"/>
          <w:i w:val="0"/>
          <w:iCs w:val="0"/>
          <w:snapToGrid w:val="0"/>
          <w:color w:val="000000"/>
          <w:u w:val="single"/>
        </w:rPr>
        <w:t>设</w:t>
      </w:r>
      <w:r>
        <w:rPr>
          <w:rFonts w:hAnsi="Times New Roman"/>
          <w:i w:val="0"/>
          <w:iCs w:val="0"/>
          <w:snapToGrid w:val="0"/>
          <w:color w:val="000000"/>
          <w:u w:val="single"/>
        </w:rPr>
        <w:t>中的主要生产设备选用国际先进设备，技术性能较好，自动化控制程度较高，运转时能耗低、噪音较小。</w:t>
      </w:r>
    </w:p>
    <w:p>
      <w:pPr>
        <w:pStyle w:val="4"/>
        <w:rPr>
          <w:rFonts w:hint="eastAsia" w:ascii="Times New Roman" w:hAnsi="Times New Roman" w:eastAsia="宋体" w:cs="Times New Roman"/>
          <w:b/>
          <w:i w:val="0"/>
          <w:iCs w:val="0"/>
          <w:sz w:val="28"/>
          <w:szCs w:val="28"/>
          <w:u w:val="single"/>
          <w:lang w:val="en-US" w:eastAsia="zh-CN"/>
        </w:rPr>
      </w:pPr>
      <w:bookmarkStart w:id="326" w:name="_Toc13522"/>
      <w:bookmarkStart w:id="327" w:name="_Toc424219487"/>
      <w:r>
        <w:rPr>
          <w:rFonts w:hint="eastAsia" w:ascii="Times New Roman" w:hAnsi="Times New Roman" w:eastAsia="宋体" w:cs="Times New Roman"/>
          <w:b/>
          <w:i w:val="0"/>
          <w:iCs w:val="0"/>
          <w:sz w:val="28"/>
          <w:szCs w:val="28"/>
          <w:u w:val="single"/>
          <w:lang w:val="en-US" w:eastAsia="zh-CN"/>
        </w:rPr>
        <w:t>9.5节能</w:t>
      </w:r>
      <w:bookmarkEnd w:id="326"/>
      <w:bookmarkEnd w:id="32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 w:val="0"/>
          <w:iCs w:val="0"/>
          <w:color w:val="000000"/>
          <w:sz w:val="24"/>
          <w:u w:val="single"/>
        </w:rPr>
      </w:pPr>
      <w:r>
        <w:rPr>
          <w:i w:val="0"/>
          <w:iCs w:val="0"/>
          <w:color w:val="000000"/>
          <w:sz w:val="24"/>
          <w:u w:val="single"/>
        </w:rPr>
        <w:t>为贯彻《中华人民共和国节约能源法》和《工程设计节能技术暂行规定》的要求，在项目建设中采取相应的节能、节水措施。通过合理利用能源、科学管理等有效途径，实现节电、节水，达到以最少的能源消耗取得最大的经济效益。</w:t>
      </w:r>
      <w:r>
        <w:rPr>
          <w:rFonts w:hint="eastAsia"/>
          <w:i w:val="0"/>
          <w:iCs w:val="0"/>
          <w:color w:val="000000"/>
          <w:sz w:val="24"/>
          <w:u w:val="single"/>
        </w:rPr>
        <w:t>项目的建设过程拟采取的节能</w:t>
      </w:r>
      <w:r>
        <w:rPr>
          <w:i w:val="0"/>
          <w:iCs w:val="0"/>
          <w:color w:val="000000"/>
          <w:sz w:val="24"/>
          <w:u w:val="single"/>
        </w:rPr>
        <w:t>具体措施为：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i w:val="0"/>
          <w:iCs w:val="0"/>
          <w:color w:val="000000"/>
          <w:sz w:val="24"/>
          <w:u w:val="single"/>
        </w:rPr>
      </w:pPr>
      <w:r>
        <w:rPr>
          <w:i w:val="0"/>
          <w:iCs w:val="0"/>
          <w:color w:val="000000"/>
          <w:sz w:val="24"/>
          <w:u w:val="single"/>
        </w:rPr>
        <w:t>（1）工艺节能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 w:val="0"/>
          <w:iCs w:val="0"/>
          <w:color w:val="000000"/>
          <w:sz w:val="24"/>
          <w:u w:val="single"/>
        </w:rPr>
      </w:pPr>
      <w:r>
        <w:rPr>
          <w:i w:val="0"/>
          <w:iCs w:val="0"/>
          <w:color w:val="000000"/>
          <w:sz w:val="24"/>
          <w:u w:val="single"/>
        </w:rPr>
        <w:t>选用国内先进的节能设备，在发酵罐设计中采用先进的搅拌装置、冷却技术以减少单位生产能力的能源消耗；选用低损高效节能变压器降低能耗；采用节能型光源及混合照明，充分利用自然光。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 w:val="0"/>
          <w:iCs w:val="0"/>
          <w:color w:val="000000"/>
          <w:sz w:val="24"/>
          <w:u w:val="single"/>
        </w:rPr>
      </w:pPr>
      <w:r>
        <w:rPr>
          <w:i w:val="0"/>
          <w:iCs w:val="0"/>
          <w:color w:val="000000"/>
          <w:sz w:val="24"/>
          <w:u w:val="single"/>
        </w:rPr>
        <w:t>设备布置在满足工艺要求的前提下尽可能利用厂房高差，实现物料自流以减少输送设备，节省能源。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i w:val="0"/>
          <w:iCs w:val="0"/>
          <w:color w:val="000000"/>
          <w:sz w:val="24"/>
          <w:u w:val="single"/>
        </w:rPr>
      </w:pPr>
      <w:r>
        <w:rPr>
          <w:i w:val="0"/>
          <w:iCs w:val="0"/>
          <w:color w:val="000000"/>
          <w:sz w:val="24"/>
          <w:u w:val="single"/>
        </w:rPr>
        <w:t>（2）电气节能措施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 w:val="0"/>
          <w:iCs w:val="0"/>
          <w:color w:val="000000"/>
          <w:sz w:val="24"/>
          <w:u w:val="single"/>
        </w:rPr>
      </w:pPr>
      <w:r>
        <w:rPr>
          <w:i w:val="0"/>
          <w:iCs w:val="0"/>
          <w:color w:val="000000"/>
          <w:sz w:val="24"/>
          <w:u w:val="single"/>
        </w:rPr>
        <w:t>用电设备无功功率补偿尽量靠近用电负荷，减少损耗。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 w:val="0"/>
          <w:iCs w:val="0"/>
          <w:color w:val="000000"/>
          <w:sz w:val="24"/>
          <w:u w:val="single"/>
        </w:rPr>
      </w:pPr>
      <w:r>
        <w:rPr>
          <w:i w:val="0"/>
          <w:iCs w:val="0"/>
          <w:color w:val="000000"/>
          <w:sz w:val="24"/>
          <w:u w:val="single"/>
        </w:rPr>
        <w:t>厂房内一般照明选用气体放电灯或节能荧光灯等高效光源，控制室及办公室选用带无功补偿电子镇流器荧光灯具。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i w:val="0"/>
          <w:iCs w:val="0"/>
          <w:color w:val="000000"/>
          <w:sz w:val="24"/>
          <w:u w:val="single"/>
        </w:rPr>
      </w:pPr>
      <w:r>
        <w:rPr>
          <w:i w:val="0"/>
          <w:iCs w:val="0"/>
          <w:color w:val="000000"/>
          <w:sz w:val="24"/>
          <w:u w:val="single"/>
        </w:rPr>
        <w:t>（3）自动化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 w:val="0"/>
          <w:iCs w:val="0"/>
          <w:color w:val="000000"/>
          <w:sz w:val="24"/>
          <w:u w:val="single"/>
        </w:rPr>
      </w:pPr>
      <w:r>
        <w:rPr>
          <w:i w:val="0"/>
          <w:iCs w:val="0"/>
          <w:color w:val="000000"/>
          <w:sz w:val="24"/>
          <w:u w:val="single"/>
        </w:rPr>
        <w:t>进入厂房的公用工程总管设置流体计量检测装置，及时反映本车间生产过程中的能源消耗情况及同时期能耗变化情况，既达到</w:t>
      </w:r>
      <w:r>
        <w:rPr>
          <w:rFonts w:hint="eastAsia"/>
          <w:i w:val="0"/>
          <w:iCs w:val="0"/>
          <w:color w:val="000000"/>
          <w:sz w:val="24"/>
          <w:u w:val="single"/>
          <w:lang w:eastAsia="zh-CN"/>
        </w:rPr>
        <w:t>“</w:t>
      </w:r>
      <w:r>
        <w:rPr>
          <w:i w:val="0"/>
          <w:iCs w:val="0"/>
          <w:color w:val="000000"/>
          <w:sz w:val="24"/>
          <w:u w:val="single"/>
        </w:rPr>
        <w:t>按户计量能源消耗</w:t>
      </w:r>
      <w:r>
        <w:rPr>
          <w:rFonts w:hint="eastAsia"/>
          <w:i w:val="0"/>
          <w:iCs w:val="0"/>
          <w:color w:val="000000"/>
          <w:sz w:val="24"/>
          <w:u w:val="single"/>
          <w:lang w:eastAsia="zh-CN"/>
        </w:rPr>
        <w:t>”</w:t>
      </w:r>
      <w:r>
        <w:rPr>
          <w:i w:val="0"/>
          <w:iCs w:val="0"/>
          <w:color w:val="000000"/>
          <w:sz w:val="24"/>
          <w:u w:val="single"/>
        </w:rPr>
        <w:t>，又有利于全厂范围内能源的有效合理配置。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 w:val="0"/>
          <w:iCs w:val="0"/>
          <w:color w:val="000000"/>
          <w:sz w:val="24"/>
          <w:u w:val="single"/>
        </w:rPr>
      </w:pPr>
      <w:r>
        <w:rPr>
          <w:i w:val="0"/>
          <w:iCs w:val="0"/>
          <w:color w:val="000000"/>
          <w:sz w:val="24"/>
          <w:u w:val="single"/>
        </w:rPr>
        <w:t>增设温度自动记录仪，严格根据操作规程的要求控制温度及加热、冷却时间。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 w:val="0"/>
          <w:iCs w:val="0"/>
          <w:color w:val="000000"/>
          <w:sz w:val="24"/>
          <w:u w:val="single"/>
        </w:rPr>
      </w:pPr>
      <w:r>
        <w:rPr>
          <w:i w:val="0"/>
          <w:iCs w:val="0"/>
          <w:color w:val="000000"/>
          <w:sz w:val="24"/>
          <w:u w:val="single"/>
        </w:rPr>
        <w:t>加强设备及管道的维护，杜绝跑、冒、漏、滴现象的发生；设计中增加必要的计量装置，做到随时加强对能源消耗的监控，采取必要的措施降低能耗。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 w:val="0"/>
          <w:iCs w:val="0"/>
          <w:color w:val="000000"/>
          <w:sz w:val="24"/>
          <w:u w:val="single"/>
        </w:rPr>
      </w:pPr>
      <w:r>
        <w:rPr>
          <w:i w:val="0"/>
          <w:iCs w:val="0"/>
          <w:color w:val="000000"/>
          <w:sz w:val="24"/>
          <w:u w:val="single"/>
        </w:rPr>
        <w:t>（4）建筑结构节能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 w:val="0"/>
          <w:iCs w:val="0"/>
          <w:color w:val="000000"/>
          <w:sz w:val="24"/>
          <w:u w:val="single"/>
        </w:rPr>
      </w:pPr>
      <w:r>
        <w:rPr>
          <w:i w:val="0"/>
          <w:iCs w:val="0"/>
          <w:color w:val="000000"/>
          <w:sz w:val="24"/>
          <w:u w:val="single"/>
        </w:rPr>
        <w:t>本</w:t>
      </w:r>
      <w:r>
        <w:rPr>
          <w:rFonts w:hint="eastAsia"/>
          <w:i w:val="0"/>
          <w:iCs w:val="0"/>
          <w:color w:val="000000"/>
          <w:sz w:val="24"/>
          <w:u w:val="single"/>
        </w:rPr>
        <w:t>项目</w:t>
      </w:r>
      <w:r>
        <w:rPr>
          <w:i w:val="0"/>
          <w:iCs w:val="0"/>
          <w:color w:val="000000"/>
          <w:sz w:val="24"/>
          <w:u w:val="single"/>
        </w:rPr>
        <w:t>在满足使用要求的基础上结合本区的材料资源及气象资料，合理布局，采用先进的技术使人工采光与自然采光相结合，创造良好的光环境，做到安全、节能。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 w:val="0"/>
          <w:iCs w:val="0"/>
          <w:color w:val="000000"/>
          <w:sz w:val="24"/>
          <w:u w:val="single"/>
        </w:rPr>
      </w:pPr>
      <w:r>
        <w:rPr>
          <w:i w:val="0"/>
          <w:iCs w:val="0"/>
          <w:color w:val="000000"/>
          <w:sz w:val="24"/>
          <w:u w:val="single"/>
        </w:rPr>
        <w:t>在工艺流程的选择、区域布置及设备布置上，充分考虑能源的管理利用和减少能源的消耗，相同洁净级别的区域尽量集中，避免因分散而造成空调管路的增加和延长，造成风压的损失而增加能源的消耗。车间布置尽量靠近动力中心，以减少管路和动力线路的能量损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 w:val="0"/>
          <w:iCs w:val="0"/>
          <w:color w:val="000000"/>
          <w:sz w:val="24"/>
          <w:u w:val="single"/>
        </w:rPr>
      </w:pPr>
      <w:r>
        <w:rPr>
          <w:i w:val="0"/>
          <w:iCs w:val="0"/>
          <w:color w:val="000000"/>
          <w:sz w:val="24"/>
          <w:u w:val="single"/>
        </w:rPr>
        <w:t>（5）给排水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 w:val="0"/>
          <w:iCs w:val="0"/>
          <w:color w:val="000000"/>
          <w:sz w:val="24"/>
          <w:u w:val="single"/>
        </w:rPr>
      </w:pPr>
      <w:r>
        <w:rPr>
          <w:i w:val="0"/>
          <w:iCs w:val="0"/>
          <w:color w:val="000000"/>
          <w:sz w:val="24"/>
          <w:u w:val="single"/>
        </w:rPr>
        <w:t>设有循环冷却水系统，提高水的重复利用率。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 w:val="0"/>
          <w:iCs w:val="0"/>
          <w:color w:val="000000"/>
          <w:sz w:val="24"/>
          <w:u w:val="single"/>
        </w:rPr>
      </w:pPr>
      <w:r>
        <w:rPr>
          <w:i w:val="0"/>
          <w:iCs w:val="0"/>
          <w:color w:val="000000"/>
          <w:sz w:val="24"/>
          <w:u w:val="single"/>
        </w:rPr>
        <w:t>为加强水资源的管理，在水源供水管和各系统的供水管上装设流量表及流量控制阀以便于水量平衡，合理利用水资源，为节约水资源做好监控管理。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 w:val="0"/>
          <w:iCs w:val="0"/>
          <w:color w:val="000000"/>
          <w:sz w:val="24"/>
          <w:u w:val="single"/>
        </w:rPr>
      </w:pPr>
      <w:r>
        <w:rPr>
          <w:i w:val="0"/>
          <w:iCs w:val="0"/>
          <w:color w:val="000000"/>
          <w:sz w:val="24"/>
          <w:u w:val="single"/>
        </w:rPr>
        <w:t>充分考虑排水的重复利用措施，做到一水多用、综合利用，达到节约用水的目的。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 w:val="0"/>
          <w:iCs w:val="0"/>
          <w:color w:val="000000"/>
          <w:sz w:val="24"/>
          <w:u w:val="single"/>
        </w:rPr>
      </w:pPr>
      <w:r>
        <w:rPr>
          <w:i w:val="0"/>
          <w:iCs w:val="0"/>
          <w:color w:val="000000"/>
          <w:sz w:val="24"/>
          <w:u w:val="single"/>
        </w:rPr>
        <w:t>（6）供热及暖通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 w:val="0"/>
          <w:iCs w:val="0"/>
          <w:color w:val="000000"/>
          <w:sz w:val="24"/>
          <w:u w:val="single"/>
        </w:rPr>
      </w:pPr>
      <w:r>
        <w:rPr>
          <w:i w:val="0"/>
          <w:iCs w:val="0"/>
          <w:color w:val="000000"/>
          <w:sz w:val="24"/>
          <w:u w:val="single"/>
        </w:rPr>
        <w:t>设备尽量选用节能型通风设备，所有空调设备、热力设备及管道均保温，减少能量损耗。设备及工艺管道采取保温和保冷措施，减少能量的散失。</w:t>
      </w:r>
    </w:p>
    <w:p>
      <w:pPr>
        <w:pStyle w:val="4"/>
        <w:rPr>
          <w:rFonts w:hint="eastAsia" w:ascii="Times New Roman" w:hAnsi="Times New Roman" w:eastAsia="宋体" w:cs="Times New Roman"/>
          <w:b/>
          <w:i w:val="0"/>
          <w:iCs w:val="0"/>
          <w:sz w:val="28"/>
          <w:szCs w:val="28"/>
          <w:u w:val="single"/>
          <w:lang w:val="en-US" w:eastAsia="zh-CN"/>
        </w:rPr>
      </w:pPr>
      <w:bookmarkStart w:id="328" w:name="_Toc424219488"/>
      <w:bookmarkStart w:id="329" w:name="_Toc31388"/>
      <w:r>
        <w:rPr>
          <w:rFonts w:hint="eastAsia" w:ascii="Times New Roman" w:hAnsi="Times New Roman" w:eastAsia="宋体" w:cs="Times New Roman"/>
          <w:b/>
          <w:i w:val="0"/>
          <w:iCs w:val="0"/>
          <w:sz w:val="28"/>
          <w:szCs w:val="28"/>
          <w:u w:val="single"/>
          <w:lang w:val="en-US" w:eastAsia="zh-CN"/>
        </w:rPr>
        <w:t>9.6污染物产生与处置</w:t>
      </w:r>
      <w:bookmarkEnd w:id="328"/>
      <w:bookmarkEnd w:id="329"/>
    </w:p>
    <w:p>
      <w:pPr>
        <w:pStyle w:val="402"/>
        <w:rPr>
          <w:rFonts w:hAnsi="Times New Roman"/>
          <w:i w:val="0"/>
          <w:iCs w:val="0"/>
          <w:color w:val="000000"/>
          <w:szCs w:val="24"/>
          <w:u w:val="single"/>
        </w:rPr>
      </w:pPr>
      <w:r>
        <w:rPr>
          <w:rFonts w:hint="eastAsia"/>
          <w:i w:val="0"/>
          <w:iCs w:val="0"/>
          <w:color w:val="000000"/>
          <w:u w:val="single"/>
        </w:rPr>
        <w:t>（1）</w:t>
      </w:r>
      <w:r>
        <w:rPr>
          <w:rFonts w:hAnsi="Times New Roman"/>
          <w:i w:val="0"/>
          <w:iCs w:val="0"/>
          <w:color w:val="000000"/>
          <w:szCs w:val="24"/>
          <w:u w:val="single"/>
        </w:rPr>
        <w:t>对生产中排放的废气采取了集中收集、合理防治的处理方式。在保证污染物达标排放的前提下，尽可能的减少向周围环境排放污染物</w:t>
      </w:r>
      <w:r>
        <w:rPr>
          <w:rFonts w:hint="eastAsia" w:hAnsi="Times New Roman"/>
          <w:i w:val="0"/>
          <w:iCs w:val="0"/>
          <w:color w:val="000000"/>
          <w:szCs w:val="24"/>
          <w:u w:val="single"/>
        </w:rPr>
        <w:t>，提高产品产率</w:t>
      </w:r>
      <w:r>
        <w:rPr>
          <w:rFonts w:hAnsi="Times New Roman"/>
          <w:i w:val="0"/>
          <w:iCs w:val="0"/>
          <w:color w:val="000000"/>
          <w:szCs w:val="24"/>
          <w:u w:val="single"/>
        </w:rPr>
        <w:t>。</w:t>
      </w:r>
    </w:p>
    <w:p>
      <w:pPr>
        <w:pStyle w:val="402"/>
        <w:rPr>
          <w:rFonts w:hAnsi="Times New Roman"/>
          <w:i w:val="0"/>
          <w:iCs w:val="0"/>
          <w:snapToGrid w:val="0"/>
          <w:color w:val="000000"/>
          <w:szCs w:val="24"/>
          <w:u w:val="single"/>
        </w:rPr>
      </w:pPr>
      <w:r>
        <w:rPr>
          <w:rFonts w:hint="eastAsia"/>
          <w:i w:val="0"/>
          <w:iCs w:val="0"/>
          <w:color w:val="000000"/>
          <w:u w:val="single"/>
        </w:rPr>
        <w:t>（2）</w:t>
      </w:r>
      <w:r>
        <w:rPr>
          <w:rFonts w:hint="eastAsia" w:hAnsi="Times New Roman"/>
          <w:i w:val="0"/>
          <w:iCs w:val="0"/>
          <w:snapToGrid w:val="0"/>
          <w:color w:val="000000"/>
          <w:szCs w:val="24"/>
          <w:u w:val="single"/>
        </w:rPr>
        <w:t>项目</w:t>
      </w:r>
      <w:r>
        <w:rPr>
          <w:rFonts w:hint="eastAsia"/>
          <w:i w:val="0"/>
          <w:iCs w:val="0"/>
          <w:color w:val="000000"/>
          <w:szCs w:val="24"/>
          <w:u w:val="single"/>
        </w:rPr>
        <w:t>废水</w:t>
      </w:r>
      <w:r>
        <w:rPr>
          <w:i w:val="0"/>
          <w:iCs w:val="0"/>
          <w:color w:val="000000"/>
          <w:u w:val="single"/>
        </w:rPr>
        <w:t>经过厂内污水处理站</w:t>
      </w:r>
      <w:r>
        <w:rPr>
          <w:rFonts w:hint="eastAsia"/>
          <w:i w:val="0"/>
          <w:iCs w:val="0"/>
          <w:color w:val="000000"/>
          <w:u w:val="single"/>
        </w:rPr>
        <w:t>采用“水解+UASB+A/O”工艺</w:t>
      </w:r>
      <w:r>
        <w:rPr>
          <w:i w:val="0"/>
          <w:iCs w:val="0"/>
          <w:color w:val="000000"/>
          <w:u w:val="single"/>
        </w:rPr>
        <w:t>处理，</w:t>
      </w:r>
      <w:r>
        <w:rPr>
          <w:rFonts w:hint="eastAsia"/>
          <w:i w:val="0"/>
          <w:iCs w:val="0"/>
          <w:color w:val="000000"/>
          <w:u w:val="single"/>
        </w:rPr>
        <w:t>处理后废水</w:t>
      </w:r>
      <w:r>
        <w:rPr>
          <w:i w:val="0"/>
          <w:iCs w:val="0"/>
          <w:color w:val="000000"/>
          <w:u w:val="single"/>
        </w:rPr>
        <w:t>达到</w:t>
      </w:r>
      <w:r>
        <w:rPr>
          <w:rFonts w:hint="eastAsia"/>
          <w:i w:val="0"/>
          <w:iCs w:val="0"/>
          <w:color w:val="000000"/>
          <w:szCs w:val="24"/>
          <w:u w:val="single"/>
        </w:rPr>
        <w:t>《污水综合排放标准》GB8978-1996表2三级标准排放限值及园区污水处理厂进水指标后排入污水管网内，进入园区污水处理厂处理后排放</w:t>
      </w:r>
      <w:r>
        <w:rPr>
          <w:i w:val="0"/>
          <w:iCs w:val="0"/>
          <w:color w:val="000000"/>
          <w:szCs w:val="24"/>
          <w:u w:val="single"/>
        </w:rPr>
        <w:t>。</w:t>
      </w:r>
    </w:p>
    <w:p>
      <w:pPr>
        <w:spacing w:line="360" w:lineRule="auto"/>
        <w:ind w:firstLine="480" w:firstLineChars="200"/>
        <w:rPr>
          <w:rFonts w:hint="eastAsia"/>
          <w:i w:val="0"/>
          <w:iCs w:val="0"/>
          <w:color w:val="000000"/>
          <w:sz w:val="24"/>
          <w:szCs w:val="24"/>
          <w:u w:val="single"/>
        </w:rPr>
      </w:pPr>
      <w:r>
        <w:rPr>
          <w:rFonts w:hint="eastAsia"/>
          <w:i w:val="0"/>
          <w:iCs w:val="0"/>
          <w:color w:val="000000"/>
          <w:sz w:val="24"/>
          <w:u w:val="single"/>
        </w:rPr>
        <w:t>（3）</w:t>
      </w:r>
      <w:r>
        <w:rPr>
          <w:i w:val="0"/>
          <w:iCs w:val="0"/>
          <w:color w:val="000000"/>
          <w:sz w:val="24"/>
          <w:szCs w:val="24"/>
          <w:u w:val="single"/>
        </w:rPr>
        <w:t>一般工业固废，</w:t>
      </w:r>
      <w:r>
        <w:rPr>
          <w:rFonts w:hint="eastAsia"/>
          <w:i w:val="0"/>
          <w:iCs w:val="0"/>
          <w:color w:val="000000"/>
          <w:sz w:val="24"/>
          <w:szCs w:val="24"/>
          <w:u w:val="single"/>
        </w:rPr>
        <w:t>由</w:t>
      </w:r>
      <w:r>
        <w:rPr>
          <w:i w:val="0"/>
          <w:iCs w:val="0"/>
          <w:color w:val="000000"/>
          <w:sz w:val="24"/>
          <w:szCs w:val="24"/>
          <w:u w:val="single"/>
        </w:rPr>
        <w:t>回收公司综合利用。</w:t>
      </w:r>
    </w:p>
    <w:p>
      <w:pPr>
        <w:spacing w:line="360" w:lineRule="auto"/>
        <w:ind w:firstLine="480" w:firstLineChars="200"/>
        <w:rPr>
          <w:rFonts w:hint="eastAsia"/>
          <w:i w:val="0"/>
          <w:iCs w:val="0"/>
          <w:color w:val="000000"/>
          <w:sz w:val="24"/>
          <w:u w:val="single"/>
        </w:rPr>
      </w:pPr>
      <w:r>
        <w:rPr>
          <w:rFonts w:hint="eastAsia"/>
          <w:i w:val="0"/>
          <w:iCs w:val="0"/>
          <w:color w:val="000000"/>
          <w:sz w:val="24"/>
          <w:u w:val="single"/>
        </w:rPr>
        <w:t>（4）通过科学选购设备、合理布置，加装消音、减振装置、隔声等措施，厂界噪声也能够达标排放。</w:t>
      </w:r>
    </w:p>
    <w:p>
      <w:pPr>
        <w:pStyle w:val="4"/>
        <w:rPr>
          <w:rFonts w:hint="eastAsia" w:ascii="Times New Roman" w:hAnsi="Times New Roman" w:eastAsia="宋体" w:cs="Times New Roman"/>
          <w:b/>
          <w:i w:val="0"/>
          <w:iCs w:val="0"/>
          <w:sz w:val="28"/>
          <w:szCs w:val="28"/>
          <w:u w:val="single"/>
          <w:lang w:val="en-US" w:eastAsia="zh-CN"/>
        </w:rPr>
      </w:pPr>
      <w:bookmarkStart w:id="330" w:name="_Toc424219489"/>
      <w:bookmarkStart w:id="331" w:name="_Toc387350768"/>
      <w:bookmarkStart w:id="332" w:name="_Toc26529"/>
      <w:r>
        <w:rPr>
          <w:rFonts w:hint="eastAsia" w:ascii="Times New Roman" w:hAnsi="Times New Roman" w:eastAsia="宋体" w:cs="Times New Roman"/>
          <w:b/>
          <w:i w:val="0"/>
          <w:iCs w:val="0"/>
          <w:sz w:val="28"/>
          <w:szCs w:val="28"/>
          <w:u w:val="single"/>
          <w:lang w:val="en-US" w:eastAsia="zh-CN"/>
        </w:rPr>
        <w:t>9.7生产保障措施</w:t>
      </w:r>
      <w:bookmarkEnd w:id="330"/>
      <w:bookmarkEnd w:id="331"/>
      <w:bookmarkEnd w:id="332"/>
    </w:p>
    <w:p>
      <w:pPr>
        <w:pStyle w:val="402"/>
        <w:rPr>
          <w:rFonts w:ascii="Times New Roman" w:hAnsi="Times New Roman" w:eastAsia="宋体" w:cs="Times New Roman"/>
          <w:i w:val="0"/>
          <w:iCs w:val="0"/>
          <w:kern w:val="2"/>
          <w:sz w:val="24"/>
          <w:szCs w:val="24"/>
          <w:u w:val="single"/>
          <w:lang w:val="en-US" w:eastAsia="zh-CN" w:bidi="ar-SA"/>
        </w:rPr>
      </w:pPr>
      <w:r>
        <w:rPr>
          <w:rFonts w:ascii="Times New Roman" w:hAnsi="Times New Roman" w:eastAsia="宋体" w:cs="Times New Roman"/>
          <w:i w:val="0"/>
          <w:iCs w:val="0"/>
          <w:kern w:val="2"/>
          <w:sz w:val="24"/>
          <w:szCs w:val="24"/>
          <w:u w:val="single"/>
          <w:lang w:val="en-US" w:eastAsia="zh-CN" w:bidi="ar-SA"/>
        </w:rPr>
        <w:t>清洁生产是要求从原材料、生产工艺到产品服务的全过程控制，彻底改变单纯的末端治理的、污染防治模式。因此，必须建立完善可靠的保障体系，把清洁生产管理放在首要位置，才能保障保证清洁生产的落实，因此</w:t>
      </w:r>
      <w:r>
        <w:rPr>
          <w:rFonts w:hint="eastAsia" w:ascii="Times New Roman" w:hAnsi="Times New Roman" w:eastAsia="宋体" w:cs="Times New Roman"/>
          <w:i w:val="0"/>
          <w:iCs w:val="0"/>
          <w:kern w:val="2"/>
          <w:sz w:val="24"/>
          <w:szCs w:val="24"/>
          <w:u w:val="single"/>
          <w:lang w:val="en-US" w:eastAsia="zh-CN" w:bidi="ar-SA"/>
        </w:rPr>
        <w:t>建设单位</w:t>
      </w:r>
      <w:r>
        <w:rPr>
          <w:rFonts w:ascii="Times New Roman" w:hAnsi="Times New Roman" w:eastAsia="宋体" w:cs="Times New Roman"/>
          <w:i w:val="0"/>
          <w:iCs w:val="0"/>
          <w:kern w:val="2"/>
          <w:sz w:val="24"/>
          <w:szCs w:val="24"/>
          <w:u w:val="single"/>
          <w:lang w:val="en-US" w:eastAsia="zh-CN" w:bidi="ar-SA"/>
        </w:rPr>
        <w:t>采取以下清洁生产保障措施：</w:t>
      </w:r>
    </w:p>
    <w:p>
      <w:pPr>
        <w:pStyle w:val="402"/>
        <w:rPr>
          <w:rFonts w:ascii="Times New Roman" w:hAnsi="Times New Roman" w:eastAsia="宋体" w:cs="Times New Roman"/>
          <w:i w:val="0"/>
          <w:iCs w:val="0"/>
          <w:kern w:val="2"/>
          <w:sz w:val="24"/>
          <w:szCs w:val="24"/>
          <w:u w:val="single"/>
          <w:lang w:val="en-US" w:eastAsia="zh-CN" w:bidi="ar-SA"/>
        </w:rPr>
      </w:pPr>
      <w:r>
        <w:rPr>
          <w:rFonts w:hint="eastAsia" w:ascii="Times New Roman" w:hAnsi="Times New Roman" w:eastAsia="宋体" w:cs="Times New Roman"/>
          <w:i w:val="0"/>
          <w:iCs w:val="0"/>
          <w:kern w:val="2"/>
          <w:sz w:val="24"/>
          <w:szCs w:val="24"/>
          <w:u w:val="single"/>
          <w:lang w:val="en-US" w:eastAsia="zh-CN" w:bidi="ar-SA"/>
        </w:rPr>
        <w:t>（1）</w:t>
      </w:r>
      <w:r>
        <w:rPr>
          <w:rFonts w:ascii="Times New Roman" w:hAnsi="Times New Roman" w:eastAsia="宋体" w:cs="Times New Roman"/>
          <w:i w:val="0"/>
          <w:iCs w:val="0"/>
          <w:kern w:val="2"/>
          <w:sz w:val="24"/>
          <w:szCs w:val="24"/>
          <w:u w:val="single"/>
          <w:lang w:val="en-US" w:eastAsia="zh-CN" w:bidi="ar-SA"/>
        </w:rPr>
        <w:t>成立清洁生产管理机构，建立奖惩考核目标责任制度。清洁生产管理机构应负责整个公司各个生产环节的清洁生产管理工作，制定清洁生产管理规程和奖惩考核目标，把控制使用化学物品、节能、降耗纳入到生产管理目标中。</w:t>
      </w:r>
    </w:p>
    <w:p>
      <w:pPr>
        <w:pStyle w:val="402"/>
        <w:rPr>
          <w:rFonts w:ascii="Times New Roman" w:hAnsi="Times New Roman" w:eastAsia="宋体" w:cs="Times New Roman"/>
          <w:i w:val="0"/>
          <w:iCs w:val="0"/>
          <w:kern w:val="2"/>
          <w:sz w:val="24"/>
          <w:szCs w:val="24"/>
          <w:u w:val="single"/>
          <w:lang w:val="en-US" w:eastAsia="zh-CN" w:bidi="ar-SA"/>
        </w:rPr>
      </w:pPr>
      <w:r>
        <w:rPr>
          <w:rFonts w:hint="eastAsia" w:ascii="Times New Roman" w:hAnsi="Times New Roman" w:eastAsia="宋体" w:cs="Times New Roman"/>
          <w:i w:val="0"/>
          <w:iCs w:val="0"/>
          <w:kern w:val="2"/>
          <w:sz w:val="24"/>
          <w:szCs w:val="24"/>
          <w:u w:val="single"/>
          <w:lang w:val="en-US" w:eastAsia="zh-CN" w:bidi="ar-SA"/>
        </w:rPr>
        <w:t>（2）</w:t>
      </w:r>
      <w:r>
        <w:rPr>
          <w:rFonts w:ascii="Times New Roman" w:hAnsi="Times New Roman" w:eastAsia="宋体" w:cs="Times New Roman"/>
          <w:i w:val="0"/>
          <w:iCs w:val="0"/>
          <w:kern w:val="2"/>
          <w:sz w:val="24"/>
          <w:szCs w:val="24"/>
          <w:u w:val="single"/>
          <w:lang w:val="en-US" w:eastAsia="zh-CN" w:bidi="ar-SA"/>
        </w:rPr>
        <w:t>开展清洁生产审计工作，由公司总经理任审计小组组长，为开展清洁生产审计工作奠定良好基础。审计小组应制定并实施减少能源，原材料使用，消除或减少产品和生产过程中有害物质的使用，减少各种废物排放量。</w:t>
      </w:r>
    </w:p>
    <w:p>
      <w:pPr>
        <w:pStyle w:val="402"/>
        <w:rPr>
          <w:rFonts w:ascii="Times New Roman" w:hAnsi="Times New Roman" w:eastAsia="宋体" w:cs="Times New Roman"/>
          <w:i w:val="0"/>
          <w:iCs w:val="0"/>
          <w:kern w:val="2"/>
          <w:sz w:val="24"/>
          <w:szCs w:val="24"/>
          <w:u w:val="single"/>
          <w:lang w:val="en-US" w:eastAsia="zh-CN" w:bidi="ar-SA"/>
        </w:rPr>
      </w:pPr>
      <w:r>
        <w:rPr>
          <w:rFonts w:hint="eastAsia" w:ascii="Times New Roman" w:hAnsi="Times New Roman" w:eastAsia="宋体" w:cs="Times New Roman"/>
          <w:i w:val="0"/>
          <w:iCs w:val="0"/>
          <w:kern w:val="2"/>
          <w:sz w:val="24"/>
          <w:szCs w:val="24"/>
          <w:u w:val="single"/>
          <w:lang w:val="en-US" w:eastAsia="zh-CN" w:bidi="ar-SA"/>
        </w:rPr>
        <w:t>（3）</w:t>
      </w:r>
      <w:r>
        <w:rPr>
          <w:rFonts w:ascii="Times New Roman" w:hAnsi="Times New Roman" w:eastAsia="宋体" w:cs="Times New Roman"/>
          <w:i w:val="0"/>
          <w:iCs w:val="0"/>
          <w:kern w:val="2"/>
          <w:sz w:val="24"/>
          <w:szCs w:val="24"/>
          <w:u w:val="single"/>
          <w:lang w:val="en-US" w:eastAsia="zh-CN" w:bidi="ar-SA"/>
        </w:rPr>
        <w:t>加强业务培训和宣传教育工作，使每个职工树立节能意识，环保意识，保障清洁生产的目的顺利实施。</w:t>
      </w:r>
    </w:p>
    <w:p>
      <w:pPr>
        <w:pStyle w:val="4"/>
        <w:rPr>
          <w:rFonts w:hint="eastAsia" w:ascii="Times New Roman" w:hAnsi="Times New Roman" w:eastAsia="宋体" w:cs="Times New Roman"/>
          <w:b/>
          <w:i w:val="0"/>
          <w:iCs w:val="0"/>
          <w:sz w:val="28"/>
          <w:szCs w:val="28"/>
          <w:u w:val="single"/>
          <w:lang w:val="en-US" w:eastAsia="zh-CN"/>
        </w:rPr>
      </w:pPr>
      <w:bookmarkStart w:id="333" w:name="_Toc424219490"/>
      <w:bookmarkStart w:id="334" w:name="_Toc16664"/>
      <w:r>
        <w:rPr>
          <w:rFonts w:hint="eastAsia" w:ascii="Times New Roman" w:hAnsi="Times New Roman" w:eastAsia="宋体" w:cs="Times New Roman"/>
          <w:b/>
          <w:i w:val="0"/>
          <w:iCs w:val="0"/>
          <w:sz w:val="28"/>
          <w:szCs w:val="28"/>
          <w:u w:val="single"/>
          <w:lang w:val="en-US" w:eastAsia="zh-CN"/>
        </w:rPr>
        <w:t>9.8环境管理要求</w:t>
      </w:r>
      <w:bookmarkEnd w:id="333"/>
      <w:bookmarkEnd w:id="334"/>
    </w:p>
    <w:p>
      <w:pPr>
        <w:spacing w:line="360" w:lineRule="auto"/>
        <w:ind w:firstLine="480" w:firstLineChars="200"/>
        <w:rPr>
          <w:i w:val="0"/>
          <w:iCs w:val="0"/>
          <w:color w:val="000000"/>
          <w:sz w:val="24"/>
          <w:u w:val="single"/>
        </w:rPr>
      </w:pPr>
      <w:r>
        <w:rPr>
          <w:i w:val="0"/>
          <w:iCs w:val="0"/>
          <w:color w:val="000000"/>
          <w:sz w:val="24"/>
          <w:u w:val="single"/>
        </w:rPr>
        <w:t>环境管理要求是一类定性指标。主要考察生产管理和环境管理水平。拟建项目采取得主要管理措施包括：</w:t>
      </w:r>
    </w:p>
    <w:p>
      <w:pPr>
        <w:spacing w:line="360" w:lineRule="auto"/>
        <w:ind w:firstLine="480" w:firstLineChars="200"/>
        <w:rPr>
          <w:i w:val="0"/>
          <w:iCs w:val="0"/>
          <w:color w:val="000000"/>
          <w:sz w:val="24"/>
          <w:u w:val="single"/>
        </w:rPr>
      </w:pPr>
      <w:r>
        <w:rPr>
          <w:rFonts w:hint="eastAsia"/>
          <w:i w:val="0"/>
          <w:iCs w:val="0"/>
          <w:color w:val="000000"/>
          <w:sz w:val="24"/>
          <w:u w:val="single"/>
        </w:rPr>
        <w:t>（1）</w:t>
      </w:r>
      <w:r>
        <w:rPr>
          <w:i w:val="0"/>
          <w:iCs w:val="0"/>
          <w:color w:val="000000"/>
          <w:sz w:val="24"/>
          <w:u w:val="single"/>
        </w:rPr>
        <w:t>环境考核指标岗位责任制和管理制度；</w:t>
      </w:r>
    </w:p>
    <w:p>
      <w:pPr>
        <w:spacing w:line="360" w:lineRule="auto"/>
        <w:ind w:firstLine="480" w:firstLineChars="200"/>
        <w:rPr>
          <w:i w:val="0"/>
          <w:iCs w:val="0"/>
          <w:color w:val="000000"/>
          <w:sz w:val="24"/>
          <w:u w:val="single"/>
        </w:rPr>
      </w:pPr>
      <w:r>
        <w:rPr>
          <w:rFonts w:hint="eastAsia"/>
          <w:i w:val="0"/>
          <w:iCs w:val="0"/>
          <w:color w:val="000000"/>
          <w:sz w:val="24"/>
          <w:u w:val="single"/>
        </w:rPr>
        <w:t>（2）</w:t>
      </w:r>
      <w:r>
        <w:rPr>
          <w:i w:val="0"/>
          <w:iCs w:val="0"/>
          <w:color w:val="000000"/>
          <w:sz w:val="24"/>
          <w:u w:val="single"/>
        </w:rPr>
        <w:t>水、电、汽耗管理制度；</w:t>
      </w:r>
    </w:p>
    <w:p>
      <w:pPr>
        <w:spacing w:line="360" w:lineRule="auto"/>
        <w:ind w:firstLine="480" w:firstLineChars="200"/>
        <w:rPr>
          <w:i w:val="0"/>
          <w:iCs w:val="0"/>
          <w:color w:val="000000"/>
          <w:sz w:val="24"/>
          <w:u w:val="single"/>
        </w:rPr>
      </w:pPr>
      <w:r>
        <w:rPr>
          <w:rFonts w:hint="eastAsia"/>
          <w:i w:val="0"/>
          <w:iCs w:val="0"/>
          <w:color w:val="000000"/>
          <w:sz w:val="24"/>
          <w:u w:val="single"/>
        </w:rPr>
        <w:t>（3）</w:t>
      </w:r>
      <w:r>
        <w:rPr>
          <w:i w:val="0"/>
          <w:iCs w:val="0"/>
          <w:color w:val="000000"/>
          <w:sz w:val="24"/>
          <w:u w:val="single"/>
        </w:rPr>
        <w:t>设备维护保养制度；</w:t>
      </w:r>
    </w:p>
    <w:p>
      <w:pPr>
        <w:spacing w:line="360" w:lineRule="auto"/>
        <w:ind w:firstLine="480" w:firstLineChars="200"/>
        <w:rPr>
          <w:i w:val="0"/>
          <w:iCs w:val="0"/>
          <w:color w:val="000000"/>
          <w:sz w:val="24"/>
          <w:u w:val="single"/>
        </w:rPr>
      </w:pPr>
      <w:r>
        <w:rPr>
          <w:rFonts w:hint="eastAsia"/>
          <w:i w:val="0"/>
          <w:iCs w:val="0"/>
          <w:color w:val="000000"/>
          <w:sz w:val="24"/>
          <w:u w:val="single"/>
        </w:rPr>
        <w:t>（4）</w:t>
      </w:r>
      <w:r>
        <w:rPr>
          <w:i w:val="0"/>
          <w:iCs w:val="0"/>
          <w:color w:val="000000"/>
          <w:sz w:val="24"/>
          <w:u w:val="single"/>
        </w:rPr>
        <w:t>员工环境管理培训制度；</w:t>
      </w:r>
    </w:p>
    <w:p>
      <w:pPr>
        <w:spacing w:line="360" w:lineRule="auto"/>
        <w:ind w:firstLine="480" w:firstLineChars="200"/>
        <w:rPr>
          <w:i w:val="0"/>
          <w:iCs w:val="0"/>
          <w:color w:val="000000"/>
          <w:sz w:val="24"/>
          <w:u w:val="single"/>
        </w:rPr>
      </w:pPr>
      <w:r>
        <w:rPr>
          <w:rFonts w:hint="eastAsia"/>
          <w:i w:val="0"/>
          <w:iCs w:val="0"/>
          <w:color w:val="000000"/>
          <w:sz w:val="24"/>
          <w:u w:val="single"/>
        </w:rPr>
        <w:t>（5）</w:t>
      </w:r>
      <w:r>
        <w:rPr>
          <w:i w:val="0"/>
          <w:iCs w:val="0"/>
          <w:color w:val="000000"/>
          <w:sz w:val="24"/>
          <w:u w:val="single"/>
        </w:rPr>
        <w:t>固体废物处置管理制度；</w:t>
      </w:r>
    </w:p>
    <w:p>
      <w:pPr>
        <w:spacing w:line="360" w:lineRule="auto"/>
        <w:ind w:firstLine="480" w:firstLineChars="200"/>
        <w:rPr>
          <w:i w:val="0"/>
          <w:iCs w:val="0"/>
          <w:color w:val="000000"/>
          <w:sz w:val="24"/>
          <w:u w:val="single"/>
        </w:rPr>
      </w:pPr>
      <w:r>
        <w:rPr>
          <w:rFonts w:hint="eastAsia"/>
          <w:i w:val="0"/>
          <w:iCs w:val="0"/>
          <w:color w:val="000000"/>
          <w:sz w:val="24"/>
          <w:u w:val="single"/>
        </w:rPr>
        <w:t>（6）</w:t>
      </w:r>
      <w:r>
        <w:rPr>
          <w:i w:val="0"/>
          <w:iCs w:val="0"/>
          <w:color w:val="000000"/>
          <w:sz w:val="24"/>
          <w:u w:val="single"/>
        </w:rPr>
        <w:t>生产现场管理制度。</w:t>
      </w:r>
    </w:p>
    <w:p>
      <w:pPr>
        <w:spacing w:line="360" w:lineRule="auto"/>
        <w:ind w:firstLine="480" w:firstLineChars="200"/>
        <w:rPr>
          <w:rFonts w:hint="eastAsia"/>
          <w:i w:val="0"/>
          <w:iCs w:val="0"/>
          <w:color w:val="000000"/>
          <w:sz w:val="24"/>
          <w:u w:val="single"/>
        </w:rPr>
      </w:pPr>
      <w:r>
        <w:rPr>
          <w:i w:val="0"/>
          <w:iCs w:val="0"/>
          <w:color w:val="000000"/>
          <w:sz w:val="24"/>
          <w:u w:val="single"/>
        </w:rPr>
        <w:t>总之，拟建项目致力于推行清洁生产，从施工期及营运期的清洁生产分析来看，项目使用期采取的环保措施及技术是可行的。拟建项目符合清洁生产的要求，</w:t>
      </w:r>
      <w:r>
        <w:rPr>
          <w:rFonts w:hint="eastAsia"/>
          <w:i w:val="0"/>
          <w:iCs w:val="0"/>
          <w:color w:val="000000"/>
          <w:sz w:val="24"/>
          <w:u w:val="single"/>
        </w:rPr>
        <w:t>清洁生产水平较高，</w:t>
      </w:r>
      <w:r>
        <w:rPr>
          <w:i w:val="0"/>
          <w:iCs w:val="0"/>
          <w:color w:val="000000"/>
          <w:sz w:val="24"/>
          <w:u w:val="single"/>
        </w:rPr>
        <w:t>但仍有改善清洁生产条件的潜力。</w:t>
      </w:r>
    </w:p>
    <w:p>
      <w:pPr>
        <w:pStyle w:val="3"/>
        <w:spacing w:before="120" w:after="360" w:line="360" w:lineRule="auto"/>
        <w:jc w:val="center"/>
        <w:rPr>
          <w:i w:val="0"/>
          <w:iCs w:val="0"/>
          <w:sz w:val="36"/>
          <w:u w:val="single"/>
        </w:rPr>
        <w:sectPr>
          <w:footerReference r:id="rId17" w:type="even"/>
          <w:pgSz w:w="11907" w:h="16840"/>
          <w:pgMar w:top="1304" w:right="1418" w:bottom="1304" w:left="1418"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
        <w:spacing w:before="120" w:after="360" w:line="360" w:lineRule="auto"/>
        <w:jc w:val="center"/>
        <w:rPr>
          <w:i w:val="0"/>
          <w:iCs w:val="0"/>
          <w:sz w:val="36"/>
        </w:rPr>
      </w:pPr>
      <w:bookmarkStart w:id="335" w:name="_Toc15"/>
      <w:r>
        <w:rPr>
          <w:i w:val="0"/>
          <w:iCs w:val="0"/>
          <w:sz w:val="36"/>
        </w:rPr>
        <w:t>第</w:t>
      </w:r>
      <w:r>
        <w:rPr>
          <w:rFonts w:hint="eastAsia"/>
          <w:i w:val="0"/>
          <w:iCs w:val="0"/>
          <w:sz w:val="36"/>
          <w:lang w:val="en-US" w:eastAsia="zh-CN"/>
        </w:rPr>
        <w:t>十</w:t>
      </w:r>
      <w:r>
        <w:rPr>
          <w:i w:val="0"/>
          <w:iCs w:val="0"/>
          <w:sz w:val="36"/>
        </w:rPr>
        <w:t>章环境经济损益分析</w:t>
      </w:r>
      <w:bookmarkEnd w:id="335"/>
    </w:p>
    <w:p>
      <w:pPr>
        <w:autoSpaceDE w:val="0"/>
        <w:autoSpaceDN w:val="0"/>
        <w:adjustRightInd w:val="0"/>
        <w:snapToGrid w:val="0"/>
        <w:spacing w:line="360" w:lineRule="auto"/>
        <w:ind w:firstLine="520" w:firstLineChars="200"/>
        <w:rPr>
          <w:i w:val="0"/>
          <w:iCs w:val="0"/>
          <w:sz w:val="26"/>
          <w:szCs w:val="26"/>
          <w:lang w:val="zh-CN"/>
        </w:rPr>
      </w:pPr>
      <w:bookmarkStart w:id="336" w:name="_Toc108319971"/>
      <w:bookmarkStart w:id="337" w:name="_Toc352059846"/>
      <w:bookmarkStart w:id="338" w:name="_Toc301798914"/>
      <w:bookmarkStart w:id="339" w:name="_Toc364948518"/>
      <w:bookmarkStart w:id="340" w:name="_Toc108863637"/>
      <w:bookmarkStart w:id="341" w:name="_Toc211233623"/>
      <w:bookmarkStart w:id="342" w:name="_Toc320644926"/>
      <w:bookmarkStart w:id="343" w:name="_Toc302345749"/>
      <w:bookmarkStart w:id="344" w:name="_Toc362531791"/>
      <w:bookmarkStart w:id="345" w:name="_Toc407191424"/>
      <w:bookmarkStart w:id="346" w:name="_Toc108316897"/>
      <w:bookmarkStart w:id="347" w:name="_Toc198948239"/>
      <w:bookmarkStart w:id="348" w:name="_Toc14489726"/>
      <w:r>
        <w:rPr>
          <w:i w:val="0"/>
          <w:iCs w:val="0"/>
          <w:sz w:val="26"/>
          <w:szCs w:val="26"/>
          <w:lang w:val="zh-CN"/>
        </w:rPr>
        <w:t>环境经济损益分析的目的，就是要通过经济分析的方法，来评价该工程的实施可能使周围环境受到污染所引起的经济损失，以及环境工程投资情况和采取相应的污染防治对策后，使被污染的环境得到改善所带来的经济效益等综合评估。</w:t>
      </w:r>
    </w:p>
    <w:p>
      <w:pPr>
        <w:pStyle w:val="4"/>
        <w:rPr>
          <w:rFonts w:ascii="Times New Roman" w:hAnsi="Times New Roman" w:eastAsia="宋体"/>
          <w:b/>
          <w:i w:val="0"/>
          <w:iCs w:val="0"/>
          <w:sz w:val="28"/>
          <w:szCs w:val="28"/>
        </w:rPr>
      </w:pPr>
      <w:bookmarkStart w:id="349" w:name="_Toc536408125"/>
      <w:bookmarkStart w:id="350" w:name="_Toc516830814"/>
      <w:bookmarkStart w:id="351" w:name="_Toc6725"/>
      <w:r>
        <w:rPr>
          <w:rFonts w:hint="eastAsia" w:ascii="Times New Roman" w:hAnsi="Times New Roman" w:eastAsia="宋体"/>
          <w:b/>
          <w:i w:val="0"/>
          <w:iCs w:val="0"/>
          <w:sz w:val="28"/>
          <w:szCs w:val="28"/>
          <w:lang w:val="en-US" w:eastAsia="zh-CN"/>
        </w:rPr>
        <w:t>10</w:t>
      </w:r>
      <w:r>
        <w:rPr>
          <w:rFonts w:ascii="Times New Roman" w:hAnsi="Times New Roman" w:eastAsia="宋体"/>
          <w:b/>
          <w:i w:val="0"/>
          <w:iCs w:val="0"/>
          <w:sz w:val="28"/>
          <w:szCs w:val="28"/>
        </w:rPr>
        <w:t>.1</w:t>
      </w:r>
      <w:bookmarkEnd w:id="336"/>
      <w:bookmarkEnd w:id="337"/>
      <w:bookmarkEnd w:id="338"/>
      <w:bookmarkEnd w:id="339"/>
      <w:bookmarkEnd w:id="340"/>
      <w:bookmarkEnd w:id="341"/>
      <w:bookmarkEnd w:id="342"/>
      <w:bookmarkEnd w:id="343"/>
      <w:bookmarkEnd w:id="344"/>
      <w:bookmarkEnd w:id="345"/>
      <w:bookmarkEnd w:id="346"/>
      <w:bookmarkEnd w:id="347"/>
      <w:bookmarkEnd w:id="349"/>
      <w:bookmarkEnd w:id="350"/>
      <w:r>
        <w:rPr>
          <w:rFonts w:ascii="Times New Roman" w:hAnsi="Times New Roman" w:eastAsia="宋体"/>
          <w:b/>
          <w:i w:val="0"/>
          <w:iCs w:val="0"/>
          <w:sz w:val="28"/>
          <w:szCs w:val="28"/>
        </w:rPr>
        <w:t>经济效益分析</w:t>
      </w:r>
      <w:bookmarkEnd w:id="351"/>
    </w:p>
    <w:p>
      <w:pPr>
        <w:spacing w:line="360" w:lineRule="auto"/>
        <w:ind w:firstLine="480" w:firstLineChars="200"/>
        <w:rPr>
          <w:i w:val="0"/>
          <w:iCs w:val="0"/>
        </w:rPr>
      </w:pPr>
      <w:bookmarkStart w:id="352" w:name="_Toc364948519"/>
      <w:bookmarkStart w:id="353" w:name="_Toc211233624"/>
      <w:bookmarkStart w:id="354" w:name="_Toc407191425"/>
      <w:bookmarkStart w:id="355" w:name="_Toc362531792"/>
      <w:bookmarkStart w:id="356" w:name="_Toc108319972"/>
      <w:bookmarkStart w:id="357" w:name="_Toc108863638"/>
      <w:bookmarkStart w:id="358" w:name="_Toc302345750"/>
      <w:bookmarkStart w:id="359" w:name="_Toc352059847"/>
      <w:bookmarkStart w:id="360" w:name="_Toc108316898"/>
      <w:bookmarkStart w:id="361" w:name="_Toc198948240"/>
      <w:bookmarkStart w:id="362" w:name="_Toc301798915"/>
      <w:bookmarkStart w:id="363" w:name="_Toc320644927"/>
      <w:r>
        <w:rPr>
          <w:rFonts w:hint="eastAsia"/>
          <w:i w:val="0"/>
          <w:iCs w:val="0"/>
        </w:rPr>
        <w:t>本项目总投资估算</w:t>
      </w:r>
      <w:r>
        <w:rPr>
          <w:rFonts w:hint="eastAsia"/>
          <w:i w:val="0"/>
          <w:iCs w:val="0"/>
          <w:lang w:val="en-US" w:eastAsia="zh-CN"/>
        </w:rPr>
        <w:t>24000</w:t>
      </w:r>
      <w:r>
        <w:rPr>
          <w:rFonts w:hint="eastAsia"/>
          <w:i w:val="0"/>
          <w:iCs w:val="0"/>
        </w:rPr>
        <w:t>万元，运营期内年经营收入</w:t>
      </w:r>
      <w:r>
        <w:rPr>
          <w:rFonts w:hint="eastAsia"/>
          <w:i w:val="0"/>
          <w:iCs w:val="0"/>
          <w:lang w:val="en-US" w:eastAsia="zh-CN"/>
        </w:rPr>
        <w:t>30515</w:t>
      </w:r>
      <w:r>
        <w:rPr>
          <w:rFonts w:hint="eastAsia"/>
          <w:i w:val="0"/>
          <w:iCs w:val="0"/>
        </w:rPr>
        <w:t>万元，可获利润总额</w:t>
      </w:r>
      <w:r>
        <w:rPr>
          <w:rFonts w:hint="eastAsia"/>
          <w:i w:val="0"/>
          <w:iCs w:val="0"/>
          <w:lang w:val="en-US" w:eastAsia="zh-CN"/>
        </w:rPr>
        <w:t>6515</w:t>
      </w:r>
      <w:r>
        <w:rPr>
          <w:rFonts w:hint="eastAsia"/>
          <w:i w:val="0"/>
          <w:iCs w:val="0"/>
        </w:rPr>
        <w:t>万元，扣除所得税</w:t>
      </w:r>
      <w:r>
        <w:rPr>
          <w:rFonts w:hint="eastAsia"/>
          <w:i w:val="0"/>
          <w:iCs w:val="0"/>
          <w:lang w:val="en-US" w:eastAsia="zh-CN"/>
        </w:rPr>
        <w:t>2683</w:t>
      </w:r>
      <w:r>
        <w:rPr>
          <w:rFonts w:hint="eastAsia"/>
          <w:i w:val="0"/>
          <w:iCs w:val="0"/>
        </w:rPr>
        <w:t>万元，税后利润</w:t>
      </w:r>
      <w:r>
        <w:rPr>
          <w:rFonts w:hint="eastAsia"/>
          <w:i w:val="0"/>
          <w:iCs w:val="0"/>
          <w:lang w:val="en-US" w:eastAsia="zh-CN"/>
        </w:rPr>
        <w:t>3832</w:t>
      </w:r>
      <w:r>
        <w:rPr>
          <w:rFonts w:hint="eastAsia"/>
          <w:i w:val="0"/>
          <w:iCs w:val="0"/>
        </w:rPr>
        <w:t>万元，</w:t>
      </w:r>
      <w:r>
        <w:rPr>
          <w:i w:val="0"/>
          <w:iCs w:val="0"/>
        </w:rPr>
        <w:t>从项目资本金投入可获得的收益水平来看，项目经济效益客观，从经济角度分析，项目可行。</w:t>
      </w:r>
    </w:p>
    <w:p>
      <w:pPr>
        <w:pStyle w:val="4"/>
        <w:rPr>
          <w:rFonts w:ascii="Times New Roman" w:hAnsi="Times New Roman" w:eastAsia="宋体"/>
          <w:b/>
          <w:i w:val="0"/>
          <w:iCs w:val="0"/>
          <w:sz w:val="28"/>
          <w:szCs w:val="28"/>
        </w:rPr>
      </w:pPr>
      <w:bookmarkStart w:id="364" w:name="_Toc516830815"/>
      <w:bookmarkStart w:id="365" w:name="_Toc536408126"/>
      <w:bookmarkStart w:id="366" w:name="_Toc23237"/>
      <w:r>
        <w:rPr>
          <w:rFonts w:hint="eastAsia" w:ascii="Times New Roman" w:hAnsi="Times New Roman" w:eastAsia="宋体"/>
          <w:b/>
          <w:i w:val="0"/>
          <w:iCs w:val="0"/>
          <w:sz w:val="28"/>
          <w:szCs w:val="28"/>
          <w:lang w:val="en-US" w:eastAsia="zh-CN"/>
        </w:rPr>
        <w:t>10</w:t>
      </w:r>
      <w:r>
        <w:rPr>
          <w:rFonts w:ascii="Times New Roman" w:hAnsi="Times New Roman" w:eastAsia="宋体"/>
          <w:b/>
          <w:i w:val="0"/>
          <w:iCs w:val="0"/>
          <w:sz w:val="28"/>
          <w:szCs w:val="28"/>
        </w:rPr>
        <w:t>.2社会效益分析</w:t>
      </w:r>
      <w:bookmarkEnd w:id="364"/>
      <w:bookmarkEnd w:id="365"/>
      <w:bookmarkEnd w:id="366"/>
    </w:p>
    <w:p>
      <w:pPr>
        <w:snapToGrid w:val="0"/>
        <w:spacing w:line="360" w:lineRule="auto"/>
        <w:ind w:firstLine="480" w:firstLineChars="200"/>
        <w:rPr>
          <w:rFonts w:hint="eastAsia" w:ascii="宋体" w:hAnsi="宋体"/>
          <w:i w:val="0"/>
          <w:iCs w:val="0"/>
        </w:rPr>
      </w:pPr>
      <w:r>
        <w:rPr>
          <w:rFonts w:hint="eastAsia" w:ascii="宋体" w:hAnsi="宋体"/>
          <w:i w:val="0"/>
          <w:iCs w:val="0"/>
        </w:rPr>
        <w:t>本项目实施后，有利于利用当地资源，带动当地经济发展，项目的建设适应经济建设、社会发展的要求。项目实施后，促进了运输业还能够带动当地及周边地区的交通和邮电通信的发展，在当地经济发展中起到较大的作用，具有一定的影响。</w:t>
      </w:r>
    </w:p>
    <w:p>
      <w:pPr>
        <w:snapToGrid w:val="0"/>
        <w:spacing w:line="360" w:lineRule="auto"/>
        <w:ind w:firstLine="480" w:firstLineChars="200"/>
        <w:rPr>
          <w:rFonts w:hint="eastAsia" w:ascii="宋体" w:hAnsi="宋体"/>
          <w:i w:val="0"/>
          <w:iCs w:val="0"/>
        </w:rPr>
      </w:pPr>
      <w:r>
        <w:rPr>
          <w:rFonts w:hint="eastAsia" w:ascii="宋体" w:hAnsi="宋体"/>
          <w:i w:val="0"/>
          <w:iCs w:val="0"/>
        </w:rPr>
        <w:t>因此，本项目的建设有利于提高当地的财政收支，增加就业岗位，对当地的社会收入分配、市场竞争机制、区域经济发展均起到积极的推动作用，项目与所在地有较大的互适性，社会效益显著，经济效益显著。</w:t>
      </w:r>
    </w:p>
    <w:bookmarkEnd w:id="348"/>
    <w:bookmarkEnd w:id="352"/>
    <w:bookmarkEnd w:id="353"/>
    <w:bookmarkEnd w:id="354"/>
    <w:bookmarkEnd w:id="355"/>
    <w:bookmarkEnd w:id="356"/>
    <w:bookmarkEnd w:id="357"/>
    <w:bookmarkEnd w:id="358"/>
    <w:bookmarkEnd w:id="359"/>
    <w:bookmarkEnd w:id="360"/>
    <w:bookmarkEnd w:id="361"/>
    <w:bookmarkEnd w:id="362"/>
    <w:bookmarkEnd w:id="363"/>
    <w:p>
      <w:pPr>
        <w:pStyle w:val="4"/>
        <w:rPr>
          <w:rFonts w:ascii="Times New Roman" w:hAnsi="Times New Roman" w:eastAsia="宋体"/>
          <w:b/>
          <w:i w:val="0"/>
          <w:iCs w:val="0"/>
          <w:sz w:val="28"/>
          <w:szCs w:val="28"/>
        </w:rPr>
      </w:pPr>
      <w:bookmarkStart w:id="367" w:name="_Toc536408127"/>
      <w:bookmarkStart w:id="368" w:name="_Toc28306"/>
      <w:bookmarkStart w:id="369" w:name="_Toc16261"/>
      <w:bookmarkStart w:id="370" w:name="_Toc516830816"/>
      <w:bookmarkStart w:id="371" w:name="_Toc12881"/>
      <w:bookmarkStart w:id="372" w:name="_Toc7252"/>
      <w:r>
        <w:rPr>
          <w:rFonts w:hint="eastAsia" w:ascii="Times New Roman" w:hAnsi="Times New Roman" w:eastAsia="宋体"/>
          <w:b/>
          <w:i w:val="0"/>
          <w:iCs w:val="0"/>
          <w:sz w:val="28"/>
          <w:szCs w:val="28"/>
          <w:lang w:val="en-US" w:eastAsia="zh-CN"/>
        </w:rPr>
        <w:t>10</w:t>
      </w:r>
      <w:r>
        <w:rPr>
          <w:rFonts w:ascii="Times New Roman" w:hAnsi="Times New Roman" w:eastAsia="宋体"/>
          <w:b/>
          <w:i w:val="0"/>
          <w:iCs w:val="0"/>
          <w:sz w:val="28"/>
          <w:szCs w:val="28"/>
        </w:rPr>
        <w:t>.3环境效益分析</w:t>
      </w:r>
      <w:bookmarkEnd w:id="367"/>
      <w:bookmarkEnd w:id="368"/>
      <w:bookmarkEnd w:id="369"/>
      <w:bookmarkEnd w:id="370"/>
      <w:bookmarkEnd w:id="371"/>
      <w:bookmarkEnd w:id="372"/>
    </w:p>
    <w:p>
      <w:pPr>
        <w:spacing w:line="360" w:lineRule="auto"/>
        <w:ind w:firstLine="480" w:firstLineChars="200"/>
        <w:rPr>
          <w:i w:val="0"/>
          <w:iCs w:val="0"/>
        </w:rPr>
      </w:pPr>
      <w:r>
        <w:rPr>
          <w:i w:val="0"/>
          <w:iCs w:val="0"/>
        </w:rPr>
        <w:t>项目废水采取了相应合理有效的处理措施，使之均能达标排放；对</w:t>
      </w:r>
      <w:r>
        <w:rPr>
          <w:rFonts w:hint="eastAsia"/>
          <w:i w:val="0"/>
          <w:iCs w:val="0"/>
        </w:rPr>
        <w:t>生产</w:t>
      </w:r>
      <w:r>
        <w:rPr>
          <w:i w:val="0"/>
          <w:iCs w:val="0"/>
        </w:rPr>
        <w:t>废气均采取了有效地治理措施；固体废物采取合理有效的处理/处置措施，尽量避免产生二次污染；本项目采取基础减振、厂房隔声及距离衰减后，将大大减轻本项目噪声源对外环境的噪声污染，可以确保厂界噪声达标，控制了项目影响。</w:t>
      </w:r>
    </w:p>
    <w:p>
      <w:pPr>
        <w:autoSpaceDE w:val="0"/>
        <w:autoSpaceDN w:val="0"/>
        <w:adjustRightInd w:val="0"/>
        <w:snapToGrid w:val="0"/>
        <w:spacing w:line="360" w:lineRule="auto"/>
        <w:ind w:firstLine="480" w:firstLineChars="200"/>
        <w:rPr>
          <w:i w:val="0"/>
          <w:iCs w:val="0"/>
          <w:lang w:val="zh-CN"/>
        </w:rPr>
      </w:pPr>
      <w:r>
        <w:rPr>
          <w:i w:val="0"/>
          <w:iCs w:val="0"/>
          <w:lang w:val="zh-CN"/>
        </w:rPr>
        <w:t>由以上分析可知，本项目的建设具有良好的环境效益。</w:t>
      </w:r>
    </w:p>
    <w:p>
      <w:pPr>
        <w:pStyle w:val="4"/>
        <w:rPr>
          <w:rFonts w:ascii="Times New Roman" w:hAnsi="Times New Roman" w:eastAsia="宋体"/>
          <w:b/>
          <w:i w:val="0"/>
          <w:iCs w:val="0"/>
          <w:sz w:val="28"/>
          <w:szCs w:val="28"/>
        </w:rPr>
      </w:pPr>
      <w:bookmarkStart w:id="373" w:name="_Toc516830818"/>
      <w:bookmarkStart w:id="374" w:name="_Toc16159"/>
      <w:bookmarkStart w:id="375" w:name="_Toc536408129"/>
      <w:bookmarkStart w:id="376" w:name="_Toc19104"/>
      <w:bookmarkStart w:id="377" w:name="_Toc27443"/>
      <w:bookmarkStart w:id="378" w:name="_Toc2171"/>
      <w:r>
        <w:rPr>
          <w:rFonts w:hint="eastAsia" w:ascii="Times New Roman" w:hAnsi="Times New Roman" w:eastAsia="宋体"/>
          <w:b/>
          <w:i w:val="0"/>
          <w:iCs w:val="0"/>
          <w:sz w:val="28"/>
          <w:szCs w:val="28"/>
          <w:lang w:val="en-US" w:eastAsia="zh-CN"/>
        </w:rPr>
        <w:t>10</w:t>
      </w:r>
      <w:r>
        <w:rPr>
          <w:rFonts w:ascii="Times New Roman" w:hAnsi="Times New Roman" w:eastAsia="宋体"/>
          <w:b/>
          <w:i w:val="0"/>
          <w:iCs w:val="0"/>
          <w:sz w:val="28"/>
          <w:szCs w:val="28"/>
        </w:rPr>
        <w:t>.4环境损益分析综合结论</w:t>
      </w:r>
      <w:bookmarkEnd w:id="373"/>
      <w:bookmarkEnd w:id="374"/>
      <w:bookmarkEnd w:id="375"/>
      <w:bookmarkEnd w:id="376"/>
      <w:bookmarkEnd w:id="377"/>
      <w:bookmarkEnd w:id="378"/>
    </w:p>
    <w:p>
      <w:pPr>
        <w:spacing w:line="360" w:lineRule="auto"/>
        <w:ind w:firstLine="480" w:firstLineChars="200"/>
        <w:rPr>
          <w:i w:val="0"/>
          <w:iCs w:val="0"/>
        </w:rPr>
      </w:pPr>
      <w:r>
        <w:rPr>
          <w:i w:val="0"/>
          <w:iCs w:val="0"/>
        </w:rPr>
        <w:t>在保护环境的大前提下，本项目产生的废气、废水及噪声等将对周围环境造成一定污染影响，但在采取相应的环境保护工程后，可将对环境的暂时影响降至最低。本项目的社会效益、环境效益、经济效益是统一的。</w:t>
      </w:r>
    </w:p>
    <w:p>
      <w:pPr>
        <w:spacing w:line="360" w:lineRule="auto"/>
        <w:ind w:firstLine="480" w:firstLineChars="200"/>
        <w:rPr>
          <w:i w:val="0"/>
          <w:iCs w:val="0"/>
        </w:rPr>
        <w:sectPr>
          <w:pgSz w:w="11907" w:h="16840"/>
          <w:pgMar w:top="1304" w:right="1418" w:bottom="1304" w:left="1418"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
        <w:spacing w:before="120" w:after="360" w:line="360" w:lineRule="auto"/>
        <w:jc w:val="center"/>
        <w:rPr>
          <w:i w:val="0"/>
          <w:iCs w:val="0"/>
          <w:sz w:val="36"/>
        </w:rPr>
      </w:pPr>
      <w:bookmarkStart w:id="379" w:name="_Toc25958"/>
      <w:r>
        <w:rPr>
          <w:i w:val="0"/>
          <w:iCs w:val="0"/>
          <w:sz w:val="36"/>
        </w:rPr>
        <w:t>第</w:t>
      </w:r>
      <w:r>
        <w:rPr>
          <w:rFonts w:hint="eastAsia"/>
          <w:i w:val="0"/>
          <w:iCs w:val="0"/>
          <w:sz w:val="36"/>
          <w:lang w:val="en-US" w:eastAsia="zh-CN"/>
        </w:rPr>
        <w:t>十一</w:t>
      </w:r>
      <w:r>
        <w:rPr>
          <w:i w:val="0"/>
          <w:iCs w:val="0"/>
          <w:sz w:val="36"/>
        </w:rPr>
        <w:t>章</w:t>
      </w:r>
      <w:bookmarkEnd w:id="225"/>
      <w:bookmarkStart w:id="380" w:name="_Hlt204314717"/>
      <w:bookmarkEnd w:id="380"/>
      <w:r>
        <w:rPr>
          <w:i w:val="0"/>
          <w:iCs w:val="0"/>
          <w:sz w:val="36"/>
        </w:rPr>
        <w:t>结论</w:t>
      </w:r>
      <w:bookmarkEnd w:id="379"/>
    </w:p>
    <w:p>
      <w:pPr>
        <w:pStyle w:val="4"/>
        <w:rPr>
          <w:rFonts w:ascii="Times New Roman" w:hAnsi="Times New Roman" w:eastAsia="宋体"/>
          <w:b/>
          <w:i w:val="0"/>
          <w:iCs w:val="0"/>
          <w:sz w:val="28"/>
          <w:szCs w:val="28"/>
        </w:rPr>
      </w:pPr>
      <w:bookmarkStart w:id="381" w:name="_Toc7673"/>
      <w:bookmarkStart w:id="382" w:name="_Toc323280022"/>
      <w:r>
        <w:rPr>
          <w:rFonts w:ascii="Times New Roman" w:hAnsi="Times New Roman" w:eastAsia="宋体"/>
          <w:b/>
          <w:i w:val="0"/>
          <w:iCs w:val="0"/>
          <w:sz w:val="28"/>
          <w:szCs w:val="28"/>
        </w:rPr>
        <w:t>1</w:t>
      </w:r>
      <w:r>
        <w:rPr>
          <w:rFonts w:hint="eastAsia" w:ascii="Times New Roman" w:hAnsi="Times New Roman" w:eastAsia="宋体"/>
          <w:b/>
          <w:i w:val="0"/>
          <w:iCs w:val="0"/>
          <w:sz w:val="28"/>
          <w:szCs w:val="28"/>
          <w:lang w:val="en-US" w:eastAsia="zh-CN"/>
        </w:rPr>
        <w:t>1</w:t>
      </w:r>
      <w:r>
        <w:rPr>
          <w:rFonts w:ascii="Times New Roman" w:hAnsi="Times New Roman" w:eastAsia="宋体"/>
          <w:b/>
          <w:i w:val="0"/>
          <w:iCs w:val="0"/>
          <w:sz w:val="28"/>
          <w:szCs w:val="28"/>
        </w:rPr>
        <w:t>.1项目选址环境敏感条件分析</w:t>
      </w:r>
      <w:bookmarkEnd w:id="381"/>
      <w:bookmarkEnd w:id="382"/>
    </w:p>
    <w:p>
      <w:pPr>
        <w:spacing w:line="360" w:lineRule="auto"/>
        <w:ind w:firstLine="480" w:firstLineChars="200"/>
        <w:rPr>
          <w:i w:val="0"/>
          <w:iCs w:val="0"/>
        </w:rPr>
      </w:pPr>
      <w:r>
        <w:rPr>
          <w:i w:val="0"/>
          <w:iCs w:val="0"/>
        </w:rPr>
        <w:t>依据</w:t>
      </w:r>
      <w:r>
        <w:rPr>
          <w:rFonts w:hint="eastAsia"/>
          <w:i w:val="0"/>
          <w:iCs w:val="0"/>
        </w:rPr>
        <w:t>《建设项目环境影响评价分类管理名录》（2021年版）部令第16号</w:t>
      </w:r>
      <w:r>
        <w:rPr>
          <w:i w:val="0"/>
          <w:iCs w:val="0"/>
        </w:rPr>
        <w:t>中环境敏感区的界定原则，项目所在区域非饮用水水源保护区、自然保护区、风景名胜区、生态功能保护区、基本农田保护区、水土流失重点防治区等，因此不属于需特殊保护地区。</w:t>
      </w:r>
    </w:p>
    <w:p>
      <w:pPr>
        <w:spacing w:line="360" w:lineRule="auto"/>
        <w:ind w:firstLine="480" w:firstLineChars="200"/>
        <w:rPr>
          <w:rFonts w:hint="eastAsia"/>
          <w:bCs/>
          <w:i w:val="0"/>
          <w:iCs w:val="0"/>
        </w:rPr>
      </w:pPr>
      <w:r>
        <w:rPr>
          <w:i w:val="0"/>
          <w:iCs w:val="0"/>
        </w:rPr>
        <w:t>环境空气：建设项目评价区域为环境空气质量二类区环境空气质量执行二级标准。建设项目废气排放源</w:t>
      </w:r>
      <w:r>
        <w:rPr>
          <w:bCs/>
          <w:i w:val="0"/>
          <w:iCs w:val="0"/>
        </w:rPr>
        <w:t>排放的</w:t>
      </w:r>
      <w:r>
        <w:rPr>
          <w:i w:val="0"/>
          <w:iCs w:val="0"/>
        </w:rPr>
        <w:t>NH</w:t>
      </w:r>
      <w:r>
        <w:rPr>
          <w:i w:val="0"/>
          <w:iCs w:val="0"/>
          <w:vertAlign w:val="subscript"/>
        </w:rPr>
        <w:t>3</w:t>
      </w:r>
      <w:r>
        <w:rPr>
          <w:i w:val="0"/>
          <w:iCs w:val="0"/>
        </w:rPr>
        <w:t>、H</w:t>
      </w:r>
      <w:r>
        <w:rPr>
          <w:i w:val="0"/>
          <w:iCs w:val="0"/>
          <w:vertAlign w:val="subscript"/>
        </w:rPr>
        <w:t>2</w:t>
      </w:r>
      <w:r>
        <w:rPr>
          <w:i w:val="0"/>
          <w:iCs w:val="0"/>
        </w:rPr>
        <w:t>S满足《恶臭污染物排放标准》(GB14554-93)中相应的排放标准</w:t>
      </w:r>
      <w:r>
        <w:rPr>
          <w:rFonts w:hint="eastAsia"/>
          <w:i w:val="0"/>
          <w:iCs w:val="0"/>
        </w:rPr>
        <w:t>，颗粒物、</w:t>
      </w:r>
      <w:r>
        <w:rPr>
          <w:i w:val="0"/>
          <w:iCs w:val="0"/>
          <w:color w:val="000000"/>
          <w:kern w:val="0"/>
          <w:lang w:bidi="ar"/>
        </w:rPr>
        <w:t>非甲烷总烃</w:t>
      </w:r>
      <w:r>
        <w:rPr>
          <w:rFonts w:hint="eastAsia"/>
          <w:i w:val="0"/>
          <w:iCs w:val="0"/>
          <w:color w:val="000000"/>
          <w:kern w:val="0"/>
          <w:lang w:bidi="ar"/>
        </w:rPr>
        <w:t>满足</w:t>
      </w:r>
      <w:r>
        <w:rPr>
          <w:i w:val="0"/>
          <w:iCs w:val="0"/>
          <w:color w:val="000000"/>
          <w:kern w:val="0"/>
          <w:lang w:bidi="ar"/>
        </w:rPr>
        <w:t>《大气污染物综合排放标准详解》</w:t>
      </w:r>
      <w:r>
        <w:rPr>
          <w:i w:val="0"/>
          <w:iCs w:val="0"/>
        </w:rPr>
        <w:t>中相应的排放标准</w:t>
      </w:r>
      <w:r>
        <w:rPr>
          <w:rFonts w:hint="eastAsia"/>
          <w:i w:val="0"/>
          <w:iCs w:val="0"/>
          <w:lang w:eastAsia="zh-CN"/>
        </w:rPr>
        <w:t>，</w:t>
      </w:r>
      <w:r>
        <w:rPr>
          <w:rFonts w:hint="default" w:ascii="Times New Roman" w:hAnsi="Times New Roman" w:cs="Times New Roman"/>
          <w:i w:val="0"/>
          <w:iCs w:val="0"/>
          <w:u w:val="none"/>
          <w:lang w:val="en-US" w:eastAsia="zh-CN"/>
        </w:rPr>
        <w:t>SO</w:t>
      </w:r>
      <w:r>
        <w:rPr>
          <w:rFonts w:hint="default" w:ascii="Times New Roman" w:hAnsi="Times New Roman" w:cs="Times New Roman"/>
          <w:i w:val="0"/>
          <w:iCs w:val="0"/>
          <w:u w:val="none"/>
          <w:vertAlign w:val="subscript"/>
          <w:lang w:val="en-US" w:eastAsia="zh-CN"/>
        </w:rPr>
        <w:t>2</w:t>
      </w:r>
      <w:r>
        <w:rPr>
          <w:rFonts w:hint="eastAsia" w:ascii="Times New Roman" w:hAnsi="Times New Roman" w:cs="Times New Roman"/>
          <w:i w:val="0"/>
          <w:iCs w:val="0"/>
          <w:u w:val="none"/>
          <w:vertAlign w:val="baseline"/>
          <w:lang w:val="en-US" w:eastAsia="zh-CN"/>
        </w:rPr>
        <w:t>和</w:t>
      </w:r>
      <w:r>
        <w:rPr>
          <w:rFonts w:hint="default" w:ascii="Times New Roman" w:hAnsi="Times New Roman" w:cs="Times New Roman"/>
          <w:i w:val="0"/>
          <w:iCs w:val="0"/>
          <w:u w:val="none"/>
          <w:lang w:val="en-US" w:eastAsia="zh-CN"/>
        </w:rPr>
        <w:t>NO</w:t>
      </w:r>
      <w:r>
        <w:rPr>
          <w:rFonts w:hint="default" w:ascii="Times New Roman" w:hAnsi="Times New Roman" w:cs="Times New Roman"/>
          <w:i w:val="0"/>
          <w:iCs w:val="0"/>
          <w:u w:val="none"/>
          <w:vertAlign w:val="subscript"/>
          <w:lang w:val="en-US" w:eastAsia="zh-CN"/>
        </w:rPr>
        <w:t>X</w:t>
      </w:r>
      <w:r>
        <w:rPr>
          <w:rFonts w:hint="eastAsia"/>
          <w:i w:val="0"/>
          <w:iCs w:val="0"/>
          <w:vertAlign w:val="baseline"/>
          <w:lang w:val="en-US" w:eastAsia="zh-CN"/>
        </w:rPr>
        <w:t>满足</w:t>
      </w:r>
      <w:r>
        <w:rPr>
          <w:rFonts w:hint="eastAsia"/>
          <w:i w:val="0"/>
          <w:iCs w:val="0"/>
          <w:lang w:eastAsia="zh-CN"/>
        </w:rPr>
        <w:t>《锅炉大气污染物排放标准》（</w:t>
      </w:r>
      <w:r>
        <w:rPr>
          <w:rFonts w:hint="eastAsia"/>
          <w:i w:val="0"/>
          <w:iCs w:val="0"/>
          <w:lang w:val="en-US" w:eastAsia="zh-CN"/>
        </w:rPr>
        <w:t>GB13271-2014)表2新建锅炉大气污染物排放限值。</w:t>
      </w:r>
    </w:p>
    <w:p>
      <w:pPr>
        <w:spacing w:line="360" w:lineRule="auto"/>
        <w:ind w:firstLine="480" w:firstLineChars="200"/>
        <w:jc w:val="left"/>
        <w:rPr>
          <w:i w:val="0"/>
          <w:iCs w:val="0"/>
        </w:rPr>
      </w:pPr>
      <w:r>
        <w:rPr>
          <w:i w:val="0"/>
          <w:iCs w:val="0"/>
        </w:rPr>
        <w:t>地表水环境：根据《吉林省地表水功能区》（DB22/388-2004），</w:t>
      </w:r>
      <w:r>
        <w:rPr>
          <w:rFonts w:hint="eastAsia"/>
          <w:i w:val="0"/>
          <w:iCs w:val="0"/>
        </w:rPr>
        <w:t>浑江“浑江大桥至国安路”断面属于“浑江白山市景观娱乐用水区”，水质目标属于Ⅲ类水体。</w:t>
      </w:r>
    </w:p>
    <w:p>
      <w:pPr>
        <w:spacing w:line="360" w:lineRule="auto"/>
        <w:ind w:firstLine="480" w:firstLineChars="200"/>
        <w:jc w:val="left"/>
        <w:rPr>
          <w:rFonts w:hint="eastAsia"/>
          <w:i w:val="0"/>
          <w:iCs w:val="0"/>
        </w:rPr>
      </w:pPr>
      <w:r>
        <w:rPr>
          <w:rFonts w:hint="eastAsia"/>
          <w:i w:val="0"/>
          <w:iCs w:val="0"/>
        </w:rPr>
        <w:t>本项目产生的食堂废水由油水分离器处理后与生活污水、生产废水经厂内污水管道收集，经过厂内污水处理站采用“水解+UASB+A/O”工艺处理，处理后废水达到《污水综合排放标准》GB8978-1996表2三级标准排放限值及园区污水处理厂进水指标后排入污水管网内，进入园区污水处理厂处理后排放。</w:t>
      </w:r>
    </w:p>
    <w:p>
      <w:pPr>
        <w:spacing w:line="360" w:lineRule="auto"/>
        <w:ind w:firstLine="480" w:firstLineChars="200"/>
        <w:jc w:val="left"/>
        <w:rPr>
          <w:rFonts w:hint="eastAsia"/>
          <w:i w:val="0"/>
          <w:iCs w:val="0"/>
        </w:rPr>
      </w:pPr>
      <w:r>
        <w:rPr>
          <w:i w:val="0"/>
          <w:iCs w:val="0"/>
        </w:rPr>
        <w:t>噪声环境：本项目</w:t>
      </w:r>
      <w:r>
        <w:rPr>
          <w:rFonts w:hint="eastAsia"/>
          <w:i w:val="0"/>
          <w:iCs w:val="0"/>
        </w:rPr>
        <w:t>在</w:t>
      </w:r>
      <w:r>
        <w:rPr>
          <w:rFonts w:hint="eastAsia"/>
          <w:i w:val="0"/>
          <w:iCs w:val="0"/>
          <w:lang w:eastAsia="zh-CN"/>
        </w:rPr>
        <w:t>白山市江源工业经济开发区长白山特色食药科技产业园区</w:t>
      </w:r>
      <w:r>
        <w:rPr>
          <w:rFonts w:hint="eastAsia"/>
          <w:i w:val="0"/>
          <w:iCs w:val="0"/>
        </w:rPr>
        <w:t>，厂区</w:t>
      </w:r>
      <w:r>
        <w:rPr>
          <w:i w:val="0"/>
          <w:iCs w:val="0"/>
        </w:rPr>
        <w:t>执行《声环境质量标准》(GB3096-2008)中的</w:t>
      </w:r>
      <w:r>
        <w:rPr>
          <w:rFonts w:hint="eastAsia"/>
          <w:i w:val="0"/>
          <w:iCs w:val="0"/>
          <w:lang w:val="en-US" w:eastAsia="zh-CN"/>
        </w:rPr>
        <w:t>2</w:t>
      </w:r>
      <w:r>
        <w:rPr>
          <w:i w:val="0"/>
          <w:iCs w:val="0"/>
        </w:rPr>
        <w:t>类声环境功能区标准</w:t>
      </w:r>
      <w:r>
        <w:rPr>
          <w:rFonts w:hint="eastAsia"/>
          <w:i w:val="0"/>
          <w:iCs w:val="0"/>
        </w:rPr>
        <w:t>。</w:t>
      </w:r>
    </w:p>
    <w:p>
      <w:pPr>
        <w:spacing w:line="360" w:lineRule="auto"/>
        <w:ind w:firstLine="480" w:firstLineChars="200"/>
        <w:jc w:val="left"/>
        <w:rPr>
          <w:i w:val="0"/>
          <w:iCs w:val="0"/>
        </w:rPr>
      </w:pPr>
      <w:r>
        <w:rPr>
          <w:i w:val="0"/>
          <w:iCs w:val="0"/>
        </w:rPr>
        <w:t>综上所述项目所在区域不属于</w:t>
      </w:r>
      <w:r>
        <w:rPr>
          <w:rFonts w:hint="eastAsia"/>
          <w:i w:val="0"/>
          <w:iCs w:val="0"/>
        </w:rPr>
        <w:t>《建设项目环境影响评价分类管理名录》（2021年版）部令第16号</w:t>
      </w:r>
      <w:r>
        <w:rPr>
          <w:i w:val="0"/>
          <w:iCs w:val="0"/>
        </w:rPr>
        <w:t>中特别敏感的区域。</w:t>
      </w:r>
    </w:p>
    <w:p>
      <w:pPr>
        <w:pStyle w:val="4"/>
        <w:rPr>
          <w:rFonts w:ascii="Times New Roman" w:hAnsi="Times New Roman" w:eastAsia="宋体"/>
          <w:b/>
          <w:i w:val="0"/>
          <w:iCs w:val="0"/>
          <w:sz w:val="28"/>
          <w:szCs w:val="28"/>
        </w:rPr>
      </w:pPr>
      <w:bookmarkStart w:id="383" w:name="_Toc22640"/>
      <w:bookmarkStart w:id="384" w:name="_Toc244238529"/>
      <w:bookmarkStart w:id="385" w:name="_Toc323280023"/>
      <w:r>
        <w:rPr>
          <w:rFonts w:ascii="Times New Roman" w:hAnsi="Times New Roman" w:eastAsia="宋体"/>
          <w:b/>
          <w:i w:val="0"/>
          <w:iCs w:val="0"/>
          <w:sz w:val="28"/>
          <w:szCs w:val="28"/>
        </w:rPr>
        <w:t>1</w:t>
      </w:r>
      <w:r>
        <w:rPr>
          <w:rFonts w:hint="eastAsia" w:ascii="Times New Roman" w:hAnsi="Times New Roman" w:eastAsia="宋体"/>
          <w:b/>
          <w:i w:val="0"/>
          <w:iCs w:val="0"/>
          <w:sz w:val="28"/>
          <w:szCs w:val="28"/>
          <w:lang w:val="en-US" w:eastAsia="zh-CN"/>
        </w:rPr>
        <w:t>1</w:t>
      </w:r>
      <w:r>
        <w:rPr>
          <w:rFonts w:ascii="Times New Roman" w:hAnsi="Times New Roman" w:eastAsia="宋体"/>
          <w:b/>
          <w:i w:val="0"/>
          <w:iCs w:val="0"/>
          <w:sz w:val="28"/>
          <w:szCs w:val="28"/>
        </w:rPr>
        <w:t>.2与相关规划</w:t>
      </w:r>
      <w:r>
        <w:rPr>
          <w:rFonts w:hint="eastAsia" w:ascii="Times New Roman" w:hAnsi="Times New Roman" w:eastAsia="宋体"/>
          <w:b/>
          <w:i w:val="0"/>
          <w:iCs w:val="0"/>
          <w:sz w:val="28"/>
          <w:szCs w:val="28"/>
        </w:rPr>
        <w:t>及产业政策</w:t>
      </w:r>
      <w:r>
        <w:rPr>
          <w:rFonts w:ascii="Times New Roman" w:hAnsi="Times New Roman" w:eastAsia="宋体"/>
          <w:b/>
          <w:i w:val="0"/>
          <w:iCs w:val="0"/>
          <w:sz w:val="28"/>
          <w:szCs w:val="28"/>
        </w:rPr>
        <w:t>相符性分析</w:t>
      </w:r>
      <w:bookmarkEnd w:id="383"/>
      <w:bookmarkEnd w:id="384"/>
      <w:bookmarkEnd w:id="385"/>
    </w:p>
    <w:p>
      <w:pPr>
        <w:spacing w:line="360" w:lineRule="auto"/>
        <w:ind w:firstLine="480" w:firstLineChars="200"/>
        <w:jc w:val="left"/>
        <w:rPr>
          <w:i w:val="0"/>
          <w:iCs w:val="0"/>
        </w:rPr>
      </w:pPr>
      <w:bookmarkStart w:id="386" w:name="_Hlk335751096"/>
      <w:r>
        <w:rPr>
          <w:i w:val="0"/>
          <w:iCs w:val="0"/>
        </w:rPr>
        <w:t>本项目符合《</w:t>
      </w:r>
      <w:r>
        <w:rPr>
          <w:rFonts w:hint="eastAsia"/>
          <w:i w:val="0"/>
          <w:iCs w:val="0"/>
        </w:rPr>
        <w:t>吉林省生态环境保护“十四五”规划</w:t>
      </w:r>
      <w:r>
        <w:rPr>
          <w:i w:val="0"/>
          <w:iCs w:val="0"/>
        </w:rPr>
        <w:t>》、</w:t>
      </w:r>
      <w:r>
        <w:rPr>
          <w:rFonts w:hint="eastAsia"/>
          <w:i w:val="0"/>
          <w:iCs w:val="0"/>
        </w:rPr>
        <w:t>园区规划等</w:t>
      </w:r>
      <w:r>
        <w:rPr>
          <w:i w:val="0"/>
          <w:iCs w:val="0"/>
        </w:rPr>
        <w:t>要求</w:t>
      </w:r>
      <w:bookmarkEnd w:id="386"/>
      <w:r>
        <w:rPr>
          <w:rFonts w:hint="eastAsia"/>
          <w:i w:val="0"/>
          <w:iCs w:val="0"/>
          <w:lang w:eastAsia="zh-CN"/>
        </w:rPr>
        <w:t>；</w:t>
      </w:r>
      <w:bookmarkStart w:id="387" w:name="_Hlt196789509"/>
      <w:bookmarkEnd w:id="387"/>
      <w:r>
        <w:rPr>
          <w:i w:val="0"/>
          <w:iCs w:val="0"/>
        </w:rPr>
        <w:t>符合《产业结构调整指导目录（20</w:t>
      </w:r>
      <w:r>
        <w:rPr>
          <w:rFonts w:hint="eastAsia"/>
          <w:i w:val="0"/>
          <w:iCs w:val="0"/>
        </w:rPr>
        <w:t>24</w:t>
      </w:r>
      <w:r>
        <w:rPr>
          <w:i w:val="0"/>
          <w:iCs w:val="0"/>
        </w:rPr>
        <w:t>年</w:t>
      </w:r>
      <w:r>
        <w:rPr>
          <w:rFonts w:hint="eastAsia"/>
          <w:i w:val="0"/>
          <w:iCs w:val="0"/>
        </w:rPr>
        <w:t>本</w:t>
      </w:r>
      <w:r>
        <w:rPr>
          <w:i w:val="0"/>
          <w:iCs w:val="0"/>
        </w:rPr>
        <w:t>）》中第一类鼓励类中第一条农林牧渔业规定：</w:t>
      </w:r>
      <w:r>
        <w:rPr>
          <w:rFonts w:hint="eastAsia"/>
          <w:i w:val="0"/>
          <w:iCs w:val="0"/>
        </w:rPr>
        <w:t>“</w:t>
      </w:r>
      <w:r>
        <w:rPr>
          <w:i w:val="0"/>
          <w:iCs w:val="0"/>
        </w:rPr>
        <w:t>1</w:t>
      </w:r>
      <w:r>
        <w:rPr>
          <w:rFonts w:hint="eastAsia"/>
          <w:i w:val="0"/>
          <w:iCs w:val="0"/>
        </w:rPr>
        <w:t>3.</w:t>
      </w:r>
      <w:r>
        <w:rPr>
          <w:i w:val="0"/>
          <w:iCs w:val="0"/>
        </w:rPr>
        <w:t>绿色农业：全生物降解地膜、高强度易回收地膜农田示范与应用，受污染耕地风险管控与修复，符合绿色低碳循环要求的饲料、饲料添加剂、肥料、农药、兽药等优质安全环保农业投入品及绿色食品生产允许使用的食品添加剂开发，农产品及其产地环境监测技术开发和应用，有机废弃物无害化、价值化处理及有机肥料产业化技术开发与应用</w:t>
      </w:r>
      <w:r>
        <w:rPr>
          <w:rFonts w:hint="eastAsia"/>
          <w:i w:val="0"/>
          <w:iCs w:val="0"/>
        </w:rPr>
        <w:t>”</w:t>
      </w:r>
      <w:r>
        <w:rPr>
          <w:i w:val="0"/>
          <w:iCs w:val="0"/>
        </w:rPr>
        <w:t>中的规定，因此，本项目</w:t>
      </w:r>
      <w:r>
        <w:rPr>
          <w:rFonts w:hint="eastAsia"/>
          <w:i w:val="0"/>
          <w:iCs w:val="0"/>
        </w:rPr>
        <w:t>为</w:t>
      </w:r>
      <w:r>
        <w:rPr>
          <w:i w:val="0"/>
          <w:iCs w:val="0"/>
        </w:rPr>
        <w:t>有发酵工艺的饲料添加剂</w:t>
      </w:r>
      <w:r>
        <w:rPr>
          <w:rFonts w:hint="eastAsia"/>
          <w:i w:val="0"/>
          <w:iCs w:val="0"/>
        </w:rPr>
        <w:t>项目，</w:t>
      </w:r>
      <w:r>
        <w:rPr>
          <w:i w:val="0"/>
          <w:iCs w:val="0"/>
        </w:rPr>
        <w:t>属于鼓励类，符合国家产业政策。</w:t>
      </w:r>
    </w:p>
    <w:p>
      <w:pPr>
        <w:pStyle w:val="4"/>
        <w:rPr>
          <w:rFonts w:ascii="Times New Roman" w:hAnsi="Times New Roman" w:eastAsia="宋体"/>
          <w:b/>
          <w:i w:val="0"/>
          <w:iCs w:val="0"/>
          <w:sz w:val="28"/>
          <w:szCs w:val="28"/>
        </w:rPr>
      </w:pPr>
      <w:bookmarkStart w:id="388" w:name="_Toc12138"/>
      <w:r>
        <w:rPr>
          <w:rFonts w:ascii="Times New Roman" w:hAnsi="Times New Roman" w:eastAsia="宋体"/>
          <w:b/>
          <w:i w:val="0"/>
          <w:iCs w:val="0"/>
          <w:sz w:val="28"/>
          <w:szCs w:val="28"/>
        </w:rPr>
        <w:t>1</w:t>
      </w:r>
      <w:r>
        <w:rPr>
          <w:rFonts w:hint="eastAsia" w:ascii="Times New Roman" w:hAnsi="Times New Roman" w:eastAsia="宋体"/>
          <w:b/>
          <w:i w:val="0"/>
          <w:iCs w:val="0"/>
          <w:sz w:val="28"/>
          <w:szCs w:val="28"/>
          <w:lang w:val="en-US" w:eastAsia="zh-CN"/>
        </w:rPr>
        <w:t>1</w:t>
      </w:r>
      <w:r>
        <w:rPr>
          <w:rFonts w:ascii="Times New Roman" w:hAnsi="Times New Roman" w:eastAsia="宋体"/>
          <w:b/>
          <w:i w:val="0"/>
          <w:iCs w:val="0"/>
          <w:sz w:val="28"/>
          <w:szCs w:val="28"/>
        </w:rPr>
        <w:t>.</w:t>
      </w:r>
      <w:r>
        <w:rPr>
          <w:rFonts w:hint="eastAsia" w:ascii="Times New Roman" w:hAnsi="Times New Roman" w:eastAsia="宋体"/>
          <w:b/>
          <w:i w:val="0"/>
          <w:iCs w:val="0"/>
          <w:sz w:val="28"/>
          <w:szCs w:val="28"/>
        </w:rPr>
        <w:t>3</w:t>
      </w:r>
      <w:r>
        <w:rPr>
          <w:rFonts w:ascii="Times New Roman" w:hAnsi="Times New Roman" w:eastAsia="宋体"/>
          <w:b/>
          <w:i w:val="0"/>
          <w:iCs w:val="0"/>
          <w:sz w:val="28"/>
          <w:szCs w:val="28"/>
        </w:rPr>
        <w:t>环保措施有效性分析</w:t>
      </w:r>
      <w:bookmarkEnd w:id="388"/>
    </w:p>
    <w:p>
      <w:pPr>
        <w:spacing w:line="360" w:lineRule="auto"/>
        <w:ind w:firstLine="480" w:firstLineChars="200"/>
        <w:rPr>
          <w:i w:val="0"/>
          <w:iCs w:val="0"/>
        </w:rPr>
      </w:pPr>
      <w:r>
        <w:rPr>
          <w:i w:val="0"/>
          <w:iCs w:val="0"/>
        </w:rPr>
        <w:t>1</w:t>
      </w:r>
      <w:r>
        <w:rPr>
          <w:rFonts w:hint="eastAsia"/>
          <w:i w:val="0"/>
          <w:iCs w:val="0"/>
          <w:lang w:val="en-US" w:eastAsia="zh-CN"/>
        </w:rPr>
        <w:t>1</w:t>
      </w:r>
      <w:r>
        <w:rPr>
          <w:i w:val="0"/>
          <w:iCs w:val="0"/>
        </w:rPr>
        <w:t>.</w:t>
      </w:r>
      <w:r>
        <w:rPr>
          <w:rFonts w:hint="eastAsia"/>
          <w:i w:val="0"/>
          <w:iCs w:val="0"/>
        </w:rPr>
        <w:t>3</w:t>
      </w:r>
      <w:r>
        <w:rPr>
          <w:i w:val="0"/>
          <w:iCs w:val="0"/>
        </w:rPr>
        <w:t>.1废水</w:t>
      </w:r>
    </w:p>
    <w:p>
      <w:pPr>
        <w:spacing w:line="360" w:lineRule="auto"/>
        <w:ind w:firstLine="480" w:firstLineChars="200"/>
        <w:rPr>
          <w:rFonts w:hint="eastAsia"/>
          <w:i w:val="0"/>
          <w:iCs w:val="0"/>
        </w:rPr>
      </w:pPr>
      <w:r>
        <w:rPr>
          <w:rFonts w:hint="eastAsia"/>
          <w:i w:val="0"/>
          <w:iCs w:val="0"/>
        </w:rPr>
        <w:t>本项目本项目产生的食堂废水由油水分离器处理后与生活污水、生产废水经厂内污水管道收集，经过厂内污水处理站采用“水解+UASB+A/O”工艺处理，处理后废水达到《污水综合排放标准》GB8978-1996表2三级标准排放限值及园区污水处理厂进水指标后排入污水管网内，进入园区污水处理厂处理后排放。</w:t>
      </w:r>
    </w:p>
    <w:p>
      <w:pPr>
        <w:spacing w:line="360" w:lineRule="auto"/>
        <w:ind w:firstLine="480" w:firstLineChars="200"/>
        <w:rPr>
          <w:i w:val="0"/>
          <w:iCs w:val="0"/>
        </w:rPr>
      </w:pPr>
      <w:r>
        <w:rPr>
          <w:i w:val="0"/>
          <w:iCs w:val="0"/>
        </w:rPr>
        <w:t>1</w:t>
      </w:r>
      <w:r>
        <w:rPr>
          <w:rFonts w:hint="eastAsia"/>
          <w:i w:val="0"/>
          <w:iCs w:val="0"/>
          <w:lang w:val="en-US" w:eastAsia="zh-CN"/>
        </w:rPr>
        <w:t>1</w:t>
      </w:r>
      <w:r>
        <w:rPr>
          <w:i w:val="0"/>
          <w:iCs w:val="0"/>
        </w:rPr>
        <w:t>.</w:t>
      </w:r>
      <w:r>
        <w:rPr>
          <w:rFonts w:hint="eastAsia"/>
          <w:i w:val="0"/>
          <w:iCs w:val="0"/>
        </w:rPr>
        <w:t>3</w:t>
      </w:r>
      <w:r>
        <w:rPr>
          <w:i w:val="0"/>
          <w:iCs w:val="0"/>
        </w:rPr>
        <w:t>.2废气</w:t>
      </w:r>
    </w:p>
    <w:p>
      <w:pPr>
        <w:spacing w:line="360" w:lineRule="auto"/>
        <w:ind w:firstLine="480" w:firstLineChars="200"/>
        <w:rPr>
          <w:rFonts w:hint="eastAsia" w:eastAsia="宋体"/>
          <w:i w:val="0"/>
          <w:iCs w:val="0"/>
          <w:lang w:eastAsia="zh-CN"/>
        </w:rPr>
      </w:pPr>
      <w:r>
        <w:rPr>
          <w:rFonts w:hint="eastAsia"/>
          <w:i w:val="0"/>
          <w:iCs w:val="0"/>
        </w:rPr>
        <w:t>本项目生产过程中污水站产生的废气经“化学洗涤+生物滤池+活性炭吸附”处理后经15m高排气筒（DA001）排放，满足《恶臭污染物排放标准》（GB14554-93）中表2中标准；发酵废气经喷淋塔附处理后经</w:t>
      </w:r>
      <w:r>
        <w:rPr>
          <w:rFonts w:hint="eastAsia"/>
          <w:i w:val="0"/>
          <w:iCs w:val="0"/>
          <w:lang w:eastAsia="zh-CN"/>
        </w:rPr>
        <w:t>24</w:t>
      </w:r>
      <w:r>
        <w:rPr>
          <w:rFonts w:hint="eastAsia"/>
          <w:i w:val="0"/>
          <w:iCs w:val="0"/>
        </w:rPr>
        <w:t>m高排气筒（DA002）排放，其中非甲烷总烃满足《大气污染物综合排放标准》(GB16927-1996) 表2二级标准要求，氨满足《恶臭污染物排放标准》(GB 14554-93)表2标准；热风炉1产生的烟气与喷雾干燥塔1喷雾干燥产生的粉尘经过布袋除尘器（效率99%）处理后由同一根24m高排气筒（DA003）排放，热风炉2产生的烟气与喷雾干燥塔2喷雾干燥产生的粉尘经过布袋除尘器（效率99%）处理后由同一根24m高排气筒（DA004）排放，其中颗粒物满足《大气污染物综合排放标准》（GB16297-1996）中表2颗粒物排放限值要求，SO</w:t>
      </w:r>
      <w:r>
        <w:rPr>
          <w:rFonts w:hint="eastAsia"/>
          <w:i w:val="0"/>
          <w:iCs w:val="0"/>
          <w:vertAlign w:val="subscript"/>
        </w:rPr>
        <w:t>2</w:t>
      </w:r>
      <w:r>
        <w:rPr>
          <w:rFonts w:hint="eastAsia"/>
          <w:i w:val="0"/>
          <w:iCs w:val="0"/>
        </w:rPr>
        <w:t>和NO</w:t>
      </w:r>
      <w:r>
        <w:rPr>
          <w:rFonts w:hint="eastAsia"/>
          <w:i w:val="0"/>
          <w:iCs w:val="0"/>
          <w:vertAlign w:val="subscript"/>
        </w:rPr>
        <w:t>X</w:t>
      </w:r>
      <w:r>
        <w:rPr>
          <w:rFonts w:hint="eastAsia"/>
          <w:i w:val="0"/>
          <w:iCs w:val="0"/>
        </w:rPr>
        <w:t>满足《锅炉大气污染物排放标准》（GB13271-2014)表2新建锅炉大气污染物排放限值；食堂油烟经油烟净化器处理后通过烟囱引至楼顶高空排放，处理后油烟浓度能达到国家《饮食业油烟排放标准》（GB18483-2001）)的要求</w:t>
      </w:r>
      <w:r>
        <w:rPr>
          <w:rFonts w:hint="eastAsia"/>
          <w:i w:val="0"/>
          <w:iCs w:val="0"/>
          <w:lang w:eastAsia="zh-CN"/>
        </w:rPr>
        <w:t>。</w:t>
      </w:r>
    </w:p>
    <w:p>
      <w:pPr>
        <w:spacing w:line="360" w:lineRule="auto"/>
        <w:ind w:firstLine="480" w:firstLineChars="200"/>
        <w:rPr>
          <w:i w:val="0"/>
          <w:iCs w:val="0"/>
        </w:rPr>
      </w:pPr>
      <w:r>
        <w:rPr>
          <w:rFonts w:hint="eastAsia"/>
          <w:i w:val="0"/>
          <w:iCs w:val="0"/>
        </w:rPr>
        <w:t>1</w:t>
      </w:r>
      <w:r>
        <w:rPr>
          <w:rFonts w:hint="eastAsia"/>
          <w:i w:val="0"/>
          <w:iCs w:val="0"/>
          <w:lang w:val="en-US" w:eastAsia="zh-CN"/>
        </w:rPr>
        <w:t>1</w:t>
      </w:r>
      <w:r>
        <w:rPr>
          <w:i w:val="0"/>
          <w:iCs w:val="0"/>
        </w:rPr>
        <w:t>.</w:t>
      </w:r>
      <w:r>
        <w:rPr>
          <w:rFonts w:hint="eastAsia"/>
          <w:i w:val="0"/>
          <w:iCs w:val="0"/>
        </w:rPr>
        <w:t>3</w:t>
      </w:r>
      <w:r>
        <w:rPr>
          <w:i w:val="0"/>
          <w:iCs w:val="0"/>
        </w:rPr>
        <w:t>.3噪声</w:t>
      </w:r>
    </w:p>
    <w:p>
      <w:pPr>
        <w:spacing w:line="360" w:lineRule="auto"/>
        <w:ind w:firstLine="480" w:firstLineChars="200"/>
        <w:rPr>
          <w:i w:val="0"/>
          <w:iCs w:val="0"/>
        </w:rPr>
      </w:pPr>
      <w:r>
        <w:rPr>
          <w:i w:val="0"/>
          <w:iCs w:val="0"/>
        </w:rPr>
        <w:t>项目采取措施后</w:t>
      </w:r>
      <w:r>
        <w:rPr>
          <w:rFonts w:hint="eastAsia"/>
          <w:i w:val="0"/>
          <w:iCs w:val="0"/>
        </w:rPr>
        <w:t>厂界噪声</w:t>
      </w:r>
      <w:r>
        <w:rPr>
          <w:i w:val="0"/>
          <w:iCs w:val="0"/>
        </w:rPr>
        <w:t>可达到《工业企业厂界环境噪声排放标准》（GB12348-2008）中</w:t>
      </w:r>
      <w:r>
        <w:rPr>
          <w:rFonts w:hint="eastAsia"/>
          <w:i w:val="0"/>
          <w:iCs w:val="0"/>
          <w:lang w:val="en-US" w:eastAsia="zh-CN"/>
        </w:rPr>
        <w:t>2</w:t>
      </w:r>
      <w:r>
        <w:rPr>
          <w:i w:val="0"/>
          <w:iCs w:val="0"/>
        </w:rPr>
        <w:t>类功能区标准。</w:t>
      </w:r>
    </w:p>
    <w:p>
      <w:pPr>
        <w:spacing w:line="360" w:lineRule="auto"/>
        <w:ind w:firstLine="480" w:firstLineChars="200"/>
        <w:rPr>
          <w:i w:val="0"/>
          <w:iCs w:val="0"/>
        </w:rPr>
      </w:pPr>
      <w:r>
        <w:rPr>
          <w:i w:val="0"/>
          <w:iCs w:val="0"/>
        </w:rPr>
        <w:t>1</w:t>
      </w:r>
      <w:r>
        <w:rPr>
          <w:rFonts w:hint="eastAsia"/>
          <w:i w:val="0"/>
          <w:iCs w:val="0"/>
          <w:lang w:val="en-US" w:eastAsia="zh-CN"/>
        </w:rPr>
        <w:t>1</w:t>
      </w:r>
      <w:r>
        <w:rPr>
          <w:i w:val="0"/>
          <w:iCs w:val="0"/>
        </w:rPr>
        <w:t>.</w:t>
      </w:r>
      <w:r>
        <w:rPr>
          <w:rFonts w:hint="eastAsia"/>
          <w:i w:val="0"/>
          <w:iCs w:val="0"/>
        </w:rPr>
        <w:t>3</w:t>
      </w:r>
      <w:r>
        <w:rPr>
          <w:i w:val="0"/>
          <w:iCs w:val="0"/>
        </w:rPr>
        <w:t>.4固体废物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i w:val="0"/>
          <w:iCs w:val="0"/>
        </w:rPr>
      </w:pPr>
      <w:bookmarkStart w:id="389" w:name="_Hlt196543258"/>
      <w:bookmarkEnd w:id="389"/>
      <w:bookmarkStart w:id="390" w:name="_Toc323280025"/>
      <w:bookmarkStart w:id="391" w:name="_Toc244238530"/>
      <w:r>
        <w:rPr>
          <w:rFonts w:hint="eastAsia"/>
          <w:i w:val="0"/>
          <w:iCs w:val="0"/>
        </w:rPr>
        <w:t>本项目产生的固体废物有生活垃圾、</w:t>
      </w:r>
      <w:r>
        <w:rPr>
          <w:rFonts w:hint="eastAsia"/>
          <w:i w:val="0"/>
          <w:iCs w:val="0"/>
          <w:lang w:eastAsia="zh-CN"/>
        </w:rPr>
        <w:t>收集到的粉尘、</w:t>
      </w:r>
      <w:r>
        <w:rPr>
          <w:rFonts w:hint="eastAsia"/>
          <w:i w:val="0"/>
          <w:iCs w:val="0"/>
        </w:rPr>
        <w:t>废包装材料</w:t>
      </w:r>
      <w:r>
        <w:rPr>
          <w:rFonts w:hint="eastAsia"/>
          <w:i w:val="0"/>
          <w:iCs w:val="0"/>
          <w:lang w:eastAsia="zh-CN"/>
        </w:rPr>
        <w:t>、废滤材（初中高效过滤器、过滤芯）</w:t>
      </w:r>
      <w:r>
        <w:rPr>
          <w:rFonts w:hint="eastAsia"/>
          <w:i w:val="0"/>
          <w:iCs w:val="0"/>
        </w:rPr>
        <w:t>、污水站污泥、废活性炭</w:t>
      </w:r>
      <w:r>
        <w:rPr>
          <w:rFonts w:hint="eastAsia"/>
          <w:i w:val="0"/>
          <w:iCs w:val="0"/>
          <w:lang w:eastAsia="zh-CN"/>
        </w:rPr>
        <w:t>、实验废液及废包装瓶</w:t>
      </w:r>
      <w:r>
        <w:rPr>
          <w:rFonts w:hint="eastAsia"/>
          <w:i w:val="0"/>
          <w:iCs w:val="0"/>
        </w:rPr>
        <w:t>，其中生活垃圾委托环卫部门处理；</w:t>
      </w:r>
      <w:r>
        <w:rPr>
          <w:rFonts w:hint="eastAsia" w:hAnsi="Times New Roman"/>
          <w:i w:val="0"/>
          <w:iCs w:val="0"/>
          <w:color w:val="000000"/>
          <w:lang w:eastAsia="zh-CN"/>
        </w:rPr>
        <w:t>收集到的粉尘</w:t>
      </w:r>
      <w:r>
        <w:rPr>
          <w:rFonts w:hint="eastAsia"/>
          <w:i w:val="0"/>
          <w:iCs w:val="0"/>
          <w:color w:val="000000"/>
          <w:lang w:eastAsia="zh-CN"/>
        </w:rPr>
        <w:t>、</w:t>
      </w:r>
      <w:r>
        <w:rPr>
          <w:rFonts w:hint="eastAsia"/>
          <w:i w:val="0"/>
          <w:iCs w:val="0"/>
        </w:rPr>
        <w:t>废包装材料</w:t>
      </w:r>
      <w:r>
        <w:rPr>
          <w:rFonts w:hint="eastAsia"/>
          <w:i w:val="0"/>
          <w:iCs w:val="0"/>
          <w:lang w:eastAsia="zh-CN"/>
        </w:rPr>
        <w:t>、废滤材（初中高效过滤器、过滤芯）收集后外卖，污水站污泥送至白山绿能新能源有限公司处置</w:t>
      </w:r>
      <w:r>
        <w:rPr>
          <w:rFonts w:hint="eastAsia"/>
          <w:i w:val="0"/>
          <w:iCs w:val="0"/>
        </w:rPr>
        <w:t>，</w:t>
      </w:r>
      <w:r>
        <w:rPr>
          <w:rFonts w:hint="eastAsia"/>
          <w:i w:val="0"/>
          <w:iCs w:val="0"/>
          <w:szCs w:val="28"/>
          <w:lang w:eastAsia="zh-CN"/>
        </w:rPr>
        <w:t>废机油</w:t>
      </w:r>
      <w:r>
        <w:rPr>
          <w:rFonts w:hint="eastAsia" w:ascii="Times New Roman" w:hAnsi="Times New Roman" w:eastAsia="宋体" w:cs="Times New Roman"/>
          <w:i w:val="0"/>
          <w:iCs w:val="0"/>
          <w:lang w:val="en-US" w:eastAsia="zh-CN"/>
        </w:rPr>
        <w:t>及废机油桶、</w:t>
      </w:r>
      <w:r>
        <w:rPr>
          <w:rFonts w:hint="eastAsia"/>
          <w:i w:val="0"/>
          <w:iCs w:val="0"/>
        </w:rPr>
        <w:t>废活性炭</w:t>
      </w:r>
      <w:r>
        <w:rPr>
          <w:rFonts w:hint="eastAsia"/>
          <w:i w:val="0"/>
          <w:iCs w:val="0"/>
          <w:lang w:eastAsia="zh-CN"/>
        </w:rPr>
        <w:t>、实验废液及废包装瓶</w:t>
      </w:r>
      <w:r>
        <w:rPr>
          <w:rFonts w:hint="eastAsia"/>
          <w:i w:val="0"/>
          <w:iCs w:val="0"/>
        </w:rPr>
        <w:t>委托有资质单位处理。</w:t>
      </w:r>
    </w:p>
    <w:bookmarkEnd w:id="390"/>
    <w:bookmarkEnd w:id="391"/>
    <w:p>
      <w:pPr>
        <w:pStyle w:val="4"/>
        <w:rPr>
          <w:rFonts w:ascii="Times New Roman" w:hAnsi="Times New Roman" w:eastAsia="宋体"/>
          <w:b/>
          <w:i w:val="0"/>
          <w:iCs w:val="0"/>
          <w:sz w:val="28"/>
          <w:szCs w:val="28"/>
        </w:rPr>
      </w:pPr>
      <w:bookmarkStart w:id="392" w:name="_Toc16010"/>
      <w:bookmarkStart w:id="393" w:name="_Toc323280028"/>
      <w:bookmarkStart w:id="394" w:name="_Toc244238533"/>
      <w:r>
        <w:rPr>
          <w:rFonts w:ascii="Times New Roman" w:hAnsi="Times New Roman" w:eastAsia="宋体"/>
          <w:b/>
          <w:i w:val="0"/>
          <w:iCs w:val="0"/>
          <w:sz w:val="28"/>
          <w:szCs w:val="28"/>
        </w:rPr>
        <w:t>1</w:t>
      </w:r>
      <w:r>
        <w:rPr>
          <w:rFonts w:hint="eastAsia" w:ascii="Times New Roman" w:hAnsi="Times New Roman" w:eastAsia="宋体"/>
          <w:b/>
          <w:i w:val="0"/>
          <w:iCs w:val="0"/>
          <w:sz w:val="28"/>
          <w:szCs w:val="28"/>
          <w:lang w:val="en-US" w:eastAsia="zh-CN"/>
        </w:rPr>
        <w:t>1</w:t>
      </w:r>
      <w:r>
        <w:rPr>
          <w:rFonts w:ascii="Times New Roman" w:hAnsi="Times New Roman" w:eastAsia="宋体"/>
          <w:b/>
          <w:i w:val="0"/>
          <w:iCs w:val="0"/>
          <w:sz w:val="28"/>
          <w:szCs w:val="28"/>
        </w:rPr>
        <w:t>.</w:t>
      </w:r>
      <w:r>
        <w:rPr>
          <w:rFonts w:hint="eastAsia" w:ascii="Times New Roman" w:hAnsi="Times New Roman" w:eastAsia="宋体"/>
          <w:b/>
          <w:i w:val="0"/>
          <w:iCs w:val="0"/>
          <w:sz w:val="28"/>
          <w:szCs w:val="28"/>
        </w:rPr>
        <w:t>4</w:t>
      </w:r>
      <w:r>
        <w:rPr>
          <w:rFonts w:ascii="Times New Roman" w:hAnsi="Times New Roman" w:eastAsia="宋体"/>
          <w:b/>
          <w:i w:val="0"/>
          <w:iCs w:val="0"/>
          <w:sz w:val="28"/>
          <w:szCs w:val="28"/>
        </w:rPr>
        <w:t>公众参与认同程度</w:t>
      </w:r>
      <w:bookmarkEnd w:id="392"/>
    </w:p>
    <w:p>
      <w:pPr>
        <w:spacing w:line="360" w:lineRule="auto"/>
        <w:ind w:firstLine="480" w:firstLineChars="200"/>
        <w:rPr>
          <w:rFonts w:hint="eastAsia"/>
          <w:i w:val="0"/>
          <w:iCs w:val="0"/>
        </w:rPr>
      </w:pPr>
      <w:r>
        <w:rPr>
          <w:rFonts w:hint="eastAsia"/>
          <w:i w:val="0"/>
          <w:iCs w:val="0"/>
        </w:rPr>
        <w:t>本项目位于</w:t>
      </w:r>
      <w:r>
        <w:rPr>
          <w:rFonts w:hint="eastAsia"/>
          <w:i w:val="0"/>
          <w:iCs w:val="0"/>
          <w:lang w:eastAsia="zh-CN"/>
        </w:rPr>
        <w:t>白山市江源工业经济开发区长白山特色食药科技产业园区</w:t>
      </w:r>
      <w:r>
        <w:rPr>
          <w:rFonts w:hint="eastAsia"/>
          <w:i w:val="0"/>
          <w:iCs w:val="0"/>
        </w:rPr>
        <w:t>，园区规划环评已展开并通过评审，且进行公参调查。本项目的建设性质、规模等符合规划及审查意见，故本项目开展环境影响评价公众参与时可进行简化。根据建设单位提供的《年产1.2万吨天然红法夫酵母虾青素项目公众参与说明》，在本项目环境影响报告书征求意见稿编制完成后，建设单位于202</w:t>
      </w:r>
      <w:r>
        <w:rPr>
          <w:rFonts w:hint="eastAsia"/>
          <w:i w:val="0"/>
          <w:iCs w:val="0"/>
          <w:lang w:val="en-US" w:eastAsia="zh-CN"/>
        </w:rPr>
        <w:t>4</w:t>
      </w:r>
      <w:r>
        <w:rPr>
          <w:rFonts w:hint="eastAsia"/>
          <w:i w:val="0"/>
          <w:iCs w:val="0"/>
        </w:rPr>
        <w:t>年</w:t>
      </w:r>
      <w:r>
        <w:rPr>
          <w:rFonts w:hint="eastAsia"/>
          <w:i w:val="0"/>
          <w:iCs w:val="0"/>
          <w:lang w:val="en-US" w:eastAsia="zh-CN"/>
        </w:rPr>
        <w:t>5</w:t>
      </w:r>
      <w:r>
        <w:rPr>
          <w:rFonts w:hint="eastAsia"/>
          <w:i w:val="0"/>
          <w:iCs w:val="0"/>
        </w:rPr>
        <w:t>月</w:t>
      </w:r>
      <w:r>
        <w:rPr>
          <w:rFonts w:hint="eastAsia"/>
          <w:i w:val="0"/>
          <w:iCs w:val="0"/>
          <w:lang w:val="en-US" w:eastAsia="zh-CN"/>
        </w:rPr>
        <w:t>17</w:t>
      </w:r>
      <w:r>
        <w:rPr>
          <w:rFonts w:hint="eastAsia"/>
          <w:i w:val="0"/>
          <w:iCs w:val="0"/>
        </w:rPr>
        <w:t>日和</w:t>
      </w:r>
      <w:r>
        <w:rPr>
          <w:rFonts w:hint="eastAsia"/>
          <w:i w:val="0"/>
          <w:iCs w:val="0"/>
          <w:lang w:val="en-US" w:eastAsia="zh-CN"/>
        </w:rPr>
        <w:t>7</w:t>
      </w:r>
      <w:r>
        <w:rPr>
          <w:rFonts w:hint="eastAsia"/>
          <w:i w:val="0"/>
          <w:iCs w:val="0"/>
        </w:rPr>
        <w:t>月</w:t>
      </w:r>
      <w:r>
        <w:rPr>
          <w:rFonts w:hint="eastAsia"/>
          <w:i w:val="0"/>
          <w:iCs w:val="0"/>
          <w:lang w:val="en-US" w:eastAsia="zh-CN"/>
        </w:rPr>
        <w:t>26</w:t>
      </w:r>
      <w:r>
        <w:rPr>
          <w:rFonts w:hint="eastAsia"/>
          <w:i w:val="0"/>
          <w:iCs w:val="0"/>
        </w:rPr>
        <w:t>日分别在环保小智</w:t>
      </w:r>
      <w:r>
        <w:rPr>
          <w:rFonts w:hint="eastAsia"/>
          <w:bCs/>
          <w:i w:val="0"/>
          <w:iCs w:val="0"/>
        </w:rPr>
        <w:t>网</w:t>
      </w:r>
      <w:r>
        <w:rPr>
          <w:bCs/>
          <w:i w:val="0"/>
          <w:iCs w:val="0"/>
        </w:rPr>
        <w:t>站</w:t>
      </w:r>
      <w:r>
        <w:rPr>
          <w:rFonts w:hint="eastAsia"/>
          <w:i w:val="0"/>
          <w:iCs w:val="0"/>
        </w:rPr>
        <w:t>上进行第</w:t>
      </w:r>
      <w:r>
        <w:rPr>
          <w:rFonts w:hint="eastAsia"/>
          <w:i w:val="0"/>
          <w:iCs w:val="0"/>
          <w:lang w:eastAsia="zh-CN"/>
        </w:rPr>
        <w:t>一</w:t>
      </w:r>
      <w:r>
        <w:rPr>
          <w:rFonts w:hint="eastAsia"/>
          <w:i w:val="0"/>
          <w:iCs w:val="0"/>
        </w:rPr>
        <w:t>次公示</w:t>
      </w:r>
      <w:r>
        <w:rPr>
          <w:rFonts w:hint="eastAsia"/>
          <w:i w:val="0"/>
          <w:iCs w:val="0"/>
          <w:lang w:eastAsia="zh-CN"/>
        </w:rPr>
        <w:t>及</w:t>
      </w:r>
      <w:r>
        <w:rPr>
          <w:rFonts w:hint="eastAsia"/>
          <w:i w:val="0"/>
          <w:iCs w:val="0"/>
        </w:rPr>
        <w:t>第二次公示，并将环评报告书(征求意见稿)和公众参与调查表电子版上传到</w:t>
      </w:r>
      <w:r>
        <w:rPr>
          <w:rFonts w:hint="eastAsia"/>
          <w:bCs/>
          <w:i w:val="0"/>
          <w:iCs w:val="0"/>
        </w:rPr>
        <w:t>网</w:t>
      </w:r>
      <w:r>
        <w:rPr>
          <w:bCs/>
          <w:i w:val="0"/>
          <w:iCs w:val="0"/>
        </w:rPr>
        <w:t>站</w:t>
      </w:r>
      <w:r>
        <w:rPr>
          <w:rFonts w:hint="eastAsia"/>
          <w:i w:val="0"/>
          <w:iCs w:val="0"/>
        </w:rPr>
        <w:t>上供公众下载。</w:t>
      </w:r>
    </w:p>
    <w:p>
      <w:pPr>
        <w:spacing w:line="360" w:lineRule="auto"/>
        <w:ind w:firstLine="480" w:firstLineChars="200"/>
        <w:rPr>
          <w:i w:val="0"/>
          <w:iCs w:val="0"/>
        </w:rPr>
      </w:pPr>
      <w:r>
        <w:rPr>
          <w:rFonts w:hint="eastAsia"/>
          <w:i w:val="0"/>
          <w:iCs w:val="0"/>
        </w:rPr>
        <w:t>在上述公示期间均未接到公众反对信息和其它反馈信息，本项目所在地的公众对本项目认同性较好，本项目在建设和运营期间还应在公众的监督下严格落实各项污染防治措施。</w:t>
      </w:r>
    </w:p>
    <w:bookmarkEnd w:id="393"/>
    <w:bookmarkEnd w:id="394"/>
    <w:p>
      <w:pPr>
        <w:pStyle w:val="4"/>
        <w:rPr>
          <w:rFonts w:ascii="Times New Roman" w:hAnsi="Times New Roman" w:eastAsia="宋体"/>
          <w:b/>
          <w:i w:val="0"/>
          <w:iCs w:val="0"/>
          <w:sz w:val="28"/>
          <w:szCs w:val="28"/>
        </w:rPr>
      </w:pPr>
      <w:bookmarkStart w:id="395" w:name="_Toc323280031"/>
      <w:bookmarkStart w:id="396" w:name="_Toc8043"/>
      <w:bookmarkStart w:id="397" w:name="_Toc244238534"/>
      <w:r>
        <w:rPr>
          <w:rFonts w:ascii="Times New Roman" w:hAnsi="Times New Roman" w:eastAsia="宋体"/>
          <w:b/>
          <w:i w:val="0"/>
          <w:iCs w:val="0"/>
          <w:sz w:val="28"/>
          <w:szCs w:val="28"/>
        </w:rPr>
        <w:t>1</w:t>
      </w:r>
      <w:r>
        <w:rPr>
          <w:rFonts w:hint="eastAsia" w:ascii="Times New Roman" w:hAnsi="Times New Roman" w:eastAsia="宋体"/>
          <w:b/>
          <w:i w:val="0"/>
          <w:iCs w:val="0"/>
          <w:sz w:val="28"/>
          <w:szCs w:val="28"/>
          <w:lang w:val="en-US" w:eastAsia="zh-CN"/>
        </w:rPr>
        <w:t>1</w:t>
      </w:r>
      <w:r>
        <w:rPr>
          <w:rFonts w:ascii="Times New Roman" w:hAnsi="Times New Roman" w:eastAsia="宋体"/>
          <w:b/>
          <w:i w:val="0"/>
          <w:iCs w:val="0"/>
          <w:sz w:val="28"/>
          <w:szCs w:val="28"/>
        </w:rPr>
        <w:t>.</w:t>
      </w:r>
      <w:r>
        <w:rPr>
          <w:rFonts w:hint="eastAsia" w:ascii="Times New Roman" w:hAnsi="Times New Roman" w:eastAsia="宋体"/>
          <w:b/>
          <w:i w:val="0"/>
          <w:iCs w:val="0"/>
          <w:sz w:val="28"/>
          <w:szCs w:val="28"/>
        </w:rPr>
        <w:t>5</w:t>
      </w:r>
      <w:r>
        <w:rPr>
          <w:rFonts w:ascii="Times New Roman" w:hAnsi="Times New Roman" w:eastAsia="宋体"/>
          <w:b/>
          <w:i w:val="0"/>
          <w:iCs w:val="0"/>
          <w:sz w:val="28"/>
          <w:szCs w:val="28"/>
        </w:rPr>
        <w:t>小结</w:t>
      </w:r>
      <w:bookmarkEnd w:id="395"/>
      <w:bookmarkEnd w:id="396"/>
      <w:bookmarkEnd w:id="397"/>
    </w:p>
    <w:p>
      <w:pPr>
        <w:spacing w:line="360" w:lineRule="auto"/>
        <w:ind w:firstLine="480" w:firstLineChars="200"/>
        <w:rPr>
          <w:i w:val="0"/>
          <w:iCs w:val="0"/>
        </w:rPr>
      </w:pPr>
      <w:bookmarkStart w:id="398" w:name="_Hlt195608477"/>
      <w:bookmarkEnd w:id="398"/>
      <w:r>
        <w:rPr>
          <w:i w:val="0"/>
          <w:iCs w:val="0"/>
        </w:rPr>
        <w:t>项目</w:t>
      </w:r>
      <w:r>
        <w:rPr>
          <w:rFonts w:hint="eastAsia"/>
          <w:i w:val="0"/>
          <w:iCs w:val="0"/>
        </w:rPr>
        <w:t>位于白山市江源工业经济开发区长白山特色食药科技产业园区，项目</w:t>
      </w:r>
      <w:r>
        <w:rPr>
          <w:i w:val="0"/>
          <w:iCs w:val="0"/>
        </w:rPr>
        <w:t>所在区域非饮用水水源保护区、自然保护区、风景名胜区、生态功能保护区、基本农田保护区等，因此不属于需特殊保护地区。建设项目规模、布局符合国家、</w:t>
      </w:r>
      <w:r>
        <w:rPr>
          <w:rFonts w:hint="eastAsia"/>
          <w:i w:val="0"/>
          <w:iCs w:val="0"/>
        </w:rPr>
        <w:t>吉林省生态环境保护“十四五”规划</w:t>
      </w:r>
      <w:r>
        <w:rPr>
          <w:i w:val="0"/>
          <w:iCs w:val="0"/>
        </w:rPr>
        <w:t>，符合产业、行业政策</w:t>
      </w:r>
      <w:r>
        <w:rPr>
          <w:rFonts w:hint="eastAsia"/>
          <w:i w:val="0"/>
          <w:iCs w:val="0"/>
        </w:rPr>
        <w:t>，</w:t>
      </w:r>
      <w:r>
        <w:rPr>
          <w:i w:val="0"/>
          <w:iCs w:val="0"/>
        </w:rPr>
        <w:t>由工程分析、</w:t>
      </w:r>
      <w:bookmarkStart w:id="399" w:name="_Hlt196791089"/>
      <w:bookmarkEnd w:id="399"/>
      <w:r>
        <w:rPr>
          <w:i w:val="0"/>
          <w:iCs w:val="0"/>
        </w:rPr>
        <w:t>治理措施及预测可知，项目生产采用的生产工艺和设备，</w:t>
      </w:r>
      <w:bookmarkStart w:id="400" w:name="_Hlt157498962"/>
      <w:bookmarkEnd w:id="400"/>
      <w:r>
        <w:rPr>
          <w:i w:val="0"/>
          <w:iCs w:val="0"/>
        </w:rPr>
        <w:t>符合清洁生产要求，排放污染物在采取适当的措施后，对环境没有明显影响，因此从产业政策、环境影响可接受性等多方面考虑，项目选址可行。</w:t>
      </w:r>
      <w:bookmarkStart w:id="401" w:name="_Hlt196538786"/>
      <w:bookmarkEnd w:id="401"/>
      <w:bookmarkStart w:id="402" w:name="_Hlt199413407"/>
      <w:bookmarkEnd w:id="402"/>
    </w:p>
    <w:sectPr>
      <w:headerReference r:id="rId18" w:type="default"/>
      <w:footerReference r:id="rId1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幼圆">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_x000B__x000C_">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roman"/>
    <w:pitch w:val="default"/>
    <w:sig w:usb0="FFFFFFFF" w:usb1="E9FFFFFF" w:usb2="0000003F" w:usb3="00000000" w:csb0="603F01FF" w:csb1="FFFF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10006FF" w:usb1="4000205B" w:usb2="00000010" w:usb3="00000000" w:csb0="2000019F" w:csb1="00000000"/>
  </w:font>
  <w:font w:name="Math1">
    <w:altName w:val="Symbol"/>
    <w:panose1 w:val="05000502060100000001"/>
    <w:charset w:val="02"/>
    <w:family w:val="auto"/>
    <w:pitch w:val="default"/>
    <w:sig w:usb0="00000000" w:usb1="00000000" w:usb2="00000000" w:usb3="00000000" w:csb0="80000000" w:csb1="00000000"/>
  </w:font>
  <w:font w:name="Malgun Gothic">
    <w:panose1 w:val="020B0503020000020004"/>
    <w:charset w:val="81"/>
    <w:family w:val="swiss"/>
    <w:pitch w:val="default"/>
    <w:sig w:usb0="900002AF" w:usb1="01D77CFB" w:usb2="00000012" w:usb3="00000000" w:csb0="00080001" w:csb1="0000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Cambria Math">
    <w:panose1 w:val="02040503050406030204"/>
    <w:charset w:val="00"/>
    <w:family w:val="auto"/>
    <w:pitch w:val="default"/>
    <w:sig w:usb0="E00002FF" w:usb1="420024FF" w:usb2="00000000" w:usb3="00000000" w:csb0="2000019F" w:csb1="00000000"/>
  </w:font>
  <w:font w:name="TimesNewRomanPSMT">
    <w:altName w:val="Times New Roman"/>
    <w:panose1 w:val="00000000000000000000"/>
    <w:charset w:val="80"/>
    <w:family w:val="auto"/>
    <w:pitch w:val="default"/>
    <w:sig w:usb0="00000000" w:usb1="00000000" w:usb2="00000000" w:usb3="00000000" w:csb0="00020000" w:csb1="00000000"/>
  </w:font>
  <w:font w:name="Microsoft YaHei ΢ȭхڢ  ڌ墠 ˎ̥">
    <w:altName w:val="宋体"/>
    <w:panose1 w:val="00000000000000000000"/>
    <w:charset w:val="86"/>
    <w:family w:val="roman"/>
    <w:pitch w:val="default"/>
    <w:sig w:usb0="00000000" w:usb1="00000000" w:usb2="00000010" w:usb3="00000000" w:csb0="00040000"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numPr>
        <w:ilvl w:val="0"/>
        <w:numId w:val="0"/>
      </w:numP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29" w:line="43" w:lineRule="exact"/>
      <w:textAlignment w:val="center"/>
    </w:pPr>
    <w:r>
      <w:rPr>
        <w:sz w:val="24"/>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numPr>
                              <w:ilvl w:val="0"/>
                              <w:numId w:val="0"/>
                            </w:numPr>
                            <w:ind w:left="1440" w:leftChars="0"/>
                          </w:pPr>
                          <w:r>
                            <w:fldChar w:fldCharType="begin"/>
                          </w:r>
                          <w:r>
                            <w:instrText xml:space="preserve"> PAGE  \* MERGEFORMAT </w:instrText>
                          </w:r>
                          <w:r>
                            <w:fldChar w:fldCharType="separate"/>
                          </w:r>
                          <w:r>
                            <w:t>148</w:t>
                          </w:r>
                          <w:r>
                            <w:fldChar w:fldCharType="end"/>
                          </w:r>
                        </w:p>
                      </w:txbxContent>
                    </wps:txbx>
                    <wps:bodyPr vert="horz" wrap="none" lIns="0" tIns="0" rIns="0" bIns="0" anchor="t" anchorCtr="0" upright="0">
                      <a:spAutoFit/>
                    </wps:bodyPr>
                  </wps:wsp>
                </a:graphicData>
              </a:graphic>
            </wp:anchor>
          </w:drawing>
        </mc:Choice>
        <mc:Fallback>
          <w:pict>
            <v:shape id="文本框 34"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MPIcf4QEAAMADAAAOAAAA&#10;AAAAAAEAIAAAAB4BAABkcnMvZTJvRG9jLnhtbFBLBQYAAAAABgAGAFkBAABxBQAAAAA=&#10;">
              <v:fill on="f" focussize="0,0"/>
              <v:stroke on="f"/>
              <v:imagedata o:title=""/>
              <o:lock v:ext="edit" aspectratio="f"/>
              <v:textbox inset="0mm,0mm,0mm,0mm" style="mso-fit-shape-to-text:t;">
                <w:txbxContent>
                  <w:p>
                    <w:pPr>
                      <w:pStyle w:val="39"/>
                      <w:numPr>
                        <w:ilvl w:val="0"/>
                        <w:numId w:val="0"/>
                      </w:numPr>
                      <w:ind w:left="1440" w:leftChars="0"/>
                    </w:pPr>
                    <w:r>
                      <w:fldChar w:fldCharType="begin"/>
                    </w:r>
                    <w:r>
                      <w:instrText xml:space="preserve"> PAGE  \* MERGEFORMAT </w:instrText>
                    </w:r>
                    <w:r>
                      <w:fldChar w:fldCharType="separate"/>
                    </w:r>
                    <w:r>
                      <w:t>148</w:t>
                    </w:r>
                    <w:r>
                      <w:fldChar w:fldCharType="end"/>
                    </w:r>
                  </w:p>
                </w:txbxContent>
              </v:textbox>
            </v:shape>
          </w:pict>
        </mc:Fallback>
      </mc:AlternateContent>
    </w:r>
  </w:p>
  <w:p>
    <w:pPr>
      <w:spacing w:line="229" w:lineRule="auto"/>
      <w:ind w:right="80"/>
      <w:jc w:val="right"/>
      <w:rPr>
        <w:rFonts w:ascii="宋体" w:hAnsi="宋体" w:cs="宋体"/>
        <w:sz w:val="17"/>
        <w:szCs w:val="17"/>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center" w:y="1"/>
      <w:rPr>
        <w:rStyle w:val="62"/>
      </w:rPr>
    </w:pPr>
    <w:r>
      <w:fldChar w:fldCharType="begin"/>
    </w:r>
    <w:r>
      <w:rPr>
        <w:rStyle w:val="62"/>
      </w:rPr>
      <w:instrText xml:space="preserve">PAGE  </w:instrText>
    </w:r>
    <w:r>
      <w:fldChar w:fldCharType="end"/>
    </w:r>
  </w:p>
  <w:p>
    <w:pPr>
      <w:pStyle w:val="39"/>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numPr>
        <w:ilvl w:val="0"/>
        <w:numId w:val="0"/>
      </w:numPr>
    </w:pPr>
    <w:r>
      <w:rPr>
        <w:sz w:val="24"/>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numPr>
                              <w:ilvl w:val="0"/>
                              <w:numId w:val="0"/>
                            </w:numPr>
                            <w:ind w:left="1440" w:leftChars="0"/>
                          </w:pPr>
                          <w:r>
                            <w:fldChar w:fldCharType="begin"/>
                          </w:r>
                          <w:r>
                            <w:instrText xml:space="preserve"> PAGE  \* MERGEFORMAT </w:instrText>
                          </w:r>
                          <w:r>
                            <w:fldChar w:fldCharType="separate"/>
                          </w:r>
                          <w:r>
                            <w:t>159</w:t>
                          </w:r>
                          <w:r>
                            <w:fldChar w:fldCharType="end"/>
                          </w:r>
                        </w:p>
                      </w:txbxContent>
                    </wps:txbx>
                    <wps:bodyPr vert="horz" wrap="none" lIns="0" tIns="0" rIns="0" bIns="0" anchor="t" anchorCtr="0" upright="0">
                      <a:spAutoFit/>
                    </wps:bodyPr>
                  </wps:wsp>
                </a:graphicData>
              </a:graphic>
            </wp:anchor>
          </w:drawing>
        </mc:Choice>
        <mc:Fallback>
          <w:pict>
            <v:shape id="文本框 35"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NIWxON8BAADAAwAADgAAAAAA&#10;AAABACAAAAAeAQAAZHJzL2Uyb0RvYy54bWxQSwUGAAAAAAYABgBZAQAAbwUAAAAA&#10;">
              <v:fill on="f" focussize="0,0"/>
              <v:stroke on="f"/>
              <v:imagedata o:title=""/>
              <o:lock v:ext="edit" aspectratio="f"/>
              <v:textbox inset="0mm,0mm,0mm,0mm" style="mso-fit-shape-to-text:t;">
                <w:txbxContent>
                  <w:p>
                    <w:pPr>
                      <w:pStyle w:val="39"/>
                      <w:numPr>
                        <w:ilvl w:val="0"/>
                        <w:numId w:val="0"/>
                      </w:numPr>
                      <w:ind w:left="1440" w:leftChars="0"/>
                    </w:pPr>
                    <w:r>
                      <w:fldChar w:fldCharType="begin"/>
                    </w:r>
                    <w:r>
                      <w:instrText xml:space="preserve"> PAGE  \* MERGEFORMAT </w:instrText>
                    </w:r>
                    <w:r>
                      <w:fldChar w:fldCharType="separate"/>
                    </w:r>
                    <w:r>
                      <w:t>159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center" w:y="1"/>
      <w:rPr>
        <w:rStyle w:val="62"/>
      </w:rPr>
    </w:pPr>
    <w:r>
      <w:fldChar w:fldCharType="begin"/>
    </w:r>
    <w:r>
      <w:rPr>
        <w:rStyle w:val="62"/>
      </w:rPr>
      <w:instrText xml:space="preserve">PAGE  </w:instrText>
    </w:r>
    <w:r>
      <w:fldChar w:fldCharType="end"/>
    </w:r>
  </w:p>
  <w:p>
    <w:pPr>
      <w:pStyle w:val="3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numPr>
        <w:ilvl w:val="0"/>
        <w:numId w:val="0"/>
      </w:num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numPr>
        <w:ilvl w:val="0"/>
        <w:numId w:val="0"/>
      </w:numPr>
      <w:ind w:left="1440" w:leftChars="0"/>
      <w:rPr>
        <w:rFonts w:hint="eastAsia"/>
        <w:lang w:eastAsia="zh-CN"/>
      </w:rPr>
    </w:pPr>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numPr>
                              <w:ilvl w:val="0"/>
                              <w:numId w:val="0"/>
                            </w:numPr>
                            <w:ind w:left="1440" w:leftChars="0"/>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0mgTsd8BAADAAwAADgAAAAAA&#10;AAABACAAAAAeAQAAZHJzL2Uyb0RvYy54bWxQSwUGAAAAAAYABgBZAQAAbwUAAAAA&#10;">
              <v:fill on="f" focussize="0,0"/>
              <v:stroke on="f"/>
              <v:imagedata o:title=""/>
              <o:lock v:ext="edit" aspectratio="f"/>
              <v:textbox inset="0mm,0mm,0mm,0mm" style="mso-fit-shape-to-text:t;">
                <w:txbxContent>
                  <w:p>
                    <w:pPr>
                      <w:pStyle w:val="39"/>
                      <w:numPr>
                        <w:ilvl w:val="0"/>
                        <w:numId w:val="0"/>
                      </w:numPr>
                      <w:ind w:left="1440" w:leftChars="0"/>
                    </w:pPr>
                    <w:r>
                      <w:fldChar w:fldCharType="begin"/>
                    </w:r>
                    <w:r>
                      <w:instrText xml:space="preserve"> PAGE  \* MERGEFORMAT </w:instrText>
                    </w:r>
                    <w:r>
                      <w:fldChar w:fldCharType="separate"/>
                    </w:r>
                    <w:r>
                      <w:t>1</w:t>
                    </w:r>
                    <w:r>
                      <w:fldChar w:fldCharType="end"/>
                    </w:r>
                  </w:p>
                </w:txbxContent>
              </v:textbox>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29"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numPr>
                              <w:ilvl w:val="0"/>
                              <w:numId w:val="0"/>
                            </w:numPr>
                            <w:ind w:left="1440" w:leftChars="0"/>
                          </w:pPr>
                        </w:p>
                      </w:txbxContent>
                    </wps:txbx>
                    <wps:bodyPr wrap="none" lIns="0" tIns="0" rIns="0" bIns="0" upright="0">
                      <a:spAutoFit/>
                    </wps:bodyPr>
                  </wps:wsp>
                </a:graphicData>
              </a:graphic>
            </wp:anchor>
          </w:drawing>
        </mc:Choice>
        <mc:Fallback>
          <w:pict>
            <v:shape id="文本框 25"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lBOAr8oBAACbAwAADgAAAAAAAAABACAAAAAeAQAAZHJzL2Uyb0Rv&#10;Yy54bWxQSwUGAAAAAAYABgBZAQAAWgUAAAAA&#10;">
              <v:fill on="f" focussize="0,0"/>
              <v:stroke on="f"/>
              <v:imagedata o:title=""/>
              <o:lock v:ext="edit" aspectratio="f"/>
              <v:textbox inset="0mm,0mm,0mm,0mm" style="mso-fit-shape-to-text:t;">
                <w:txbxContent>
                  <w:p>
                    <w:pPr>
                      <w:pStyle w:val="39"/>
                      <w:numPr>
                        <w:ilvl w:val="0"/>
                        <w:numId w:val="0"/>
                      </w:numPr>
                      <w:ind w:left="1440" w:leftChars="0"/>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numPr>
        <w:ilvl w:val="0"/>
        <w:numId w:val="0"/>
      </w:numPr>
      <w:ind w:left="1440" w:leftChars="0"/>
      <w:rPr>
        <w:rFonts w:hint="eastAsia"/>
        <w:lang w:eastAsia="zh-CN"/>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numPr>
                              <w:ilvl w:val="0"/>
                              <w:numId w:val="0"/>
                            </w:numPr>
                            <w:ind w:left="1440" w:leftChars="0"/>
                          </w:pPr>
                          <w:r>
                            <w:fldChar w:fldCharType="begin"/>
                          </w:r>
                          <w:r>
                            <w:instrText xml:space="preserve"> PAGE  \* MERGEFORMAT </w:instrText>
                          </w:r>
                          <w:r>
                            <w:fldChar w:fldCharType="separate"/>
                          </w:r>
                          <w:r>
                            <w:t>7</w:t>
                          </w:r>
                          <w:r>
                            <w:fldChar w:fldCharType="end"/>
                          </w:r>
                        </w:p>
                      </w:txbxContent>
                    </wps:txbx>
                    <wps:bodyPr vert="horz" wrap="none" lIns="0" tIns="0" rIns="0" bIns="0" anchor="t" anchorCtr="0" upright="0">
                      <a:spAutoFit/>
                    </wps:bodyPr>
                  </wps:wsp>
                </a:graphicData>
              </a:graphic>
            </wp:anchor>
          </w:drawing>
        </mc:Choice>
        <mc:Fallback>
          <w:pict>
            <v:shape id="文本框 27"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JU3yZDgAQAAwAMAAA4AAAAA&#10;AAAAAQAgAAAAHgEAAGRycy9lMm9Eb2MueG1sUEsFBgAAAAAGAAYAWQEAAHAFAAAAAA==&#10;">
              <v:fill on="f" focussize="0,0"/>
              <v:stroke on="f"/>
              <v:imagedata o:title=""/>
              <o:lock v:ext="edit" aspectratio="f"/>
              <v:textbox inset="0mm,0mm,0mm,0mm" style="mso-fit-shape-to-text:t;">
                <w:txbxContent>
                  <w:p>
                    <w:pPr>
                      <w:pStyle w:val="39"/>
                      <w:numPr>
                        <w:ilvl w:val="0"/>
                        <w:numId w:val="0"/>
                      </w:numPr>
                      <w:ind w:left="1440" w:leftChars="0"/>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numPr>
        <w:ilvl w:val="0"/>
        <w:numId w:val="0"/>
      </w:numPr>
      <w:jc w:val="center"/>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numPr>
                              <w:ilvl w:val="0"/>
                              <w:numId w:val="0"/>
                            </w:numPr>
                            <w:ind w:left="1440" w:leftChars="0"/>
                          </w:pPr>
                          <w:r>
                            <w:fldChar w:fldCharType="begin"/>
                          </w:r>
                          <w:r>
                            <w:instrText xml:space="preserve"> PAGE  \* MERGEFORMAT </w:instrText>
                          </w:r>
                          <w:r>
                            <w:fldChar w:fldCharType="separate"/>
                          </w:r>
                          <w:r>
                            <w:t>17</w:t>
                          </w:r>
                          <w:r>
                            <w:fldChar w:fldCharType="end"/>
                          </w:r>
                        </w:p>
                      </w:txbxContent>
                    </wps:txbx>
                    <wps:bodyPr vert="horz" wrap="none" lIns="0" tIns="0" rIns="0" bIns="0" anchor="t" anchorCtr="0" upright="0">
                      <a:spAutoFit/>
                    </wps:bodyPr>
                  </wps:wsp>
                </a:graphicData>
              </a:graphic>
            </wp:anchor>
          </w:drawing>
        </mc:Choice>
        <mc:Fallback>
          <w:pict>
            <v:shape id="文本框 2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uSTuLd8BAADAAwAADgAAAAAA&#10;AAABACAAAAAeAQAAZHJzL2Uyb0RvYy54bWxQSwUGAAAAAAYABgBZAQAAbwUAAAAA&#10;">
              <v:fill on="f" focussize="0,0"/>
              <v:stroke on="f"/>
              <v:imagedata o:title=""/>
              <o:lock v:ext="edit" aspectratio="f"/>
              <v:textbox inset="0mm,0mm,0mm,0mm" style="mso-fit-shape-to-text:t;">
                <w:txbxContent>
                  <w:p>
                    <w:pPr>
                      <w:pStyle w:val="39"/>
                      <w:numPr>
                        <w:ilvl w:val="0"/>
                        <w:numId w:val="0"/>
                      </w:numPr>
                      <w:ind w:left="1440" w:leftChars="0"/>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numPr>
        <w:ilvl w:val="0"/>
        <w:numId w:val="0"/>
      </w:numPr>
      <w:tabs>
        <w:tab w:val="left" w:pos="3399"/>
        <w:tab w:val="center" w:pos="4599"/>
      </w:tabs>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numPr>
                              <w:ilvl w:val="0"/>
                              <w:numId w:val="0"/>
                            </w:numPr>
                            <w:ind w:left="1440" w:leftChars="0"/>
                          </w:pPr>
                          <w:r>
                            <w:fldChar w:fldCharType="begin"/>
                          </w:r>
                          <w:r>
                            <w:instrText xml:space="preserve"> PAGE  \* MERGEFORMAT </w:instrText>
                          </w:r>
                          <w:r>
                            <w:fldChar w:fldCharType="separate"/>
                          </w:r>
                          <w:r>
                            <w:t>36</w:t>
                          </w:r>
                          <w:r>
                            <w:fldChar w:fldCharType="end"/>
                          </w:r>
                        </w:p>
                      </w:txbxContent>
                    </wps:txbx>
                    <wps:bodyPr vert="horz" wrap="none" lIns="0" tIns="0" rIns="0" bIns="0" anchor="t" anchorCtr="0" upright="0">
                      <a:spAutoFit/>
                    </wps:bodyPr>
                  </wps:wsp>
                </a:graphicData>
              </a:graphic>
            </wp:anchor>
          </w:drawing>
        </mc:Choice>
        <mc:Fallback>
          <w:pict>
            <v:shape id="文本框 31"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Ben9f/gAQAAwAMAAA4AAAAA&#10;AAAAAQAgAAAAHgEAAGRycy9lMm9Eb2MueG1sUEsFBgAAAAAGAAYAWQEAAHAFAAAAAA==&#10;">
              <v:fill on="f" focussize="0,0"/>
              <v:stroke on="f"/>
              <v:imagedata o:title=""/>
              <o:lock v:ext="edit" aspectratio="f"/>
              <v:textbox inset="0mm,0mm,0mm,0mm" style="mso-fit-shape-to-text:t;">
                <w:txbxContent>
                  <w:p>
                    <w:pPr>
                      <w:pStyle w:val="39"/>
                      <w:numPr>
                        <w:ilvl w:val="0"/>
                        <w:numId w:val="0"/>
                      </w:numPr>
                      <w:ind w:left="1440" w:leftChars="0"/>
                    </w:pPr>
                    <w:r>
                      <w:fldChar w:fldCharType="begin"/>
                    </w:r>
                    <w:r>
                      <w:instrText xml:space="preserve"> PAGE  \* MERGEFORMAT </w:instrText>
                    </w:r>
                    <w:r>
                      <w:fldChar w:fldCharType="separate"/>
                    </w:r>
                    <w:r>
                      <w:t>36</w:t>
                    </w:r>
                    <w:r>
                      <w:fldChar w:fldCharType="end"/>
                    </w:r>
                  </w:p>
                </w:txbxContent>
              </v:textbox>
            </v:shape>
          </w:pict>
        </mc:Fallback>
      </mc:AlternateContent>
    </w:r>
    <w:r>
      <w:rPr>
        <w:rFonts w:hint="eastAsia"/>
        <w:b/>
        <w:sz w:val="18"/>
      </w:rPr>
      <mc:AlternateContent>
        <mc:Choice Requires="wps">
          <w:drawing>
            <wp:anchor distT="0" distB="0" distL="114300" distR="114300" simplePos="0" relativeHeight="251662336" behindDoc="0" locked="0" layoutInCell="1" allowOverlap="1">
              <wp:simplePos x="0" y="0"/>
              <wp:positionH relativeFrom="column">
                <wp:posOffset>48260</wp:posOffset>
              </wp:positionH>
              <wp:positionV relativeFrom="paragraph">
                <wp:posOffset>3103880</wp:posOffset>
              </wp:positionV>
              <wp:extent cx="635" cy="0"/>
              <wp:effectExtent l="0" t="4445" r="0" b="5080"/>
              <wp:wrapNone/>
              <wp:docPr id="28" name="直线 407"/>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07" o:spid="_x0000_s1026" o:spt="20" style="position:absolute;left:0pt;margin-left:3.8pt;margin-top:244.4pt;height:0pt;width:0.05pt;z-index:251662336;mso-width-relative:page;mso-height-relative:page;" filled="f" stroked="t" coordsize="21600,21600" o:gfxdata="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qPKvu0wAAAAcB&#10;AAAPAAAAAAAAAAEAIAAAACIAAABkcnMvZG93bnJldi54bWxQSwECFAAUAAAACACHTuJA/b3x1OcB&#10;AADaAwAADgAAAAAAAAABACAAAAAiAQAAZHJzL2Uyb0RvYy54bWxQSwUGAAAAAAYABgBZAQAAewUA&#10;AAAA&#10;">
              <v:fill on="f" focussize="0,0"/>
              <v:stroke color="#000000" joinstyle="round"/>
              <v:imagedata o:title=""/>
              <o:lock v:ext="edit" aspectratio="f"/>
            </v:line>
          </w:pict>
        </mc:Fallback>
      </mc:AlternateContent>
    </w:r>
    <w:r>
      <w:rPr>
        <w:rFonts w:hint="eastAsia"/>
        <w:b/>
        <w:sz w:val="18"/>
      </w:rPr>
      <mc:AlternateContent>
        <mc:Choice Requires="wps">
          <w:drawing>
            <wp:anchor distT="0" distB="0" distL="114300" distR="114300" simplePos="0" relativeHeight="251661312" behindDoc="0" locked="0" layoutInCell="1" allowOverlap="1">
              <wp:simplePos x="0" y="0"/>
              <wp:positionH relativeFrom="column">
                <wp:posOffset>64770</wp:posOffset>
              </wp:positionH>
              <wp:positionV relativeFrom="paragraph">
                <wp:posOffset>3094355</wp:posOffset>
              </wp:positionV>
              <wp:extent cx="5848350" cy="0"/>
              <wp:effectExtent l="0" t="4445" r="0" b="5080"/>
              <wp:wrapNone/>
              <wp:docPr id="27" name="直线 406"/>
              <wp:cNvGraphicFramePr/>
              <a:graphic xmlns:a="http://schemas.openxmlformats.org/drawingml/2006/main">
                <a:graphicData uri="http://schemas.microsoft.com/office/word/2010/wordprocessingShape">
                  <wps:wsp>
                    <wps:cNvCnPr/>
                    <wps:spPr>
                      <a:xfrm>
                        <a:off x="0" y="0"/>
                        <a:ext cx="5848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06" o:spid="_x0000_s1026" o:spt="20" style="position:absolute;left:0pt;margin-left:5.1pt;margin-top:243.65pt;height:0pt;width:460.5pt;z-index:251661312;mso-width-relative:page;mso-height-relative:page;" filled="f" stroked="t" coordsize="21600,21600" o:gfxdata="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BL&#10;BL7WAAAACgEAAA8AAAAAAAAAAQAgAAAAIgAAAGRycy9kb3ducmV2LnhtbFBLAQIUABQAAAAIAIdO&#10;4kBnZdlp7AEAAN4DAAAOAAAAAAAAAAEAIAAAACUBAABkcnMvZTJvRG9jLnhtbFBLBQYAAAAABgAG&#10;AFkBAACDBQAAAAA=&#10;">
              <v:fill on="f" focussize="0,0"/>
              <v:stroke color="#000000" joinstyle="round"/>
              <v:imagedata o:title=""/>
              <o:lock v:ext="edit" aspectratio="f"/>
            </v:lin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numPr>
        <w:ilvl w:val="0"/>
        <w:numId w:val="0"/>
      </w:numPr>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numPr>
                              <w:ilvl w:val="0"/>
                              <w:numId w:val="0"/>
                            </w:numPr>
                            <w:ind w:left="1440" w:leftChars="0"/>
                          </w:pPr>
                          <w:r>
                            <w:fldChar w:fldCharType="begin"/>
                          </w:r>
                          <w:r>
                            <w:instrText xml:space="preserve"> PAGE  \* MERGEFORMAT </w:instrText>
                          </w:r>
                          <w:r>
                            <w:fldChar w:fldCharType="separate"/>
                          </w:r>
                          <w:r>
                            <w:t>51</w:t>
                          </w:r>
                          <w:r>
                            <w:fldChar w:fldCharType="end"/>
                          </w:r>
                        </w:p>
                      </w:txbxContent>
                    </wps:txbx>
                    <wps:bodyPr vert="horz" wrap="none" lIns="0" tIns="0" rIns="0" bIns="0" anchor="t" anchorCtr="0" upright="0">
                      <a:spAutoFit/>
                    </wps:bodyPr>
                  </wps:wsp>
                </a:graphicData>
              </a:graphic>
            </wp:anchor>
          </w:drawing>
        </mc:Choice>
        <mc:Fallback>
          <w:pict>
            <v:shape id="文本框 32"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KHT9BbgAQAAwAMAAA4AAAAA&#10;AAAAAQAgAAAAHgEAAGRycy9lMm9Eb2MueG1sUEsFBgAAAAAGAAYAWQEAAHAFAAAAAA==&#10;">
              <v:fill on="f" focussize="0,0"/>
              <v:stroke on="f"/>
              <v:imagedata o:title=""/>
              <o:lock v:ext="edit" aspectratio="f"/>
              <v:textbox inset="0mm,0mm,0mm,0mm" style="mso-fit-shape-to-text:t;">
                <w:txbxContent>
                  <w:p>
                    <w:pPr>
                      <w:pStyle w:val="39"/>
                      <w:numPr>
                        <w:ilvl w:val="0"/>
                        <w:numId w:val="0"/>
                      </w:numPr>
                      <w:ind w:left="1440" w:leftChars="0"/>
                    </w:pPr>
                    <w:r>
                      <w:fldChar w:fldCharType="begin"/>
                    </w:r>
                    <w:r>
                      <w:instrText xml:space="preserve"> PAGE  \* MERGEFORMAT </w:instrText>
                    </w:r>
                    <w:r>
                      <w:fldChar w:fldCharType="separate"/>
                    </w:r>
                    <w:r>
                      <w:t>51</w:t>
                    </w:r>
                    <w:r>
                      <w:fldChar w:fldCharType="end"/>
                    </w:r>
                  </w:p>
                </w:txbxContent>
              </v:textbox>
            </v:shape>
          </w:pict>
        </mc:Fallback>
      </mc:AlternateContent>
    </w:r>
    <w:r>
      <w:rPr>
        <w:rFonts w:hint="eastAsia"/>
        <w:b/>
        <w:sz w:val="18"/>
      </w:rPr>
      <mc:AlternateContent>
        <mc:Choice Requires="wps">
          <w:drawing>
            <wp:anchor distT="0" distB="0" distL="114300" distR="114300" simplePos="0" relativeHeight="251660288" behindDoc="0" locked="0" layoutInCell="1" allowOverlap="1">
              <wp:simplePos x="0" y="0"/>
              <wp:positionH relativeFrom="column">
                <wp:posOffset>48260</wp:posOffset>
              </wp:positionH>
              <wp:positionV relativeFrom="paragraph">
                <wp:posOffset>3103880</wp:posOffset>
              </wp:positionV>
              <wp:extent cx="635" cy="0"/>
              <wp:effectExtent l="0" t="4445" r="0" b="5080"/>
              <wp:wrapNone/>
              <wp:docPr id="26" name="直线 336"/>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36" o:spid="_x0000_s1026" o:spt="20" style="position:absolute;left:0pt;margin-left:3.8pt;margin-top:244.4pt;height:0pt;width:0.05pt;z-index:251660288;mso-width-relative:page;mso-height-relative:page;" filled="f" stroked="t" coordsize="21600,21600" o:gfxdata="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qPKvu0wAAAAcB&#10;AAAPAAAAAAAAAAEAIAAAACIAAABkcnMvZG93bnJldi54bWxQSwECFAAUAAAACACHTuJAJLlh8ecB&#10;AADaAwAADgAAAAAAAAABACAAAAAiAQAAZHJzL2Uyb0RvYy54bWxQSwUGAAAAAAYABgBZAQAAewUA&#10;AAAA&#10;">
              <v:fill on="f" focussize="0,0"/>
              <v:stroke color="#000000" joinstyle="round"/>
              <v:imagedata o:title=""/>
              <o:lock v:ext="edit" aspectratio="f"/>
            </v:line>
          </w:pict>
        </mc:Fallback>
      </mc:AlternateContent>
    </w:r>
    <w:r>
      <w:rPr>
        <w:rFonts w:hint="eastAsia"/>
        <w:b/>
        <w:sz w:val="18"/>
      </w:rPr>
      <mc:AlternateContent>
        <mc:Choice Requires="wps">
          <w:drawing>
            <wp:anchor distT="0" distB="0" distL="114300" distR="114300" simplePos="0" relativeHeight="251659264" behindDoc="0" locked="0" layoutInCell="1" allowOverlap="1">
              <wp:simplePos x="0" y="0"/>
              <wp:positionH relativeFrom="column">
                <wp:posOffset>64770</wp:posOffset>
              </wp:positionH>
              <wp:positionV relativeFrom="paragraph">
                <wp:posOffset>3094355</wp:posOffset>
              </wp:positionV>
              <wp:extent cx="5848350" cy="0"/>
              <wp:effectExtent l="0" t="4445" r="0" b="5080"/>
              <wp:wrapNone/>
              <wp:docPr id="25" name="直线 335"/>
              <wp:cNvGraphicFramePr/>
              <a:graphic xmlns:a="http://schemas.openxmlformats.org/drawingml/2006/main">
                <a:graphicData uri="http://schemas.microsoft.com/office/word/2010/wordprocessingShape">
                  <wps:wsp>
                    <wps:cNvCnPr/>
                    <wps:spPr>
                      <a:xfrm>
                        <a:off x="0" y="0"/>
                        <a:ext cx="5848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35" o:spid="_x0000_s1026" o:spt="20" style="position:absolute;left:0pt;margin-left:5.1pt;margin-top:243.65pt;height:0pt;width:460.5pt;z-index:251659264;mso-width-relative:page;mso-height-relative:page;" filled="f" stroked="t" coordsize="21600,21600" o:gfxdata="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SwS+&#10;1gAAAAoBAAAPAAAAAAAAAAEAIAAAACIAAABkcnMvZG93bnJldi54bWxQSwECFAAUAAAACACHTuJA&#10;LLDwDOoBAADeAwAADgAAAAAAAAABACAAAAAlAQAAZHJzL2Uyb0RvYy54bWxQSwUGAAAAAAYABgBZ&#10;AQAAgQUAAAAA&#10;">
              <v:fill on="f" focussize="0,0"/>
              <v:stroke color="#000000" joinstyle="round"/>
              <v:imagedata o:title=""/>
              <o:lock v:ext="edit" aspectratio="f"/>
            </v:lin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numPr>
        <w:ilvl w:val="0"/>
        <w:numId w:val="0"/>
      </w:numPr>
      <w:jc w:val="center"/>
    </w:pPr>
    <w:r>
      <w:rPr>
        <w:sz w:val="24"/>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numPr>
                              <w:ilvl w:val="0"/>
                              <w:numId w:val="0"/>
                            </w:numPr>
                            <w:ind w:left="1440" w:leftChars="0"/>
                          </w:pPr>
                          <w:r>
                            <w:fldChar w:fldCharType="begin"/>
                          </w:r>
                          <w:r>
                            <w:instrText xml:space="preserve"> PAGE  \* MERGEFORMAT </w:instrText>
                          </w:r>
                          <w:r>
                            <w:fldChar w:fldCharType="separate"/>
                          </w:r>
                          <w:r>
                            <w:t>78</w:t>
                          </w:r>
                          <w:r>
                            <w:fldChar w:fldCharType="end"/>
                          </w:r>
                        </w:p>
                      </w:txbxContent>
                    </wps:txbx>
                    <wps:bodyPr vert="horz" wrap="none" lIns="0" tIns="0" rIns="0" bIns="0" anchor="t" anchorCtr="0" upright="0">
                      <a:spAutoFit/>
                    </wps:bodyPr>
                  </wps:wsp>
                </a:graphicData>
              </a:graphic>
            </wp:anchor>
          </w:drawing>
        </mc:Choice>
        <mc:Fallback>
          <w:pict>
            <v:shape id="文本框 33"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JkZQbzgAQAAwAMAAA4AAAAA&#10;AAAAAQAgAAAAHgEAAGRycy9lMm9Eb2MueG1sUEsFBgAAAAAGAAYAWQEAAHAFAAAAAA==&#10;">
              <v:fill on="f" focussize="0,0"/>
              <v:stroke on="f"/>
              <v:imagedata o:title=""/>
              <o:lock v:ext="edit" aspectratio="f"/>
              <v:textbox inset="0mm,0mm,0mm,0mm" style="mso-fit-shape-to-text:t;">
                <w:txbxContent>
                  <w:p>
                    <w:pPr>
                      <w:pStyle w:val="39"/>
                      <w:numPr>
                        <w:ilvl w:val="0"/>
                        <w:numId w:val="0"/>
                      </w:numPr>
                      <w:ind w:left="1440" w:leftChars="0"/>
                    </w:pPr>
                    <w:r>
                      <w:fldChar w:fldCharType="begin"/>
                    </w:r>
                    <w:r>
                      <w:instrText xml:space="preserve"> PAGE  \* MERGEFORMAT </w:instrText>
                    </w:r>
                    <w:r>
                      <w:fldChar w:fldCharType="separate"/>
                    </w:r>
                    <w:r>
                      <w:t>78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left="12"/>
      <w:rPr>
        <w:rFonts w:ascii="宋体" w:hAnsi="宋体" w:cs="宋体"/>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E32D37"/>
    <w:multiLevelType w:val="singleLevel"/>
    <w:tmpl w:val="E3E32D37"/>
    <w:lvl w:ilvl="0" w:tentative="0">
      <w:start w:val="1"/>
      <w:numFmt w:val="decimal"/>
      <w:suff w:val="nothing"/>
      <w:lvlText w:val="%1、"/>
      <w:lvlJc w:val="left"/>
      <w:pPr>
        <w:ind w:left="60"/>
      </w:pPr>
    </w:lvl>
  </w:abstractNum>
  <w:abstractNum w:abstractNumId="1">
    <w:nsid w:val="FFFFFFFB"/>
    <w:multiLevelType w:val="multilevel"/>
    <w:tmpl w:val="FFFFFFFB"/>
    <w:lvl w:ilvl="0" w:tentative="0">
      <w:start w:val="1"/>
      <w:numFmt w:val="decimal"/>
      <w:lvlText w:val="%1."/>
      <w:legacy w:legacy="1" w:legacySpace="144" w:legacyIndent="0"/>
      <w:lvlJc w:val="left"/>
    </w:lvl>
    <w:lvl w:ilvl="1" w:tentative="0">
      <w:start w:val="1"/>
      <w:numFmt w:val="decimal"/>
      <w:lvlText w:val="%1.%2"/>
      <w:legacy w:legacy="1" w:legacySpace="144" w:legacyIndent="0"/>
      <w:lvlJc w:val="left"/>
    </w:lvl>
    <w:lvl w:ilvl="2" w:tentative="0">
      <w:start w:val="1"/>
      <w:numFmt w:val="decimal"/>
      <w:lvlText w:val="%1.%2.%3"/>
      <w:legacy w:legacy="1" w:legacySpace="144" w:legacyIndent="0"/>
      <w:lvlJc w:val="left"/>
    </w:lvl>
    <w:lvl w:ilvl="3" w:tentative="0">
      <w:start w:val="1"/>
      <w:numFmt w:val="decimal"/>
      <w:lvlText w:val="%1.%2.%3.%4"/>
      <w:legacy w:legacy="1" w:legacySpace="144" w:legacyIndent="0"/>
      <w:lvlJc w:val="left"/>
    </w:lvl>
    <w:lvl w:ilvl="4" w:tentative="0">
      <w:start w:val="1"/>
      <w:numFmt w:val="decimal"/>
      <w:lvlText w:val="%1.%2.%3.%4.%5"/>
      <w:legacy w:legacy="1" w:legacySpace="144" w:legacyIndent="0"/>
      <w:lvlJc w:val="left"/>
    </w:lvl>
    <w:lvl w:ilvl="5" w:tentative="0">
      <w:start w:val="1"/>
      <w:numFmt w:val="decimal"/>
      <w:lvlText w:val="%1.%2.%3.%4.%5.%6"/>
      <w:legacy w:legacy="1" w:legacySpace="144" w:legacyIndent="0"/>
      <w:lvlJc w:val="left"/>
    </w:lvl>
    <w:lvl w:ilvl="6" w:tentative="0">
      <w:start w:val="1"/>
      <w:numFmt w:val="decimal"/>
      <w:lvlText w:val="%1.%2.%3.%4.%5.%6.%7"/>
      <w:legacy w:legacy="1" w:legacySpace="144" w:legacyIndent="0"/>
      <w:lvlJc w:val="left"/>
    </w:lvl>
    <w:lvl w:ilvl="7" w:tentative="0">
      <w:start w:val="1"/>
      <w:numFmt w:val="decimal"/>
      <w:lvlText w:val="%1.%2.%3.%4.%5.%6.%7.%8"/>
      <w:legacy w:legacy="1" w:legacySpace="144" w:legacyIndent="0"/>
      <w:lvlJc w:val="left"/>
    </w:lvl>
    <w:lvl w:ilvl="8" w:tentative="0">
      <w:start w:val="1"/>
      <w:numFmt w:val="decimal"/>
      <w:pStyle w:val="12"/>
      <w:lvlText w:val="%1.%2.%3.%4.%5.%6.%7.%8.%9"/>
      <w:legacy w:legacy="1" w:legacySpace="144" w:legacyIndent="0"/>
      <w:lvlJc w:val="left"/>
    </w:lvl>
  </w:abstractNum>
  <w:abstractNum w:abstractNumId="2">
    <w:nsid w:val="106827EA"/>
    <w:multiLevelType w:val="multilevel"/>
    <w:tmpl w:val="106827EA"/>
    <w:lvl w:ilvl="0" w:tentative="0">
      <w:start w:val="1"/>
      <w:numFmt w:val="none"/>
      <w:suff w:val="nothing"/>
      <w:lvlText w:val=""/>
      <w:lvlJc w:val="left"/>
      <w:pPr>
        <w:ind w:left="432" w:hanging="432"/>
      </w:pPr>
      <w:rPr>
        <w:rFonts w:hint="eastAsia"/>
      </w:rPr>
    </w:lvl>
    <w:lvl w:ilvl="1" w:tentative="0">
      <w:start w:val="1"/>
      <w:numFmt w:val="decimal"/>
      <w:suff w:val="nothing"/>
      <w:lvlText w:val="%15.%2"/>
      <w:lvlJc w:val="left"/>
      <w:pPr>
        <w:ind w:left="576" w:hanging="576"/>
      </w:pPr>
      <w:rPr>
        <w:rFonts w:hint="default" w:ascii="Times New Roman" w:hAnsi="Times New Roman"/>
      </w:rPr>
    </w:lvl>
    <w:lvl w:ilvl="2" w:tentative="0">
      <w:start w:val="1"/>
      <w:numFmt w:val="decimal"/>
      <w:suff w:val="nothing"/>
      <w:lvlText w:val="%15.%2.%3"/>
      <w:lvlJc w:val="left"/>
      <w:pPr>
        <w:ind w:left="720" w:hanging="720"/>
      </w:pPr>
      <w:rPr>
        <w:rFonts w:hint="eastAsia"/>
      </w:rPr>
    </w:lvl>
    <w:lvl w:ilvl="3" w:tentative="0">
      <w:start w:val="1"/>
      <w:numFmt w:val="decimal"/>
      <w:suff w:val="nothing"/>
      <w:lvlText w:val="%15.%2.%3.%4"/>
      <w:lvlJc w:val="left"/>
      <w:pPr>
        <w:ind w:left="864" w:hanging="864"/>
      </w:pPr>
      <w:rPr>
        <w:rFonts w:hint="eastAsia"/>
      </w:rPr>
    </w:lvl>
    <w:lvl w:ilvl="4" w:tentative="0">
      <w:start w:val="1"/>
      <w:numFmt w:val="decimal"/>
      <w:pStyle w:val="8"/>
      <w:lvlText w:val="%1.%2.%3.%4.%5"/>
      <w:lvlJc w:val="left"/>
      <w:pPr>
        <w:tabs>
          <w:tab w:val="left" w:pos="1008"/>
        </w:tabs>
        <w:ind w:left="1008" w:hanging="1008"/>
      </w:pPr>
      <w:rPr>
        <w:rFonts w:hint="eastAsia"/>
      </w:rPr>
    </w:lvl>
    <w:lvl w:ilvl="5" w:tentative="0">
      <w:start w:val="1"/>
      <w:numFmt w:val="decimal"/>
      <w:pStyle w:val="9"/>
      <w:lvlText w:val="%1.%2.%3.%4.%5.%6"/>
      <w:lvlJc w:val="left"/>
      <w:pPr>
        <w:tabs>
          <w:tab w:val="left" w:pos="1152"/>
        </w:tabs>
        <w:ind w:left="1152" w:hanging="1152"/>
      </w:pPr>
      <w:rPr>
        <w:rFonts w:hint="eastAsia"/>
      </w:rPr>
    </w:lvl>
    <w:lvl w:ilvl="6" w:tentative="0">
      <w:start w:val="1"/>
      <w:numFmt w:val="decimal"/>
      <w:pStyle w:val="10"/>
      <w:lvlText w:val="%1.%2.%3.%4.%5.%6.%7"/>
      <w:lvlJc w:val="left"/>
      <w:pPr>
        <w:tabs>
          <w:tab w:val="left" w:pos="1296"/>
        </w:tabs>
        <w:ind w:left="1296" w:hanging="1296"/>
      </w:pPr>
      <w:rPr>
        <w:rFonts w:hint="eastAsia"/>
      </w:rPr>
    </w:lvl>
    <w:lvl w:ilvl="7" w:tentative="0">
      <w:start w:val="1"/>
      <w:numFmt w:val="decimal"/>
      <w:pStyle w:val="11"/>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
    <w:nsid w:val="11645A5B"/>
    <w:multiLevelType w:val="multilevel"/>
    <w:tmpl w:val="11645A5B"/>
    <w:lvl w:ilvl="0" w:tentative="0">
      <w:start w:val="1"/>
      <w:numFmt w:val="decimal"/>
      <w:isLgl/>
      <w:suff w:val="nothing"/>
      <w:lvlText w:val="%1"/>
      <w:lvlJc w:val="left"/>
      <w:pPr>
        <w:ind w:left="432" w:hanging="432"/>
      </w:pPr>
      <w:rPr>
        <w:rFonts w:hint="eastAsia" w:eastAsia="黑体"/>
        <w:b/>
        <w:i w:val="0"/>
        <w:caps/>
        <w:sz w:val="36"/>
      </w:rPr>
    </w:lvl>
    <w:lvl w:ilvl="1" w:tentative="0">
      <w:start w:val="1"/>
      <w:numFmt w:val="decimal"/>
      <w:suff w:val="nothing"/>
      <w:lvlText w:val="%1.%2"/>
      <w:lvlJc w:val="left"/>
      <w:pPr>
        <w:ind w:left="576" w:hanging="576"/>
      </w:pPr>
      <w:rPr>
        <w:rFonts w:hint="default" w:ascii="Times New Roman" w:hAnsi="Times New Roman" w:eastAsia="宋体"/>
        <w:b/>
        <w:i w:val="0"/>
        <w:caps/>
        <w:sz w:val="30"/>
      </w:rPr>
    </w:lvl>
    <w:lvl w:ilvl="2" w:tentative="0">
      <w:start w:val="1"/>
      <w:numFmt w:val="decimal"/>
      <w:pStyle w:val="179"/>
      <w:suff w:val="nothing"/>
      <w:lvlText w:val="4.5.%3"/>
      <w:lvlJc w:val="left"/>
      <w:pPr>
        <w:ind w:left="720" w:hanging="720"/>
      </w:pPr>
      <w:rPr>
        <w:rFonts w:hint="eastAsia"/>
      </w:rPr>
    </w:lvl>
    <w:lvl w:ilvl="3" w:tentative="0">
      <w:start w:val="1"/>
      <w:numFmt w:val="decimal"/>
      <w:suff w:val="nothing"/>
      <w:lvlText w:val="%1.3.1.%4"/>
      <w:lvlJc w:val="left"/>
      <w:pPr>
        <w:ind w:left="864" w:hanging="864"/>
      </w:pPr>
      <w:rPr>
        <w:rFonts w:hint="eastAsia"/>
      </w:rPr>
    </w:lvl>
    <w:lvl w:ilvl="4" w:tentative="0">
      <w:start w:val="1"/>
      <w:numFmt w:val="decimal"/>
      <w:lvlText w:val="%111.%2.%3.%4.%5"/>
      <w:lvlJc w:val="left"/>
      <w:pPr>
        <w:tabs>
          <w:tab w:val="left" w:pos="2160"/>
        </w:tabs>
        <w:ind w:left="1008" w:hanging="1008"/>
      </w:pPr>
      <w:rPr>
        <w:rFonts w:hint="eastAsia"/>
      </w:rPr>
    </w:lvl>
    <w:lvl w:ilvl="5" w:tentative="0">
      <w:start w:val="1"/>
      <w:numFmt w:val="decimal"/>
      <w:lvlText w:val="%1.%2.%3.%4.%5.%6"/>
      <w:lvlJc w:val="left"/>
      <w:pPr>
        <w:tabs>
          <w:tab w:val="left" w:pos="2160"/>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1DCAA484"/>
    <w:multiLevelType w:val="singleLevel"/>
    <w:tmpl w:val="1DCAA484"/>
    <w:lvl w:ilvl="0" w:tentative="0">
      <w:start w:val="2"/>
      <w:numFmt w:val="decimal"/>
      <w:suff w:val="nothing"/>
      <w:lvlText w:val="%1、"/>
      <w:lvlJc w:val="left"/>
    </w:lvl>
  </w:abstractNum>
  <w:abstractNum w:abstractNumId="5">
    <w:nsid w:val="369003A2"/>
    <w:multiLevelType w:val="multilevel"/>
    <w:tmpl w:val="369003A2"/>
    <w:lvl w:ilvl="0" w:tentative="0">
      <w:start w:val="1"/>
      <w:numFmt w:val="decimal"/>
      <w:suff w:val="space"/>
      <w:lvlText w:val="%1"/>
      <w:lvlJc w:val="left"/>
      <w:pPr>
        <w:ind w:left="255" w:hanging="255"/>
      </w:pPr>
      <w:rPr>
        <w:rFonts w:hint="default" w:ascii="Times New Roman" w:hAnsi="Times New Roman" w:eastAsia="黑体"/>
        <w:b w:val="0"/>
        <w:i w:val="0"/>
        <w:sz w:val="30"/>
        <w:szCs w:val="30"/>
      </w:rPr>
    </w:lvl>
    <w:lvl w:ilvl="1" w:tentative="0">
      <w:start w:val="1"/>
      <w:numFmt w:val="decimal"/>
      <w:suff w:val="space"/>
      <w:lvlText w:val="%1.%2"/>
      <w:lvlJc w:val="left"/>
      <w:pPr>
        <w:ind w:left="0" w:firstLine="0"/>
      </w:pPr>
      <w:rPr>
        <w:rFonts w:hint="default" w:ascii="Times New Roman" w:hAnsi="Times New Roman" w:eastAsia="宋体"/>
        <w:b w:val="0"/>
        <w:i w:val="0"/>
        <w:sz w:val="28"/>
        <w:szCs w:val="28"/>
      </w:rPr>
    </w:lvl>
    <w:lvl w:ilvl="2" w:tentative="0">
      <w:start w:val="1"/>
      <w:numFmt w:val="decimal"/>
      <w:suff w:val="space"/>
      <w:lvlText w:val="%1.%2.%3"/>
      <w:lvlJc w:val="left"/>
      <w:pPr>
        <w:ind w:left="0" w:firstLine="0"/>
      </w:pPr>
      <w:rPr>
        <w:rFonts w:hint="default" w:ascii="Times New Roman" w:hAnsi="Times New Roman" w:eastAsia="宋体" w:cs="Times New Roman"/>
        <w:b w:val="0"/>
        <w:bCs w:val="0"/>
        <w:i w:val="0"/>
        <w:iCs w:val="0"/>
        <w:caps w:val="0"/>
        <w:smallCaps w:val="0"/>
        <w:strike w:val="0"/>
        <w:dstrike w:val="0"/>
        <w:vanish w:val="0"/>
        <w:spacing w:val="0"/>
        <w:position w:val="0"/>
        <w:sz w:val="24"/>
        <w:szCs w:val="24"/>
        <w:u w:val="none"/>
        <w:vertAlign w:val="baseline"/>
      </w:rPr>
    </w:lvl>
    <w:lvl w:ilvl="3" w:tentative="0">
      <w:start w:val="1"/>
      <w:numFmt w:val="decimal"/>
      <w:suff w:val="space"/>
      <w:lvlText w:val="%1.%2.%3.%4"/>
      <w:lvlJc w:val="left"/>
      <w:pPr>
        <w:ind w:left="851" w:hanging="851"/>
      </w:pPr>
      <w:rPr>
        <w:rFonts w:hint="default" w:ascii="Times New Roman" w:hAnsi="Times New Roman" w:eastAsia="宋体" w:cs="Times New Roman"/>
        <w:b w:val="0"/>
        <w:bCs w:val="0"/>
        <w:i w:val="0"/>
        <w:iCs w:val="0"/>
        <w:caps w:val="0"/>
        <w:smallCaps w:val="0"/>
        <w:strike w:val="0"/>
        <w:dstrike w:val="0"/>
        <w:vanish w:val="0"/>
        <w:spacing w:val="0"/>
        <w:position w:val="0"/>
        <w:sz w:val="24"/>
        <w:szCs w:val="24"/>
        <w:u w:val="none"/>
        <w:vertAlign w:val="baseline"/>
      </w:rPr>
    </w:lvl>
    <w:lvl w:ilvl="4" w:tentative="0">
      <w:start w:val="1"/>
      <w:numFmt w:val="decimal"/>
      <w:lvlRestart w:val="1"/>
      <w:pStyle w:val="413"/>
      <w:isLgl/>
      <w:lvlText w:val="表%1-%5"/>
      <w:lvlJc w:val="center"/>
      <w:pPr>
        <w:tabs>
          <w:tab w:val="left" w:pos="227"/>
        </w:tabs>
        <w:ind w:left="7498" w:firstLine="0"/>
      </w:pPr>
      <w:rPr>
        <w:rFonts w:hint="default" w:ascii="Times New Roman" w:hAnsi="Times New Roman"/>
        <w:b/>
        <w:bCs w:val="0"/>
        <w:i w:val="0"/>
        <w:iCs w:val="0"/>
        <w:caps w:val="0"/>
        <w:smallCaps w:val="0"/>
        <w:strike w:val="0"/>
        <w:dstrike w:val="0"/>
        <w:vanish w:val="0"/>
        <w:color w:val="auto"/>
        <w:spacing w:val="0"/>
        <w:position w:val="0"/>
        <w:u w:val="none"/>
        <w:vertAlign w:val="baseline"/>
      </w:rPr>
    </w:lvl>
    <w:lvl w:ilvl="5" w:tentative="0">
      <w:start w:val="1"/>
      <w:numFmt w:val="decimal"/>
      <w:lvlRestart w:val="1"/>
      <w:isLgl/>
      <w:suff w:val="space"/>
      <w:lvlText w:val="图%1-%6"/>
      <w:lvlJc w:val="center"/>
      <w:pPr>
        <w:ind w:left="10464" w:hanging="9330"/>
      </w:pPr>
      <w:rPr>
        <w:rFonts w:hint="default" w:ascii="Times New Roman" w:hAnsi="Times New Roman" w:eastAsia="宋体" w:cs="Times New Roman"/>
        <w:b/>
        <w:bCs w:val="0"/>
        <w:i w:val="0"/>
        <w:iCs w:val="0"/>
        <w:caps w:val="0"/>
        <w:smallCaps w:val="0"/>
        <w:strike w:val="0"/>
        <w:dstrike w:val="0"/>
        <w:vanish w:val="0"/>
        <w:spacing w:val="0"/>
        <w:position w:val="0"/>
        <w:sz w:val="24"/>
        <w:szCs w:val="24"/>
        <w:u w:val="none"/>
        <w:vertAlign w:val="baseline"/>
      </w:rPr>
    </w:lvl>
    <w:lvl w:ilvl="6" w:tentative="0">
      <w:start w:val="1"/>
      <w:numFmt w:val="decimal"/>
      <w:lvlRestart w:val="4"/>
      <w:pStyle w:val="414"/>
      <w:suff w:val="nothing"/>
      <w:lvlText w:val="（%7）"/>
      <w:lvlJc w:val="left"/>
      <w:pPr>
        <w:ind w:left="-400" w:firstLine="400"/>
      </w:pPr>
      <w:rPr>
        <w:rFonts w:hint="default" w:ascii="Times New Roman" w:hAnsi="Times New Roman" w:eastAsia="宋体"/>
        <w:b w:val="0"/>
        <w:i w:val="0"/>
        <w:sz w:val="24"/>
        <w:szCs w:val="24"/>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
    <w:nsid w:val="466D19F1"/>
    <w:multiLevelType w:val="multilevel"/>
    <w:tmpl w:val="466D19F1"/>
    <w:lvl w:ilvl="0" w:tentative="0">
      <w:start w:val="1"/>
      <w:numFmt w:val="none"/>
      <w:lvlText w:val="10."/>
      <w:lvlJc w:val="left"/>
      <w:pPr>
        <w:tabs>
          <w:tab w:val="left" w:pos="360"/>
        </w:tabs>
        <w:ind w:left="0" w:firstLine="0"/>
      </w:pPr>
      <w:rPr>
        <w:rFonts w:hint="default" w:ascii="Times New Roman" w:hAnsi="Times New Roman" w:eastAsia="黑体"/>
        <w:b/>
        <w:i w:val="0"/>
        <w:caps/>
        <w:sz w:val="36"/>
      </w:rPr>
    </w:lvl>
    <w:lvl w:ilvl="1" w:tentative="0">
      <w:start w:val="1"/>
      <w:numFmt w:val="decimal"/>
      <w:suff w:val="nothing"/>
      <w:lvlText w:val="10.%2."/>
      <w:lvlJc w:val="left"/>
      <w:pPr>
        <w:ind w:left="0" w:firstLine="0"/>
      </w:pPr>
      <w:rPr>
        <w:rFonts w:hint="default" w:ascii="Times New Roman" w:hAnsi="Times New Roman" w:eastAsia="黑体"/>
        <w:b/>
        <w:i w:val="0"/>
        <w:caps/>
        <w:sz w:val="28"/>
        <w:szCs w:val="28"/>
      </w:rPr>
    </w:lvl>
    <w:lvl w:ilvl="2" w:tentative="0">
      <w:start w:val="1"/>
      <w:numFmt w:val="decimal"/>
      <w:pStyle w:val="314"/>
      <w:suff w:val="nothing"/>
      <w:lvlText w:val="10.%2.%3."/>
      <w:lvlJc w:val="left"/>
      <w:pPr>
        <w:ind w:left="0" w:firstLine="0"/>
      </w:pPr>
      <w:rPr>
        <w:rFonts w:hint="default" w:ascii="Times New Roman" w:hAnsi="Times New Roman" w:eastAsia="黑体"/>
        <w:b/>
        <w:i w:val="0"/>
        <w:sz w:val="24"/>
        <w:szCs w:val="24"/>
      </w:rPr>
    </w:lvl>
    <w:lvl w:ilvl="3" w:tentative="0">
      <w:start w:val="1"/>
      <w:numFmt w:val="decimal"/>
      <w:suff w:val="nothing"/>
      <w:lvlText w:val="10.%2.%3.%4."/>
      <w:lvlJc w:val="left"/>
      <w:pPr>
        <w:ind w:left="0" w:firstLine="0"/>
      </w:pPr>
      <w:rPr>
        <w:rFonts w:hint="default" w:ascii="Times New Roman" w:hAnsi="Times New Roman" w:eastAsia="黑体"/>
        <w:b/>
        <w:i w:val="0"/>
        <w:sz w:val="24"/>
        <w:szCs w:val="24"/>
      </w:rPr>
    </w:lvl>
    <w:lvl w:ilvl="4" w:tentative="0">
      <w:start w:val="1"/>
      <w:numFmt w:val="decimal"/>
      <w:lvlText w:val="10.%2.%3.%4.%5"/>
      <w:lvlJc w:val="left"/>
      <w:pPr>
        <w:tabs>
          <w:tab w:val="left" w:pos="3141"/>
        </w:tabs>
        <w:ind w:left="2551" w:hanging="850"/>
      </w:pPr>
      <w:rPr>
        <w:rFonts w:hint="eastAsia"/>
      </w:rPr>
    </w:lvl>
    <w:lvl w:ilvl="5" w:tentative="0">
      <w:start w:val="1"/>
      <w:numFmt w:val="decimal"/>
      <w:lvlText w:val="10.%2.%3.%4.%5.%6"/>
      <w:lvlJc w:val="left"/>
      <w:pPr>
        <w:tabs>
          <w:tab w:val="left" w:pos="3926"/>
        </w:tabs>
        <w:ind w:left="3260" w:hanging="1134"/>
      </w:pPr>
      <w:rPr>
        <w:rFonts w:hint="eastAsia"/>
      </w:rPr>
    </w:lvl>
    <w:lvl w:ilvl="6" w:tentative="0">
      <w:start w:val="1"/>
      <w:numFmt w:val="decimal"/>
      <w:lvlText w:val="10.%2.%3.%4.%5.%6.%7"/>
      <w:lvlJc w:val="left"/>
      <w:pPr>
        <w:tabs>
          <w:tab w:val="left" w:pos="4351"/>
        </w:tabs>
        <w:ind w:left="3827" w:hanging="1276"/>
      </w:pPr>
      <w:rPr>
        <w:rFonts w:hint="eastAsia"/>
      </w:rPr>
    </w:lvl>
    <w:lvl w:ilvl="7" w:tentative="0">
      <w:start w:val="1"/>
      <w:numFmt w:val="decimal"/>
      <w:lvlText w:val="10.%2.%3.%4.%5.%6.%7.%8"/>
      <w:lvlJc w:val="left"/>
      <w:pPr>
        <w:tabs>
          <w:tab w:val="left" w:pos="5136"/>
        </w:tabs>
        <w:ind w:left="4394" w:hanging="1418"/>
      </w:pPr>
      <w:rPr>
        <w:rFonts w:hint="eastAsia"/>
      </w:rPr>
    </w:lvl>
    <w:lvl w:ilvl="8" w:tentative="0">
      <w:start w:val="1"/>
      <w:numFmt w:val="decimal"/>
      <w:suff w:val="nothing"/>
      <w:lvlText w:val="10.%2.%3.%4.%5.%6.%7.%8.%9"/>
      <w:lvlJc w:val="left"/>
      <w:pPr>
        <w:ind w:left="5102" w:hanging="1700"/>
      </w:pPr>
      <w:rPr>
        <w:rFonts w:hint="eastAsia"/>
      </w:rPr>
    </w:lvl>
  </w:abstractNum>
  <w:abstractNum w:abstractNumId="7">
    <w:nsid w:val="698E3F8A"/>
    <w:multiLevelType w:val="multilevel"/>
    <w:tmpl w:val="698E3F8A"/>
    <w:lvl w:ilvl="0" w:tentative="0">
      <w:start w:val="1"/>
      <w:numFmt w:val="decimal"/>
      <w:isLgl/>
      <w:lvlText w:val="%1"/>
      <w:lvlJc w:val="left"/>
      <w:pPr>
        <w:tabs>
          <w:tab w:val="left" w:pos="425"/>
        </w:tabs>
        <w:ind w:left="680" w:hanging="680"/>
      </w:pPr>
      <w:rPr>
        <w:rFonts w:hint="eastAsia"/>
        <w:vertAlign w:val="baseline"/>
      </w:rPr>
    </w:lvl>
    <w:lvl w:ilvl="1" w:tentative="0">
      <w:start w:val="1"/>
      <w:numFmt w:val="decimal"/>
      <w:lvlText w:val="%1.%2"/>
      <w:lvlJc w:val="left"/>
      <w:pPr>
        <w:tabs>
          <w:tab w:val="left" w:pos="425"/>
        </w:tabs>
        <w:ind w:left="1361" w:hanging="1361"/>
      </w:pPr>
      <w:rPr>
        <w:rFonts w:hint="eastAsia"/>
      </w:rPr>
    </w:lvl>
    <w:lvl w:ilvl="2" w:tentative="0">
      <w:start w:val="1"/>
      <w:numFmt w:val="decimal"/>
      <w:lvlText w:val="%1.%2.%3"/>
      <w:lvlJc w:val="left"/>
      <w:pPr>
        <w:tabs>
          <w:tab w:val="left" w:pos="709"/>
        </w:tabs>
        <w:ind w:left="1985" w:hanging="1985"/>
      </w:pPr>
      <w:rPr>
        <w:rFonts w:hint="eastAsia"/>
      </w:rPr>
    </w:lvl>
    <w:lvl w:ilvl="3" w:tentative="0">
      <w:start w:val="1"/>
      <w:numFmt w:val="decimal"/>
      <w:lvlText w:val="%1.%2.%3.%4"/>
      <w:lvlJc w:val="left"/>
      <w:pPr>
        <w:tabs>
          <w:tab w:val="left" w:pos="851"/>
        </w:tabs>
        <w:ind w:left="2552" w:hanging="2552"/>
      </w:pPr>
      <w:rPr>
        <w:rFonts w:hint="eastAsia"/>
      </w:rPr>
    </w:lvl>
    <w:lvl w:ilvl="4" w:tentative="0">
      <w:start w:val="1"/>
      <w:numFmt w:val="decimal"/>
      <w:lvlRestart w:val="1"/>
      <w:pStyle w:val="388"/>
      <w:lvlText w:val="表%1-%5"/>
      <w:lvlJc w:val="left"/>
      <w:pPr>
        <w:tabs>
          <w:tab w:val="left" w:pos="3437"/>
        </w:tabs>
        <w:ind w:left="4562" w:hanging="992"/>
      </w:pPr>
      <w:rPr>
        <w:rFonts w:hint="eastAsia"/>
      </w:rPr>
    </w:lvl>
    <w:lvl w:ilvl="5" w:tentative="0">
      <w:start w:val="1"/>
      <w:numFmt w:val="decimal"/>
      <w:lvlRestart w:val="1"/>
      <w:lvlText w:val="图%1-%6"/>
      <w:lvlJc w:val="left"/>
      <w:pPr>
        <w:tabs>
          <w:tab w:val="left" w:pos="3617"/>
        </w:tabs>
        <w:ind w:left="401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6BA61821"/>
    <w:multiLevelType w:val="multilevel"/>
    <w:tmpl w:val="6BA61821"/>
    <w:lvl w:ilvl="0" w:tentative="0">
      <w:start w:val="1"/>
      <w:numFmt w:val="decimal"/>
      <w:pStyle w:val="323"/>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9">
    <w:nsid w:val="70D72A2F"/>
    <w:multiLevelType w:val="multilevel"/>
    <w:tmpl w:val="70D72A2F"/>
    <w:lvl w:ilvl="0" w:tentative="0">
      <w:start w:val="1"/>
      <w:numFmt w:val="decimal"/>
      <w:suff w:val="space"/>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73303BDC"/>
    <w:multiLevelType w:val="multilevel"/>
    <w:tmpl w:val="73303BDC"/>
    <w:lvl w:ilvl="0" w:tentative="0">
      <w:start w:val="16"/>
      <w:numFmt w:val="decimal"/>
      <w:lvlText w:val="%1"/>
      <w:lvlJc w:val="left"/>
      <w:pPr>
        <w:tabs>
          <w:tab w:val="left" w:pos="425"/>
        </w:tabs>
        <w:ind w:left="425" w:hanging="425"/>
      </w:pPr>
      <w:rPr>
        <w:rFonts w:hint="eastAsia"/>
      </w:rPr>
    </w:lvl>
    <w:lvl w:ilvl="1" w:tentative="0">
      <w:start w:val="1"/>
      <w:numFmt w:val="decimal"/>
      <w:lvlText w:val="%1.%2"/>
      <w:lvlJc w:val="left"/>
      <w:pPr>
        <w:tabs>
          <w:tab w:val="left" w:pos="-186"/>
        </w:tabs>
        <w:ind w:left="-906" w:firstLine="0"/>
      </w:pPr>
      <w:rPr>
        <w:rFonts w:hint="eastAsia"/>
      </w:rPr>
    </w:lvl>
    <w:lvl w:ilvl="2" w:tentative="0">
      <w:start w:val="1"/>
      <w:numFmt w:val="decimal"/>
      <w:lvlText w:val="%1.%2.%3"/>
      <w:lvlJc w:val="left"/>
      <w:pPr>
        <w:tabs>
          <w:tab w:val="left" w:pos="-437"/>
        </w:tabs>
        <w:ind w:left="-437" w:hanging="709"/>
      </w:pPr>
      <w:rPr>
        <w:rFonts w:hint="default" w:ascii="Times New Roman" w:hAnsi="Times New Roman" w:eastAsia="黑体" w:cs="Times New Roman"/>
        <w:b/>
        <w:bCs w:val="0"/>
        <w:i w:val="0"/>
        <w:iCs w:val="0"/>
        <w:caps w:val="0"/>
        <w:smallCaps w:val="0"/>
        <w:strike w:val="0"/>
        <w:dstrike w:val="0"/>
        <w:outline w:val="0"/>
        <w:shadow w:val="0"/>
        <w:emboss w:val="0"/>
        <w:imprint w:val="0"/>
        <w:vanish w:val="0"/>
        <w:spacing w:val="0"/>
        <w:position w:val="0"/>
        <w:sz w:val="24"/>
        <w:szCs w:val="24"/>
        <w:u w:val="none"/>
        <w:vertAlign w:val="baseline"/>
      </w:rPr>
    </w:lvl>
    <w:lvl w:ilvl="3" w:tentative="0">
      <w:start w:val="1"/>
      <w:numFmt w:val="decimal"/>
      <w:pStyle w:val="215"/>
      <w:lvlText w:val="%1.%2.%3.%4"/>
      <w:lvlJc w:val="left"/>
      <w:pPr>
        <w:tabs>
          <w:tab w:val="left" w:pos="1800"/>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1">
    <w:nsid w:val="77751A4C"/>
    <w:multiLevelType w:val="multilevel"/>
    <w:tmpl w:val="77751A4C"/>
    <w:lvl w:ilvl="0" w:tentative="0">
      <w:start w:val="17"/>
      <w:numFmt w:val="decimal"/>
      <w:pStyle w:val="169"/>
      <w:lvlText w:val="%1"/>
      <w:lvlJc w:val="left"/>
      <w:pPr>
        <w:tabs>
          <w:tab w:val="left" w:pos="425"/>
        </w:tabs>
        <w:ind w:left="425" w:hanging="425"/>
      </w:pPr>
      <w:rPr>
        <w:rFonts w:hint="eastAsia"/>
      </w:rPr>
    </w:lvl>
    <w:lvl w:ilvl="1" w:tentative="0">
      <w:start w:val="6"/>
      <w:numFmt w:val="decimal"/>
      <w:lvlText w:val="%1.%2"/>
      <w:lvlJc w:val="left"/>
      <w:pPr>
        <w:tabs>
          <w:tab w:val="left" w:pos="1505"/>
        </w:tabs>
        <w:ind w:left="992" w:hanging="567"/>
      </w:pPr>
      <w:rPr>
        <w:rFonts w:hint="eastAsia"/>
      </w:rPr>
    </w:lvl>
    <w:lvl w:ilvl="2" w:tentative="0">
      <w:start w:val="1"/>
      <w:numFmt w:val="decimal"/>
      <w:lvlText w:val="%1.%2.%3"/>
      <w:lvlJc w:val="left"/>
      <w:pPr>
        <w:tabs>
          <w:tab w:val="left" w:pos="2291"/>
        </w:tabs>
        <w:ind w:left="1418" w:hanging="567"/>
      </w:pPr>
      <w:rPr>
        <w:rFonts w:hint="eastAsia"/>
      </w:rPr>
    </w:lvl>
    <w:lvl w:ilvl="3" w:tentative="0">
      <w:start w:val="1"/>
      <w:numFmt w:val="decimal"/>
      <w:lvlText w:val="%1.%2.%3.%4"/>
      <w:lvlJc w:val="left"/>
      <w:pPr>
        <w:tabs>
          <w:tab w:val="left" w:pos="3436"/>
        </w:tabs>
        <w:ind w:left="1984" w:hanging="708"/>
      </w:pPr>
      <w:rPr>
        <w:rFonts w:hint="default" w:ascii="Times New Roman" w:hAnsi="Times New Roman"/>
      </w:rPr>
    </w:lvl>
    <w:lvl w:ilvl="4" w:tentative="0">
      <w:start w:val="1"/>
      <w:numFmt w:val="decimal"/>
      <w:lvlText w:val="%1.%2.%3.%4.%5"/>
      <w:lvlJc w:val="left"/>
      <w:pPr>
        <w:tabs>
          <w:tab w:val="left" w:pos="4581"/>
        </w:tabs>
        <w:ind w:left="2551" w:hanging="850"/>
      </w:pPr>
      <w:rPr>
        <w:rFonts w:hint="eastAsia"/>
      </w:rPr>
    </w:lvl>
    <w:lvl w:ilvl="5" w:tentative="0">
      <w:start w:val="1"/>
      <w:numFmt w:val="decimal"/>
      <w:lvlText w:val="%1.%2.%3.%4.%5.%6"/>
      <w:lvlJc w:val="left"/>
      <w:pPr>
        <w:tabs>
          <w:tab w:val="left" w:pos="5366"/>
        </w:tabs>
        <w:ind w:left="3260" w:hanging="1134"/>
      </w:pPr>
      <w:rPr>
        <w:rFonts w:hint="eastAsia"/>
      </w:rPr>
    </w:lvl>
    <w:lvl w:ilvl="6" w:tentative="0">
      <w:start w:val="1"/>
      <w:numFmt w:val="decimal"/>
      <w:lvlText w:val="%1.%2.%3.%4.%5.%6.%7"/>
      <w:lvlJc w:val="left"/>
      <w:pPr>
        <w:tabs>
          <w:tab w:val="left" w:pos="6511"/>
        </w:tabs>
        <w:ind w:left="3827" w:hanging="1276"/>
      </w:pPr>
      <w:rPr>
        <w:rFonts w:hint="eastAsia"/>
      </w:rPr>
    </w:lvl>
    <w:lvl w:ilvl="7" w:tentative="0">
      <w:start w:val="1"/>
      <w:numFmt w:val="decimal"/>
      <w:lvlText w:val="%1.%2.%3.%4.%5.%6.%7.%8"/>
      <w:lvlJc w:val="left"/>
      <w:pPr>
        <w:tabs>
          <w:tab w:val="left" w:pos="7296"/>
        </w:tabs>
        <w:ind w:left="4394" w:hanging="1418"/>
      </w:pPr>
      <w:rPr>
        <w:rFonts w:hint="eastAsia"/>
      </w:rPr>
    </w:lvl>
    <w:lvl w:ilvl="8" w:tentative="0">
      <w:start w:val="1"/>
      <w:numFmt w:val="decimal"/>
      <w:lvlText w:val="%1.%2.%3.%4.%5.%6.%7.%8.%9"/>
      <w:lvlJc w:val="left"/>
      <w:pPr>
        <w:tabs>
          <w:tab w:val="left" w:pos="8442"/>
        </w:tabs>
        <w:ind w:left="5102" w:hanging="1700"/>
      </w:pPr>
      <w:rPr>
        <w:rFonts w:hint="eastAsia"/>
      </w:rPr>
    </w:lvl>
  </w:abstractNum>
  <w:abstractNum w:abstractNumId="12">
    <w:nsid w:val="7C9ECDC9"/>
    <w:multiLevelType w:val="multilevel"/>
    <w:tmpl w:val="7C9ECDC9"/>
    <w:lvl w:ilvl="0" w:tentative="0">
      <w:start w:val="1"/>
      <w:numFmt w:val="decimal"/>
      <w:pStyle w:val="39"/>
      <w:suff w:val="nothing"/>
      <w:lvlText w:val="%1"/>
      <w:lvlJc w:val="left"/>
      <w:pPr>
        <w:ind w:left="1860" w:hanging="420"/>
      </w:pPr>
      <w:rPr>
        <w:rFonts w:hint="eastAsia"/>
      </w:rPr>
    </w:lvl>
    <w:lvl w:ilvl="1" w:tentative="0">
      <w:start w:val="1"/>
      <w:numFmt w:val="lowerLetter"/>
      <w:lvlText w:val="%2)"/>
      <w:lvlJc w:val="left"/>
      <w:pPr>
        <w:tabs>
          <w:tab w:val="left" w:pos="840"/>
        </w:tabs>
        <w:ind w:left="1800" w:hanging="420"/>
      </w:pPr>
    </w:lvl>
    <w:lvl w:ilvl="2" w:tentative="0">
      <w:start w:val="1"/>
      <w:numFmt w:val="lowerRoman"/>
      <w:lvlText w:val="%3."/>
      <w:lvlJc w:val="right"/>
      <w:pPr>
        <w:tabs>
          <w:tab w:val="left" w:pos="1260"/>
        </w:tabs>
        <w:ind w:left="2220" w:hanging="420"/>
      </w:pPr>
    </w:lvl>
    <w:lvl w:ilvl="3" w:tentative="0">
      <w:start w:val="1"/>
      <w:numFmt w:val="decimal"/>
      <w:lvlText w:val="%4."/>
      <w:lvlJc w:val="left"/>
      <w:pPr>
        <w:tabs>
          <w:tab w:val="left" w:pos="1680"/>
        </w:tabs>
        <w:ind w:left="2640" w:hanging="420"/>
      </w:pPr>
    </w:lvl>
    <w:lvl w:ilvl="4" w:tentative="0">
      <w:start w:val="1"/>
      <w:numFmt w:val="lowerLetter"/>
      <w:lvlText w:val="%5)"/>
      <w:lvlJc w:val="left"/>
      <w:pPr>
        <w:tabs>
          <w:tab w:val="left" w:pos="2100"/>
        </w:tabs>
        <w:ind w:left="3060" w:hanging="420"/>
      </w:pPr>
    </w:lvl>
    <w:lvl w:ilvl="5" w:tentative="0">
      <w:start w:val="1"/>
      <w:numFmt w:val="lowerRoman"/>
      <w:lvlText w:val="%6."/>
      <w:lvlJc w:val="right"/>
      <w:pPr>
        <w:tabs>
          <w:tab w:val="left" w:pos="2520"/>
        </w:tabs>
        <w:ind w:left="3480" w:hanging="420"/>
      </w:pPr>
    </w:lvl>
    <w:lvl w:ilvl="6" w:tentative="0">
      <w:start w:val="1"/>
      <w:numFmt w:val="decimal"/>
      <w:lvlText w:val="%7."/>
      <w:lvlJc w:val="left"/>
      <w:pPr>
        <w:tabs>
          <w:tab w:val="left" w:pos="2940"/>
        </w:tabs>
        <w:ind w:left="3900" w:hanging="420"/>
      </w:pPr>
    </w:lvl>
    <w:lvl w:ilvl="7" w:tentative="0">
      <w:start w:val="1"/>
      <w:numFmt w:val="lowerLetter"/>
      <w:lvlText w:val="%8)"/>
      <w:lvlJc w:val="left"/>
      <w:pPr>
        <w:tabs>
          <w:tab w:val="left" w:pos="3360"/>
        </w:tabs>
        <w:ind w:left="4320" w:hanging="420"/>
      </w:pPr>
    </w:lvl>
    <w:lvl w:ilvl="8" w:tentative="0">
      <w:start w:val="1"/>
      <w:numFmt w:val="lowerRoman"/>
      <w:lvlText w:val="%9."/>
      <w:lvlJc w:val="right"/>
      <w:pPr>
        <w:tabs>
          <w:tab w:val="left" w:pos="3780"/>
        </w:tabs>
        <w:ind w:left="4740" w:hanging="420"/>
      </w:pPr>
    </w:lvl>
  </w:abstractNum>
  <w:num w:numId="1">
    <w:abstractNumId w:val="2"/>
  </w:num>
  <w:num w:numId="2">
    <w:abstractNumId w:val="1"/>
  </w:num>
  <w:num w:numId="3">
    <w:abstractNumId w:val="12"/>
  </w:num>
  <w:num w:numId="4">
    <w:abstractNumId w:val="11"/>
  </w:num>
  <w:num w:numId="5">
    <w:abstractNumId w:val="3"/>
  </w:num>
  <w:num w:numId="6">
    <w:abstractNumId w:val="10"/>
  </w:num>
  <w:num w:numId="7">
    <w:abstractNumId w:val="6"/>
  </w:num>
  <w:num w:numId="8">
    <w:abstractNumId w:val="8"/>
  </w:num>
  <w:num w:numId="9">
    <w:abstractNumId w:val="7"/>
  </w:num>
  <w:num w:numId="10">
    <w:abstractNumId w:val="5"/>
  </w:num>
  <w:num w:numId="11">
    <w:abstractNumId w:val="0"/>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5OWY0NmIwYWNkODhmMTk2YzVlMTUxMTY0N2Q3OGUifQ=="/>
    <w:docVar w:name="KSO_WPS_MARK_KEY" w:val="37e3aa6c-fe19-4030-9aed-9219d5aed004"/>
  </w:docVars>
  <w:rsids>
    <w:rsidRoot w:val="00172A27"/>
    <w:rsid w:val="00000242"/>
    <w:rsid w:val="000010A2"/>
    <w:rsid w:val="00005E89"/>
    <w:rsid w:val="00006331"/>
    <w:rsid w:val="00007081"/>
    <w:rsid w:val="00011472"/>
    <w:rsid w:val="000115E5"/>
    <w:rsid w:val="00011995"/>
    <w:rsid w:val="000125D9"/>
    <w:rsid w:val="000131CB"/>
    <w:rsid w:val="0001492D"/>
    <w:rsid w:val="00014F75"/>
    <w:rsid w:val="00015C61"/>
    <w:rsid w:val="00015CD8"/>
    <w:rsid w:val="0001689A"/>
    <w:rsid w:val="0001705F"/>
    <w:rsid w:val="000172D0"/>
    <w:rsid w:val="00017D1D"/>
    <w:rsid w:val="00020207"/>
    <w:rsid w:val="000213F5"/>
    <w:rsid w:val="000226AF"/>
    <w:rsid w:val="0002347A"/>
    <w:rsid w:val="00023D4F"/>
    <w:rsid w:val="00023E8B"/>
    <w:rsid w:val="00024AE3"/>
    <w:rsid w:val="00024BDB"/>
    <w:rsid w:val="000256AE"/>
    <w:rsid w:val="000263A0"/>
    <w:rsid w:val="000264BC"/>
    <w:rsid w:val="000265D9"/>
    <w:rsid w:val="00027112"/>
    <w:rsid w:val="00031384"/>
    <w:rsid w:val="00031EBB"/>
    <w:rsid w:val="000320F2"/>
    <w:rsid w:val="00033EA5"/>
    <w:rsid w:val="00034097"/>
    <w:rsid w:val="00034D0C"/>
    <w:rsid w:val="00035465"/>
    <w:rsid w:val="00035582"/>
    <w:rsid w:val="000357FA"/>
    <w:rsid w:val="00036451"/>
    <w:rsid w:val="00036576"/>
    <w:rsid w:val="00036672"/>
    <w:rsid w:val="00037091"/>
    <w:rsid w:val="00037E79"/>
    <w:rsid w:val="00040505"/>
    <w:rsid w:val="000405E0"/>
    <w:rsid w:val="000410A7"/>
    <w:rsid w:val="00041790"/>
    <w:rsid w:val="0004264B"/>
    <w:rsid w:val="00042D82"/>
    <w:rsid w:val="000431E6"/>
    <w:rsid w:val="00044C48"/>
    <w:rsid w:val="00045429"/>
    <w:rsid w:val="00045B19"/>
    <w:rsid w:val="00045B98"/>
    <w:rsid w:val="00045F6B"/>
    <w:rsid w:val="00046097"/>
    <w:rsid w:val="000463D1"/>
    <w:rsid w:val="00047056"/>
    <w:rsid w:val="00047669"/>
    <w:rsid w:val="00047EC0"/>
    <w:rsid w:val="00050F3A"/>
    <w:rsid w:val="00051DB1"/>
    <w:rsid w:val="00051E5D"/>
    <w:rsid w:val="00051F7D"/>
    <w:rsid w:val="00051FE8"/>
    <w:rsid w:val="00051FF8"/>
    <w:rsid w:val="0005239D"/>
    <w:rsid w:val="0005297C"/>
    <w:rsid w:val="00053095"/>
    <w:rsid w:val="00054119"/>
    <w:rsid w:val="000546A3"/>
    <w:rsid w:val="00054B33"/>
    <w:rsid w:val="00054B51"/>
    <w:rsid w:val="00056554"/>
    <w:rsid w:val="00056788"/>
    <w:rsid w:val="00056CB6"/>
    <w:rsid w:val="000576BC"/>
    <w:rsid w:val="0006194B"/>
    <w:rsid w:val="00061C2F"/>
    <w:rsid w:val="000624C1"/>
    <w:rsid w:val="00062ACB"/>
    <w:rsid w:val="00063119"/>
    <w:rsid w:val="00063266"/>
    <w:rsid w:val="00063C92"/>
    <w:rsid w:val="00063D05"/>
    <w:rsid w:val="00063D20"/>
    <w:rsid w:val="0006401F"/>
    <w:rsid w:val="00064953"/>
    <w:rsid w:val="00065D52"/>
    <w:rsid w:val="0006638F"/>
    <w:rsid w:val="00066A22"/>
    <w:rsid w:val="00067AD4"/>
    <w:rsid w:val="00070465"/>
    <w:rsid w:val="00070680"/>
    <w:rsid w:val="00072693"/>
    <w:rsid w:val="000741E9"/>
    <w:rsid w:val="00075099"/>
    <w:rsid w:val="0007608F"/>
    <w:rsid w:val="000761A6"/>
    <w:rsid w:val="000769B0"/>
    <w:rsid w:val="00076CD7"/>
    <w:rsid w:val="0007769D"/>
    <w:rsid w:val="00077C27"/>
    <w:rsid w:val="000806D5"/>
    <w:rsid w:val="000807F8"/>
    <w:rsid w:val="00080ABE"/>
    <w:rsid w:val="00080B21"/>
    <w:rsid w:val="00081772"/>
    <w:rsid w:val="00081A1F"/>
    <w:rsid w:val="00081C3C"/>
    <w:rsid w:val="00082163"/>
    <w:rsid w:val="000833DC"/>
    <w:rsid w:val="00083514"/>
    <w:rsid w:val="0008373F"/>
    <w:rsid w:val="000838F6"/>
    <w:rsid w:val="00083BAA"/>
    <w:rsid w:val="00085063"/>
    <w:rsid w:val="0008529B"/>
    <w:rsid w:val="00085FAB"/>
    <w:rsid w:val="00086116"/>
    <w:rsid w:val="00087D86"/>
    <w:rsid w:val="00091124"/>
    <w:rsid w:val="000919A5"/>
    <w:rsid w:val="00091BDD"/>
    <w:rsid w:val="000922BC"/>
    <w:rsid w:val="000922EF"/>
    <w:rsid w:val="00092647"/>
    <w:rsid w:val="000928D5"/>
    <w:rsid w:val="000932E6"/>
    <w:rsid w:val="00094AF9"/>
    <w:rsid w:val="0009558B"/>
    <w:rsid w:val="0009658D"/>
    <w:rsid w:val="000965BF"/>
    <w:rsid w:val="0009691F"/>
    <w:rsid w:val="000969C3"/>
    <w:rsid w:val="0009749D"/>
    <w:rsid w:val="00097D51"/>
    <w:rsid w:val="00097FCF"/>
    <w:rsid w:val="000A0D84"/>
    <w:rsid w:val="000A12E8"/>
    <w:rsid w:val="000A1EF0"/>
    <w:rsid w:val="000A2097"/>
    <w:rsid w:val="000A22B8"/>
    <w:rsid w:val="000A2806"/>
    <w:rsid w:val="000A2EC8"/>
    <w:rsid w:val="000A302C"/>
    <w:rsid w:val="000A406A"/>
    <w:rsid w:val="000A4491"/>
    <w:rsid w:val="000A52C7"/>
    <w:rsid w:val="000A5FF9"/>
    <w:rsid w:val="000A664F"/>
    <w:rsid w:val="000A667A"/>
    <w:rsid w:val="000A71D6"/>
    <w:rsid w:val="000B0A6B"/>
    <w:rsid w:val="000B1017"/>
    <w:rsid w:val="000B222F"/>
    <w:rsid w:val="000B36C6"/>
    <w:rsid w:val="000B4982"/>
    <w:rsid w:val="000B662D"/>
    <w:rsid w:val="000B66D6"/>
    <w:rsid w:val="000B6DFA"/>
    <w:rsid w:val="000C0246"/>
    <w:rsid w:val="000C088A"/>
    <w:rsid w:val="000C0DFE"/>
    <w:rsid w:val="000C12B1"/>
    <w:rsid w:val="000C14A1"/>
    <w:rsid w:val="000C1BBC"/>
    <w:rsid w:val="000C3C3C"/>
    <w:rsid w:val="000C4896"/>
    <w:rsid w:val="000C57E7"/>
    <w:rsid w:val="000C5995"/>
    <w:rsid w:val="000C70E6"/>
    <w:rsid w:val="000D0375"/>
    <w:rsid w:val="000D0EE9"/>
    <w:rsid w:val="000D2BD0"/>
    <w:rsid w:val="000D2BD9"/>
    <w:rsid w:val="000D3086"/>
    <w:rsid w:val="000D4A08"/>
    <w:rsid w:val="000D59A7"/>
    <w:rsid w:val="000D78F5"/>
    <w:rsid w:val="000E1B64"/>
    <w:rsid w:val="000E2CB1"/>
    <w:rsid w:val="000E4A35"/>
    <w:rsid w:val="000E55CE"/>
    <w:rsid w:val="000E5630"/>
    <w:rsid w:val="000E634F"/>
    <w:rsid w:val="000E6D35"/>
    <w:rsid w:val="000E726C"/>
    <w:rsid w:val="000E7A11"/>
    <w:rsid w:val="000F01EA"/>
    <w:rsid w:val="000F116A"/>
    <w:rsid w:val="000F1C27"/>
    <w:rsid w:val="000F27FF"/>
    <w:rsid w:val="000F3497"/>
    <w:rsid w:val="000F41C9"/>
    <w:rsid w:val="000F5409"/>
    <w:rsid w:val="000F5BC9"/>
    <w:rsid w:val="000F5C14"/>
    <w:rsid w:val="000F6D73"/>
    <w:rsid w:val="000F6E48"/>
    <w:rsid w:val="000F7E2B"/>
    <w:rsid w:val="00101611"/>
    <w:rsid w:val="00101796"/>
    <w:rsid w:val="00101D15"/>
    <w:rsid w:val="00102B35"/>
    <w:rsid w:val="00102F3E"/>
    <w:rsid w:val="00103805"/>
    <w:rsid w:val="00105240"/>
    <w:rsid w:val="00105977"/>
    <w:rsid w:val="00107664"/>
    <w:rsid w:val="00107F30"/>
    <w:rsid w:val="00111652"/>
    <w:rsid w:val="00111BB0"/>
    <w:rsid w:val="00111C8F"/>
    <w:rsid w:val="001120EE"/>
    <w:rsid w:val="00112519"/>
    <w:rsid w:val="0011279C"/>
    <w:rsid w:val="00113557"/>
    <w:rsid w:val="00114220"/>
    <w:rsid w:val="001157D3"/>
    <w:rsid w:val="00116655"/>
    <w:rsid w:val="00116C1E"/>
    <w:rsid w:val="00116CF8"/>
    <w:rsid w:val="00116E28"/>
    <w:rsid w:val="00116E72"/>
    <w:rsid w:val="00117B98"/>
    <w:rsid w:val="00121D85"/>
    <w:rsid w:val="0012213D"/>
    <w:rsid w:val="001222AF"/>
    <w:rsid w:val="00122654"/>
    <w:rsid w:val="00123402"/>
    <w:rsid w:val="00124D65"/>
    <w:rsid w:val="0012526F"/>
    <w:rsid w:val="00125B50"/>
    <w:rsid w:val="0012614C"/>
    <w:rsid w:val="00126316"/>
    <w:rsid w:val="00127FDE"/>
    <w:rsid w:val="00127FED"/>
    <w:rsid w:val="00130F7B"/>
    <w:rsid w:val="00131BFD"/>
    <w:rsid w:val="001326BA"/>
    <w:rsid w:val="001334FE"/>
    <w:rsid w:val="00134398"/>
    <w:rsid w:val="0013680D"/>
    <w:rsid w:val="001371FB"/>
    <w:rsid w:val="00137502"/>
    <w:rsid w:val="00137C7A"/>
    <w:rsid w:val="00140045"/>
    <w:rsid w:val="00140743"/>
    <w:rsid w:val="001411C7"/>
    <w:rsid w:val="00141B8F"/>
    <w:rsid w:val="00143DE3"/>
    <w:rsid w:val="00143FBD"/>
    <w:rsid w:val="00144700"/>
    <w:rsid w:val="00144744"/>
    <w:rsid w:val="00146BDC"/>
    <w:rsid w:val="001472D5"/>
    <w:rsid w:val="00147927"/>
    <w:rsid w:val="00150092"/>
    <w:rsid w:val="00152662"/>
    <w:rsid w:val="001529DA"/>
    <w:rsid w:val="00152CC2"/>
    <w:rsid w:val="001537D7"/>
    <w:rsid w:val="00154881"/>
    <w:rsid w:val="00154B0C"/>
    <w:rsid w:val="001550E1"/>
    <w:rsid w:val="00155218"/>
    <w:rsid w:val="0015622D"/>
    <w:rsid w:val="00157383"/>
    <w:rsid w:val="001602E2"/>
    <w:rsid w:val="00160C75"/>
    <w:rsid w:val="00162366"/>
    <w:rsid w:val="00162464"/>
    <w:rsid w:val="001629B9"/>
    <w:rsid w:val="001634C5"/>
    <w:rsid w:val="00164597"/>
    <w:rsid w:val="001649CD"/>
    <w:rsid w:val="00164E45"/>
    <w:rsid w:val="00164EE5"/>
    <w:rsid w:val="00165779"/>
    <w:rsid w:val="00165ADE"/>
    <w:rsid w:val="001661EF"/>
    <w:rsid w:val="0016683C"/>
    <w:rsid w:val="001669F2"/>
    <w:rsid w:val="001674F5"/>
    <w:rsid w:val="00170832"/>
    <w:rsid w:val="00170C8E"/>
    <w:rsid w:val="00170CD9"/>
    <w:rsid w:val="001714C6"/>
    <w:rsid w:val="00171D1E"/>
    <w:rsid w:val="001728EE"/>
    <w:rsid w:val="001728F5"/>
    <w:rsid w:val="00174926"/>
    <w:rsid w:val="00174A40"/>
    <w:rsid w:val="00176150"/>
    <w:rsid w:val="00176F50"/>
    <w:rsid w:val="00180679"/>
    <w:rsid w:val="00180B49"/>
    <w:rsid w:val="0018292C"/>
    <w:rsid w:val="001831A9"/>
    <w:rsid w:val="0018320B"/>
    <w:rsid w:val="00184FCD"/>
    <w:rsid w:val="001851E3"/>
    <w:rsid w:val="00190508"/>
    <w:rsid w:val="001921FE"/>
    <w:rsid w:val="0019241B"/>
    <w:rsid w:val="0019337A"/>
    <w:rsid w:val="00193753"/>
    <w:rsid w:val="00193FB0"/>
    <w:rsid w:val="001949FB"/>
    <w:rsid w:val="0019636F"/>
    <w:rsid w:val="00196C09"/>
    <w:rsid w:val="0019708E"/>
    <w:rsid w:val="001976F9"/>
    <w:rsid w:val="001979BE"/>
    <w:rsid w:val="00197E5B"/>
    <w:rsid w:val="001A00EF"/>
    <w:rsid w:val="001A019C"/>
    <w:rsid w:val="001A0DA4"/>
    <w:rsid w:val="001A28CF"/>
    <w:rsid w:val="001A3429"/>
    <w:rsid w:val="001A3EE1"/>
    <w:rsid w:val="001A40F2"/>
    <w:rsid w:val="001A51E8"/>
    <w:rsid w:val="001A5691"/>
    <w:rsid w:val="001A60CF"/>
    <w:rsid w:val="001A6DD8"/>
    <w:rsid w:val="001A7472"/>
    <w:rsid w:val="001A7729"/>
    <w:rsid w:val="001A7789"/>
    <w:rsid w:val="001A7B82"/>
    <w:rsid w:val="001B0B61"/>
    <w:rsid w:val="001B0B6E"/>
    <w:rsid w:val="001B18E4"/>
    <w:rsid w:val="001B2AA2"/>
    <w:rsid w:val="001B2C52"/>
    <w:rsid w:val="001B366B"/>
    <w:rsid w:val="001B4BA3"/>
    <w:rsid w:val="001B544C"/>
    <w:rsid w:val="001B797B"/>
    <w:rsid w:val="001B79CE"/>
    <w:rsid w:val="001B7C4A"/>
    <w:rsid w:val="001C00CA"/>
    <w:rsid w:val="001C0324"/>
    <w:rsid w:val="001C036A"/>
    <w:rsid w:val="001C15A0"/>
    <w:rsid w:val="001C1F2A"/>
    <w:rsid w:val="001C5280"/>
    <w:rsid w:val="001C5745"/>
    <w:rsid w:val="001C64F7"/>
    <w:rsid w:val="001C6637"/>
    <w:rsid w:val="001C6913"/>
    <w:rsid w:val="001C7358"/>
    <w:rsid w:val="001C789C"/>
    <w:rsid w:val="001D06EB"/>
    <w:rsid w:val="001D0761"/>
    <w:rsid w:val="001D12A9"/>
    <w:rsid w:val="001D3B7F"/>
    <w:rsid w:val="001D4DE5"/>
    <w:rsid w:val="001D5306"/>
    <w:rsid w:val="001D535A"/>
    <w:rsid w:val="001D53B0"/>
    <w:rsid w:val="001D53CE"/>
    <w:rsid w:val="001D5615"/>
    <w:rsid w:val="001D7418"/>
    <w:rsid w:val="001D7493"/>
    <w:rsid w:val="001D765B"/>
    <w:rsid w:val="001E0061"/>
    <w:rsid w:val="001E15C0"/>
    <w:rsid w:val="001E1945"/>
    <w:rsid w:val="001E1B16"/>
    <w:rsid w:val="001E2872"/>
    <w:rsid w:val="001E3BF9"/>
    <w:rsid w:val="001E48B9"/>
    <w:rsid w:val="001E4B16"/>
    <w:rsid w:val="001E695A"/>
    <w:rsid w:val="001E6CFD"/>
    <w:rsid w:val="001E742B"/>
    <w:rsid w:val="001E7609"/>
    <w:rsid w:val="001F0069"/>
    <w:rsid w:val="001F073B"/>
    <w:rsid w:val="001F09F1"/>
    <w:rsid w:val="001F13D7"/>
    <w:rsid w:val="001F164E"/>
    <w:rsid w:val="001F29EA"/>
    <w:rsid w:val="001F3046"/>
    <w:rsid w:val="001F3740"/>
    <w:rsid w:val="001F39B1"/>
    <w:rsid w:val="001F61AC"/>
    <w:rsid w:val="001F64E2"/>
    <w:rsid w:val="001F76BB"/>
    <w:rsid w:val="00200542"/>
    <w:rsid w:val="00200566"/>
    <w:rsid w:val="002008C4"/>
    <w:rsid w:val="0020098D"/>
    <w:rsid w:val="00201316"/>
    <w:rsid w:val="00201878"/>
    <w:rsid w:val="00202E9F"/>
    <w:rsid w:val="002032A1"/>
    <w:rsid w:val="002047B4"/>
    <w:rsid w:val="0020508E"/>
    <w:rsid w:val="00205134"/>
    <w:rsid w:val="0020598B"/>
    <w:rsid w:val="00205E2E"/>
    <w:rsid w:val="00206EF9"/>
    <w:rsid w:val="0020728E"/>
    <w:rsid w:val="00207FEA"/>
    <w:rsid w:val="00210B44"/>
    <w:rsid w:val="002130A7"/>
    <w:rsid w:val="00213BB0"/>
    <w:rsid w:val="00214089"/>
    <w:rsid w:val="00214D8E"/>
    <w:rsid w:val="002158BB"/>
    <w:rsid w:val="002161B2"/>
    <w:rsid w:val="00216397"/>
    <w:rsid w:val="00216413"/>
    <w:rsid w:val="00221878"/>
    <w:rsid w:val="00222AAC"/>
    <w:rsid w:val="0022306A"/>
    <w:rsid w:val="00223B96"/>
    <w:rsid w:val="002245D3"/>
    <w:rsid w:val="00226064"/>
    <w:rsid w:val="002279D7"/>
    <w:rsid w:val="002301DA"/>
    <w:rsid w:val="00230E7C"/>
    <w:rsid w:val="00232118"/>
    <w:rsid w:val="002343BC"/>
    <w:rsid w:val="002355A8"/>
    <w:rsid w:val="00236C26"/>
    <w:rsid w:val="00237288"/>
    <w:rsid w:val="00237F2F"/>
    <w:rsid w:val="00240198"/>
    <w:rsid w:val="00240309"/>
    <w:rsid w:val="00240588"/>
    <w:rsid w:val="00241A54"/>
    <w:rsid w:val="00241ED0"/>
    <w:rsid w:val="0024380B"/>
    <w:rsid w:val="00243D46"/>
    <w:rsid w:val="00245089"/>
    <w:rsid w:val="00245233"/>
    <w:rsid w:val="00247A0A"/>
    <w:rsid w:val="002501EB"/>
    <w:rsid w:val="00250C36"/>
    <w:rsid w:val="00251377"/>
    <w:rsid w:val="00252334"/>
    <w:rsid w:val="00253390"/>
    <w:rsid w:val="00255894"/>
    <w:rsid w:val="00255AC0"/>
    <w:rsid w:val="002573D6"/>
    <w:rsid w:val="002573F6"/>
    <w:rsid w:val="00257BB1"/>
    <w:rsid w:val="00260063"/>
    <w:rsid w:val="00261FA6"/>
    <w:rsid w:val="0026201E"/>
    <w:rsid w:val="002626B8"/>
    <w:rsid w:val="002628A3"/>
    <w:rsid w:val="002647F0"/>
    <w:rsid w:val="00264903"/>
    <w:rsid w:val="00265A8A"/>
    <w:rsid w:val="00267BE6"/>
    <w:rsid w:val="00270230"/>
    <w:rsid w:val="00270E10"/>
    <w:rsid w:val="00271C08"/>
    <w:rsid w:val="00272304"/>
    <w:rsid w:val="00272BE9"/>
    <w:rsid w:val="00272CD7"/>
    <w:rsid w:val="0027303C"/>
    <w:rsid w:val="00273F7E"/>
    <w:rsid w:val="00276EC8"/>
    <w:rsid w:val="002778F0"/>
    <w:rsid w:val="0028035A"/>
    <w:rsid w:val="00280494"/>
    <w:rsid w:val="00281546"/>
    <w:rsid w:val="002824E0"/>
    <w:rsid w:val="002827B6"/>
    <w:rsid w:val="00282E62"/>
    <w:rsid w:val="00284EB1"/>
    <w:rsid w:val="00285666"/>
    <w:rsid w:val="00285788"/>
    <w:rsid w:val="0029023F"/>
    <w:rsid w:val="00290331"/>
    <w:rsid w:val="00290C9E"/>
    <w:rsid w:val="002911EC"/>
    <w:rsid w:val="00292390"/>
    <w:rsid w:val="00292BA7"/>
    <w:rsid w:val="002944C6"/>
    <w:rsid w:val="00295790"/>
    <w:rsid w:val="002958B7"/>
    <w:rsid w:val="00296543"/>
    <w:rsid w:val="0029784F"/>
    <w:rsid w:val="002A09C4"/>
    <w:rsid w:val="002A0B4D"/>
    <w:rsid w:val="002A0C28"/>
    <w:rsid w:val="002A0F59"/>
    <w:rsid w:val="002A1BB6"/>
    <w:rsid w:val="002A1EC3"/>
    <w:rsid w:val="002A255E"/>
    <w:rsid w:val="002A408E"/>
    <w:rsid w:val="002A4FAB"/>
    <w:rsid w:val="002A5A39"/>
    <w:rsid w:val="002A5D5D"/>
    <w:rsid w:val="002A6705"/>
    <w:rsid w:val="002A7165"/>
    <w:rsid w:val="002A78FC"/>
    <w:rsid w:val="002B188F"/>
    <w:rsid w:val="002B381E"/>
    <w:rsid w:val="002B47D2"/>
    <w:rsid w:val="002B5EF6"/>
    <w:rsid w:val="002B629D"/>
    <w:rsid w:val="002C107B"/>
    <w:rsid w:val="002C122F"/>
    <w:rsid w:val="002C247D"/>
    <w:rsid w:val="002C38AF"/>
    <w:rsid w:val="002C3D3F"/>
    <w:rsid w:val="002C40EB"/>
    <w:rsid w:val="002C4881"/>
    <w:rsid w:val="002C601F"/>
    <w:rsid w:val="002C67A0"/>
    <w:rsid w:val="002C682C"/>
    <w:rsid w:val="002C770D"/>
    <w:rsid w:val="002D19CE"/>
    <w:rsid w:val="002D419E"/>
    <w:rsid w:val="002D4FF4"/>
    <w:rsid w:val="002D5D69"/>
    <w:rsid w:val="002D6001"/>
    <w:rsid w:val="002D7954"/>
    <w:rsid w:val="002D7B4A"/>
    <w:rsid w:val="002E078D"/>
    <w:rsid w:val="002E147E"/>
    <w:rsid w:val="002E17AD"/>
    <w:rsid w:val="002E1810"/>
    <w:rsid w:val="002E1A39"/>
    <w:rsid w:val="002E278E"/>
    <w:rsid w:val="002E36B8"/>
    <w:rsid w:val="002E3864"/>
    <w:rsid w:val="002E42BE"/>
    <w:rsid w:val="002E51D7"/>
    <w:rsid w:val="002E66A2"/>
    <w:rsid w:val="002E6952"/>
    <w:rsid w:val="002E700D"/>
    <w:rsid w:val="002E76BC"/>
    <w:rsid w:val="002F2564"/>
    <w:rsid w:val="002F2854"/>
    <w:rsid w:val="002F364E"/>
    <w:rsid w:val="002F394B"/>
    <w:rsid w:val="002F3CA2"/>
    <w:rsid w:val="002F43D3"/>
    <w:rsid w:val="002F444D"/>
    <w:rsid w:val="002F56A3"/>
    <w:rsid w:val="002F6686"/>
    <w:rsid w:val="002F7260"/>
    <w:rsid w:val="00300BCB"/>
    <w:rsid w:val="00300C49"/>
    <w:rsid w:val="003033F6"/>
    <w:rsid w:val="003050E8"/>
    <w:rsid w:val="003058CD"/>
    <w:rsid w:val="00306ACE"/>
    <w:rsid w:val="00306ADF"/>
    <w:rsid w:val="00306C70"/>
    <w:rsid w:val="00306E78"/>
    <w:rsid w:val="003073F8"/>
    <w:rsid w:val="00307E45"/>
    <w:rsid w:val="003105BE"/>
    <w:rsid w:val="00311785"/>
    <w:rsid w:val="00311860"/>
    <w:rsid w:val="00313698"/>
    <w:rsid w:val="00313D91"/>
    <w:rsid w:val="0031479B"/>
    <w:rsid w:val="003150CD"/>
    <w:rsid w:val="00315B81"/>
    <w:rsid w:val="0031603C"/>
    <w:rsid w:val="00316877"/>
    <w:rsid w:val="00316A86"/>
    <w:rsid w:val="00316CA3"/>
    <w:rsid w:val="00317088"/>
    <w:rsid w:val="00317502"/>
    <w:rsid w:val="00317D27"/>
    <w:rsid w:val="003203AB"/>
    <w:rsid w:val="003205E7"/>
    <w:rsid w:val="00320B5E"/>
    <w:rsid w:val="00320EB4"/>
    <w:rsid w:val="0032198D"/>
    <w:rsid w:val="00322620"/>
    <w:rsid w:val="00322F58"/>
    <w:rsid w:val="0032330B"/>
    <w:rsid w:val="00323EFF"/>
    <w:rsid w:val="00324F27"/>
    <w:rsid w:val="00325DF3"/>
    <w:rsid w:val="00326539"/>
    <w:rsid w:val="003279A9"/>
    <w:rsid w:val="003309D6"/>
    <w:rsid w:val="0033316C"/>
    <w:rsid w:val="00333841"/>
    <w:rsid w:val="00333D28"/>
    <w:rsid w:val="00333ECA"/>
    <w:rsid w:val="003341DD"/>
    <w:rsid w:val="00334329"/>
    <w:rsid w:val="003347A5"/>
    <w:rsid w:val="00334DD8"/>
    <w:rsid w:val="00334E05"/>
    <w:rsid w:val="00335F31"/>
    <w:rsid w:val="003367CF"/>
    <w:rsid w:val="0033765F"/>
    <w:rsid w:val="00340B82"/>
    <w:rsid w:val="00341350"/>
    <w:rsid w:val="00341EFA"/>
    <w:rsid w:val="0034218D"/>
    <w:rsid w:val="00342FBE"/>
    <w:rsid w:val="00343001"/>
    <w:rsid w:val="00344388"/>
    <w:rsid w:val="00344E7D"/>
    <w:rsid w:val="0034511A"/>
    <w:rsid w:val="00345441"/>
    <w:rsid w:val="003458A2"/>
    <w:rsid w:val="00347B88"/>
    <w:rsid w:val="003509C7"/>
    <w:rsid w:val="00350F23"/>
    <w:rsid w:val="00350FC3"/>
    <w:rsid w:val="003511BF"/>
    <w:rsid w:val="00351786"/>
    <w:rsid w:val="00351D88"/>
    <w:rsid w:val="00352042"/>
    <w:rsid w:val="0035256B"/>
    <w:rsid w:val="0035296F"/>
    <w:rsid w:val="003533B6"/>
    <w:rsid w:val="00353924"/>
    <w:rsid w:val="003539B7"/>
    <w:rsid w:val="00355016"/>
    <w:rsid w:val="0035519D"/>
    <w:rsid w:val="003551D8"/>
    <w:rsid w:val="00356C73"/>
    <w:rsid w:val="0035732E"/>
    <w:rsid w:val="003579F5"/>
    <w:rsid w:val="00357A5E"/>
    <w:rsid w:val="00360B8E"/>
    <w:rsid w:val="00360EA1"/>
    <w:rsid w:val="00361066"/>
    <w:rsid w:val="003615AC"/>
    <w:rsid w:val="00362856"/>
    <w:rsid w:val="00363086"/>
    <w:rsid w:val="0036351C"/>
    <w:rsid w:val="00363DE2"/>
    <w:rsid w:val="00364065"/>
    <w:rsid w:val="00364C12"/>
    <w:rsid w:val="00365B99"/>
    <w:rsid w:val="00365F4E"/>
    <w:rsid w:val="003667A2"/>
    <w:rsid w:val="00366A11"/>
    <w:rsid w:val="00366A90"/>
    <w:rsid w:val="00366AD8"/>
    <w:rsid w:val="00366C85"/>
    <w:rsid w:val="00367DEA"/>
    <w:rsid w:val="00371132"/>
    <w:rsid w:val="003711A6"/>
    <w:rsid w:val="00371638"/>
    <w:rsid w:val="00371BED"/>
    <w:rsid w:val="00371DB4"/>
    <w:rsid w:val="00372A7D"/>
    <w:rsid w:val="00373183"/>
    <w:rsid w:val="00373774"/>
    <w:rsid w:val="003742C4"/>
    <w:rsid w:val="0037582D"/>
    <w:rsid w:val="003760BF"/>
    <w:rsid w:val="0037697A"/>
    <w:rsid w:val="0037718B"/>
    <w:rsid w:val="00377228"/>
    <w:rsid w:val="00377D01"/>
    <w:rsid w:val="00380BDC"/>
    <w:rsid w:val="003824B0"/>
    <w:rsid w:val="0038399A"/>
    <w:rsid w:val="003844C3"/>
    <w:rsid w:val="00384A2B"/>
    <w:rsid w:val="00384C9D"/>
    <w:rsid w:val="003854B4"/>
    <w:rsid w:val="00386138"/>
    <w:rsid w:val="0038635C"/>
    <w:rsid w:val="00386BDD"/>
    <w:rsid w:val="00387489"/>
    <w:rsid w:val="00387632"/>
    <w:rsid w:val="0039057C"/>
    <w:rsid w:val="00390C5D"/>
    <w:rsid w:val="00390D39"/>
    <w:rsid w:val="00390FA1"/>
    <w:rsid w:val="00390FB6"/>
    <w:rsid w:val="00393BC3"/>
    <w:rsid w:val="00393E40"/>
    <w:rsid w:val="00394021"/>
    <w:rsid w:val="003941E7"/>
    <w:rsid w:val="0039479B"/>
    <w:rsid w:val="003949E6"/>
    <w:rsid w:val="00394B14"/>
    <w:rsid w:val="00396656"/>
    <w:rsid w:val="0039706C"/>
    <w:rsid w:val="00397CDE"/>
    <w:rsid w:val="00397FA6"/>
    <w:rsid w:val="003A0197"/>
    <w:rsid w:val="003A070C"/>
    <w:rsid w:val="003A133A"/>
    <w:rsid w:val="003A1EA4"/>
    <w:rsid w:val="003A25CF"/>
    <w:rsid w:val="003A2DD8"/>
    <w:rsid w:val="003A3211"/>
    <w:rsid w:val="003A3A46"/>
    <w:rsid w:val="003A3B94"/>
    <w:rsid w:val="003A3DD3"/>
    <w:rsid w:val="003A5452"/>
    <w:rsid w:val="003A584E"/>
    <w:rsid w:val="003A7A04"/>
    <w:rsid w:val="003B0E7F"/>
    <w:rsid w:val="003B2A00"/>
    <w:rsid w:val="003B5557"/>
    <w:rsid w:val="003B5EF3"/>
    <w:rsid w:val="003B60F9"/>
    <w:rsid w:val="003B78E6"/>
    <w:rsid w:val="003B7BB8"/>
    <w:rsid w:val="003C039E"/>
    <w:rsid w:val="003C0D19"/>
    <w:rsid w:val="003C15F0"/>
    <w:rsid w:val="003C1C3F"/>
    <w:rsid w:val="003C1ED5"/>
    <w:rsid w:val="003C1FFB"/>
    <w:rsid w:val="003C23C5"/>
    <w:rsid w:val="003C2F9E"/>
    <w:rsid w:val="003C3014"/>
    <w:rsid w:val="003C3E57"/>
    <w:rsid w:val="003C3F1F"/>
    <w:rsid w:val="003C4174"/>
    <w:rsid w:val="003C4288"/>
    <w:rsid w:val="003C569A"/>
    <w:rsid w:val="003C62D2"/>
    <w:rsid w:val="003C660C"/>
    <w:rsid w:val="003C76B2"/>
    <w:rsid w:val="003C77D7"/>
    <w:rsid w:val="003C77E2"/>
    <w:rsid w:val="003D00E8"/>
    <w:rsid w:val="003D0905"/>
    <w:rsid w:val="003D0BA4"/>
    <w:rsid w:val="003D12EE"/>
    <w:rsid w:val="003D1489"/>
    <w:rsid w:val="003D1CAC"/>
    <w:rsid w:val="003D2CE7"/>
    <w:rsid w:val="003D35CC"/>
    <w:rsid w:val="003D3690"/>
    <w:rsid w:val="003D4061"/>
    <w:rsid w:val="003D42C8"/>
    <w:rsid w:val="003D44EC"/>
    <w:rsid w:val="003D46A9"/>
    <w:rsid w:val="003D473B"/>
    <w:rsid w:val="003D650A"/>
    <w:rsid w:val="003D6C35"/>
    <w:rsid w:val="003D7348"/>
    <w:rsid w:val="003E07C1"/>
    <w:rsid w:val="003E148B"/>
    <w:rsid w:val="003E19DD"/>
    <w:rsid w:val="003E224E"/>
    <w:rsid w:val="003E24C3"/>
    <w:rsid w:val="003E2A02"/>
    <w:rsid w:val="003E3F33"/>
    <w:rsid w:val="003E46FE"/>
    <w:rsid w:val="003E4DBB"/>
    <w:rsid w:val="003E5FE5"/>
    <w:rsid w:val="003E649D"/>
    <w:rsid w:val="003E7349"/>
    <w:rsid w:val="003E7EDE"/>
    <w:rsid w:val="003F005D"/>
    <w:rsid w:val="003F29CE"/>
    <w:rsid w:val="003F2E99"/>
    <w:rsid w:val="003F3484"/>
    <w:rsid w:val="003F3674"/>
    <w:rsid w:val="003F3D5C"/>
    <w:rsid w:val="003F42F3"/>
    <w:rsid w:val="003F44DA"/>
    <w:rsid w:val="003F48A4"/>
    <w:rsid w:val="003F4CF9"/>
    <w:rsid w:val="003F5858"/>
    <w:rsid w:val="003F5A18"/>
    <w:rsid w:val="003F6072"/>
    <w:rsid w:val="003F6408"/>
    <w:rsid w:val="003F6930"/>
    <w:rsid w:val="003F6A44"/>
    <w:rsid w:val="003F6F01"/>
    <w:rsid w:val="003F7E0A"/>
    <w:rsid w:val="00401109"/>
    <w:rsid w:val="00401CFE"/>
    <w:rsid w:val="00402390"/>
    <w:rsid w:val="00403810"/>
    <w:rsid w:val="00405B90"/>
    <w:rsid w:val="00405EE1"/>
    <w:rsid w:val="0040624A"/>
    <w:rsid w:val="00406F96"/>
    <w:rsid w:val="00407306"/>
    <w:rsid w:val="00407508"/>
    <w:rsid w:val="004101D7"/>
    <w:rsid w:val="00412A74"/>
    <w:rsid w:val="00412B77"/>
    <w:rsid w:val="0041361A"/>
    <w:rsid w:val="00413CB9"/>
    <w:rsid w:val="00413CEB"/>
    <w:rsid w:val="004141B1"/>
    <w:rsid w:val="0041465B"/>
    <w:rsid w:val="00414D6D"/>
    <w:rsid w:val="004160F9"/>
    <w:rsid w:val="00416C63"/>
    <w:rsid w:val="00416E41"/>
    <w:rsid w:val="004171DD"/>
    <w:rsid w:val="0042041B"/>
    <w:rsid w:val="00420C46"/>
    <w:rsid w:val="0042130F"/>
    <w:rsid w:val="00421665"/>
    <w:rsid w:val="00421E0E"/>
    <w:rsid w:val="0042289C"/>
    <w:rsid w:val="00422DE4"/>
    <w:rsid w:val="004234BC"/>
    <w:rsid w:val="00423CA5"/>
    <w:rsid w:val="004246B5"/>
    <w:rsid w:val="00424CC9"/>
    <w:rsid w:val="00425467"/>
    <w:rsid w:val="0042594D"/>
    <w:rsid w:val="004264EB"/>
    <w:rsid w:val="0043027B"/>
    <w:rsid w:val="004307AE"/>
    <w:rsid w:val="00433DA9"/>
    <w:rsid w:val="00434B9E"/>
    <w:rsid w:val="00434CC1"/>
    <w:rsid w:val="00435A29"/>
    <w:rsid w:val="00437407"/>
    <w:rsid w:val="0043781F"/>
    <w:rsid w:val="00440C6C"/>
    <w:rsid w:val="00441BBE"/>
    <w:rsid w:val="004440EC"/>
    <w:rsid w:val="00444235"/>
    <w:rsid w:val="004447FF"/>
    <w:rsid w:val="00444D01"/>
    <w:rsid w:val="00444E25"/>
    <w:rsid w:val="00444F46"/>
    <w:rsid w:val="00446888"/>
    <w:rsid w:val="00446CB5"/>
    <w:rsid w:val="00450119"/>
    <w:rsid w:val="004503C5"/>
    <w:rsid w:val="0045143C"/>
    <w:rsid w:val="004515D3"/>
    <w:rsid w:val="00452230"/>
    <w:rsid w:val="004528DE"/>
    <w:rsid w:val="00452E8D"/>
    <w:rsid w:val="004579C4"/>
    <w:rsid w:val="00457B4F"/>
    <w:rsid w:val="00457E60"/>
    <w:rsid w:val="004611C6"/>
    <w:rsid w:val="004612C0"/>
    <w:rsid w:val="00461492"/>
    <w:rsid w:val="004615CA"/>
    <w:rsid w:val="00462918"/>
    <w:rsid w:val="00462AD6"/>
    <w:rsid w:val="00462DEA"/>
    <w:rsid w:val="004649D0"/>
    <w:rsid w:val="004656F0"/>
    <w:rsid w:val="0046646D"/>
    <w:rsid w:val="00466DAB"/>
    <w:rsid w:val="004670E8"/>
    <w:rsid w:val="00470003"/>
    <w:rsid w:val="0047099B"/>
    <w:rsid w:val="00470EE8"/>
    <w:rsid w:val="0047144F"/>
    <w:rsid w:val="0047196F"/>
    <w:rsid w:val="00471EF5"/>
    <w:rsid w:val="00472AD6"/>
    <w:rsid w:val="00473762"/>
    <w:rsid w:val="00473763"/>
    <w:rsid w:val="0047462A"/>
    <w:rsid w:val="00475328"/>
    <w:rsid w:val="004753FB"/>
    <w:rsid w:val="00475403"/>
    <w:rsid w:val="00475E0F"/>
    <w:rsid w:val="00475FC4"/>
    <w:rsid w:val="00480DCC"/>
    <w:rsid w:val="00481100"/>
    <w:rsid w:val="00481272"/>
    <w:rsid w:val="00481E75"/>
    <w:rsid w:val="00481EEB"/>
    <w:rsid w:val="004826B8"/>
    <w:rsid w:val="004828C7"/>
    <w:rsid w:val="00482EA2"/>
    <w:rsid w:val="004838FC"/>
    <w:rsid w:val="00483C5D"/>
    <w:rsid w:val="00484552"/>
    <w:rsid w:val="0048478A"/>
    <w:rsid w:val="00484A92"/>
    <w:rsid w:val="00484BC7"/>
    <w:rsid w:val="00485079"/>
    <w:rsid w:val="004853C1"/>
    <w:rsid w:val="00485A36"/>
    <w:rsid w:val="00485E6E"/>
    <w:rsid w:val="004861AE"/>
    <w:rsid w:val="004868D1"/>
    <w:rsid w:val="00487C0D"/>
    <w:rsid w:val="004903BC"/>
    <w:rsid w:val="004905AD"/>
    <w:rsid w:val="004915E1"/>
    <w:rsid w:val="00491C1A"/>
    <w:rsid w:val="00491EEB"/>
    <w:rsid w:val="00492E52"/>
    <w:rsid w:val="0049363D"/>
    <w:rsid w:val="00493818"/>
    <w:rsid w:val="00493D64"/>
    <w:rsid w:val="00493D7F"/>
    <w:rsid w:val="004948D3"/>
    <w:rsid w:val="00495054"/>
    <w:rsid w:val="00495675"/>
    <w:rsid w:val="00496426"/>
    <w:rsid w:val="00496E39"/>
    <w:rsid w:val="00497E0D"/>
    <w:rsid w:val="00497E1D"/>
    <w:rsid w:val="00497EBE"/>
    <w:rsid w:val="004A01A0"/>
    <w:rsid w:val="004A04E9"/>
    <w:rsid w:val="004A0620"/>
    <w:rsid w:val="004A0DEC"/>
    <w:rsid w:val="004A13C4"/>
    <w:rsid w:val="004A239B"/>
    <w:rsid w:val="004A2659"/>
    <w:rsid w:val="004A2991"/>
    <w:rsid w:val="004A29F0"/>
    <w:rsid w:val="004A2E05"/>
    <w:rsid w:val="004A359A"/>
    <w:rsid w:val="004A3E38"/>
    <w:rsid w:val="004A3EDE"/>
    <w:rsid w:val="004A48C4"/>
    <w:rsid w:val="004A50FA"/>
    <w:rsid w:val="004A5EE0"/>
    <w:rsid w:val="004A7018"/>
    <w:rsid w:val="004A78AE"/>
    <w:rsid w:val="004B018B"/>
    <w:rsid w:val="004B0368"/>
    <w:rsid w:val="004B041A"/>
    <w:rsid w:val="004B050B"/>
    <w:rsid w:val="004B21D1"/>
    <w:rsid w:val="004B23AF"/>
    <w:rsid w:val="004B3464"/>
    <w:rsid w:val="004B3BF7"/>
    <w:rsid w:val="004B4C46"/>
    <w:rsid w:val="004B4E0F"/>
    <w:rsid w:val="004B5C08"/>
    <w:rsid w:val="004B5CAE"/>
    <w:rsid w:val="004B5D30"/>
    <w:rsid w:val="004B63AB"/>
    <w:rsid w:val="004B6F5F"/>
    <w:rsid w:val="004B7C90"/>
    <w:rsid w:val="004C0B73"/>
    <w:rsid w:val="004C115F"/>
    <w:rsid w:val="004C15AB"/>
    <w:rsid w:val="004C2A17"/>
    <w:rsid w:val="004C2BE2"/>
    <w:rsid w:val="004C345F"/>
    <w:rsid w:val="004C3E19"/>
    <w:rsid w:val="004C58E5"/>
    <w:rsid w:val="004C5BEA"/>
    <w:rsid w:val="004C6652"/>
    <w:rsid w:val="004C7D2A"/>
    <w:rsid w:val="004C7E41"/>
    <w:rsid w:val="004D00FB"/>
    <w:rsid w:val="004D00FF"/>
    <w:rsid w:val="004D0CFD"/>
    <w:rsid w:val="004D0EDA"/>
    <w:rsid w:val="004D1531"/>
    <w:rsid w:val="004D1D4F"/>
    <w:rsid w:val="004D25B9"/>
    <w:rsid w:val="004D3B94"/>
    <w:rsid w:val="004D5488"/>
    <w:rsid w:val="004D5E45"/>
    <w:rsid w:val="004D6B77"/>
    <w:rsid w:val="004D746F"/>
    <w:rsid w:val="004E0CC2"/>
    <w:rsid w:val="004E0E68"/>
    <w:rsid w:val="004E10A4"/>
    <w:rsid w:val="004E1FE2"/>
    <w:rsid w:val="004E24CC"/>
    <w:rsid w:val="004E272A"/>
    <w:rsid w:val="004E307C"/>
    <w:rsid w:val="004E4937"/>
    <w:rsid w:val="004E4B97"/>
    <w:rsid w:val="004E4D4C"/>
    <w:rsid w:val="004E53CB"/>
    <w:rsid w:val="004E5744"/>
    <w:rsid w:val="004E6F1B"/>
    <w:rsid w:val="004F0CE1"/>
    <w:rsid w:val="004F1430"/>
    <w:rsid w:val="004F3150"/>
    <w:rsid w:val="004F42BC"/>
    <w:rsid w:val="004F4FE3"/>
    <w:rsid w:val="004F6562"/>
    <w:rsid w:val="004F66AF"/>
    <w:rsid w:val="004F6916"/>
    <w:rsid w:val="004F7223"/>
    <w:rsid w:val="004F786A"/>
    <w:rsid w:val="004F7EDF"/>
    <w:rsid w:val="0050010E"/>
    <w:rsid w:val="0050213E"/>
    <w:rsid w:val="0050241F"/>
    <w:rsid w:val="0050259C"/>
    <w:rsid w:val="005027E0"/>
    <w:rsid w:val="00502B7E"/>
    <w:rsid w:val="005036C7"/>
    <w:rsid w:val="005038E2"/>
    <w:rsid w:val="00503C73"/>
    <w:rsid w:val="005060F9"/>
    <w:rsid w:val="00506D30"/>
    <w:rsid w:val="00506F6A"/>
    <w:rsid w:val="0051265A"/>
    <w:rsid w:val="00512C7E"/>
    <w:rsid w:val="00512ED0"/>
    <w:rsid w:val="00514795"/>
    <w:rsid w:val="005148F9"/>
    <w:rsid w:val="005149C9"/>
    <w:rsid w:val="00514A8C"/>
    <w:rsid w:val="005151B6"/>
    <w:rsid w:val="00515FBE"/>
    <w:rsid w:val="00516578"/>
    <w:rsid w:val="005165F3"/>
    <w:rsid w:val="00516A11"/>
    <w:rsid w:val="00516C47"/>
    <w:rsid w:val="00516D1F"/>
    <w:rsid w:val="00517C14"/>
    <w:rsid w:val="00522BAE"/>
    <w:rsid w:val="00523DED"/>
    <w:rsid w:val="00525889"/>
    <w:rsid w:val="00527BC0"/>
    <w:rsid w:val="00530949"/>
    <w:rsid w:val="00530CFD"/>
    <w:rsid w:val="00532732"/>
    <w:rsid w:val="00533C8E"/>
    <w:rsid w:val="0053436A"/>
    <w:rsid w:val="00534FF2"/>
    <w:rsid w:val="0053581A"/>
    <w:rsid w:val="00535EAC"/>
    <w:rsid w:val="00536763"/>
    <w:rsid w:val="00536CFB"/>
    <w:rsid w:val="00537DA4"/>
    <w:rsid w:val="005402B6"/>
    <w:rsid w:val="005408CC"/>
    <w:rsid w:val="00542569"/>
    <w:rsid w:val="00542859"/>
    <w:rsid w:val="00543C6D"/>
    <w:rsid w:val="005441F7"/>
    <w:rsid w:val="005445D1"/>
    <w:rsid w:val="0054468E"/>
    <w:rsid w:val="0054558B"/>
    <w:rsid w:val="00545730"/>
    <w:rsid w:val="005459FA"/>
    <w:rsid w:val="00545DC3"/>
    <w:rsid w:val="00546144"/>
    <w:rsid w:val="005462EA"/>
    <w:rsid w:val="00546C39"/>
    <w:rsid w:val="00550BCE"/>
    <w:rsid w:val="00550BE5"/>
    <w:rsid w:val="00550F03"/>
    <w:rsid w:val="00551D02"/>
    <w:rsid w:val="00552CC2"/>
    <w:rsid w:val="005532A6"/>
    <w:rsid w:val="005535D0"/>
    <w:rsid w:val="00553AC9"/>
    <w:rsid w:val="00554398"/>
    <w:rsid w:val="005547B2"/>
    <w:rsid w:val="005618AE"/>
    <w:rsid w:val="00561F73"/>
    <w:rsid w:val="00561FCD"/>
    <w:rsid w:val="00562078"/>
    <w:rsid w:val="005626B6"/>
    <w:rsid w:val="00563D19"/>
    <w:rsid w:val="00564FC4"/>
    <w:rsid w:val="005656C5"/>
    <w:rsid w:val="00565700"/>
    <w:rsid w:val="00565A02"/>
    <w:rsid w:val="00565CB2"/>
    <w:rsid w:val="00566491"/>
    <w:rsid w:val="0056709A"/>
    <w:rsid w:val="005673F1"/>
    <w:rsid w:val="005675E1"/>
    <w:rsid w:val="005679C6"/>
    <w:rsid w:val="00570149"/>
    <w:rsid w:val="00570415"/>
    <w:rsid w:val="00570748"/>
    <w:rsid w:val="00570C02"/>
    <w:rsid w:val="0057186D"/>
    <w:rsid w:val="005729B4"/>
    <w:rsid w:val="00573BAD"/>
    <w:rsid w:val="00575329"/>
    <w:rsid w:val="00575342"/>
    <w:rsid w:val="00575637"/>
    <w:rsid w:val="005757D4"/>
    <w:rsid w:val="00577A5E"/>
    <w:rsid w:val="00577B5C"/>
    <w:rsid w:val="00580233"/>
    <w:rsid w:val="00580492"/>
    <w:rsid w:val="0058124F"/>
    <w:rsid w:val="005812A1"/>
    <w:rsid w:val="005814E4"/>
    <w:rsid w:val="005820E7"/>
    <w:rsid w:val="00582158"/>
    <w:rsid w:val="005831C8"/>
    <w:rsid w:val="005835DF"/>
    <w:rsid w:val="005847F4"/>
    <w:rsid w:val="00584BC6"/>
    <w:rsid w:val="00585B9D"/>
    <w:rsid w:val="00590713"/>
    <w:rsid w:val="005911B9"/>
    <w:rsid w:val="005922FE"/>
    <w:rsid w:val="00593800"/>
    <w:rsid w:val="00593BF2"/>
    <w:rsid w:val="00593D9D"/>
    <w:rsid w:val="00595145"/>
    <w:rsid w:val="00596263"/>
    <w:rsid w:val="0059684B"/>
    <w:rsid w:val="00597587"/>
    <w:rsid w:val="005975EA"/>
    <w:rsid w:val="005978F2"/>
    <w:rsid w:val="00597AC3"/>
    <w:rsid w:val="00597B72"/>
    <w:rsid w:val="00597ED5"/>
    <w:rsid w:val="00597F39"/>
    <w:rsid w:val="005A0E72"/>
    <w:rsid w:val="005A147C"/>
    <w:rsid w:val="005A1491"/>
    <w:rsid w:val="005A29AD"/>
    <w:rsid w:val="005A338E"/>
    <w:rsid w:val="005A3A3F"/>
    <w:rsid w:val="005A4D16"/>
    <w:rsid w:val="005A4D34"/>
    <w:rsid w:val="005A5D1E"/>
    <w:rsid w:val="005A5D98"/>
    <w:rsid w:val="005A73EF"/>
    <w:rsid w:val="005B0AB1"/>
    <w:rsid w:val="005B20AE"/>
    <w:rsid w:val="005B2771"/>
    <w:rsid w:val="005B2EC0"/>
    <w:rsid w:val="005B4110"/>
    <w:rsid w:val="005B4296"/>
    <w:rsid w:val="005B4316"/>
    <w:rsid w:val="005B572B"/>
    <w:rsid w:val="005B773B"/>
    <w:rsid w:val="005B7E8B"/>
    <w:rsid w:val="005C06A7"/>
    <w:rsid w:val="005C168E"/>
    <w:rsid w:val="005C16E8"/>
    <w:rsid w:val="005C2032"/>
    <w:rsid w:val="005C22D2"/>
    <w:rsid w:val="005C27EF"/>
    <w:rsid w:val="005C3DE0"/>
    <w:rsid w:val="005C450A"/>
    <w:rsid w:val="005C46DB"/>
    <w:rsid w:val="005C49C1"/>
    <w:rsid w:val="005C5471"/>
    <w:rsid w:val="005C64EF"/>
    <w:rsid w:val="005C6F7A"/>
    <w:rsid w:val="005C7A17"/>
    <w:rsid w:val="005C7F32"/>
    <w:rsid w:val="005D0049"/>
    <w:rsid w:val="005D1A47"/>
    <w:rsid w:val="005D2330"/>
    <w:rsid w:val="005D2409"/>
    <w:rsid w:val="005D244F"/>
    <w:rsid w:val="005D2928"/>
    <w:rsid w:val="005D3BA9"/>
    <w:rsid w:val="005D3E88"/>
    <w:rsid w:val="005D4D41"/>
    <w:rsid w:val="005D4DD7"/>
    <w:rsid w:val="005D4DF0"/>
    <w:rsid w:val="005D63D4"/>
    <w:rsid w:val="005E0053"/>
    <w:rsid w:val="005E012F"/>
    <w:rsid w:val="005E0410"/>
    <w:rsid w:val="005E0B22"/>
    <w:rsid w:val="005E12BB"/>
    <w:rsid w:val="005E1DD5"/>
    <w:rsid w:val="005E39DE"/>
    <w:rsid w:val="005E3F44"/>
    <w:rsid w:val="005E431F"/>
    <w:rsid w:val="005E4BE6"/>
    <w:rsid w:val="005E4FE7"/>
    <w:rsid w:val="005E5445"/>
    <w:rsid w:val="005E5613"/>
    <w:rsid w:val="005E5959"/>
    <w:rsid w:val="005E5BA5"/>
    <w:rsid w:val="005E5D01"/>
    <w:rsid w:val="005E65A9"/>
    <w:rsid w:val="005E6AED"/>
    <w:rsid w:val="005E6E3D"/>
    <w:rsid w:val="005E6FB8"/>
    <w:rsid w:val="005F034F"/>
    <w:rsid w:val="005F0CC7"/>
    <w:rsid w:val="005F1347"/>
    <w:rsid w:val="005F26E8"/>
    <w:rsid w:val="005F342B"/>
    <w:rsid w:val="005F3EED"/>
    <w:rsid w:val="005F4DE3"/>
    <w:rsid w:val="005F563E"/>
    <w:rsid w:val="005F631D"/>
    <w:rsid w:val="005F6613"/>
    <w:rsid w:val="005F69B0"/>
    <w:rsid w:val="005F6A67"/>
    <w:rsid w:val="005F6D0C"/>
    <w:rsid w:val="005F7670"/>
    <w:rsid w:val="005F7713"/>
    <w:rsid w:val="005F789B"/>
    <w:rsid w:val="00600EBB"/>
    <w:rsid w:val="00600F5C"/>
    <w:rsid w:val="00600FCC"/>
    <w:rsid w:val="00601ABE"/>
    <w:rsid w:val="0060239D"/>
    <w:rsid w:val="00603D01"/>
    <w:rsid w:val="00604855"/>
    <w:rsid w:val="0060738B"/>
    <w:rsid w:val="0061009A"/>
    <w:rsid w:val="0061083E"/>
    <w:rsid w:val="00612386"/>
    <w:rsid w:val="006133DA"/>
    <w:rsid w:val="00613CA6"/>
    <w:rsid w:val="00614105"/>
    <w:rsid w:val="006149BF"/>
    <w:rsid w:val="00615060"/>
    <w:rsid w:val="00615ADE"/>
    <w:rsid w:val="00615E27"/>
    <w:rsid w:val="00615FDE"/>
    <w:rsid w:val="006160BD"/>
    <w:rsid w:val="00616358"/>
    <w:rsid w:val="00616953"/>
    <w:rsid w:val="00616A51"/>
    <w:rsid w:val="00620E9E"/>
    <w:rsid w:val="00621511"/>
    <w:rsid w:val="00622F0F"/>
    <w:rsid w:val="00624153"/>
    <w:rsid w:val="00624A14"/>
    <w:rsid w:val="00624C1A"/>
    <w:rsid w:val="006251A0"/>
    <w:rsid w:val="00625334"/>
    <w:rsid w:val="00625869"/>
    <w:rsid w:val="00626F75"/>
    <w:rsid w:val="006276AF"/>
    <w:rsid w:val="00630926"/>
    <w:rsid w:val="00630D54"/>
    <w:rsid w:val="00633C38"/>
    <w:rsid w:val="00634D8B"/>
    <w:rsid w:val="00635043"/>
    <w:rsid w:val="0063565D"/>
    <w:rsid w:val="00635A20"/>
    <w:rsid w:val="00635ABB"/>
    <w:rsid w:val="0063658D"/>
    <w:rsid w:val="00636B8C"/>
    <w:rsid w:val="00636E8F"/>
    <w:rsid w:val="0063760A"/>
    <w:rsid w:val="006402CA"/>
    <w:rsid w:val="006408BD"/>
    <w:rsid w:val="0064229F"/>
    <w:rsid w:val="00642969"/>
    <w:rsid w:val="00642D88"/>
    <w:rsid w:val="00643225"/>
    <w:rsid w:val="00643C50"/>
    <w:rsid w:val="00644495"/>
    <w:rsid w:val="006444B5"/>
    <w:rsid w:val="00646307"/>
    <w:rsid w:val="006475A3"/>
    <w:rsid w:val="00650425"/>
    <w:rsid w:val="00651785"/>
    <w:rsid w:val="00651C21"/>
    <w:rsid w:val="00651C33"/>
    <w:rsid w:val="00651D1E"/>
    <w:rsid w:val="00651DEF"/>
    <w:rsid w:val="006522FB"/>
    <w:rsid w:val="00652592"/>
    <w:rsid w:val="00652747"/>
    <w:rsid w:val="00652C50"/>
    <w:rsid w:val="00652FB1"/>
    <w:rsid w:val="00653608"/>
    <w:rsid w:val="006537F2"/>
    <w:rsid w:val="00653B9A"/>
    <w:rsid w:val="00653CE8"/>
    <w:rsid w:val="00653D20"/>
    <w:rsid w:val="006568E1"/>
    <w:rsid w:val="00656EE0"/>
    <w:rsid w:val="006571D5"/>
    <w:rsid w:val="0065759E"/>
    <w:rsid w:val="00657D80"/>
    <w:rsid w:val="0066050E"/>
    <w:rsid w:val="00662CC0"/>
    <w:rsid w:val="00662DD1"/>
    <w:rsid w:val="0066325F"/>
    <w:rsid w:val="00663A0A"/>
    <w:rsid w:val="00663E3C"/>
    <w:rsid w:val="006643D3"/>
    <w:rsid w:val="00664D49"/>
    <w:rsid w:val="00665417"/>
    <w:rsid w:val="00665F67"/>
    <w:rsid w:val="006665BB"/>
    <w:rsid w:val="006666A2"/>
    <w:rsid w:val="006702EF"/>
    <w:rsid w:val="00671454"/>
    <w:rsid w:val="006719DA"/>
    <w:rsid w:val="006735BF"/>
    <w:rsid w:val="006744BF"/>
    <w:rsid w:val="00674C12"/>
    <w:rsid w:val="00676744"/>
    <w:rsid w:val="0067691B"/>
    <w:rsid w:val="00677038"/>
    <w:rsid w:val="00680307"/>
    <w:rsid w:val="006804AE"/>
    <w:rsid w:val="00680F14"/>
    <w:rsid w:val="00681E3B"/>
    <w:rsid w:val="00683441"/>
    <w:rsid w:val="0068447C"/>
    <w:rsid w:val="0068456A"/>
    <w:rsid w:val="00684A3D"/>
    <w:rsid w:val="00685615"/>
    <w:rsid w:val="006861BB"/>
    <w:rsid w:val="00686769"/>
    <w:rsid w:val="0068680F"/>
    <w:rsid w:val="006878A0"/>
    <w:rsid w:val="006951FE"/>
    <w:rsid w:val="0069648E"/>
    <w:rsid w:val="00696C6E"/>
    <w:rsid w:val="00697BA5"/>
    <w:rsid w:val="00697BDF"/>
    <w:rsid w:val="006A08E4"/>
    <w:rsid w:val="006A1F0C"/>
    <w:rsid w:val="006A29FC"/>
    <w:rsid w:val="006A3B52"/>
    <w:rsid w:val="006A4135"/>
    <w:rsid w:val="006A426D"/>
    <w:rsid w:val="006A46E9"/>
    <w:rsid w:val="006A507D"/>
    <w:rsid w:val="006A532B"/>
    <w:rsid w:val="006A5464"/>
    <w:rsid w:val="006A5AB3"/>
    <w:rsid w:val="006A5BA3"/>
    <w:rsid w:val="006A5C74"/>
    <w:rsid w:val="006A5C80"/>
    <w:rsid w:val="006A5E25"/>
    <w:rsid w:val="006A6741"/>
    <w:rsid w:val="006A6FA9"/>
    <w:rsid w:val="006A747A"/>
    <w:rsid w:val="006B00DD"/>
    <w:rsid w:val="006B1843"/>
    <w:rsid w:val="006B20FB"/>
    <w:rsid w:val="006B373C"/>
    <w:rsid w:val="006B5B37"/>
    <w:rsid w:val="006B5CA2"/>
    <w:rsid w:val="006B60BC"/>
    <w:rsid w:val="006B6FA8"/>
    <w:rsid w:val="006B7114"/>
    <w:rsid w:val="006C0325"/>
    <w:rsid w:val="006C0B4D"/>
    <w:rsid w:val="006C0D45"/>
    <w:rsid w:val="006C1E72"/>
    <w:rsid w:val="006C4592"/>
    <w:rsid w:val="006C6206"/>
    <w:rsid w:val="006C6809"/>
    <w:rsid w:val="006C71A7"/>
    <w:rsid w:val="006D00D4"/>
    <w:rsid w:val="006D0195"/>
    <w:rsid w:val="006D043E"/>
    <w:rsid w:val="006D0FB2"/>
    <w:rsid w:val="006D273C"/>
    <w:rsid w:val="006D27A6"/>
    <w:rsid w:val="006D2A41"/>
    <w:rsid w:val="006D3290"/>
    <w:rsid w:val="006D34DB"/>
    <w:rsid w:val="006D465F"/>
    <w:rsid w:val="006D513C"/>
    <w:rsid w:val="006D6798"/>
    <w:rsid w:val="006D7327"/>
    <w:rsid w:val="006D7583"/>
    <w:rsid w:val="006E0FDB"/>
    <w:rsid w:val="006E30AC"/>
    <w:rsid w:val="006E37EF"/>
    <w:rsid w:val="006E3F00"/>
    <w:rsid w:val="006E4948"/>
    <w:rsid w:val="006E4ACE"/>
    <w:rsid w:val="006E541F"/>
    <w:rsid w:val="006E5C8C"/>
    <w:rsid w:val="006E654E"/>
    <w:rsid w:val="006E6620"/>
    <w:rsid w:val="006E7BD6"/>
    <w:rsid w:val="006F0E1D"/>
    <w:rsid w:val="006F1175"/>
    <w:rsid w:val="006F3F87"/>
    <w:rsid w:val="006F4407"/>
    <w:rsid w:val="006F515C"/>
    <w:rsid w:val="006F5885"/>
    <w:rsid w:val="006F65C3"/>
    <w:rsid w:val="006F66F4"/>
    <w:rsid w:val="006F7ADE"/>
    <w:rsid w:val="006F7D18"/>
    <w:rsid w:val="006F7F6A"/>
    <w:rsid w:val="0070153A"/>
    <w:rsid w:val="00701BFB"/>
    <w:rsid w:val="00702172"/>
    <w:rsid w:val="007027AA"/>
    <w:rsid w:val="00702B6E"/>
    <w:rsid w:val="00702D80"/>
    <w:rsid w:val="00702DA1"/>
    <w:rsid w:val="00702DAA"/>
    <w:rsid w:val="00703503"/>
    <w:rsid w:val="007035BC"/>
    <w:rsid w:val="00704774"/>
    <w:rsid w:val="00705818"/>
    <w:rsid w:val="007111E1"/>
    <w:rsid w:val="007112D1"/>
    <w:rsid w:val="0071182E"/>
    <w:rsid w:val="00714537"/>
    <w:rsid w:val="007145EF"/>
    <w:rsid w:val="00715CE8"/>
    <w:rsid w:val="00716CC5"/>
    <w:rsid w:val="00717AB8"/>
    <w:rsid w:val="00720FE0"/>
    <w:rsid w:val="00722591"/>
    <w:rsid w:val="00722A8E"/>
    <w:rsid w:val="007231D3"/>
    <w:rsid w:val="00723C47"/>
    <w:rsid w:val="007240D8"/>
    <w:rsid w:val="0072427C"/>
    <w:rsid w:val="007242EC"/>
    <w:rsid w:val="00724A8D"/>
    <w:rsid w:val="0072593C"/>
    <w:rsid w:val="00726646"/>
    <w:rsid w:val="00727643"/>
    <w:rsid w:val="0072778E"/>
    <w:rsid w:val="00727B02"/>
    <w:rsid w:val="00730EC2"/>
    <w:rsid w:val="0073166A"/>
    <w:rsid w:val="00732786"/>
    <w:rsid w:val="0073375C"/>
    <w:rsid w:val="00733AAB"/>
    <w:rsid w:val="007349A4"/>
    <w:rsid w:val="00734F95"/>
    <w:rsid w:val="00734FA7"/>
    <w:rsid w:val="007351D8"/>
    <w:rsid w:val="00735BF6"/>
    <w:rsid w:val="00736AD9"/>
    <w:rsid w:val="00740FD8"/>
    <w:rsid w:val="00741F72"/>
    <w:rsid w:val="007450EF"/>
    <w:rsid w:val="00745B60"/>
    <w:rsid w:val="00747200"/>
    <w:rsid w:val="00747350"/>
    <w:rsid w:val="00747BA1"/>
    <w:rsid w:val="0075005B"/>
    <w:rsid w:val="0075048B"/>
    <w:rsid w:val="00751312"/>
    <w:rsid w:val="00751785"/>
    <w:rsid w:val="007525C8"/>
    <w:rsid w:val="00752D93"/>
    <w:rsid w:val="00753038"/>
    <w:rsid w:val="0075310A"/>
    <w:rsid w:val="0075493C"/>
    <w:rsid w:val="007554BE"/>
    <w:rsid w:val="00756015"/>
    <w:rsid w:val="007565B0"/>
    <w:rsid w:val="0075690C"/>
    <w:rsid w:val="00756EB3"/>
    <w:rsid w:val="007571D7"/>
    <w:rsid w:val="007579F7"/>
    <w:rsid w:val="00757A7C"/>
    <w:rsid w:val="00761164"/>
    <w:rsid w:val="00761202"/>
    <w:rsid w:val="007613FE"/>
    <w:rsid w:val="007615D2"/>
    <w:rsid w:val="0076173E"/>
    <w:rsid w:val="007619EE"/>
    <w:rsid w:val="00761AB0"/>
    <w:rsid w:val="007638C8"/>
    <w:rsid w:val="0076477B"/>
    <w:rsid w:val="007667EA"/>
    <w:rsid w:val="007709C9"/>
    <w:rsid w:val="0077176F"/>
    <w:rsid w:val="007718D6"/>
    <w:rsid w:val="00771AB0"/>
    <w:rsid w:val="00771F34"/>
    <w:rsid w:val="00772F9A"/>
    <w:rsid w:val="00773405"/>
    <w:rsid w:val="00773ED6"/>
    <w:rsid w:val="00773F1C"/>
    <w:rsid w:val="00774AE5"/>
    <w:rsid w:val="00774C73"/>
    <w:rsid w:val="00775221"/>
    <w:rsid w:val="00775398"/>
    <w:rsid w:val="00775530"/>
    <w:rsid w:val="00775818"/>
    <w:rsid w:val="00775FC1"/>
    <w:rsid w:val="00776C0C"/>
    <w:rsid w:val="007773BF"/>
    <w:rsid w:val="00777470"/>
    <w:rsid w:val="007774C4"/>
    <w:rsid w:val="0077791F"/>
    <w:rsid w:val="00777AD7"/>
    <w:rsid w:val="00780960"/>
    <w:rsid w:val="00780F5D"/>
    <w:rsid w:val="00781236"/>
    <w:rsid w:val="00781808"/>
    <w:rsid w:val="00781E0B"/>
    <w:rsid w:val="0078206C"/>
    <w:rsid w:val="00782E56"/>
    <w:rsid w:val="00783D32"/>
    <w:rsid w:val="00784858"/>
    <w:rsid w:val="007853A8"/>
    <w:rsid w:val="0078728E"/>
    <w:rsid w:val="00787539"/>
    <w:rsid w:val="00787FA7"/>
    <w:rsid w:val="007900E4"/>
    <w:rsid w:val="00792EE1"/>
    <w:rsid w:val="00793201"/>
    <w:rsid w:val="00794DA4"/>
    <w:rsid w:val="007952C6"/>
    <w:rsid w:val="007962C5"/>
    <w:rsid w:val="007965B7"/>
    <w:rsid w:val="00796E3B"/>
    <w:rsid w:val="00796F92"/>
    <w:rsid w:val="007971FC"/>
    <w:rsid w:val="007977EF"/>
    <w:rsid w:val="007A0297"/>
    <w:rsid w:val="007A0424"/>
    <w:rsid w:val="007A09C7"/>
    <w:rsid w:val="007A14D4"/>
    <w:rsid w:val="007A19A6"/>
    <w:rsid w:val="007A1B46"/>
    <w:rsid w:val="007A22C0"/>
    <w:rsid w:val="007A2ADF"/>
    <w:rsid w:val="007A2D32"/>
    <w:rsid w:val="007A379B"/>
    <w:rsid w:val="007A4319"/>
    <w:rsid w:val="007A48D8"/>
    <w:rsid w:val="007A4E49"/>
    <w:rsid w:val="007A566A"/>
    <w:rsid w:val="007A63B8"/>
    <w:rsid w:val="007A68A4"/>
    <w:rsid w:val="007B0159"/>
    <w:rsid w:val="007B175D"/>
    <w:rsid w:val="007B2610"/>
    <w:rsid w:val="007B26A7"/>
    <w:rsid w:val="007B2900"/>
    <w:rsid w:val="007B4081"/>
    <w:rsid w:val="007B5AE9"/>
    <w:rsid w:val="007B5B30"/>
    <w:rsid w:val="007B5F2C"/>
    <w:rsid w:val="007B5F98"/>
    <w:rsid w:val="007B6074"/>
    <w:rsid w:val="007B6484"/>
    <w:rsid w:val="007B677A"/>
    <w:rsid w:val="007B7CE6"/>
    <w:rsid w:val="007B7DBB"/>
    <w:rsid w:val="007C07E7"/>
    <w:rsid w:val="007C0F4A"/>
    <w:rsid w:val="007C1884"/>
    <w:rsid w:val="007C2FE0"/>
    <w:rsid w:val="007C31C0"/>
    <w:rsid w:val="007C33C4"/>
    <w:rsid w:val="007C34B2"/>
    <w:rsid w:val="007C4152"/>
    <w:rsid w:val="007C4DE8"/>
    <w:rsid w:val="007C4FAB"/>
    <w:rsid w:val="007C5067"/>
    <w:rsid w:val="007C6A5F"/>
    <w:rsid w:val="007C6C9A"/>
    <w:rsid w:val="007C72D7"/>
    <w:rsid w:val="007C77BB"/>
    <w:rsid w:val="007C7D48"/>
    <w:rsid w:val="007D08CE"/>
    <w:rsid w:val="007D11E9"/>
    <w:rsid w:val="007D16E8"/>
    <w:rsid w:val="007D19B3"/>
    <w:rsid w:val="007D1DDC"/>
    <w:rsid w:val="007D3B59"/>
    <w:rsid w:val="007D3F81"/>
    <w:rsid w:val="007D5602"/>
    <w:rsid w:val="007D57B7"/>
    <w:rsid w:val="007D57CE"/>
    <w:rsid w:val="007D5F66"/>
    <w:rsid w:val="007D62E6"/>
    <w:rsid w:val="007D704E"/>
    <w:rsid w:val="007D7FE1"/>
    <w:rsid w:val="007E0797"/>
    <w:rsid w:val="007E42A7"/>
    <w:rsid w:val="007E4EF4"/>
    <w:rsid w:val="007E7426"/>
    <w:rsid w:val="007E7692"/>
    <w:rsid w:val="007E775D"/>
    <w:rsid w:val="007E7F15"/>
    <w:rsid w:val="007F058F"/>
    <w:rsid w:val="007F059F"/>
    <w:rsid w:val="007F1BBB"/>
    <w:rsid w:val="007F2817"/>
    <w:rsid w:val="007F296A"/>
    <w:rsid w:val="007F4263"/>
    <w:rsid w:val="007F5600"/>
    <w:rsid w:val="007F58D4"/>
    <w:rsid w:val="007F5EC4"/>
    <w:rsid w:val="007F645B"/>
    <w:rsid w:val="00800C73"/>
    <w:rsid w:val="00800E2C"/>
    <w:rsid w:val="00800F22"/>
    <w:rsid w:val="00801398"/>
    <w:rsid w:val="00801733"/>
    <w:rsid w:val="00801968"/>
    <w:rsid w:val="00802C76"/>
    <w:rsid w:val="00803DA0"/>
    <w:rsid w:val="00803F6F"/>
    <w:rsid w:val="008040FD"/>
    <w:rsid w:val="00805357"/>
    <w:rsid w:val="00805FD0"/>
    <w:rsid w:val="0080646D"/>
    <w:rsid w:val="00811E11"/>
    <w:rsid w:val="00811EC2"/>
    <w:rsid w:val="00813485"/>
    <w:rsid w:val="0081471A"/>
    <w:rsid w:val="00815092"/>
    <w:rsid w:val="008155AD"/>
    <w:rsid w:val="008157C8"/>
    <w:rsid w:val="008159AB"/>
    <w:rsid w:val="008174E2"/>
    <w:rsid w:val="00817535"/>
    <w:rsid w:val="00817571"/>
    <w:rsid w:val="008178C3"/>
    <w:rsid w:val="0082139F"/>
    <w:rsid w:val="00821446"/>
    <w:rsid w:val="00821A11"/>
    <w:rsid w:val="00821C5B"/>
    <w:rsid w:val="00821DD5"/>
    <w:rsid w:val="00822418"/>
    <w:rsid w:val="00822B3E"/>
    <w:rsid w:val="008241F9"/>
    <w:rsid w:val="008245D7"/>
    <w:rsid w:val="00824D1E"/>
    <w:rsid w:val="0082529D"/>
    <w:rsid w:val="00826D02"/>
    <w:rsid w:val="00827216"/>
    <w:rsid w:val="008308EC"/>
    <w:rsid w:val="00830DB9"/>
    <w:rsid w:val="00830E5B"/>
    <w:rsid w:val="00830ED3"/>
    <w:rsid w:val="00831AA3"/>
    <w:rsid w:val="00832296"/>
    <w:rsid w:val="008323AF"/>
    <w:rsid w:val="00833FD5"/>
    <w:rsid w:val="008342E5"/>
    <w:rsid w:val="00834484"/>
    <w:rsid w:val="008352F2"/>
    <w:rsid w:val="00835440"/>
    <w:rsid w:val="00835588"/>
    <w:rsid w:val="0083660C"/>
    <w:rsid w:val="0084100D"/>
    <w:rsid w:val="008412F7"/>
    <w:rsid w:val="00841357"/>
    <w:rsid w:val="00841E61"/>
    <w:rsid w:val="00842A07"/>
    <w:rsid w:val="008435F2"/>
    <w:rsid w:val="00843886"/>
    <w:rsid w:val="008441DB"/>
    <w:rsid w:val="0084480D"/>
    <w:rsid w:val="00844867"/>
    <w:rsid w:val="0084558D"/>
    <w:rsid w:val="00845605"/>
    <w:rsid w:val="00845661"/>
    <w:rsid w:val="00846038"/>
    <w:rsid w:val="008461D6"/>
    <w:rsid w:val="008465ED"/>
    <w:rsid w:val="0084665F"/>
    <w:rsid w:val="00846C4A"/>
    <w:rsid w:val="00846F80"/>
    <w:rsid w:val="00850273"/>
    <w:rsid w:val="00850297"/>
    <w:rsid w:val="008503A9"/>
    <w:rsid w:val="00850AC5"/>
    <w:rsid w:val="00852AD1"/>
    <w:rsid w:val="00852E8C"/>
    <w:rsid w:val="008533A2"/>
    <w:rsid w:val="00853634"/>
    <w:rsid w:val="008539DD"/>
    <w:rsid w:val="008539E6"/>
    <w:rsid w:val="00854207"/>
    <w:rsid w:val="0085579A"/>
    <w:rsid w:val="00855944"/>
    <w:rsid w:val="0085676C"/>
    <w:rsid w:val="00856C0B"/>
    <w:rsid w:val="008579F1"/>
    <w:rsid w:val="00857C1B"/>
    <w:rsid w:val="008603B1"/>
    <w:rsid w:val="008621B2"/>
    <w:rsid w:val="008625EF"/>
    <w:rsid w:val="0086282A"/>
    <w:rsid w:val="008637B1"/>
    <w:rsid w:val="008641B9"/>
    <w:rsid w:val="008650AA"/>
    <w:rsid w:val="0086561B"/>
    <w:rsid w:val="00865683"/>
    <w:rsid w:val="0086746E"/>
    <w:rsid w:val="00867FE0"/>
    <w:rsid w:val="00870518"/>
    <w:rsid w:val="00871915"/>
    <w:rsid w:val="00872330"/>
    <w:rsid w:val="00872A3D"/>
    <w:rsid w:val="00873AE8"/>
    <w:rsid w:val="00873B6D"/>
    <w:rsid w:val="00873BD4"/>
    <w:rsid w:val="00875258"/>
    <w:rsid w:val="00875317"/>
    <w:rsid w:val="00875792"/>
    <w:rsid w:val="00875B41"/>
    <w:rsid w:val="00875E85"/>
    <w:rsid w:val="00875F1F"/>
    <w:rsid w:val="0087704B"/>
    <w:rsid w:val="00877CBD"/>
    <w:rsid w:val="00877E56"/>
    <w:rsid w:val="00880A2D"/>
    <w:rsid w:val="008813F1"/>
    <w:rsid w:val="008822A1"/>
    <w:rsid w:val="00884114"/>
    <w:rsid w:val="008841CE"/>
    <w:rsid w:val="00885300"/>
    <w:rsid w:val="0088540A"/>
    <w:rsid w:val="008861B1"/>
    <w:rsid w:val="00887C34"/>
    <w:rsid w:val="00887E3E"/>
    <w:rsid w:val="00890158"/>
    <w:rsid w:val="00890338"/>
    <w:rsid w:val="0089059D"/>
    <w:rsid w:val="00890769"/>
    <w:rsid w:val="0089191B"/>
    <w:rsid w:val="00891A94"/>
    <w:rsid w:val="00891B26"/>
    <w:rsid w:val="00892271"/>
    <w:rsid w:val="0089327D"/>
    <w:rsid w:val="00894143"/>
    <w:rsid w:val="008941BA"/>
    <w:rsid w:val="00894461"/>
    <w:rsid w:val="00894EBE"/>
    <w:rsid w:val="0089504C"/>
    <w:rsid w:val="008951FE"/>
    <w:rsid w:val="008956D2"/>
    <w:rsid w:val="0089652D"/>
    <w:rsid w:val="00896A0D"/>
    <w:rsid w:val="008A0436"/>
    <w:rsid w:val="008A0769"/>
    <w:rsid w:val="008A099A"/>
    <w:rsid w:val="008A10D0"/>
    <w:rsid w:val="008A20A9"/>
    <w:rsid w:val="008A3152"/>
    <w:rsid w:val="008A31E8"/>
    <w:rsid w:val="008A327D"/>
    <w:rsid w:val="008A33A0"/>
    <w:rsid w:val="008A460A"/>
    <w:rsid w:val="008A4CAB"/>
    <w:rsid w:val="008A513D"/>
    <w:rsid w:val="008A5894"/>
    <w:rsid w:val="008A60BE"/>
    <w:rsid w:val="008A6247"/>
    <w:rsid w:val="008A7A1A"/>
    <w:rsid w:val="008A7B48"/>
    <w:rsid w:val="008B00D6"/>
    <w:rsid w:val="008B0102"/>
    <w:rsid w:val="008B139E"/>
    <w:rsid w:val="008B13B9"/>
    <w:rsid w:val="008B1550"/>
    <w:rsid w:val="008B192F"/>
    <w:rsid w:val="008B2D6B"/>
    <w:rsid w:val="008B4575"/>
    <w:rsid w:val="008B503D"/>
    <w:rsid w:val="008B5417"/>
    <w:rsid w:val="008B55CF"/>
    <w:rsid w:val="008B58A1"/>
    <w:rsid w:val="008B6811"/>
    <w:rsid w:val="008B7774"/>
    <w:rsid w:val="008C080F"/>
    <w:rsid w:val="008C18CC"/>
    <w:rsid w:val="008C1CA1"/>
    <w:rsid w:val="008C1D4A"/>
    <w:rsid w:val="008C2768"/>
    <w:rsid w:val="008C35E6"/>
    <w:rsid w:val="008C3D1D"/>
    <w:rsid w:val="008C4B45"/>
    <w:rsid w:val="008C4BE1"/>
    <w:rsid w:val="008C4F8A"/>
    <w:rsid w:val="008C565B"/>
    <w:rsid w:val="008C5B41"/>
    <w:rsid w:val="008C5C96"/>
    <w:rsid w:val="008C5F65"/>
    <w:rsid w:val="008C6A66"/>
    <w:rsid w:val="008C702F"/>
    <w:rsid w:val="008C7EC3"/>
    <w:rsid w:val="008D0391"/>
    <w:rsid w:val="008D0A24"/>
    <w:rsid w:val="008D1AF0"/>
    <w:rsid w:val="008D4052"/>
    <w:rsid w:val="008D42D1"/>
    <w:rsid w:val="008D4E98"/>
    <w:rsid w:val="008D586A"/>
    <w:rsid w:val="008D5B41"/>
    <w:rsid w:val="008D6879"/>
    <w:rsid w:val="008E0EDA"/>
    <w:rsid w:val="008E142A"/>
    <w:rsid w:val="008E23A2"/>
    <w:rsid w:val="008E3698"/>
    <w:rsid w:val="008E4674"/>
    <w:rsid w:val="008E7E06"/>
    <w:rsid w:val="008F0442"/>
    <w:rsid w:val="008F3D14"/>
    <w:rsid w:val="008F4094"/>
    <w:rsid w:val="008F4892"/>
    <w:rsid w:val="008F5405"/>
    <w:rsid w:val="008F5524"/>
    <w:rsid w:val="008F681F"/>
    <w:rsid w:val="008F6CA5"/>
    <w:rsid w:val="008F7EBD"/>
    <w:rsid w:val="0090086D"/>
    <w:rsid w:val="009009D6"/>
    <w:rsid w:val="00901177"/>
    <w:rsid w:val="009012D4"/>
    <w:rsid w:val="009017DA"/>
    <w:rsid w:val="009030F8"/>
    <w:rsid w:val="00903289"/>
    <w:rsid w:val="00903C0B"/>
    <w:rsid w:val="00904B2A"/>
    <w:rsid w:val="00904D61"/>
    <w:rsid w:val="0090577F"/>
    <w:rsid w:val="0090579B"/>
    <w:rsid w:val="00907B68"/>
    <w:rsid w:val="00907E57"/>
    <w:rsid w:val="009115BE"/>
    <w:rsid w:val="00911BE3"/>
    <w:rsid w:val="00911F00"/>
    <w:rsid w:val="00913103"/>
    <w:rsid w:val="00914C95"/>
    <w:rsid w:val="00914D2F"/>
    <w:rsid w:val="00915507"/>
    <w:rsid w:val="00915606"/>
    <w:rsid w:val="00915AAE"/>
    <w:rsid w:val="00915B2D"/>
    <w:rsid w:val="00915ED1"/>
    <w:rsid w:val="00916481"/>
    <w:rsid w:val="009166E7"/>
    <w:rsid w:val="00916BD8"/>
    <w:rsid w:val="0091724B"/>
    <w:rsid w:val="00917D4E"/>
    <w:rsid w:val="0092083A"/>
    <w:rsid w:val="009213CB"/>
    <w:rsid w:val="0092157D"/>
    <w:rsid w:val="00921B30"/>
    <w:rsid w:val="00921B54"/>
    <w:rsid w:val="00922299"/>
    <w:rsid w:val="00922A9F"/>
    <w:rsid w:val="009231E8"/>
    <w:rsid w:val="00923B80"/>
    <w:rsid w:val="009240C4"/>
    <w:rsid w:val="00925A4E"/>
    <w:rsid w:val="00926567"/>
    <w:rsid w:val="00927726"/>
    <w:rsid w:val="009307A1"/>
    <w:rsid w:val="009308D5"/>
    <w:rsid w:val="00930EE3"/>
    <w:rsid w:val="009317B1"/>
    <w:rsid w:val="009319C5"/>
    <w:rsid w:val="00931DF6"/>
    <w:rsid w:val="00932B34"/>
    <w:rsid w:val="00933C44"/>
    <w:rsid w:val="00935079"/>
    <w:rsid w:val="009364CB"/>
    <w:rsid w:val="0093677C"/>
    <w:rsid w:val="00936A61"/>
    <w:rsid w:val="0094018B"/>
    <w:rsid w:val="0094084D"/>
    <w:rsid w:val="0094153B"/>
    <w:rsid w:val="0094164F"/>
    <w:rsid w:val="00942E2E"/>
    <w:rsid w:val="009431DD"/>
    <w:rsid w:val="0094490F"/>
    <w:rsid w:val="00945186"/>
    <w:rsid w:val="009461F4"/>
    <w:rsid w:val="00946A0E"/>
    <w:rsid w:val="00947574"/>
    <w:rsid w:val="009476CA"/>
    <w:rsid w:val="00947F40"/>
    <w:rsid w:val="00950646"/>
    <w:rsid w:val="0095194F"/>
    <w:rsid w:val="00951A8B"/>
    <w:rsid w:val="00952348"/>
    <w:rsid w:val="0095319B"/>
    <w:rsid w:val="0095364B"/>
    <w:rsid w:val="009539E1"/>
    <w:rsid w:val="00953C53"/>
    <w:rsid w:val="00954429"/>
    <w:rsid w:val="009544AA"/>
    <w:rsid w:val="00954E78"/>
    <w:rsid w:val="00954E9F"/>
    <w:rsid w:val="00955C3D"/>
    <w:rsid w:val="00956078"/>
    <w:rsid w:val="009568D7"/>
    <w:rsid w:val="009571ED"/>
    <w:rsid w:val="00957987"/>
    <w:rsid w:val="009615B4"/>
    <w:rsid w:val="00965C09"/>
    <w:rsid w:val="00965E13"/>
    <w:rsid w:val="00965EE1"/>
    <w:rsid w:val="009664EB"/>
    <w:rsid w:val="0096777F"/>
    <w:rsid w:val="00970444"/>
    <w:rsid w:val="009709BB"/>
    <w:rsid w:val="009714B4"/>
    <w:rsid w:val="00971D23"/>
    <w:rsid w:val="009736F1"/>
    <w:rsid w:val="00974085"/>
    <w:rsid w:val="009744E4"/>
    <w:rsid w:val="00974E31"/>
    <w:rsid w:val="00975F77"/>
    <w:rsid w:val="009766E9"/>
    <w:rsid w:val="00976EA3"/>
    <w:rsid w:val="0097745F"/>
    <w:rsid w:val="00977824"/>
    <w:rsid w:val="0098009C"/>
    <w:rsid w:val="00980995"/>
    <w:rsid w:val="00980B0D"/>
    <w:rsid w:val="00980C6D"/>
    <w:rsid w:val="00980D2B"/>
    <w:rsid w:val="0098223A"/>
    <w:rsid w:val="009822C5"/>
    <w:rsid w:val="00982B66"/>
    <w:rsid w:val="00982D03"/>
    <w:rsid w:val="00982E50"/>
    <w:rsid w:val="00983CB7"/>
    <w:rsid w:val="00986402"/>
    <w:rsid w:val="00986F20"/>
    <w:rsid w:val="00987251"/>
    <w:rsid w:val="009873FA"/>
    <w:rsid w:val="00987B74"/>
    <w:rsid w:val="00990DF7"/>
    <w:rsid w:val="00992933"/>
    <w:rsid w:val="00993F86"/>
    <w:rsid w:val="00994721"/>
    <w:rsid w:val="00994DD0"/>
    <w:rsid w:val="009958D8"/>
    <w:rsid w:val="00995D22"/>
    <w:rsid w:val="00996DEA"/>
    <w:rsid w:val="00997AE7"/>
    <w:rsid w:val="00997AED"/>
    <w:rsid w:val="009A0E50"/>
    <w:rsid w:val="009A3782"/>
    <w:rsid w:val="009A37AC"/>
    <w:rsid w:val="009A47C7"/>
    <w:rsid w:val="009A4DF8"/>
    <w:rsid w:val="009A580A"/>
    <w:rsid w:val="009A68F2"/>
    <w:rsid w:val="009A6946"/>
    <w:rsid w:val="009A6D65"/>
    <w:rsid w:val="009A7156"/>
    <w:rsid w:val="009A7569"/>
    <w:rsid w:val="009A7EB8"/>
    <w:rsid w:val="009B2AB4"/>
    <w:rsid w:val="009B40FD"/>
    <w:rsid w:val="009B4149"/>
    <w:rsid w:val="009B45AF"/>
    <w:rsid w:val="009B508E"/>
    <w:rsid w:val="009B5171"/>
    <w:rsid w:val="009B517D"/>
    <w:rsid w:val="009B5AC5"/>
    <w:rsid w:val="009B6C22"/>
    <w:rsid w:val="009B70A7"/>
    <w:rsid w:val="009C06D1"/>
    <w:rsid w:val="009C12B4"/>
    <w:rsid w:val="009C1B4B"/>
    <w:rsid w:val="009C257B"/>
    <w:rsid w:val="009C2729"/>
    <w:rsid w:val="009C2BCD"/>
    <w:rsid w:val="009C39AD"/>
    <w:rsid w:val="009C42A1"/>
    <w:rsid w:val="009C473B"/>
    <w:rsid w:val="009C4F00"/>
    <w:rsid w:val="009D007F"/>
    <w:rsid w:val="009D0699"/>
    <w:rsid w:val="009D0731"/>
    <w:rsid w:val="009D2569"/>
    <w:rsid w:val="009D3261"/>
    <w:rsid w:val="009D3BA2"/>
    <w:rsid w:val="009D4AC7"/>
    <w:rsid w:val="009D5541"/>
    <w:rsid w:val="009D5AB8"/>
    <w:rsid w:val="009D6FA2"/>
    <w:rsid w:val="009D71EA"/>
    <w:rsid w:val="009D7BC9"/>
    <w:rsid w:val="009D7E43"/>
    <w:rsid w:val="009E0D4A"/>
    <w:rsid w:val="009E16A0"/>
    <w:rsid w:val="009E1791"/>
    <w:rsid w:val="009E1C4E"/>
    <w:rsid w:val="009E298F"/>
    <w:rsid w:val="009E2EFB"/>
    <w:rsid w:val="009E31C6"/>
    <w:rsid w:val="009E33C3"/>
    <w:rsid w:val="009E342E"/>
    <w:rsid w:val="009E3A18"/>
    <w:rsid w:val="009E4022"/>
    <w:rsid w:val="009E4863"/>
    <w:rsid w:val="009E5F4B"/>
    <w:rsid w:val="009E7F9D"/>
    <w:rsid w:val="009F1A46"/>
    <w:rsid w:val="009F1F5E"/>
    <w:rsid w:val="009F2301"/>
    <w:rsid w:val="009F292F"/>
    <w:rsid w:val="009F3F37"/>
    <w:rsid w:val="009F553F"/>
    <w:rsid w:val="009F58A2"/>
    <w:rsid w:val="009F5FAE"/>
    <w:rsid w:val="009F72BF"/>
    <w:rsid w:val="009F76AF"/>
    <w:rsid w:val="009F7727"/>
    <w:rsid w:val="00A00006"/>
    <w:rsid w:val="00A00974"/>
    <w:rsid w:val="00A02153"/>
    <w:rsid w:val="00A05043"/>
    <w:rsid w:val="00A060AB"/>
    <w:rsid w:val="00A0678C"/>
    <w:rsid w:val="00A06F91"/>
    <w:rsid w:val="00A1007E"/>
    <w:rsid w:val="00A104DF"/>
    <w:rsid w:val="00A108DE"/>
    <w:rsid w:val="00A11331"/>
    <w:rsid w:val="00A135DE"/>
    <w:rsid w:val="00A13997"/>
    <w:rsid w:val="00A13AEF"/>
    <w:rsid w:val="00A13C6A"/>
    <w:rsid w:val="00A150D2"/>
    <w:rsid w:val="00A1547B"/>
    <w:rsid w:val="00A155D8"/>
    <w:rsid w:val="00A164DE"/>
    <w:rsid w:val="00A1673D"/>
    <w:rsid w:val="00A167EC"/>
    <w:rsid w:val="00A16ACA"/>
    <w:rsid w:val="00A202B6"/>
    <w:rsid w:val="00A20D06"/>
    <w:rsid w:val="00A21203"/>
    <w:rsid w:val="00A216CB"/>
    <w:rsid w:val="00A21DB4"/>
    <w:rsid w:val="00A229B5"/>
    <w:rsid w:val="00A22E7C"/>
    <w:rsid w:val="00A22F33"/>
    <w:rsid w:val="00A23D99"/>
    <w:rsid w:val="00A23E14"/>
    <w:rsid w:val="00A2490A"/>
    <w:rsid w:val="00A24DE0"/>
    <w:rsid w:val="00A25724"/>
    <w:rsid w:val="00A25A95"/>
    <w:rsid w:val="00A25D02"/>
    <w:rsid w:val="00A26CCF"/>
    <w:rsid w:val="00A27D38"/>
    <w:rsid w:val="00A27F57"/>
    <w:rsid w:val="00A31E83"/>
    <w:rsid w:val="00A33B52"/>
    <w:rsid w:val="00A33DB2"/>
    <w:rsid w:val="00A37160"/>
    <w:rsid w:val="00A3771D"/>
    <w:rsid w:val="00A40F2B"/>
    <w:rsid w:val="00A41719"/>
    <w:rsid w:val="00A41F1D"/>
    <w:rsid w:val="00A4468A"/>
    <w:rsid w:val="00A45038"/>
    <w:rsid w:val="00A460A6"/>
    <w:rsid w:val="00A46244"/>
    <w:rsid w:val="00A46337"/>
    <w:rsid w:val="00A467EE"/>
    <w:rsid w:val="00A47048"/>
    <w:rsid w:val="00A5008F"/>
    <w:rsid w:val="00A50723"/>
    <w:rsid w:val="00A5181F"/>
    <w:rsid w:val="00A52C07"/>
    <w:rsid w:val="00A52FD1"/>
    <w:rsid w:val="00A53009"/>
    <w:rsid w:val="00A5463B"/>
    <w:rsid w:val="00A54E24"/>
    <w:rsid w:val="00A55368"/>
    <w:rsid w:val="00A55B45"/>
    <w:rsid w:val="00A55BA4"/>
    <w:rsid w:val="00A5662C"/>
    <w:rsid w:val="00A57AC1"/>
    <w:rsid w:val="00A57BA8"/>
    <w:rsid w:val="00A57DA9"/>
    <w:rsid w:val="00A60235"/>
    <w:rsid w:val="00A61BC6"/>
    <w:rsid w:val="00A65BF3"/>
    <w:rsid w:val="00A660CB"/>
    <w:rsid w:val="00A672EE"/>
    <w:rsid w:val="00A673D0"/>
    <w:rsid w:val="00A67C4F"/>
    <w:rsid w:val="00A70C82"/>
    <w:rsid w:val="00A70E0B"/>
    <w:rsid w:val="00A71B97"/>
    <w:rsid w:val="00A740BC"/>
    <w:rsid w:val="00A74E78"/>
    <w:rsid w:val="00A75BFB"/>
    <w:rsid w:val="00A764D9"/>
    <w:rsid w:val="00A766BF"/>
    <w:rsid w:val="00A77225"/>
    <w:rsid w:val="00A776B7"/>
    <w:rsid w:val="00A80A6B"/>
    <w:rsid w:val="00A80D34"/>
    <w:rsid w:val="00A80D99"/>
    <w:rsid w:val="00A82A5B"/>
    <w:rsid w:val="00A82CEC"/>
    <w:rsid w:val="00A8348E"/>
    <w:rsid w:val="00A83D06"/>
    <w:rsid w:val="00A848B6"/>
    <w:rsid w:val="00A84D12"/>
    <w:rsid w:val="00A8620D"/>
    <w:rsid w:val="00A86256"/>
    <w:rsid w:val="00A8706A"/>
    <w:rsid w:val="00A92183"/>
    <w:rsid w:val="00A9270E"/>
    <w:rsid w:val="00A92B98"/>
    <w:rsid w:val="00A937F5"/>
    <w:rsid w:val="00A94BFE"/>
    <w:rsid w:val="00A95D9E"/>
    <w:rsid w:val="00A95FCC"/>
    <w:rsid w:val="00AA0669"/>
    <w:rsid w:val="00AA16DE"/>
    <w:rsid w:val="00AA28B0"/>
    <w:rsid w:val="00AA2DED"/>
    <w:rsid w:val="00AA3EEA"/>
    <w:rsid w:val="00AA4096"/>
    <w:rsid w:val="00AA4159"/>
    <w:rsid w:val="00AA43DD"/>
    <w:rsid w:val="00AA46CB"/>
    <w:rsid w:val="00AA4DA2"/>
    <w:rsid w:val="00AA5046"/>
    <w:rsid w:val="00AA659D"/>
    <w:rsid w:val="00AA69F4"/>
    <w:rsid w:val="00AA6C7A"/>
    <w:rsid w:val="00AA6EA5"/>
    <w:rsid w:val="00AA7FFC"/>
    <w:rsid w:val="00AB033E"/>
    <w:rsid w:val="00AB1210"/>
    <w:rsid w:val="00AB22B4"/>
    <w:rsid w:val="00AB272C"/>
    <w:rsid w:val="00AB333F"/>
    <w:rsid w:val="00AB3C66"/>
    <w:rsid w:val="00AB4064"/>
    <w:rsid w:val="00AB4D23"/>
    <w:rsid w:val="00AB531A"/>
    <w:rsid w:val="00AB53EA"/>
    <w:rsid w:val="00AB5DAF"/>
    <w:rsid w:val="00AB6279"/>
    <w:rsid w:val="00AB724C"/>
    <w:rsid w:val="00AB7C51"/>
    <w:rsid w:val="00AC019D"/>
    <w:rsid w:val="00AC1627"/>
    <w:rsid w:val="00AC1A3A"/>
    <w:rsid w:val="00AC20CB"/>
    <w:rsid w:val="00AC20E6"/>
    <w:rsid w:val="00AC3744"/>
    <w:rsid w:val="00AC38C6"/>
    <w:rsid w:val="00AC3ECB"/>
    <w:rsid w:val="00AD0AE5"/>
    <w:rsid w:val="00AD1725"/>
    <w:rsid w:val="00AD2241"/>
    <w:rsid w:val="00AD2B1C"/>
    <w:rsid w:val="00AD2F45"/>
    <w:rsid w:val="00AD425B"/>
    <w:rsid w:val="00AD474D"/>
    <w:rsid w:val="00AD525F"/>
    <w:rsid w:val="00AD5286"/>
    <w:rsid w:val="00AD6D7A"/>
    <w:rsid w:val="00AD6ECB"/>
    <w:rsid w:val="00AD6EDE"/>
    <w:rsid w:val="00AD78C4"/>
    <w:rsid w:val="00AD7D7C"/>
    <w:rsid w:val="00AD7EB0"/>
    <w:rsid w:val="00AE098D"/>
    <w:rsid w:val="00AE211E"/>
    <w:rsid w:val="00AE2B87"/>
    <w:rsid w:val="00AE2FA7"/>
    <w:rsid w:val="00AE4B18"/>
    <w:rsid w:val="00AE581E"/>
    <w:rsid w:val="00AE60C5"/>
    <w:rsid w:val="00AF1D2A"/>
    <w:rsid w:val="00AF2AD6"/>
    <w:rsid w:val="00AF4E86"/>
    <w:rsid w:val="00AF5244"/>
    <w:rsid w:val="00AF572A"/>
    <w:rsid w:val="00AF605C"/>
    <w:rsid w:val="00AF690C"/>
    <w:rsid w:val="00AF74DE"/>
    <w:rsid w:val="00AF77F0"/>
    <w:rsid w:val="00B001B4"/>
    <w:rsid w:val="00B008AA"/>
    <w:rsid w:val="00B01208"/>
    <w:rsid w:val="00B0173F"/>
    <w:rsid w:val="00B0368E"/>
    <w:rsid w:val="00B04972"/>
    <w:rsid w:val="00B06356"/>
    <w:rsid w:val="00B0646D"/>
    <w:rsid w:val="00B069D6"/>
    <w:rsid w:val="00B072E6"/>
    <w:rsid w:val="00B07896"/>
    <w:rsid w:val="00B10613"/>
    <w:rsid w:val="00B10A7C"/>
    <w:rsid w:val="00B1155D"/>
    <w:rsid w:val="00B1222A"/>
    <w:rsid w:val="00B135F1"/>
    <w:rsid w:val="00B135F6"/>
    <w:rsid w:val="00B13DDF"/>
    <w:rsid w:val="00B14613"/>
    <w:rsid w:val="00B1506C"/>
    <w:rsid w:val="00B15283"/>
    <w:rsid w:val="00B17B88"/>
    <w:rsid w:val="00B17C89"/>
    <w:rsid w:val="00B17F5B"/>
    <w:rsid w:val="00B20636"/>
    <w:rsid w:val="00B215C9"/>
    <w:rsid w:val="00B22AE7"/>
    <w:rsid w:val="00B23244"/>
    <w:rsid w:val="00B238B0"/>
    <w:rsid w:val="00B25342"/>
    <w:rsid w:val="00B2556D"/>
    <w:rsid w:val="00B25F5C"/>
    <w:rsid w:val="00B26770"/>
    <w:rsid w:val="00B268B0"/>
    <w:rsid w:val="00B26D2D"/>
    <w:rsid w:val="00B2741B"/>
    <w:rsid w:val="00B27462"/>
    <w:rsid w:val="00B3049B"/>
    <w:rsid w:val="00B31362"/>
    <w:rsid w:val="00B318C5"/>
    <w:rsid w:val="00B326A0"/>
    <w:rsid w:val="00B326DC"/>
    <w:rsid w:val="00B32D7D"/>
    <w:rsid w:val="00B33E58"/>
    <w:rsid w:val="00B344F3"/>
    <w:rsid w:val="00B36733"/>
    <w:rsid w:val="00B36912"/>
    <w:rsid w:val="00B36E8C"/>
    <w:rsid w:val="00B3714B"/>
    <w:rsid w:val="00B37365"/>
    <w:rsid w:val="00B403F3"/>
    <w:rsid w:val="00B41222"/>
    <w:rsid w:val="00B41A0A"/>
    <w:rsid w:val="00B41B92"/>
    <w:rsid w:val="00B4246E"/>
    <w:rsid w:val="00B43B33"/>
    <w:rsid w:val="00B43FF4"/>
    <w:rsid w:val="00B44430"/>
    <w:rsid w:val="00B44C27"/>
    <w:rsid w:val="00B45052"/>
    <w:rsid w:val="00B45E97"/>
    <w:rsid w:val="00B466A3"/>
    <w:rsid w:val="00B46EBD"/>
    <w:rsid w:val="00B4733F"/>
    <w:rsid w:val="00B47A32"/>
    <w:rsid w:val="00B47CE4"/>
    <w:rsid w:val="00B510D2"/>
    <w:rsid w:val="00B51DAC"/>
    <w:rsid w:val="00B522C3"/>
    <w:rsid w:val="00B525B8"/>
    <w:rsid w:val="00B5353F"/>
    <w:rsid w:val="00B535F9"/>
    <w:rsid w:val="00B54D22"/>
    <w:rsid w:val="00B554E5"/>
    <w:rsid w:val="00B572CB"/>
    <w:rsid w:val="00B57BA4"/>
    <w:rsid w:val="00B6084B"/>
    <w:rsid w:val="00B60C98"/>
    <w:rsid w:val="00B61FB2"/>
    <w:rsid w:val="00B621A1"/>
    <w:rsid w:val="00B62920"/>
    <w:rsid w:val="00B62FA3"/>
    <w:rsid w:val="00B64244"/>
    <w:rsid w:val="00B6457F"/>
    <w:rsid w:val="00B64811"/>
    <w:rsid w:val="00B6526E"/>
    <w:rsid w:val="00B6548A"/>
    <w:rsid w:val="00B66BC4"/>
    <w:rsid w:val="00B66FB7"/>
    <w:rsid w:val="00B704EB"/>
    <w:rsid w:val="00B705AC"/>
    <w:rsid w:val="00B70DDB"/>
    <w:rsid w:val="00B71960"/>
    <w:rsid w:val="00B71E3B"/>
    <w:rsid w:val="00B7368D"/>
    <w:rsid w:val="00B73EB3"/>
    <w:rsid w:val="00B74186"/>
    <w:rsid w:val="00B74440"/>
    <w:rsid w:val="00B75EDE"/>
    <w:rsid w:val="00B75F3F"/>
    <w:rsid w:val="00B7713A"/>
    <w:rsid w:val="00B77B5D"/>
    <w:rsid w:val="00B802AC"/>
    <w:rsid w:val="00B80678"/>
    <w:rsid w:val="00B809BD"/>
    <w:rsid w:val="00B819DE"/>
    <w:rsid w:val="00B81C91"/>
    <w:rsid w:val="00B83CAA"/>
    <w:rsid w:val="00B83DE5"/>
    <w:rsid w:val="00B84071"/>
    <w:rsid w:val="00B848F2"/>
    <w:rsid w:val="00B877F2"/>
    <w:rsid w:val="00B87B66"/>
    <w:rsid w:val="00B900A5"/>
    <w:rsid w:val="00B9192A"/>
    <w:rsid w:val="00B9195D"/>
    <w:rsid w:val="00B91A58"/>
    <w:rsid w:val="00B9476A"/>
    <w:rsid w:val="00B94F60"/>
    <w:rsid w:val="00B9519E"/>
    <w:rsid w:val="00B95FB3"/>
    <w:rsid w:val="00B96952"/>
    <w:rsid w:val="00B96A25"/>
    <w:rsid w:val="00BA1210"/>
    <w:rsid w:val="00BA1410"/>
    <w:rsid w:val="00BA19B4"/>
    <w:rsid w:val="00BA2118"/>
    <w:rsid w:val="00BA241D"/>
    <w:rsid w:val="00BA27BC"/>
    <w:rsid w:val="00BA2C30"/>
    <w:rsid w:val="00BA2E68"/>
    <w:rsid w:val="00BA2F8E"/>
    <w:rsid w:val="00BA3616"/>
    <w:rsid w:val="00BA3904"/>
    <w:rsid w:val="00BA4CA6"/>
    <w:rsid w:val="00BA4DC3"/>
    <w:rsid w:val="00BA6A7D"/>
    <w:rsid w:val="00BA7208"/>
    <w:rsid w:val="00BB02F6"/>
    <w:rsid w:val="00BB073C"/>
    <w:rsid w:val="00BB09F6"/>
    <w:rsid w:val="00BB1B6A"/>
    <w:rsid w:val="00BB1E8D"/>
    <w:rsid w:val="00BB2282"/>
    <w:rsid w:val="00BB253B"/>
    <w:rsid w:val="00BB2C6B"/>
    <w:rsid w:val="00BB2EF9"/>
    <w:rsid w:val="00BB4A1D"/>
    <w:rsid w:val="00BB4B28"/>
    <w:rsid w:val="00BC0539"/>
    <w:rsid w:val="00BC093A"/>
    <w:rsid w:val="00BC21B5"/>
    <w:rsid w:val="00BC24BD"/>
    <w:rsid w:val="00BC3BC7"/>
    <w:rsid w:val="00BC4B26"/>
    <w:rsid w:val="00BC4E14"/>
    <w:rsid w:val="00BC4E24"/>
    <w:rsid w:val="00BD0A31"/>
    <w:rsid w:val="00BD1543"/>
    <w:rsid w:val="00BD1679"/>
    <w:rsid w:val="00BD1F6C"/>
    <w:rsid w:val="00BD351F"/>
    <w:rsid w:val="00BD5299"/>
    <w:rsid w:val="00BD66AF"/>
    <w:rsid w:val="00BD695B"/>
    <w:rsid w:val="00BD69D1"/>
    <w:rsid w:val="00BE0036"/>
    <w:rsid w:val="00BE0128"/>
    <w:rsid w:val="00BE0189"/>
    <w:rsid w:val="00BE0522"/>
    <w:rsid w:val="00BE0CE2"/>
    <w:rsid w:val="00BE0E84"/>
    <w:rsid w:val="00BE1B85"/>
    <w:rsid w:val="00BE261E"/>
    <w:rsid w:val="00BE27D4"/>
    <w:rsid w:val="00BE3552"/>
    <w:rsid w:val="00BE3A46"/>
    <w:rsid w:val="00BE488C"/>
    <w:rsid w:val="00BE4E6F"/>
    <w:rsid w:val="00BE4EB7"/>
    <w:rsid w:val="00BE56E2"/>
    <w:rsid w:val="00BE6080"/>
    <w:rsid w:val="00BE6C65"/>
    <w:rsid w:val="00BE77FB"/>
    <w:rsid w:val="00BF01FF"/>
    <w:rsid w:val="00BF1169"/>
    <w:rsid w:val="00BF13C3"/>
    <w:rsid w:val="00BF2887"/>
    <w:rsid w:val="00BF392B"/>
    <w:rsid w:val="00BF4886"/>
    <w:rsid w:val="00BF5ACE"/>
    <w:rsid w:val="00BF5B15"/>
    <w:rsid w:val="00BF5BDB"/>
    <w:rsid w:val="00BF5F16"/>
    <w:rsid w:val="00BF7189"/>
    <w:rsid w:val="00C011F7"/>
    <w:rsid w:val="00C0128C"/>
    <w:rsid w:val="00C01781"/>
    <w:rsid w:val="00C01A2F"/>
    <w:rsid w:val="00C01D55"/>
    <w:rsid w:val="00C01D5B"/>
    <w:rsid w:val="00C0302E"/>
    <w:rsid w:val="00C04F06"/>
    <w:rsid w:val="00C053B4"/>
    <w:rsid w:val="00C062F4"/>
    <w:rsid w:val="00C11729"/>
    <w:rsid w:val="00C117E1"/>
    <w:rsid w:val="00C11FF5"/>
    <w:rsid w:val="00C1221B"/>
    <w:rsid w:val="00C127AE"/>
    <w:rsid w:val="00C1339A"/>
    <w:rsid w:val="00C146A1"/>
    <w:rsid w:val="00C15859"/>
    <w:rsid w:val="00C162F9"/>
    <w:rsid w:val="00C20953"/>
    <w:rsid w:val="00C2275B"/>
    <w:rsid w:val="00C23DB6"/>
    <w:rsid w:val="00C251C8"/>
    <w:rsid w:val="00C252EA"/>
    <w:rsid w:val="00C2605B"/>
    <w:rsid w:val="00C26F75"/>
    <w:rsid w:val="00C275CB"/>
    <w:rsid w:val="00C3009A"/>
    <w:rsid w:val="00C30799"/>
    <w:rsid w:val="00C31C01"/>
    <w:rsid w:val="00C3261D"/>
    <w:rsid w:val="00C3262C"/>
    <w:rsid w:val="00C32645"/>
    <w:rsid w:val="00C3437C"/>
    <w:rsid w:val="00C34E40"/>
    <w:rsid w:val="00C353E3"/>
    <w:rsid w:val="00C357C4"/>
    <w:rsid w:val="00C35ABC"/>
    <w:rsid w:val="00C37368"/>
    <w:rsid w:val="00C37764"/>
    <w:rsid w:val="00C37BAD"/>
    <w:rsid w:val="00C37BEF"/>
    <w:rsid w:val="00C40427"/>
    <w:rsid w:val="00C41360"/>
    <w:rsid w:val="00C42771"/>
    <w:rsid w:val="00C4285A"/>
    <w:rsid w:val="00C42A05"/>
    <w:rsid w:val="00C4377E"/>
    <w:rsid w:val="00C44D59"/>
    <w:rsid w:val="00C44DE6"/>
    <w:rsid w:val="00C44DF7"/>
    <w:rsid w:val="00C45667"/>
    <w:rsid w:val="00C4582C"/>
    <w:rsid w:val="00C465AD"/>
    <w:rsid w:val="00C47394"/>
    <w:rsid w:val="00C47643"/>
    <w:rsid w:val="00C47BD1"/>
    <w:rsid w:val="00C47E10"/>
    <w:rsid w:val="00C50761"/>
    <w:rsid w:val="00C50C31"/>
    <w:rsid w:val="00C50D34"/>
    <w:rsid w:val="00C51196"/>
    <w:rsid w:val="00C5159E"/>
    <w:rsid w:val="00C52986"/>
    <w:rsid w:val="00C5351A"/>
    <w:rsid w:val="00C535ED"/>
    <w:rsid w:val="00C53943"/>
    <w:rsid w:val="00C5424C"/>
    <w:rsid w:val="00C5481B"/>
    <w:rsid w:val="00C55109"/>
    <w:rsid w:val="00C5616A"/>
    <w:rsid w:val="00C5674F"/>
    <w:rsid w:val="00C56FA9"/>
    <w:rsid w:val="00C57923"/>
    <w:rsid w:val="00C605D6"/>
    <w:rsid w:val="00C60917"/>
    <w:rsid w:val="00C60FD9"/>
    <w:rsid w:val="00C6102D"/>
    <w:rsid w:val="00C628C9"/>
    <w:rsid w:val="00C63014"/>
    <w:rsid w:val="00C63911"/>
    <w:rsid w:val="00C63F9C"/>
    <w:rsid w:val="00C64465"/>
    <w:rsid w:val="00C65725"/>
    <w:rsid w:val="00C66895"/>
    <w:rsid w:val="00C66C9E"/>
    <w:rsid w:val="00C66DEF"/>
    <w:rsid w:val="00C718AD"/>
    <w:rsid w:val="00C7292D"/>
    <w:rsid w:val="00C731ED"/>
    <w:rsid w:val="00C7396C"/>
    <w:rsid w:val="00C73C07"/>
    <w:rsid w:val="00C74138"/>
    <w:rsid w:val="00C74898"/>
    <w:rsid w:val="00C74C60"/>
    <w:rsid w:val="00C756FA"/>
    <w:rsid w:val="00C75BD7"/>
    <w:rsid w:val="00C77F40"/>
    <w:rsid w:val="00C80CD3"/>
    <w:rsid w:val="00C80E12"/>
    <w:rsid w:val="00C81F53"/>
    <w:rsid w:val="00C82665"/>
    <w:rsid w:val="00C828FE"/>
    <w:rsid w:val="00C82A9C"/>
    <w:rsid w:val="00C82E4F"/>
    <w:rsid w:val="00C83119"/>
    <w:rsid w:val="00C8312A"/>
    <w:rsid w:val="00C852CD"/>
    <w:rsid w:val="00C8555F"/>
    <w:rsid w:val="00C87094"/>
    <w:rsid w:val="00C87D3F"/>
    <w:rsid w:val="00C90AE3"/>
    <w:rsid w:val="00C90B00"/>
    <w:rsid w:val="00C92FF3"/>
    <w:rsid w:val="00C9361E"/>
    <w:rsid w:val="00C94831"/>
    <w:rsid w:val="00C94C76"/>
    <w:rsid w:val="00C9501A"/>
    <w:rsid w:val="00C952FD"/>
    <w:rsid w:val="00C9616A"/>
    <w:rsid w:val="00C96E09"/>
    <w:rsid w:val="00C97443"/>
    <w:rsid w:val="00C9752D"/>
    <w:rsid w:val="00C97577"/>
    <w:rsid w:val="00C97581"/>
    <w:rsid w:val="00CA0002"/>
    <w:rsid w:val="00CA0A86"/>
    <w:rsid w:val="00CA1A2F"/>
    <w:rsid w:val="00CA1B20"/>
    <w:rsid w:val="00CA21BC"/>
    <w:rsid w:val="00CA38B5"/>
    <w:rsid w:val="00CA3E5E"/>
    <w:rsid w:val="00CA3FD1"/>
    <w:rsid w:val="00CA428E"/>
    <w:rsid w:val="00CA43A2"/>
    <w:rsid w:val="00CA43F0"/>
    <w:rsid w:val="00CA4CD8"/>
    <w:rsid w:val="00CA4E59"/>
    <w:rsid w:val="00CA50D1"/>
    <w:rsid w:val="00CA5227"/>
    <w:rsid w:val="00CA5F99"/>
    <w:rsid w:val="00CA6ACB"/>
    <w:rsid w:val="00CA769A"/>
    <w:rsid w:val="00CA7AF4"/>
    <w:rsid w:val="00CA7D6D"/>
    <w:rsid w:val="00CB03AE"/>
    <w:rsid w:val="00CB1313"/>
    <w:rsid w:val="00CB1361"/>
    <w:rsid w:val="00CB15B6"/>
    <w:rsid w:val="00CB1D93"/>
    <w:rsid w:val="00CB1E21"/>
    <w:rsid w:val="00CB2E86"/>
    <w:rsid w:val="00CB5994"/>
    <w:rsid w:val="00CB6257"/>
    <w:rsid w:val="00CB6892"/>
    <w:rsid w:val="00CB6FCC"/>
    <w:rsid w:val="00CC107E"/>
    <w:rsid w:val="00CC1139"/>
    <w:rsid w:val="00CC202B"/>
    <w:rsid w:val="00CC2104"/>
    <w:rsid w:val="00CC22D8"/>
    <w:rsid w:val="00CC24A7"/>
    <w:rsid w:val="00CC327F"/>
    <w:rsid w:val="00CC3D45"/>
    <w:rsid w:val="00CC40B6"/>
    <w:rsid w:val="00CC43FC"/>
    <w:rsid w:val="00CC514F"/>
    <w:rsid w:val="00CC523C"/>
    <w:rsid w:val="00CC5995"/>
    <w:rsid w:val="00CC6D80"/>
    <w:rsid w:val="00CC7008"/>
    <w:rsid w:val="00CC7344"/>
    <w:rsid w:val="00CC7E50"/>
    <w:rsid w:val="00CD1169"/>
    <w:rsid w:val="00CD213B"/>
    <w:rsid w:val="00CD2337"/>
    <w:rsid w:val="00CD3539"/>
    <w:rsid w:val="00CD553B"/>
    <w:rsid w:val="00CD5899"/>
    <w:rsid w:val="00CD5F9A"/>
    <w:rsid w:val="00CD665B"/>
    <w:rsid w:val="00CD6F47"/>
    <w:rsid w:val="00CD7422"/>
    <w:rsid w:val="00CD7A03"/>
    <w:rsid w:val="00CE0418"/>
    <w:rsid w:val="00CE06C3"/>
    <w:rsid w:val="00CE08A9"/>
    <w:rsid w:val="00CE1835"/>
    <w:rsid w:val="00CE3069"/>
    <w:rsid w:val="00CE384A"/>
    <w:rsid w:val="00CE3C2B"/>
    <w:rsid w:val="00CE44C2"/>
    <w:rsid w:val="00CE5319"/>
    <w:rsid w:val="00CE56C1"/>
    <w:rsid w:val="00CE572B"/>
    <w:rsid w:val="00CF0AB9"/>
    <w:rsid w:val="00CF187C"/>
    <w:rsid w:val="00CF19BF"/>
    <w:rsid w:val="00CF40F6"/>
    <w:rsid w:val="00CF564F"/>
    <w:rsid w:val="00CF585F"/>
    <w:rsid w:val="00CF63C2"/>
    <w:rsid w:val="00CF63DC"/>
    <w:rsid w:val="00CF64BC"/>
    <w:rsid w:val="00CF6992"/>
    <w:rsid w:val="00CF71A5"/>
    <w:rsid w:val="00CF7399"/>
    <w:rsid w:val="00CF7B20"/>
    <w:rsid w:val="00D0020E"/>
    <w:rsid w:val="00D02C41"/>
    <w:rsid w:val="00D02E1F"/>
    <w:rsid w:val="00D03F6E"/>
    <w:rsid w:val="00D04C21"/>
    <w:rsid w:val="00D05C00"/>
    <w:rsid w:val="00D10487"/>
    <w:rsid w:val="00D1087A"/>
    <w:rsid w:val="00D118A6"/>
    <w:rsid w:val="00D11C7D"/>
    <w:rsid w:val="00D11DA8"/>
    <w:rsid w:val="00D11F89"/>
    <w:rsid w:val="00D126CE"/>
    <w:rsid w:val="00D14997"/>
    <w:rsid w:val="00D15856"/>
    <w:rsid w:val="00D15948"/>
    <w:rsid w:val="00D15B4E"/>
    <w:rsid w:val="00D15E01"/>
    <w:rsid w:val="00D171AC"/>
    <w:rsid w:val="00D172F3"/>
    <w:rsid w:val="00D1789A"/>
    <w:rsid w:val="00D20422"/>
    <w:rsid w:val="00D20B87"/>
    <w:rsid w:val="00D2153A"/>
    <w:rsid w:val="00D2165B"/>
    <w:rsid w:val="00D23387"/>
    <w:rsid w:val="00D24310"/>
    <w:rsid w:val="00D24F0E"/>
    <w:rsid w:val="00D25679"/>
    <w:rsid w:val="00D2599A"/>
    <w:rsid w:val="00D265C8"/>
    <w:rsid w:val="00D27032"/>
    <w:rsid w:val="00D2732D"/>
    <w:rsid w:val="00D27F72"/>
    <w:rsid w:val="00D27F91"/>
    <w:rsid w:val="00D27FE7"/>
    <w:rsid w:val="00D30DA3"/>
    <w:rsid w:val="00D31166"/>
    <w:rsid w:val="00D31DBB"/>
    <w:rsid w:val="00D33B02"/>
    <w:rsid w:val="00D34B11"/>
    <w:rsid w:val="00D34C44"/>
    <w:rsid w:val="00D366B5"/>
    <w:rsid w:val="00D37200"/>
    <w:rsid w:val="00D37463"/>
    <w:rsid w:val="00D40AB7"/>
    <w:rsid w:val="00D40ABC"/>
    <w:rsid w:val="00D42018"/>
    <w:rsid w:val="00D42CA8"/>
    <w:rsid w:val="00D45F6B"/>
    <w:rsid w:val="00D462E0"/>
    <w:rsid w:val="00D47548"/>
    <w:rsid w:val="00D47DF9"/>
    <w:rsid w:val="00D50705"/>
    <w:rsid w:val="00D50ADD"/>
    <w:rsid w:val="00D51096"/>
    <w:rsid w:val="00D51EED"/>
    <w:rsid w:val="00D522DC"/>
    <w:rsid w:val="00D524DF"/>
    <w:rsid w:val="00D52811"/>
    <w:rsid w:val="00D5309F"/>
    <w:rsid w:val="00D53354"/>
    <w:rsid w:val="00D53C34"/>
    <w:rsid w:val="00D543BC"/>
    <w:rsid w:val="00D54EA2"/>
    <w:rsid w:val="00D555B1"/>
    <w:rsid w:val="00D559D8"/>
    <w:rsid w:val="00D57A73"/>
    <w:rsid w:val="00D57C26"/>
    <w:rsid w:val="00D61672"/>
    <w:rsid w:val="00D626F5"/>
    <w:rsid w:val="00D62A3F"/>
    <w:rsid w:val="00D62DD5"/>
    <w:rsid w:val="00D62E66"/>
    <w:rsid w:val="00D63858"/>
    <w:rsid w:val="00D64067"/>
    <w:rsid w:val="00D66DE9"/>
    <w:rsid w:val="00D70004"/>
    <w:rsid w:val="00D7005F"/>
    <w:rsid w:val="00D70730"/>
    <w:rsid w:val="00D71ADC"/>
    <w:rsid w:val="00D73062"/>
    <w:rsid w:val="00D732AB"/>
    <w:rsid w:val="00D738DB"/>
    <w:rsid w:val="00D73CCF"/>
    <w:rsid w:val="00D755F0"/>
    <w:rsid w:val="00D76261"/>
    <w:rsid w:val="00D77876"/>
    <w:rsid w:val="00D801DC"/>
    <w:rsid w:val="00D80A40"/>
    <w:rsid w:val="00D819C2"/>
    <w:rsid w:val="00D81D43"/>
    <w:rsid w:val="00D82413"/>
    <w:rsid w:val="00D833C9"/>
    <w:rsid w:val="00D83657"/>
    <w:rsid w:val="00D83E88"/>
    <w:rsid w:val="00D84330"/>
    <w:rsid w:val="00D84803"/>
    <w:rsid w:val="00D85890"/>
    <w:rsid w:val="00D86776"/>
    <w:rsid w:val="00D87556"/>
    <w:rsid w:val="00D87787"/>
    <w:rsid w:val="00D902B3"/>
    <w:rsid w:val="00D923A2"/>
    <w:rsid w:val="00D92AAD"/>
    <w:rsid w:val="00D9317F"/>
    <w:rsid w:val="00D941BA"/>
    <w:rsid w:val="00D95217"/>
    <w:rsid w:val="00D9566F"/>
    <w:rsid w:val="00DA0934"/>
    <w:rsid w:val="00DA0A71"/>
    <w:rsid w:val="00DA130C"/>
    <w:rsid w:val="00DA1682"/>
    <w:rsid w:val="00DA1A40"/>
    <w:rsid w:val="00DA37C4"/>
    <w:rsid w:val="00DA4C5B"/>
    <w:rsid w:val="00DA569C"/>
    <w:rsid w:val="00DA5A00"/>
    <w:rsid w:val="00DA5CC7"/>
    <w:rsid w:val="00DA6164"/>
    <w:rsid w:val="00DA7174"/>
    <w:rsid w:val="00DA76A4"/>
    <w:rsid w:val="00DB013A"/>
    <w:rsid w:val="00DB033C"/>
    <w:rsid w:val="00DB1B25"/>
    <w:rsid w:val="00DB234D"/>
    <w:rsid w:val="00DB30B3"/>
    <w:rsid w:val="00DB3339"/>
    <w:rsid w:val="00DB3369"/>
    <w:rsid w:val="00DB3C2A"/>
    <w:rsid w:val="00DB47C6"/>
    <w:rsid w:val="00DB4B2C"/>
    <w:rsid w:val="00DB4E2C"/>
    <w:rsid w:val="00DB59AF"/>
    <w:rsid w:val="00DB60BB"/>
    <w:rsid w:val="00DB6F4A"/>
    <w:rsid w:val="00DB71DA"/>
    <w:rsid w:val="00DB73B4"/>
    <w:rsid w:val="00DB7A8F"/>
    <w:rsid w:val="00DB7DE8"/>
    <w:rsid w:val="00DC0628"/>
    <w:rsid w:val="00DC075B"/>
    <w:rsid w:val="00DC0E79"/>
    <w:rsid w:val="00DC12DA"/>
    <w:rsid w:val="00DC1451"/>
    <w:rsid w:val="00DC1D5F"/>
    <w:rsid w:val="00DC4010"/>
    <w:rsid w:val="00DC4397"/>
    <w:rsid w:val="00DC467E"/>
    <w:rsid w:val="00DC6260"/>
    <w:rsid w:val="00DC6413"/>
    <w:rsid w:val="00DC69BE"/>
    <w:rsid w:val="00DC69E7"/>
    <w:rsid w:val="00DC6D6D"/>
    <w:rsid w:val="00DC74EF"/>
    <w:rsid w:val="00DC7512"/>
    <w:rsid w:val="00DC799B"/>
    <w:rsid w:val="00DD0257"/>
    <w:rsid w:val="00DD1405"/>
    <w:rsid w:val="00DD164A"/>
    <w:rsid w:val="00DD1CEF"/>
    <w:rsid w:val="00DD25DE"/>
    <w:rsid w:val="00DD2FF2"/>
    <w:rsid w:val="00DD30F0"/>
    <w:rsid w:val="00DD3FD8"/>
    <w:rsid w:val="00DD4388"/>
    <w:rsid w:val="00DD44F0"/>
    <w:rsid w:val="00DD4869"/>
    <w:rsid w:val="00DD5761"/>
    <w:rsid w:val="00DD60EE"/>
    <w:rsid w:val="00DD6B03"/>
    <w:rsid w:val="00DD736D"/>
    <w:rsid w:val="00DD7D9B"/>
    <w:rsid w:val="00DE0845"/>
    <w:rsid w:val="00DE20D9"/>
    <w:rsid w:val="00DE22D8"/>
    <w:rsid w:val="00DE3817"/>
    <w:rsid w:val="00DE53E6"/>
    <w:rsid w:val="00DE5E61"/>
    <w:rsid w:val="00DE60FE"/>
    <w:rsid w:val="00DE6C13"/>
    <w:rsid w:val="00DE6CD5"/>
    <w:rsid w:val="00DE6DF2"/>
    <w:rsid w:val="00DE7725"/>
    <w:rsid w:val="00DE79E2"/>
    <w:rsid w:val="00DE7CFE"/>
    <w:rsid w:val="00DF037C"/>
    <w:rsid w:val="00DF0931"/>
    <w:rsid w:val="00DF0D73"/>
    <w:rsid w:val="00DF1125"/>
    <w:rsid w:val="00DF32B6"/>
    <w:rsid w:val="00DF3461"/>
    <w:rsid w:val="00DF39FE"/>
    <w:rsid w:val="00DF3A5F"/>
    <w:rsid w:val="00DF3E48"/>
    <w:rsid w:val="00DF522F"/>
    <w:rsid w:val="00DF5506"/>
    <w:rsid w:val="00DF55FA"/>
    <w:rsid w:val="00DF5AEE"/>
    <w:rsid w:val="00DF6137"/>
    <w:rsid w:val="00DF6531"/>
    <w:rsid w:val="00DF6744"/>
    <w:rsid w:val="00DF69AC"/>
    <w:rsid w:val="00DF6A29"/>
    <w:rsid w:val="00DF6CDD"/>
    <w:rsid w:val="00DF7264"/>
    <w:rsid w:val="00DF79A9"/>
    <w:rsid w:val="00DF7AAC"/>
    <w:rsid w:val="00E01D57"/>
    <w:rsid w:val="00E038DB"/>
    <w:rsid w:val="00E03D16"/>
    <w:rsid w:val="00E04023"/>
    <w:rsid w:val="00E04478"/>
    <w:rsid w:val="00E05DDC"/>
    <w:rsid w:val="00E066AC"/>
    <w:rsid w:val="00E06B30"/>
    <w:rsid w:val="00E0770C"/>
    <w:rsid w:val="00E07876"/>
    <w:rsid w:val="00E11C84"/>
    <w:rsid w:val="00E12746"/>
    <w:rsid w:val="00E13850"/>
    <w:rsid w:val="00E140D5"/>
    <w:rsid w:val="00E162ED"/>
    <w:rsid w:val="00E171AA"/>
    <w:rsid w:val="00E2003B"/>
    <w:rsid w:val="00E213A7"/>
    <w:rsid w:val="00E219AE"/>
    <w:rsid w:val="00E224B0"/>
    <w:rsid w:val="00E2369C"/>
    <w:rsid w:val="00E23E51"/>
    <w:rsid w:val="00E243F8"/>
    <w:rsid w:val="00E2528E"/>
    <w:rsid w:val="00E25D55"/>
    <w:rsid w:val="00E26606"/>
    <w:rsid w:val="00E26EE5"/>
    <w:rsid w:val="00E27891"/>
    <w:rsid w:val="00E2797D"/>
    <w:rsid w:val="00E30D9A"/>
    <w:rsid w:val="00E31879"/>
    <w:rsid w:val="00E3207F"/>
    <w:rsid w:val="00E32974"/>
    <w:rsid w:val="00E3397E"/>
    <w:rsid w:val="00E33A7E"/>
    <w:rsid w:val="00E35F85"/>
    <w:rsid w:val="00E3680B"/>
    <w:rsid w:val="00E36A6F"/>
    <w:rsid w:val="00E36FDB"/>
    <w:rsid w:val="00E3770D"/>
    <w:rsid w:val="00E4111F"/>
    <w:rsid w:val="00E42352"/>
    <w:rsid w:val="00E4358B"/>
    <w:rsid w:val="00E4370D"/>
    <w:rsid w:val="00E43FBA"/>
    <w:rsid w:val="00E4454C"/>
    <w:rsid w:val="00E452F3"/>
    <w:rsid w:val="00E45359"/>
    <w:rsid w:val="00E47028"/>
    <w:rsid w:val="00E47859"/>
    <w:rsid w:val="00E479F0"/>
    <w:rsid w:val="00E509C6"/>
    <w:rsid w:val="00E50B3F"/>
    <w:rsid w:val="00E54F82"/>
    <w:rsid w:val="00E54FC0"/>
    <w:rsid w:val="00E5740A"/>
    <w:rsid w:val="00E574AD"/>
    <w:rsid w:val="00E61554"/>
    <w:rsid w:val="00E615A5"/>
    <w:rsid w:val="00E61B42"/>
    <w:rsid w:val="00E61FD6"/>
    <w:rsid w:val="00E63399"/>
    <w:rsid w:val="00E6545B"/>
    <w:rsid w:val="00E65F2F"/>
    <w:rsid w:val="00E665BF"/>
    <w:rsid w:val="00E702DA"/>
    <w:rsid w:val="00E713D6"/>
    <w:rsid w:val="00E71E0D"/>
    <w:rsid w:val="00E71F08"/>
    <w:rsid w:val="00E72B05"/>
    <w:rsid w:val="00E72C7F"/>
    <w:rsid w:val="00E73668"/>
    <w:rsid w:val="00E73CD5"/>
    <w:rsid w:val="00E7427A"/>
    <w:rsid w:val="00E75375"/>
    <w:rsid w:val="00E7639E"/>
    <w:rsid w:val="00E76497"/>
    <w:rsid w:val="00E765B0"/>
    <w:rsid w:val="00E76C1E"/>
    <w:rsid w:val="00E776BC"/>
    <w:rsid w:val="00E7797C"/>
    <w:rsid w:val="00E80B85"/>
    <w:rsid w:val="00E80C17"/>
    <w:rsid w:val="00E819CC"/>
    <w:rsid w:val="00E82A08"/>
    <w:rsid w:val="00E8312C"/>
    <w:rsid w:val="00E8495F"/>
    <w:rsid w:val="00E849B7"/>
    <w:rsid w:val="00E8525A"/>
    <w:rsid w:val="00E85E44"/>
    <w:rsid w:val="00E860E0"/>
    <w:rsid w:val="00E86422"/>
    <w:rsid w:val="00E86B11"/>
    <w:rsid w:val="00E87BC5"/>
    <w:rsid w:val="00E90755"/>
    <w:rsid w:val="00E92553"/>
    <w:rsid w:val="00E932AC"/>
    <w:rsid w:val="00E94E0F"/>
    <w:rsid w:val="00E94EE1"/>
    <w:rsid w:val="00E95C60"/>
    <w:rsid w:val="00E96882"/>
    <w:rsid w:val="00E96E54"/>
    <w:rsid w:val="00E973A5"/>
    <w:rsid w:val="00EA0AC8"/>
    <w:rsid w:val="00EA136F"/>
    <w:rsid w:val="00EA1FB4"/>
    <w:rsid w:val="00EA250A"/>
    <w:rsid w:val="00EA2901"/>
    <w:rsid w:val="00EA29EF"/>
    <w:rsid w:val="00EA2A7A"/>
    <w:rsid w:val="00EA4E1F"/>
    <w:rsid w:val="00EA5971"/>
    <w:rsid w:val="00EA6225"/>
    <w:rsid w:val="00EA62BA"/>
    <w:rsid w:val="00EA6AF8"/>
    <w:rsid w:val="00EA7397"/>
    <w:rsid w:val="00EA74D4"/>
    <w:rsid w:val="00EB0AE9"/>
    <w:rsid w:val="00EB121A"/>
    <w:rsid w:val="00EB130B"/>
    <w:rsid w:val="00EB26EC"/>
    <w:rsid w:val="00EB324D"/>
    <w:rsid w:val="00EB3FFC"/>
    <w:rsid w:val="00EB45A7"/>
    <w:rsid w:val="00EB562F"/>
    <w:rsid w:val="00EB5F6B"/>
    <w:rsid w:val="00EB61BD"/>
    <w:rsid w:val="00EB65B2"/>
    <w:rsid w:val="00EB6B9E"/>
    <w:rsid w:val="00EC02C2"/>
    <w:rsid w:val="00EC0956"/>
    <w:rsid w:val="00EC10AD"/>
    <w:rsid w:val="00EC112D"/>
    <w:rsid w:val="00EC121C"/>
    <w:rsid w:val="00EC193D"/>
    <w:rsid w:val="00EC3F4B"/>
    <w:rsid w:val="00EC6E92"/>
    <w:rsid w:val="00EC6E9F"/>
    <w:rsid w:val="00EC6F4F"/>
    <w:rsid w:val="00EC789A"/>
    <w:rsid w:val="00EC7D34"/>
    <w:rsid w:val="00ED2649"/>
    <w:rsid w:val="00ED276E"/>
    <w:rsid w:val="00ED27B6"/>
    <w:rsid w:val="00ED2FF9"/>
    <w:rsid w:val="00ED3758"/>
    <w:rsid w:val="00ED4F9B"/>
    <w:rsid w:val="00ED55DF"/>
    <w:rsid w:val="00ED5841"/>
    <w:rsid w:val="00ED590C"/>
    <w:rsid w:val="00ED5DDE"/>
    <w:rsid w:val="00ED6981"/>
    <w:rsid w:val="00EE0BC6"/>
    <w:rsid w:val="00EE13A6"/>
    <w:rsid w:val="00EE1C0F"/>
    <w:rsid w:val="00EE1D5E"/>
    <w:rsid w:val="00EE255C"/>
    <w:rsid w:val="00EE279F"/>
    <w:rsid w:val="00EE343B"/>
    <w:rsid w:val="00EE499F"/>
    <w:rsid w:val="00EE4A0C"/>
    <w:rsid w:val="00EE4B07"/>
    <w:rsid w:val="00EE5817"/>
    <w:rsid w:val="00EE5D09"/>
    <w:rsid w:val="00EE5F50"/>
    <w:rsid w:val="00EE5F95"/>
    <w:rsid w:val="00EE6514"/>
    <w:rsid w:val="00EE6B17"/>
    <w:rsid w:val="00EE7A9A"/>
    <w:rsid w:val="00EF0AEF"/>
    <w:rsid w:val="00EF26D8"/>
    <w:rsid w:val="00EF284D"/>
    <w:rsid w:val="00EF300E"/>
    <w:rsid w:val="00EF33F5"/>
    <w:rsid w:val="00EF33F7"/>
    <w:rsid w:val="00EF3C11"/>
    <w:rsid w:val="00EF420F"/>
    <w:rsid w:val="00EF4619"/>
    <w:rsid w:val="00EF462D"/>
    <w:rsid w:val="00EF574B"/>
    <w:rsid w:val="00EF71D8"/>
    <w:rsid w:val="00EF792A"/>
    <w:rsid w:val="00EF7FD4"/>
    <w:rsid w:val="00F009D0"/>
    <w:rsid w:val="00F00AB1"/>
    <w:rsid w:val="00F00B2D"/>
    <w:rsid w:val="00F0319A"/>
    <w:rsid w:val="00F03E74"/>
    <w:rsid w:val="00F0403D"/>
    <w:rsid w:val="00F04F71"/>
    <w:rsid w:val="00F05B64"/>
    <w:rsid w:val="00F05CFA"/>
    <w:rsid w:val="00F0722C"/>
    <w:rsid w:val="00F0729B"/>
    <w:rsid w:val="00F0789B"/>
    <w:rsid w:val="00F07CB2"/>
    <w:rsid w:val="00F107F4"/>
    <w:rsid w:val="00F11CFC"/>
    <w:rsid w:val="00F11FA0"/>
    <w:rsid w:val="00F12FFC"/>
    <w:rsid w:val="00F132A7"/>
    <w:rsid w:val="00F13554"/>
    <w:rsid w:val="00F136C2"/>
    <w:rsid w:val="00F1406F"/>
    <w:rsid w:val="00F147AA"/>
    <w:rsid w:val="00F14F17"/>
    <w:rsid w:val="00F15111"/>
    <w:rsid w:val="00F1645E"/>
    <w:rsid w:val="00F16C0F"/>
    <w:rsid w:val="00F178AF"/>
    <w:rsid w:val="00F2064B"/>
    <w:rsid w:val="00F2069A"/>
    <w:rsid w:val="00F20E65"/>
    <w:rsid w:val="00F20EB3"/>
    <w:rsid w:val="00F21106"/>
    <w:rsid w:val="00F21266"/>
    <w:rsid w:val="00F2203C"/>
    <w:rsid w:val="00F22FEE"/>
    <w:rsid w:val="00F23008"/>
    <w:rsid w:val="00F232BB"/>
    <w:rsid w:val="00F25AB8"/>
    <w:rsid w:val="00F25F25"/>
    <w:rsid w:val="00F26729"/>
    <w:rsid w:val="00F2707F"/>
    <w:rsid w:val="00F270CB"/>
    <w:rsid w:val="00F31415"/>
    <w:rsid w:val="00F31955"/>
    <w:rsid w:val="00F31AE2"/>
    <w:rsid w:val="00F31B92"/>
    <w:rsid w:val="00F31DEE"/>
    <w:rsid w:val="00F3219C"/>
    <w:rsid w:val="00F32451"/>
    <w:rsid w:val="00F33110"/>
    <w:rsid w:val="00F331ED"/>
    <w:rsid w:val="00F33447"/>
    <w:rsid w:val="00F338DF"/>
    <w:rsid w:val="00F33A3B"/>
    <w:rsid w:val="00F3494E"/>
    <w:rsid w:val="00F3553A"/>
    <w:rsid w:val="00F35FB3"/>
    <w:rsid w:val="00F36158"/>
    <w:rsid w:val="00F36674"/>
    <w:rsid w:val="00F3720B"/>
    <w:rsid w:val="00F37ACE"/>
    <w:rsid w:val="00F414D1"/>
    <w:rsid w:val="00F41C8D"/>
    <w:rsid w:val="00F41F5B"/>
    <w:rsid w:val="00F43023"/>
    <w:rsid w:val="00F44C55"/>
    <w:rsid w:val="00F46EA6"/>
    <w:rsid w:val="00F472D6"/>
    <w:rsid w:val="00F47A52"/>
    <w:rsid w:val="00F47B79"/>
    <w:rsid w:val="00F5347E"/>
    <w:rsid w:val="00F53C99"/>
    <w:rsid w:val="00F551E1"/>
    <w:rsid w:val="00F556E9"/>
    <w:rsid w:val="00F55E38"/>
    <w:rsid w:val="00F5657C"/>
    <w:rsid w:val="00F56A64"/>
    <w:rsid w:val="00F56F54"/>
    <w:rsid w:val="00F57951"/>
    <w:rsid w:val="00F602C9"/>
    <w:rsid w:val="00F61FA4"/>
    <w:rsid w:val="00F62285"/>
    <w:rsid w:val="00F62C69"/>
    <w:rsid w:val="00F6307D"/>
    <w:rsid w:val="00F6398C"/>
    <w:rsid w:val="00F63EE8"/>
    <w:rsid w:val="00F64461"/>
    <w:rsid w:val="00F65FE1"/>
    <w:rsid w:val="00F662CA"/>
    <w:rsid w:val="00F67023"/>
    <w:rsid w:val="00F6774F"/>
    <w:rsid w:val="00F67A33"/>
    <w:rsid w:val="00F704E7"/>
    <w:rsid w:val="00F70C00"/>
    <w:rsid w:val="00F70FFC"/>
    <w:rsid w:val="00F7139E"/>
    <w:rsid w:val="00F71C9D"/>
    <w:rsid w:val="00F720A2"/>
    <w:rsid w:val="00F73855"/>
    <w:rsid w:val="00F7405F"/>
    <w:rsid w:val="00F749A1"/>
    <w:rsid w:val="00F7751F"/>
    <w:rsid w:val="00F80BBE"/>
    <w:rsid w:val="00F80E75"/>
    <w:rsid w:val="00F8113F"/>
    <w:rsid w:val="00F81B6B"/>
    <w:rsid w:val="00F81DC5"/>
    <w:rsid w:val="00F82993"/>
    <w:rsid w:val="00F8322D"/>
    <w:rsid w:val="00F854E7"/>
    <w:rsid w:val="00F862D0"/>
    <w:rsid w:val="00F866B9"/>
    <w:rsid w:val="00F867DD"/>
    <w:rsid w:val="00F86E77"/>
    <w:rsid w:val="00F87205"/>
    <w:rsid w:val="00F87BA7"/>
    <w:rsid w:val="00F87BC1"/>
    <w:rsid w:val="00F901C4"/>
    <w:rsid w:val="00F90841"/>
    <w:rsid w:val="00F90DA5"/>
    <w:rsid w:val="00F91579"/>
    <w:rsid w:val="00F919BA"/>
    <w:rsid w:val="00F91E1B"/>
    <w:rsid w:val="00F92405"/>
    <w:rsid w:val="00F92DDD"/>
    <w:rsid w:val="00F9345E"/>
    <w:rsid w:val="00F93979"/>
    <w:rsid w:val="00F94215"/>
    <w:rsid w:val="00F949B4"/>
    <w:rsid w:val="00F94EDD"/>
    <w:rsid w:val="00F96A50"/>
    <w:rsid w:val="00F9796C"/>
    <w:rsid w:val="00F97C59"/>
    <w:rsid w:val="00F97D87"/>
    <w:rsid w:val="00FA07EE"/>
    <w:rsid w:val="00FA1863"/>
    <w:rsid w:val="00FA2079"/>
    <w:rsid w:val="00FA2EE4"/>
    <w:rsid w:val="00FA330A"/>
    <w:rsid w:val="00FA3630"/>
    <w:rsid w:val="00FA3F46"/>
    <w:rsid w:val="00FA46F8"/>
    <w:rsid w:val="00FA4E50"/>
    <w:rsid w:val="00FA5A2A"/>
    <w:rsid w:val="00FA60BE"/>
    <w:rsid w:val="00FA6108"/>
    <w:rsid w:val="00FA6353"/>
    <w:rsid w:val="00FA70B0"/>
    <w:rsid w:val="00FA7466"/>
    <w:rsid w:val="00FA76CE"/>
    <w:rsid w:val="00FA78BF"/>
    <w:rsid w:val="00FA78EF"/>
    <w:rsid w:val="00FB0955"/>
    <w:rsid w:val="00FB0A5F"/>
    <w:rsid w:val="00FB0B92"/>
    <w:rsid w:val="00FB10A2"/>
    <w:rsid w:val="00FB16A2"/>
    <w:rsid w:val="00FB1F6D"/>
    <w:rsid w:val="00FB309C"/>
    <w:rsid w:val="00FB3862"/>
    <w:rsid w:val="00FB3A23"/>
    <w:rsid w:val="00FB3CC8"/>
    <w:rsid w:val="00FB4193"/>
    <w:rsid w:val="00FB4768"/>
    <w:rsid w:val="00FB75E7"/>
    <w:rsid w:val="00FC0C23"/>
    <w:rsid w:val="00FC16F1"/>
    <w:rsid w:val="00FC1EAB"/>
    <w:rsid w:val="00FC2B78"/>
    <w:rsid w:val="00FC2E81"/>
    <w:rsid w:val="00FC3363"/>
    <w:rsid w:val="00FC3850"/>
    <w:rsid w:val="00FC42F1"/>
    <w:rsid w:val="00FC4407"/>
    <w:rsid w:val="00FC4C84"/>
    <w:rsid w:val="00FC4D28"/>
    <w:rsid w:val="00FC52E2"/>
    <w:rsid w:val="00FC5BEC"/>
    <w:rsid w:val="00FC5DBC"/>
    <w:rsid w:val="00FC6122"/>
    <w:rsid w:val="00FC6683"/>
    <w:rsid w:val="00FD024F"/>
    <w:rsid w:val="00FD1A1A"/>
    <w:rsid w:val="00FD1DA1"/>
    <w:rsid w:val="00FD2D60"/>
    <w:rsid w:val="00FD34E9"/>
    <w:rsid w:val="00FD3C06"/>
    <w:rsid w:val="00FD3D63"/>
    <w:rsid w:val="00FD641A"/>
    <w:rsid w:val="00FD66E9"/>
    <w:rsid w:val="00FD7341"/>
    <w:rsid w:val="00FE17D9"/>
    <w:rsid w:val="00FE1F7F"/>
    <w:rsid w:val="00FE21F1"/>
    <w:rsid w:val="00FE231F"/>
    <w:rsid w:val="00FE3C7E"/>
    <w:rsid w:val="00FE3CB5"/>
    <w:rsid w:val="00FE4823"/>
    <w:rsid w:val="00FE4C95"/>
    <w:rsid w:val="00FE50A5"/>
    <w:rsid w:val="00FE55B3"/>
    <w:rsid w:val="00FE721C"/>
    <w:rsid w:val="00FE797C"/>
    <w:rsid w:val="00FF0C26"/>
    <w:rsid w:val="00FF13E1"/>
    <w:rsid w:val="00FF3702"/>
    <w:rsid w:val="00FF379D"/>
    <w:rsid w:val="00FF4CD5"/>
    <w:rsid w:val="00FF52B3"/>
    <w:rsid w:val="00FF58B0"/>
    <w:rsid w:val="00FF5EE9"/>
    <w:rsid w:val="00FF6A0E"/>
    <w:rsid w:val="00FF6CD1"/>
    <w:rsid w:val="00FF6E9E"/>
    <w:rsid w:val="01146B89"/>
    <w:rsid w:val="012E4657"/>
    <w:rsid w:val="01317E9C"/>
    <w:rsid w:val="01D94FA8"/>
    <w:rsid w:val="0203360B"/>
    <w:rsid w:val="020D7A69"/>
    <w:rsid w:val="025B174E"/>
    <w:rsid w:val="02630B62"/>
    <w:rsid w:val="026C2FC8"/>
    <w:rsid w:val="027B2B37"/>
    <w:rsid w:val="02A57C21"/>
    <w:rsid w:val="02A87CD3"/>
    <w:rsid w:val="02E61C40"/>
    <w:rsid w:val="02ED4A78"/>
    <w:rsid w:val="02F059D8"/>
    <w:rsid w:val="02F90F00"/>
    <w:rsid w:val="03287FF0"/>
    <w:rsid w:val="03354868"/>
    <w:rsid w:val="03373B39"/>
    <w:rsid w:val="03447308"/>
    <w:rsid w:val="03DD1C6E"/>
    <w:rsid w:val="03E67B28"/>
    <w:rsid w:val="04080A43"/>
    <w:rsid w:val="041576F2"/>
    <w:rsid w:val="041A1188"/>
    <w:rsid w:val="048B23CF"/>
    <w:rsid w:val="04B269E5"/>
    <w:rsid w:val="04F86B4A"/>
    <w:rsid w:val="05040200"/>
    <w:rsid w:val="05326F9B"/>
    <w:rsid w:val="05635B72"/>
    <w:rsid w:val="061533C9"/>
    <w:rsid w:val="062F63E0"/>
    <w:rsid w:val="064E5119"/>
    <w:rsid w:val="066017E8"/>
    <w:rsid w:val="06717FD1"/>
    <w:rsid w:val="068061FF"/>
    <w:rsid w:val="069B699A"/>
    <w:rsid w:val="06A31567"/>
    <w:rsid w:val="06A44D39"/>
    <w:rsid w:val="06A471D4"/>
    <w:rsid w:val="06EC45F7"/>
    <w:rsid w:val="07155F1A"/>
    <w:rsid w:val="07777B57"/>
    <w:rsid w:val="07EC4FAE"/>
    <w:rsid w:val="0879199F"/>
    <w:rsid w:val="08B90DB8"/>
    <w:rsid w:val="08EE7C6B"/>
    <w:rsid w:val="08F6376E"/>
    <w:rsid w:val="09122E43"/>
    <w:rsid w:val="097A7916"/>
    <w:rsid w:val="09955362"/>
    <w:rsid w:val="09AF602A"/>
    <w:rsid w:val="09B46917"/>
    <w:rsid w:val="0A5E1541"/>
    <w:rsid w:val="0AA46302"/>
    <w:rsid w:val="0B2305A5"/>
    <w:rsid w:val="0B2D79F3"/>
    <w:rsid w:val="0B330F4A"/>
    <w:rsid w:val="0B4556CD"/>
    <w:rsid w:val="0B564A9E"/>
    <w:rsid w:val="0BA61B68"/>
    <w:rsid w:val="0BB37973"/>
    <w:rsid w:val="0C3E788F"/>
    <w:rsid w:val="0C476C28"/>
    <w:rsid w:val="0C4B6CAF"/>
    <w:rsid w:val="0CAA4A7B"/>
    <w:rsid w:val="0CB23A9B"/>
    <w:rsid w:val="0CBE2547"/>
    <w:rsid w:val="0CBF2876"/>
    <w:rsid w:val="0CE40484"/>
    <w:rsid w:val="0CF864B4"/>
    <w:rsid w:val="0CFC76D4"/>
    <w:rsid w:val="0D041081"/>
    <w:rsid w:val="0D046B21"/>
    <w:rsid w:val="0D0A29A0"/>
    <w:rsid w:val="0D3209D7"/>
    <w:rsid w:val="0D4820C8"/>
    <w:rsid w:val="0D522F8B"/>
    <w:rsid w:val="0D656DBC"/>
    <w:rsid w:val="0D883CF1"/>
    <w:rsid w:val="0DBF3915"/>
    <w:rsid w:val="0DEB7848"/>
    <w:rsid w:val="0E093609"/>
    <w:rsid w:val="0E87286B"/>
    <w:rsid w:val="0E990386"/>
    <w:rsid w:val="0ECA35E3"/>
    <w:rsid w:val="0F0020FB"/>
    <w:rsid w:val="0F17315A"/>
    <w:rsid w:val="0F2C0F13"/>
    <w:rsid w:val="0FDE27C3"/>
    <w:rsid w:val="10730CA8"/>
    <w:rsid w:val="108B531E"/>
    <w:rsid w:val="10B2385C"/>
    <w:rsid w:val="10C40AC6"/>
    <w:rsid w:val="10E03F29"/>
    <w:rsid w:val="10FE208A"/>
    <w:rsid w:val="11491584"/>
    <w:rsid w:val="119229CC"/>
    <w:rsid w:val="11FF4BE2"/>
    <w:rsid w:val="12126A4C"/>
    <w:rsid w:val="127B149F"/>
    <w:rsid w:val="12E475F6"/>
    <w:rsid w:val="130938AF"/>
    <w:rsid w:val="13197490"/>
    <w:rsid w:val="13504ADD"/>
    <w:rsid w:val="13861AE4"/>
    <w:rsid w:val="13E7676D"/>
    <w:rsid w:val="13EC0F7D"/>
    <w:rsid w:val="141C68CE"/>
    <w:rsid w:val="14310D31"/>
    <w:rsid w:val="1452250F"/>
    <w:rsid w:val="145A76F6"/>
    <w:rsid w:val="148C2AA8"/>
    <w:rsid w:val="14C569AE"/>
    <w:rsid w:val="14CB5001"/>
    <w:rsid w:val="14F441BF"/>
    <w:rsid w:val="150962AD"/>
    <w:rsid w:val="15117BCD"/>
    <w:rsid w:val="15514492"/>
    <w:rsid w:val="155C25F5"/>
    <w:rsid w:val="15650A60"/>
    <w:rsid w:val="15AD0B17"/>
    <w:rsid w:val="162076A8"/>
    <w:rsid w:val="16433E2C"/>
    <w:rsid w:val="16766BA6"/>
    <w:rsid w:val="17207380"/>
    <w:rsid w:val="1787486D"/>
    <w:rsid w:val="17A16388"/>
    <w:rsid w:val="17AA4C4B"/>
    <w:rsid w:val="182A4382"/>
    <w:rsid w:val="18317641"/>
    <w:rsid w:val="18622F00"/>
    <w:rsid w:val="18784C18"/>
    <w:rsid w:val="18931327"/>
    <w:rsid w:val="18F3714B"/>
    <w:rsid w:val="1915738C"/>
    <w:rsid w:val="191D1C3B"/>
    <w:rsid w:val="193C5548"/>
    <w:rsid w:val="194D29FE"/>
    <w:rsid w:val="19882298"/>
    <w:rsid w:val="199E7431"/>
    <w:rsid w:val="1A481521"/>
    <w:rsid w:val="1AA67395"/>
    <w:rsid w:val="1ABD475F"/>
    <w:rsid w:val="1ADD5978"/>
    <w:rsid w:val="1B063C87"/>
    <w:rsid w:val="1B082305"/>
    <w:rsid w:val="1B23492E"/>
    <w:rsid w:val="1B2F5E16"/>
    <w:rsid w:val="1B33720A"/>
    <w:rsid w:val="1B553119"/>
    <w:rsid w:val="1B5632D3"/>
    <w:rsid w:val="1B5A28EE"/>
    <w:rsid w:val="1B656744"/>
    <w:rsid w:val="1B9A2D0E"/>
    <w:rsid w:val="1BC902A0"/>
    <w:rsid w:val="1BCB0AA5"/>
    <w:rsid w:val="1BF06724"/>
    <w:rsid w:val="1C073948"/>
    <w:rsid w:val="1C426A62"/>
    <w:rsid w:val="1C6920FF"/>
    <w:rsid w:val="1C8A10BD"/>
    <w:rsid w:val="1CD425A3"/>
    <w:rsid w:val="1CF9095B"/>
    <w:rsid w:val="1D1C78C7"/>
    <w:rsid w:val="1D675F85"/>
    <w:rsid w:val="1D944D5B"/>
    <w:rsid w:val="1DA61D78"/>
    <w:rsid w:val="1DDC5E7D"/>
    <w:rsid w:val="1E2A2885"/>
    <w:rsid w:val="1E420DC0"/>
    <w:rsid w:val="1EA637FA"/>
    <w:rsid w:val="1ECC1AF5"/>
    <w:rsid w:val="1F054DB0"/>
    <w:rsid w:val="1F1B4309"/>
    <w:rsid w:val="1F22272A"/>
    <w:rsid w:val="1F8A0D06"/>
    <w:rsid w:val="1F8A1009"/>
    <w:rsid w:val="1FC1609D"/>
    <w:rsid w:val="1FC57DA2"/>
    <w:rsid w:val="1FF50CC5"/>
    <w:rsid w:val="2010570B"/>
    <w:rsid w:val="202873E5"/>
    <w:rsid w:val="205D36A2"/>
    <w:rsid w:val="20AF196C"/>
    <w:rsid w:val="21025B31"/>
    <w:rsid w:val="215A0EF5"/>
    <w:rsid w:val="21642A8A"/>
    <w:rsid w:val="21A53FE6"/>
    <w:rsid w:val="21DD108E"/>
    <w:rsid w:val="21EC14A3"/>
    <w:rsid w:val="22065625"/>
    <w:rsid w:val="22143909"/>
    <w:rsid w:val="22644765"/>
    <w:rsid w:val="22860227"/>
    <w:rsid w:val="22C47B6C"/>
    <w:rsid w:val="22E452A9"/>
    <w:rsid w:val="23057E46"/>
    <w:rsid w:val="23524594"/>
    <w:rsid w:val="23916265"/>
    <w:rsid w:val="23953F30"/>
    <w:rsid w:val="23C60DB1"/>
    <w:rsid w:val="24014A7E"/>
    <w:rsid w:val="242E6DA3"/>
    <w:rsid w:val="244A3259"/>
    <w:rsid w:val="248A04DA"/>
    <w:rsid w:val="249B18B0"/>
    <w:rsid w:val="24A01083"/>
    <w:rsid w:val="251C40FD"/>
    <w:rsid w:val="255B464C"/>
    <w:rsid w:val="2599421B"/>
    <w:rsid w:val="259A6013"/>
    <w:rsid w:val="25C36206"/>
    <w:rsid w:val="25C415B4"/>
    <w:rsid w:val="25CF0964"/>
    <w:rsid w:val="266212C9"/>
    <w:rsid w:val="26681265"/>
    <w:rsid w:val="267216A6"/>
    <w:rsid w:val="268A54A0"/>
    <w:rsid w:val="26EC4D13"/>
    <w:rsid w:val="275B55FC"/>
    <w:rsid w:val="277D7F11"/>
    <w:rsid w:val="2788120C"/>
    <w:rsid w:val="27990808"/>
    <w:rsid w:val="27C3087F"/>
    <w:rsid w:val="27EC4574"/>
    <w:rsid w:val="27F85CF3"/>
    <w:rsid w:val="27FF7DCC"/>
    <w:rsid w:val="28517E35"/>
    <w:rsid w:val="28641A74"/>
    <w:rsid w:val="28726B5D"/>
    <w:rsid w:val="28CB1572"/>
    <w:rsid w:val="28D650C5"/>
    <w:rsid w:val="28DF65D5"/>
    <w:rsid w:val="2905187B"/>
    <w:rsid w:val="2916166F"/>
    <w:rsid w:val="29206D4D"/>
    <w:rsid w:val="296233E0"/>
    <w:rsid w:val="2A557F42"/>
    <w:rsid w:val="2AB16674"/>
    <w:rsid w:val="2AE66435"/>
    <w:rsid w:val="2AED67D2"/>
    <w:rsid w:val="2AF823B3"/>
    <w:rsid w:val="2BD12B7F"/>
    <w:rsid w:val="2BD8582D"/>
    <w:rsid w:val="2BFA0DD4"/>
    <w:rsid w:val="2C2D227C"/>
    <w:rsid w:val="2C313102"/>
    <w:rsid w:val="2C3F6807"/>
    <w:rsid w:val="2C51080E"/>
    <w:rsid w:val="2C5C3BFC"/>
    <w:rsid w:val="2CA62225"/>
    <w:rsid w:val="2D1918AB"/>
    <w:rsid w:val="2D371BB4"/>
    <w:rsid w:val="2D7E3DCF"/>
    <w:rsid w:val="2D872B46"/>
    <w:rsid w:val="2D957B84"/>
    <w:rsid w:val="2E0D09D8"/>
    <w:rsid w:val="2E210A74"/>
    <w:rsid w:val="2E2A5B6E"/>
    <w:rsid w:val="2E357BF8"/>
    <w:rsid w:val="2E790EED"/>
    <w:rsid w:val="2EBC43F5"/>
    <w:rsid w:val="2EFA41FC"/>
    <w:rsid w:val="2F1240BD"/>
    <w:rsid w:val="2F30310C"/>
    <w:rsid w:val="2F537924"/>
    <w:rsid w:val="2F5A437F"/>
    <w:rsid w:val="2F831BB4"/>
    <w:rsid w:val="2F9C11F0"/>
    <w:rsid w:val="2FAF3C9D"/>
    <w:rsid w:val="2FED0785"/>
    <w:rsid w:val="30212CA3"/>
    <w:rsid w:val="3022036E"/>
    <w:rsid w:val="30C27C43"/>
    <w:rsid w:val="30D71FE2"/>
    <w:rsid w:val="30DA0540"/>
    <w:rsid w:val="311F4416"/>
    <w:rsid w:val="31457194"/>
    <w:rsid w:val="314F328B"/>
    <w:rsid w:val="315C441B"/>
    <w:rsid w:val="31765E9D"/>
    <w:rsid w:val="31AA389A"/>
    <w:rsid w:val="323079BF"/>
    <w:rsid w:val="326E419C"/>
    <w:rsid w:val="329C2B7B"/>
    <w:rsid w:val="32D26968"/>
    <w:rsid w:val="33407827"/>
    <w:rsid w:val="334D4579"/>
    <w:rsid w:val="3362129B"/>
    <w:rsid w:val="33745E51"/>
    <w:rsid w:val="337A4AB6"/>
    <w:rsid w:val="33CE2E36"/>
    <w:rsid w:val="340D419D"/>
    <w:rsid w:val="34203C9D"/>
    <w:rsid w:val="34496301"/>
    <w:rsid w:val="34895455"/>
    <w:rsid w:val="34ED076D"/>
    <w:rsid w:val="34F64955"/>
    <w:rsid w:val="35233288"/>
    <w:rsid w:val="352578D1"/>
    <w:rsid w:val="356912A3"/>
    <w:rsid w:val="3591057C"/>
    <w:rsid w:val="35BD1D77"/>
    <w:rsid w:val="35DE52DA"/>
    <w:rsid w:val="36080324"/>
    <w:rsid w:val="361D123A"/>
    <w:rsid w:val="363716FB"/>
    <w:rsid w:val="364E1DFF"/>
    <w:rsid w:val="36835766"/>
    <w:rsid w:val="3684120B"/>
    <w:rsid w:val="36C33283"/>
    <w:rsid w:val="37503E89"/>
    <w:rsid w:val="38067813"/>
    <w:rsid w:val="384A7865"/>
    <w:rsid w:val="3860346F"/>
    <w:rsid w:val="387831E3"/>
    <w:rsid w:val="387C43BA"/>
    <w:rsid w:val="38CF380C"/>
    <w:rsid w:val="39015E2A"/>
    <w:rsid w:val="39462F35"/>
    <w:rsid w:val="39843059"/>
    <w:rsid w:val="399A1F56"/>
    <w:rsid w:val="39F6671F"/>
    <w:rsid w:val="3A6E1147"/>
    <w:rsid w:val="3AA25FC8"/>
    <w:rsid w:val="3AA824B4"/>
    <w:rsid w:val="3AC34340"/>
    <w:rsid w:val="3B0112A8"/>
    <w:rsid w:val="3B0D19F4"/>
    <w:rsid w:val="3B2B0CBD"/>
    <w:rsid w:val="3B9C04F4"/>
    <w:rsid w:val="3BB10440"/>
    <w:rsid w:val="3BE97016"/>
    <w:rsid w:val="3C952251"/>
    <w:rsid w:val="3D294900"/>
    <w:rsid w:val="3D6F428C"/>
    <w:rsid w:val="3D7F7895"/>
    <w:rsid w:val="3DE954A3"/>
    <w:rsid w:val="3E120330"/>
    <w:rsid w:val="3E242199"/>
    <w:rsid w:val="3E352007"/>
    <w:rsid w:val="3E497F50"/>
    <w:rsid w:val="3E540219"/>
    <w:rsid w:val="3E8F5DD2"/>
    <w:rsid w:val="3EA177D5"/>
    <w:rsid w:val="3EB70D9C"/>
    <w:rsid w:val="3ED273F6"/>
    <w:rsid w:val="3EDD1207"/>
    <w:rsid w:val="3EF75CE8"/>
    <w:rsid w:val="3EFB42EC"/>
    <w:rsid w:val="3EFC490B"/>
    <w:rsid w:val="3F0F1D14"/>
    <w:rsid w:val="3F211450"/>
    <w:rsid w:val="3F23643C"/>
    <w:rsid w:val="3F7D6D07"/>
    <w:rsid w:val="3F867DAD"/>
    <w:rsid w:val="3FE4145F"/>
    <w:rsid w:val="4006797F"/>
    <w:rsid w:val="405A40DF"/>
    <w:rsid w:val="410353E0"/>
    <w:rsid w:val="41337306"/>
    <w:rsid w:val="415142D8"/>
    <w:rsid w:val="416A63BB"/>
    <w:rsid w:val="419465B8"/>
    <w:rsid w:val="41953F3D"/>
    <w:rsid w:val="41E01C27"/>
    <w:rsid w:val="423858E2"/>
    <w:rsid w:val="42405C2A"/>
    <w:rsid w:val="425310C0"/>
    <w:rsid w:val="425A21D3"/>
    <w:rsid w:val="428F2EF7"/>
    <w:rsid w:val="42C32514"/>
    <w:rsid w:val="430B432A"/>
    <w:rsid w:val="43962D2C"/>
    <w:rsid w:val="439B6068"/>
    <w:rsid w:val="440A5F1D"/>
    <w:rsid w:val="44507BDD"/>
    <w:rsid w:val="447514E8"/>
    <w:rsid w:val="44AE682A"/>
    <w:rsid w:val="44BF4C77"/>
    <w:rsid w:val="44D06793"/>
    <w:rsid w:val="44DC2EF3"/>
    <w:rsid w:val="44E84C18"/>
    <w:rsid w:val="453B25A6"/>
    <w:rsid w:val="45AC7E30"/>
    <w:rsid w:val="45B12C7C"/>
    <w:rsid w:val="45E560B6"/>
    <w:rsid w:val="460271AC"/>
    <w:rsid w:val="460D505D"/>
    <w:rsid w:val="462A0BD8"/>
    <w:rsid w:val="462A17D3"/>
    <w:rsid w:val="463206AD"/>
    <w:rsid w:val="46560982"/>
    <w:rsid w:val="46CF4301"/>
    <w:rsid w:val="46EF6757"/>
    <w:rsid w:val="47132F05"/>
    <w:rsid w:val="47403CEC"/>
    <w:rsid w:val="477E6905"/>
    <w:rsid w:val="479F05D3"/>
    <w:rsid w:val="47A90EEA"/>
    <w:rsid w:val="47E37ADF"/>
    <w:rsid w:val="48251CF9"/>
    <w:rsid w:val="48456C6D"/>
    <w:rsid w:val="488B534D"/>
    <w:rsid w:val="490177EE"/>
    <w:rsid w:val="4907666A"/>
    <w:rsid w:val="490B7571"/>
    <w:rsid w:val="49620B9D"/>
    <w:rsid w:val="49904648"/>
    <w:rsid w:val="4A682EF1"/>
    <w:rsid w:val="4A6E2D49"/>
    <w:rsid w:val="4A7E6723"/>
    <w:rsid w:val="4A8D68C4"/>
    <w:rsid w:val="4A981A8C"/>
    <w:rsid w:val="4AF5514B"/>
    <w:rsid w:val="4B10799F"/>
    <w:rsid w:val="4B143C90"/>
    <w:rsid w:val="4B2950B4"/>
    <w:rsid w:val="4B7176CB"/>
    <w:rsid w:val="4B785515"/>
    <w:rsid w:val="4D192F79"/>
    <w:rsid w:val="4D2126D6"/>
    <w:rsid w:val="4DA62970"/>
    <w:rsid w:val="4DB54CD8"/>
    <w:rsid w:val="4DCA1939"/>
    <w:rsid w:val="4DF1552A"/>
    <w:rsid w:val="4DF15C42"/>
    <w:rsid w:val="4DF31101"/>
    <w:rsid w:val="4E1306B7"/>
    <w:rsid w:val="4E3D5642"/>
    <w:rsid w:val="4E814471"/>
    <w:rsid w:val="4E915D12"/>
    <w:rsid w:val="4F002654"/>
    <w:rsid w:val="4F232152"/>
    <w:rsid w:val="4F5608B6"/>
    <w:rsid w:val="4F67687C"/>
    <w:rsid w:val="4FBE58E5"/>
    <w:rsid w:val="4FBE650E"/>
    <w:rsid w:val="50312DAA"/>
    <w:rsid w:val="505C6325"/>
    <w:rsid w:val="510678AA"/>
    <w:rsid w:val="51227149"/>
    <w:rsid w:val="514C170F"/>
    <w:rsid w:val="516A4D1D"/>
    <w:rsid w:val="51D7708A"/>
    <w:rsid w:val="51F15899"/>
    <w:rsid w:val="522A2F56"/>
    <w:rsid w:val="52427D9C"/>
    <w:rsid w:val="5245699D"/>
    <w:rsid w:val="5269779D"/>
    <w:rsid w:val="5276485A"/>
    <w:rsid w:val="528C2444"/>
    <w:rsid w:val="528E476F"/>
    <w:rsid w:val="52AB5C68"/>
    <w:rsid w:val="52B250AF"/>
    <w:rsid w:val="52BA7D68"/>
    <w:rsid w:val="52E53CDC"/>
    <w:rsid w:val="52FE3921"/>
    <w:rsid w:val="53014BA1"/>
    <w:rsid w:val="53447C70"/>
    <w:rsid w:val="534B5103"/>
    <w:rsid w:val="535A2047"/>
    <w:rsid w:val="53BA6602"/>
    <w:rsid w:val="542238F8"/>
    <w:rsid w:val="5458795D"/>
    <w:rsid w:val="549513CC"/>
    <w:rsid w:val="549E10E0"/>
    <w:rsid w:val="54E851B0"/>
    <w:rsid w:val="551E25D8"/>
    <w:rsid w:val="552E548C"/>
    <w:rsid w:val="5570748C"/>
    <w:rsid w:val="55DA3364"/>
    <w:rsid w:val="55DA3FB7"/>
    <w:rsid w:val="561515EA"/>
    <w:rsid w:val="56170373"/>
    <w:rsid w:val="56330DFC"/>
    <w:rsid w:val="5654635A"/>
    <w:rsid w:val="565826AA"/>
    <w:rsid w:val="56B36B92"/>
    <w:rsid w:val="56C30A05"/>
    <w:rsid w:val="56D15578"/>
    <w:rsid w:val="56F95FA8"/>
    <w:rsid w:val="57066CEF"/>
    <w:rsid w:val="575F7D11"/>
    <w:rsid w:val="57D73358"/>
    <w:rsid w:val="57E770BE"/>
    <w:rsid w:val="58853CB5"/>
    <w:rsid w:val="58B27E3E"/>
    <w:rsid w:val="58D13385"/>
    <w:rsid w:val="58D66773"/>
    <w:rsid w:val="58EE246F"/>
    <w:rsid w:val="59060148"/>
    <w:rsid w:val="592B119F"/>
    <w:rsid w:val="59363A74"/>
    <w:rsid w:val="593F4246"/>
    <w:rsid w:val="59887DFB"/>
    <w:rsid w:val="59F51BCA"/>
    <w:rsid w:val="5A48613D"/>
    <w:rsid w:val="5A5855EA"/>
    <w:rsid w:val="5A9E354E"/>
    <w:rsid w:val="5AA8377F"/>
    <w:rsid w:val="5B552C16"/>
    <w:rsid w:val="5B9B2DB1"/>
    <w:rsid w:val="5BCD2554"/>
    <w:rsid w:val="5C6E1CF0"/>
    <w:rsid w:val="5CA06DB7"/>
    <w:rsid w:val="5CB73415"/>
    <w:rsid w:val="5D2B16DE"/>
    <w:rsid w:val="5D60079B"/>
    <w:rsid w:val="5D7438D0"/>
    <w:rsid w:val="5DB4289A"/>
    <w:rsid w:val="5DC01B0A"/>
    <w:rsid w:val="5E0D087D"/>
    <w:rsid w:val="5E2F21EE"/>
    <w:rsid w:val="5E9A355E"/>
    <w:rsid w:val="5EAA4EF5"/>
    <w:rsid w:val="5EF0478D"/>
    <w:rsid w:val="5F431A54"/>
    <w:rsid w:val="5F540FB6"/>
    <w:rsid w:val="60210977"/>
    <w:rsid w:val="60436228"/>
    <w:rsid w:val="607D4437"/>
    <w:rsid w:val="608566F0"/>
    <w:rsid w:val="609B30E0"/>
    <w:rsid w:val="60C50868"/>
    <w:rsid w:val="610214A7"/>
    <w:rsid w:val="6182766D"/>
    <w:rsid w:val="61D14789"/>
    <w:rsid w:val="620825A0"/>
    <w:rsid w:val="622020FD"/>
    <w:rsid w:val="623936FD"/>
    <w:rsid w:val="623E6F7E"/>
    <w:rsid w:val="627B5AC3"/>
    <w:rsid w:val="62DA6980"/>
    <w:rsid w:val="63A25809"/>
    <w:rsid w:val="63C3179C"/>
    <w:rsid w:val="63D24D1C"/>
    <w:rsid w:val="640B1F43"/>
    <w:rsid w:val="6411643E"/>
    <w:rsid w:val="641A074C"/>
    <w:rsid w:val="64255857"/>
    <w:rsid w:val="64425A51"/>
    <w:rsid w:val="64751E48"/>
    <w:rsid w:val="647C62C3"/>
    <w:rsid w:val="6493187B"/>
    <w:rsid w:val="649A1EBD"/>
    <w:rsid w:val="64A903FF"/>
    <w:rsid w:val="64C92347"/>
    <w:rsid w:val="64D26547"/>
    <w:rsid w:val="64D54F6D"/>
    <w:rsid w:val="64FF3E64"/>
    <w:rsid w:val="65115002"/>
    <w:rsid w:val="651A2E5A"/>
    <w:rsid w:val="651A5A67"/>
    <w:rsid w:val="65323994"/>
    <w:rsid w:val="65823E5A"/>
    <w:rsid w:val="658360B3"/>
    <w:rsid w:val="661E50AB"/>
    <w:rsid w:val="6693509F"/>
    <w:rsid w:val="66BC3951"/>
    <w:rsid w:val="67121185"/>
    <w:rsid w:val="676A6CFF"/>
    <w:rsid w:val="67F2552B"/>
    <w:rsid w:val="68261B39"/>
    <w:rsid w:val="682923D0"/>
    <w:rsid w:val="685050B7"/>
    <w:rsid w:val="6855780A"/>
    <w:rsid w:val="689449B6"/>
    <w:rsid w:val="68A2226C"/>
    <w:rsid w:val="68B66BD8"/>
    <w:rsid w:val="69C406F9"/>
    <w:rsid w:val="69DB4ED2"/>
    <w:rsid w:val="6A0A27B7"/>
    <w:rsid w:val="6A364871"/>
    <w:rsid w:val="6A3B5005"/>
    <w:rsid w:val="6A404207"/>
    <w:rsid w:val="6A434D96"/>
    <w:rsid w:val="6A7E6CFE"/>
    <w:rsid w:val="6AB366E8"/>
    <w:rsid w:val="6AC40851"/>
    <w:rsid w:val="6AE406A9"/>
    <w:rsid w:val="6AEF5043"/>
    <w:rsid w:val="6B3628BE"/>
    <w:rsid w:val="6B5C42AC"/>
    <w:rsid w:val="6B80239C"/>
    <w:rsid w:val="6B873004"/>
    <w:rsid w:val="6BB71444"/>
    <w:rsid w:val="6BFC4034"/>
    <w:rsid w:val="6C0206A2"/>
    <w:rsid w:val="6C8F335E"/>
    <w:rsid w:val="6C9F6852"/>
    <w:rsid w:val="6DB07CF9"/>
    <w:rsid w:val="6DB66549"/>
    <w:rsid w:val="6DEF10EB"/>
    <w:rsid w:val="6E587261"/>
    <w:rsid w:val="6E7A20C3"/>
    <w:rsid w:val="6EC238E6"/>
    <w:rsid w:val="6EEF4715"/>
    <w:rsid w:val="6EFA4447"/>
    <w:rsid w:val="6F7E17C8"/>
    <w:rsid w:val="6FE233A5"/>
    <w:rsid w:val="70213F0B"/>
    <w:rsid w:val="707B2D6B"/>
    <w:rsid w:val="70D252FE"/>
    <w:rsid w:val="71053F3D"/>
    <w:rsid w:val="71381EF7"/>
    <w:rsid w:val="7148250B"/>
    <w:rsid w:val="71DF48FD"/>
    <w:rsid w:val="720445AE"/>
    <w:rsid w:val="723F7FBC"/>
    <w:rsid w:val="728051E3"/>
    <w:rsid w:val="728D5B81"/>
    <w:rsid w:val="72A83AD7"/>
    <w:rsid w:val="72B362FE"/>
    <w:rsid w:val="72B65676"/>
    <w:rsid w:val="73A5137B"/>
    <w:rsid w:val="74084E9E"/>
    <w:rsid w:val="740D54B0"/>
    <w:rsid w:val="748C6A28"/>
    <w:rsid w:val="749D2708"/>
    <w:rsid w:val="74A0129A"/>
    <w:rsid w:val="74BA7688"/>
    <w:rsid w:val="74C10532"/>
    <w:rsid w:val="74E6247C"/>
    <w:rsid w:val="75092655"/>
    <w:rsid w:val="750A15FB"/>
    <w:rsid w:val="756C0E28"/>
    <w:rsid w:val="75A3139E"/>
    <w:rsid w:val="760C31AA"/>
    <w:rsid w:val="761676A3"/>
    <w:rsid w:val="76241228"/>
    <w:rsid w:val="76375D4D"/>
    <w:rsid w:val="768B268F"/>
    <w:rsid w:val="76BA1DCF"/>
    <w:rsid w:val="770A34EC"/>
    <w:rsid w:val="7745779A"/>
    <w:rsid w:val="775A7979"/>
    <w:rsid w:val="77C92F9D"/>
    <w:rsid w:val="77D341B1"/>
    <w:rsid w:val="78020DDC"/>
    <w:rsid w:val="785D1B05"/>
    <w:rsid w:val="786F5FC5"/>
    <w:rsid w:val="789425DF"/>
    <w:rsid w:val="789E3F1B"/>
    <w:rsid w:val="78D45EC3"/>
    <w:rsid w:val="79213DDC"/>
    <w:rsid w:val="79854287"/>
    <w:rsid w:val="79BD29CE"/>
    <w:rsid w:val="79BD75C9"/>
    <w:rsid w:val="79C41244"/>
    <w:rsid w:val="79D26081"/>
    <w:rsid w:val="79D30FDE"/>
    <w:rsid w:val="79D462FD"/>
    <w:rsid w:val="79F13D29"/>
    <w:rsid w:val="7A025FF7"/>
    <w:rsid w:val="7A2C099D"/>
    <w:rsid w:val="7A402AE4"/>
    <w:rsid w:val="7A617603"/>
    <w:rsid w:val="7A9E7007"/>
    <w:rsid w:val="7B120ABD"/>
    <w:rsid w:val="7B4D7449"/>
    <w:rsid w:val="7B7967CA"/>
    <w:rsid w:val="7BD00448"/>
    <w:rsid w:val="7BEE37B3"/>
    <w:rsid w:val="7C036FDB"/>
    <w:rsid w:val="7C591DB6"/>
    <w:rsid w:val="7C5A2BF7"/>
    <w:rsid w:val="7CEB43E6"/>
    <w:rsid w:val="7D440E26"/>
    <w:rsid w:val="7D61510A"/>
    <w:rsid w:val="7DC7583B"/>
    <w:rsid w:val="7E5B1C2B"/>
    <w:rsid w:val="7E81051E"/>
    <w:rsid w:val="7EAA484F"/>
    <w:rsid w:val="7EB355D5"/>
    <w:rsid w:val="7EDD12B2"/>
    <w:rsid w:val="7EE51635"/>
    <w:rsid w:val="7F0E537C"/>
    <w:rsid w:val="7F395DA9"/>
    <w:rsid w:val="7F4D10F6"/>
    <w:rsid w:val="7F7D39E9"/>
    <w:rsid w:val="7F9A66B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endarrow="block"/>
    </o:shapedefaults>
    <o:shapelayout v:ext="edit">
      <o:idmap v:ext="edit" data="2,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qFormat="1" w:unhideWhenUsed="0" w:uiPriority="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8"/>
    <w:qFormat/>
    <w:uiPriority w:val="0"/>
    <w:pPr>
      <w:keepNext/>
      <w:keepLines/>
      <w:spacing w:before="120" w:after="120" w:line="360" w:lineRule="auto"/>
      <w:outlineLvl w:val="1"/>
    </w:pPr>
    <w:rPr>
      <w:rFonts w:ascii="黑体" w:hAnsi="宋体" w:eastAsia="黑体"/>
      <w:sz w:val="30"/>
      <w:szCs w:val="32"/>
    </w:rPr>
  </w:style>
  <w:style w:type="paragraph" w:styleId="5">
    <w:name w:val="heading 3"/>
    <w:basedOn w:val="1"/>
    <w:next w:val="6"/>
    <w:link w:val="79"/>
    <w:qFormat/>
    <w:uiPriority w:val="0"/>
    <w:pPr>
      <w:keepNext/>
      <w:keepLines/>
      <w:spacing w:line="300" w:lineRule="auto"/>
      <w:outlineLvl w:val="2"/>
    </w:pPr>
    <w:rPr>
      <w:color w:val="000000"/>
      <w:sz w:val="24"/>
    </w:rPr>
  </w:style>
  <w:style w:type="paragraph" w:styleId="7">
    <w:name w:val="heading 4"/>
    <w:basedOn w:val="1"/>
    <w:next w:val="1"/>
    <w:qFormat/>
    <w:uiPriority w:val="0"/>
    <w:pPr>
      <w:keepNext/>
      <w:keepLines/>
      <w:spacing w:line="300" w:lineRule="auto"/>
      <w:outlineLvl w:val="3"/>
    </w:pPr>
    <w:rPr>
      <w:sz w:val="24"/>
      <w:szCs w:val="20"/>
    </w:rPr>
  </w:style>
  <w:style w:type="paragraph" w:styleId="8">
    <w:name w:val="heading 5"/>
    <w:basedOn w:val="1"/>
    <w:next w:val="1"/>
    <w:qFormat/>
    <w:uiPriority w:val="0"/>
    <w:pPr>
      <w:keepNext/>
      <w:keepLines/>
      <w:numPr>
        <w:ilvl w:val="4"/>
        <w:numId w:val="1"/>
      </w:numPr>
      <w:tabs>
        <w:tab w:val="left" w:pos="2160"/>
        <w:tab w:val="clear" w:pos="1008"/>
      </w:tabs>
      <w:spacing w:before="280" w:after="290" w:line="376" w:lineRule="auto"/>
      <w:outlineLvl w:val="4"/>
    </w:pPr>
    <w:rPr>
      <w:b/>
      <w:sz w:val="28"/>
      <w:szCs w:val="20"/>
    </w:rPr>
  </w:style>
  <w:style w:type="paragraph" w:styleId="9">
    <w:name w:val="heading 6"/>
    <w:basedOn w:val="1"/>
    <w:next w:val="1"/>
    <w:qFormat/>
    <w:uiPriority w:val="0"/>
    <w:pPr>
      <w:keepNext/>
      <w:keepLines/>
      <w:numPr>
        <w:ilvl w:val="5"/>
        <w:numId w:val="1"/>
      </w:numPr>
      <w:tabs>
        <w:tab w:val="left" w:pos="2160"/>
        <w:tab w:val="clear" w:pos="1152"/>
      </w:tabs>
      <w:spacing w:before="240" w:after="64" w:line="320" w:lineRule="auto"/>
      <w:outlineLvl w:val="5"/>
    </w:pPr>
    <w:rPr>
      <w:rFonts w:ascii="Arial" w:hAnsi="Arial" w:eastAsia="黑体"/>
      <w:b/>
      <w:sz w:val="24"/>
      <w:szCs w:val="20"/>
    </w:rPr>
  </w:style>
  <w:style w:type="paragraph" w:styleId="10">
    <w:name w:val="heading 7"/>
    <w:basedOn w:val="1"/>
    <w:next w:val="1"/>
    <w:qFormat/>
    <w:uiPriority w:val="0"/>
    <w:pPr>
      <w:keepNext/>
      <w:keepLines/>
      <w:numPr>
        <w:ilvl w:val="6"/>
        <w:numId w:val="1"/>
      </w:numPr>
      <w:spacing w:before="240" w:after="64" w:line="320" w:lineRule="auto"/>
      <w:outlineLvl w:val="6"/>
    </w:pPr>
    <w:rPr>
      <w:b/>
      <w:sz w:val="24"/>
      <w:szCs w:val="20"/>
    </w:rPr>
  </w:style>
  <w:style w:type="paragraph" w:styleId="11">
    <w:name w:val="heading 8"/>
    <w:basedOn w:val="1"/>
    <w:next w:val="1"/>
    <w:qFormat/>
    <w:uiPriority w:val="0"/>
    <w:pPr>
      <w:keepNext/>
      <w:keepLines/>
      <w:numPr>
        <w:ilvl w:val="7"/>
        <w:numId w:val="1"/>
      </w:numPr>
      <w:spacing w:before="240" w:after="64" w:line="320" w:lineRule="auto"/>
      <w:outlineLvl w:val="7"/>
    </w:pPr>
    <w:rPr>
      <w:rFonts w:ascii="Arial" w:hAnsi="Arial" w:eastAsia="黑体"/>
      <w:sz w:val="24"/>
      <w:szCs w:val="20"/>
    </w:rPr>
  </w:style>
  <w:style w:type="paragraph" w:styleId="12">
    <w:name w:val="heading 9"/>
    <w:basedOn w:val="1"/>
    <w:next w:val="1"/>
    <w:qFormat/>
    <w:uiPriority w:val="0"/>
    <w:pPr>
      <w:keepNext/>
      <w:keepLines/>
      <w:numPr>
        <w:ilvl w:val="8"/>
        <w:numId w:val="2"/>
      </w:numPr>
      <w:tabs>
        <w:tab w:val="left" w:pos="0"/>
      </w:tabs>
      <w:adjustRightInd w:val="0"/>
      <w:spacing w:before="240" w:after="64" w:line="320" w:lineRule="atLeast"/>
      <w:jc w:val="left"/>
      <w:textAlignment w:val="baseline"/>
      <w:outlineLvl w:val="8"/>
    </w:pPr>
    <w:rPr>
      <w:rFonts w:ascii="Arial" w:hAnsi="Arial" w:eastAsia="黑体"/>
      <w:spacing w:val="20"/>
      <w:kern w:val="0"/>
      <w:sz w:val="24"/>
      <w:szCs w:val="20"/>
    </w:rPr>
  </w:style>
  <w:style w:type="character" w:default="1" w:styleId="60">
    <w:name w:val="Default Paragraph Font"/>
    <w:semiHidden/>
    <w:qFormat/>
    <w:uiPriority w:val="0"/>
  </w:style>
  <w:style w:type="table" w:default="1" w:styleId="58">
    <w:name w:val="Normal Table"/>
    <w:semiHidden/>
    <w:qFormat/>
    <w:uiPriority w:val="0"/>
    <w:tblPr>
      <w:tblCellMar>
        <w:top w:w="0" w:type="dxa"/>
        <w:left w:w="108" w:type="dxa"/>
        <w:bottom w:w="0" w:type="dxa"/>
        <w:right w:w="108" w:type="dxa"/>
      </w:tblCellMar>
    </w:tblPr>
  </w:style>
  <w:style w:type="paragraph" w:styleId="2">
    <w:name w:val="Body Text First Indent"/>
    <w:basedOn w:val="1"/>
    <w:next w:val="1"/>
    <w:qFormat/>
    <w:uiPriority w:val="0"/>
    <w:pPr>
      <w:adjustRightInd w:val="0"/>
      <w:spacing w:line="500" w:lineRule="exact"/>
      <w:ind w:firstLine="567"/>
      <w:jc w:val="both"/>
      <w:textAlignment w:val="baseline"/>
    </w:pPr>
    <w:rPr>
      <w:kern w:val="0"/>
      <w:sz w:val="28"/>
      <w:szCs w:val="20"/>
    </w:rPr>
  </w:style>
  <w:style w:type="paragraph" w:customStyle="1" w:styleId="6">
    <w:name w:val="报告书正文"/>
    <w:basedOn w:val="2"/>
    <w:link w:val="80"/>
    <w:qFormat/>
    <w:uiPriority w:val="0"/>
    <w:pPr>
      <w:spacing w:line="300" w:lineRule="auto"/>
      <w:ind w:firstLine="200" w:firstLineChars="200"/>
    </w:pPr>
    <w:rPr>
      <w:sz w:val="24"/>
      <w:szCs w:val="20"/>
    </w:rPr>
  </w:style>
  <w:style w:type="paragraph" w:styleId="13">
    <w:name w:val="toc 7"/>
    <w:basedOn w:val="1"/>
    <w:next w:val="1"/>
    <w:qFormat/>
    <w:uiPriority w:val="39"/>
    <w:pPr>
      <w:ind w:left="1260"/>
      <w:jc w:val="left"/>
    </w:pPr>
    <w:rPr>
      <w:sz w:val="18"/>
      <w:szCs w:val="18"/>
    </w:rPr>
  </w:style>
  <w:style w:type="paragraph" w:styleId="14">
    <w:name w:val="List Number 2"/>
    <w:basedOn w:val="1"/>
    <w:qFormat/>
    <w:uiPriority w:val="0"/>
    <w:pPr>
      <w:widowControl/>
      <w:spacing w:line="300" w:lineRule="auto"/>
      <w:ind w:left="432" w:hanging="432"/>
      <w:jc w:val="left"/>
    </w:pPr>
    <w:rPr>
      <w:kern w:val="0"/>
      <w:sz w:val="24"/>
    </w:rPr>
  </w:style>
  <w:style w:type="paragraph" w:styleId="15">
    <w:name w:val="table of authorities"/>
    <w:basedOn w:val="1"/>
    <w:next w:val="1"/>
    <w:semiHidden/>
    <w:qFormat/>
    <w:uiPriority w:val="0"/>
    <w:pPr>
      <w:ind w:left="420" w:leftChars="200"/>
    </w:pPr>
    <w:rPr>
      <w:rFonts w:cs="宋体"/>
    </w:rPr>
  </w:style>
  <w:style w:type="paragraph" w:styleId="16">
    <w:name w:val="List Bullet 4"/>
    <w:basedOn w:val="1"/>
    <w:qFormat/>
    <w:uiPriority w:val="0"/>
    <w:pPr>
      <w:widowControl/>
      <w:spacing w:line="300" w:lineRule="auto"/>
      <w:ind w:left="432" w:hanging="432"/>
      <w:jc w:val="left"/>
    </w:pPr>
    <w:rPr>
      <w:kern w:val="0"/>
      <w:sz w:val="24"/>
    </w:rPr>
  </w:style>
  <w:style w:type="paragraph" w:styleId="17">
    <w:name w:val="List Number"/>
    <w:basedOn w:val="1"/>
    <w:qFormat/>
    <w:uiPriority w:val="0"/>
    <w:pPr>
      <w:widowControl/>
      <w:spacing w:line="300" w:lineRule="auto"/>
      <w:ind w:left="432" w:hanging="432"/>
      <w:jc w:val="left"/>
    </w:pPr>
    <w:rPr>
      <w:kern w:val="0"/>
      <w:sz w:val="24"/>
    </w:rPr>
  </w:style>
  <w:style w:type="paragraph" w:styleId="18">
    <w:name w:val="Normal Indent"/>
    <w:basedOn w:val="1"/>
    <w:next w:val="7"/>
    <w:link w:val="81"/>
    <w:qFormat/>
    <w:uiPriority w:val="0"/>
    <w:pPr>
      <w:spacing w:line="360" w:lineRule="auto"/>
      <w:ind w:firstLine="200" w:firstLineChars="200"/>
    </w:pPr>
    <w:rPr>
      <w:rFonts w:ascii="Arial" w:hAnsi="Arial"/>
      <w:color w:val="000000"/>
    </w:rPr>
  </w:style>
  <w:style w:type="paragraph" w:styleId="19">
    <w:name w:val="List Bullet"/>
    <w:basedOn w:val="1"/>
    <w:qFormat/>
    <w:uiPriority w:val="0"/>
    <w:pPr>
      <w:widowControl/>
      <w:spacing w:line="300" w:lineRule="auto"/>
      <w:ind w:left="432" w:hanging="432"/>
      <w:jc w:val="left"/>
    </w:pPr>
    <w:rPr>
      <w:kern w:val="0"/>
      <w:sz w:val="24"/>
    </w:rPr>
  </w:style>
  <w:style w:type="paragraph" w:styleId="20">
    <w:name w:val="Document Map"/>
    <w:basedOn w:val="1"/>
    <w:semiHidden/>
    <w:qFormat/>
    <w:uiPriority w:val="0"/>
    <w:pPr>
      <w:shd w:val="clear" w:color="auto" w:fill="000080"/>
    </w:pPr>
  </w:style>
  <w:style w:type="paragraph" w:styleId="21">
    <w:name w:val="annotation text"/>
    <w:basedOn w:val="1"/>
    <w:link w:val="82"/>
    <w:semiHidden/>
    <w:qFormat/>
    <w:uiPriority w:val="0"/>
    <w:pPr>
      <w:spacing w:line="360" w:lineRule="auto"/>
      <w:ind w:firstLine="454"/>
      <w:jc w:val="left"/>
    </w:pPr>
    <w:rPr>
      <w:sz w:val="24"/>
      <w:szCs w:val="20"/>
    </w:rPr>
  </w:style>
  <w:style w:type="paragraph" w:styleId="22">
    <w:name w:val="Body Text 3"/>
    <w:basedOn w:val="1"/>
    <w:qFormat/>
    <w:uiPriority w:val="0"/>
    <w:rPr>
      <w:b/>
      <w:bCs/>
      <w:sz w:val="15"/>
    </w:rPr>
  </w:style>
  <w:style w:type="paragraph" w:styleId="23">
    <w:name w:val="List Bullet 3"/>
    <w:basedOn w:val="1"/>
    <w:qFormat/>
    <w:uiPriority w:val="0"/>
    <w:pPr>
      <w:widowControl/>
      <w:spacing w:line="300" w:lineRule="auto"/>
      <w:ind w:left="432" w:hanging="432"/>
      <w:jc w:val="left"/>
    </w:pPr>
    <w:rPr>
      <w:kern w:val="0"/>
      <w:sz w:val="24"/>
    </w:rPr>
  </w:style>
  <w:style w:type="paragraph" w:styleId="24">
    <w:name w:val="Body Text"/>
    <w:basedOn w:val="1"/>
    <w:next w:val="25"/>
    <w:qFormat/>
    <w:uiPriority w:val="0"/>
    <w:pPr>
      <w:spacing w:line="240" w:lineRule="atLeast"/>
      <w:jc w:val="center"/>
    </w:pPr>
  </w:style>
  <w:style w:type="paragraph" w:styleId="25">
    <w:name w:val="List Bullet 5"/>
    <w:basedOn w:val="1"/>
    <w:qFormat/>
    <w:uiPriority w:val="0"/>
    <w:pPr>
      <w:widowControl/>
      <w:tabs>
        <w:tab w:val="left" w:pos="1125"/>
      </w:tabs>
      <w:spacing w:line="300" w:lineRule="auto"/>
      <w:ind w:left="1125" w:hanging="705"/>
      <w:jc w:val="left"/>
    </w:pPr>
    <w:rPr>
      <w:kern w:val="0"/>
      <w:sz w:val="24"/>
    </w:rPr>
  </w:style>
  <w:style w:type="paragraph" w:styleId="26">
    <w:name w:val="Body Text Indent"/>
    <w:basedOn w:val="1"/>
    <w:qFormat/>
    <w:uiPriority w:val="0"/>
    <w:pPr>
      <w:spacing w:line="460" w:lineRule="exact"/>
      <w:ind w:firstLine="480" w:firstLineChars="200"/>
    </w:pPr>
    <w:rPr>
      <w:rFonts w:ascii="Calibri" w:hAnsi="Calibri" w:eastAsia="宋体"/>
      <w:sz w:val="24"/>
    </w:rPr>
  </w:style>
  <w:style w:type="paragraph" w:styleId="27">
    <w:name w:val="List Number 3"/>
    <w:basedOn w:val="1"/>
    <w:qFormat/>
    <w:uiPriority w:val="0"/>
    <w:pPr>
      <w:widowControl/>
      <w:tabs>
        <w:tab w:val="left" w:pos="360"/>
      </w:tabs>
      <w:spacing w:line="300" w:lineRule="auto"/>
      <w:ind w:left="-264" w:firstLine="264"/>
      <w:jc w:val="left"/>
    </w:pPr>
    <w:rPr>
      <w:kern w:val="0"/>
      <w:sz w:val="24"/>
    </w:rPr>
  </w:style>
  <w:style w:type="paragraph" w:styleId="28">
    <w:name w:val="Block Text"/>
    <w:basedOn w:val="1"/>
    <w:qFormat/>
    <w:uiPriority w:val="0"/>
    <w:pPr>
      <w:spacing w:line="240" w:lineRule="atLeast"/>
      <w:ind w:left="-150" w:right="-56"/>
      <w:jc w:val="center"/>
    </w:pPr>
    <w:rPr>
      <w:rFonts w:ascii="幼圆" w:eastAsia="幼圆"/>
      <w:szCs w:val="20"/>
    </w:rPr>
  </w:style>
  <w:style w:type="paragraph" w:styleId="29">
    <w:name w:val="List Bullet 2"/>
    <w:basedOn w:val="1"/>
    <w:qFormat/>
    <w:uiPriority w:val="0"/>
    <w:pPr>
      <w:widowControl/>
      <w:tabs>
        <w:tab w:val="left" w:pos="432"/>
      </w:tabs>
      <w:spacing w:line="300" w:lineRule="auto"/>
      <w:ind w:left="432" w:hanging="432"/>
      <w:jc w:val="left"/>
    </w:pPr>
    <w:rPr>
      <w:kern w:val="0"/>
      <w:sz w:val="24"/>
    </w:rPr>
  </w:style>
  <w:style w:type="paragraph" w:styleId="30">
    <w:name w:val="toc 5"/>
    <w:basedOn w:val="1"/>
    <w:next w:val="1"/>
    <w:qFormat/>
    <w:uiPriority w:val="39"/>
    <w:pPr>
      <w:ind w:left="840"/>
      <w:jc w:val="left"/>
    </w:pPr>
    <w:rPr>
      <w:sz w:val="18"/>
      <w:szCs w:val="18"/>
    </w:rPr>
  </w:style>
  <w:style w:type="paragraph" w:styleId="31">
    <w:name w:val="toc 3"/>
    <w:basedOn w:val="1"/>
    <w:next w:val="1"/>
    <w:qFormat/>
    <w:uiPriority w:val="39"/>
    <w:pPr>
      <w:ind w:left="420"/>
      <w:jc w:val="left"/>
    </w:pPr>
    <w:rPr>
      <w:i/>
      <w:iCs/>
      <w:sz w:val="20"/>
      <w:szCs w:val="20"/>
    </w:rPr>
  </w:style>
  <w:style w:type="paragraph" w:styleId="32">
    <w:name w:val="Plain Text"/>
    <w:basedOn w:val="1"/>
    <w:link w:val="83"/>
    <w:qFormat/>
    <w:uiPriority w:val="0"/>
    <w:rPr>
      <w:rFonts w:ascii="宋体" w:hAnsi="Courier New" w:cs="Courier New"/>
      <w:szCs w:val="21"/>
    </w:rPr>
  </w:style>
  <w:style w:type="paragraph" w:styleId="33">
    <w:name w:val="List Number 4"/>
    <w:basedOn w:val="1"/>
    <w:qFormat/>
    <w:uiPriority w:val="0"/>
    <w:pPr>
      <w:widowControl/>
      <w:spacing w:line="300" w:lineRule="auto"/>
      <w:ind w:left="432" w:hanging="432"/>
      <w:jc w:val="left"/>
    </w:pPr>
    <w:rPr>
      <w:kern w:val="0"/>
      <w:sz w:val="24"/>
    </w:rPr>
  </w:style>
  <w:style w:type="paragraph" w:styleId="34">
    <w:name w:val="toc 8"/>
    <w:basedOn w:val="1"/>
    <w:next w:val="1"/>
    <w:qFormat/>
    <w:uiPriority w:val="39"/>
    <w:pPr>
      <w:ind w:left="1470"/>
      <w:jc w:val="left"/>
    </w:pPr>
    <w:rPr>
      <w:sz w:val="18"/>
      <w:szCs w:val="18"/>
    </w:rPr>
  </w:style>
  <w:style w:type="paragraph" w:styleId="35">
    <w:name w:val="index 3"/>
    <w:basedOn w:val="1"/>
    <w:next w:val="1"/>
    <w:semiHidden/>
    <w:qFormat/>
    <w:uiPriority w:val="0"/>
    <w:pPr>
      <w:adjustRightInd w:val="0"/>
      <w:snapToGrid w:val="0"/>
      <w:spacing w:line="300" w:lineRule="auto"/>
      <w:ind w:right="-147" w:firstLine="420"/>
      <w:jc w:val="left"/>
    </w:pPr>
    <w:rPr>
      <w:rFonts w:ascii="宋体" w:hAnsi="宋体"/>
      <w:sz w:val="28"/>
      <w:szCs w:val="20"/>
    </w:rPr>
  </w:style>
  <w:style w:type="paragraph" w:styleId="36">
    <w:name w:val="Date"/>
    <w:basedOn w:val="1"/>
    <w:next w:val="1"/>
    <w:link w:val="84"/>
    <w:qFormat/>
    <w:uiPriority w:val="0"/>
    <w:pPr>
      <w:ind w:left="100" w:leftChars="2500"/>
    </w:pPr>
    <w:rPr>
      <w:rFonts w:ascii="宋体" w:hAnsi="宋体"/>
      <w:sz w:val="24"/>
    </w:rPr>
  </w:style>
  <w:style w:type="paragraph" w:styleId="37">
    <w:name w:val="Body Text Indent 2"/>
    <w:basedOn w:val="1"/>
    <w:next w:val="1"/>
    <w:qFormat/>
    <w:uiPriority w:val="0"/>
    <w:pPr>
      <w:spacing w:line="240" w:lineRule="atLeast"/>
      <w:ind w:firstLine="567"/>
    </w:pPr>
  </w:style>
  <w:style w:type="paragraph" w:styleId="38">
    <w:name w:val="Balloon Text"/>
    <w:basedOn w:val="1"/>
    <w:semiHidden/>
    <w:qFormat/>
    <w:uiPriority w:val="0"/>
    <w:rPr>
      <w:sz w:val="18"/>
      <w:szCs w:val="18"/>
    </w:rPr>
  </w:style>
  <w:style w:type="paragraph" w:styleId="39">
    <w:name w:val="footer"/>
    <w:basedOn w:val="1"/>
    <w:qFormat/>
    <w:uiPriority w:val="0"/>
    <w:pPr>
      <w:numPr>
        <w:ilvl w:val="0"/>
        <w:numId w:val="3"/>
      </w:numPr>
      <w:tabs>
        <w:tab w:val="left" w:pos="420"/>
        <w:tab w:val="center" w:pos="4153"/>
        <w:tab w:val="right" w:pos="8306"/>
      </w:tabs>
      <w:snapToGrid w:val="0"/>
    </w:pPr>
    <w:rPr>
      <w:kern w:val="2"/>
      <w:sz w:val="24"/>
      <w:szCs w:val="18"/>
      <w:lang w:val="en-US" w:eastAsia="zh-CN" w:bidi="ar-SA"/>
    </w:rPr>
  </w:style>
  <w:style w:type="paragraph" w:styleId="40">
    <w:name w:val="envelope return"/>
    <w:basedOn w:val="1"/>
    <w:qFormat/>
    <w:uiPriority w:val="0"/>
    <w:pPr>
      <w:snapToGrid w:val="0"/>
    </w:pPr>
    <w:rPr>
      <w:rFonts w:ascii="Arial" w:hAnsi="Arial"/>
    </w:rPr>
  </w:style>
  <w:style w:type="paragraph" w:styleId="41">
    <w:name w:val="header"/>
    <w:basedOn w:val="1"/>
    <w:link w:val="85"/>
    <w:qFormat/>
    <w:uiPriority w:val="0"/>
    <w:pPr>
      <w:pBdr>
        <w:bottom w:val="single" w:color="auto" w:sz="6" w:space="1"/>
      </w:pBdr>
      <w:tabs>
        <w:tab w:val="center" w:pos="4153"/>
        <w:tab w:val="right" w:pos="8306"/>
      </w:tabs>
      <w:snapToGrid w:val="0"/>
      <w:jc w:val="center"/>
    </w:pPr>
    <w:rPr>
      <w:sz w:val="18"/>
      <w:szCs w:val="18"/>
    </w:rPr>
  </w:style>
  <w:style w:type="paragraph" w:styleId="42">
    <w:name w:val="toc 1"/>
    <w:basedOn w:val="1"/>
    <w:next w:val="1"/>
    <w:qFormat/>
    <w:uiPriority w:val="39"/>
    <w:pPr>
      <w:spacing w:before="120" w:after="120"/>
      <w:jc w:val="left"/>
    </w:pPr>
    <w:rPr>
      <w:b/>
      <w:bCs/>
      <w:caps/>
      <w:sz w:val="20"/>
      <w:szCs w:val="20"/>
    </w:rPr>
  </w:style>
  <w:style w:type="paragraph" w:styleId="43">
    <w:name w:val="toc 4"/>
    <w:basedOn w:val="1"/>
    <w:next w:val="1"/>
    <w:qFormat/>
    <w:uiPriority w:val="39"/>
    <w:pPr>
      <w:ind w:left="630"/>
      <w:jc w:val="left"/>
    </w:pPr>
    <w:rPr>
      <w:sz w:val="18"/>
      <w:szCs w:val="18"/>
    </w:rPr>
  </w:style>
  <w:style w:type="paragraph" w:styleId="44">
    <w:name w:val="List Number 5"/>
    <w:basedOn w:val="1"/>
    <w:qFormat/>
    <w:uiPriority w:val="0"/>
    <w:pPr>
      <w:widowControl/>
      <w:spacing w:line="300" w:lineRule="auto"/>
      <w:ind w:left="432" w:hanging="432"/>
      <w:jc w:val="left"/>
    </w:pPr>
    <w:rPr>
      <w:kern w:val="0"/>
      <w:sz w:val="24"/>
    </w:rPr>
  </w:style>
  <w:style w:type="paragraph" w:styleId="45">
    <w:name w:val="List"/>
    <w:basedOn w:val="1"/>
    <w:next w:val="1"/>
    <w:qFormat/>
    <w:uiPriority w:val="0"/>
    <w:pPr>
      <w:snapToGrid w:val="0"/>
      <w:jc w:val="center"/>
    </w:pPr>
    <w:rPr>
      <w:rFonts w:ascii="宋体"/>
      <w:szCs w:val="20"/>
    </w:rPr>
  </w:style>
  <w:style w:type="paragraph" w:styleId="46">
    <w:name w:val="toc 6"/>
    <w:basedOn w:val="1"/>
    <w:next w:val="1"/>
    <w:qFormat/>
    <w:uiPriority w:val="39"/>
    <w:pPr>
      <w:ind w:left="1050"/>
      <w:jc w:val="left"/>
    </w:pPr>
    <w:rPr>
      <w:sz w:val="18"/>
      <w:szCs w:val="18"/>
    </w:rPr>
  </w:style>
  <w:style w:type="paragraph" w:styleId="47">
    <w:name w:val="Body Text Indent 3"/>
    <w:basedOn w:val="1"/>
    <w:link w:val="86"/>
    <w:qFormat/>
    <w:uiPriority w:val="0"/>
    <w:pPr>
      <w:autoSpaceDE w:val="0"/>
      <w:autoSpaceDN w:val="0"/>
      <w:snapToGrid w:val="0"/>
      <w:spacing w:line="312" w:lineRule="auto"/>
      <w:ind w:firstLine="720" w:firstLineChars="240"/>
      <w:jc w:val="left"/>
    </w:pPr>
    <w:rPr>
      <w:rFonts w:eastAsia="Calibri"/>
      <w:kern w:val="0"/>
      <w:sz w:val="30"/>
      <w:szCs w:val="20"/>
    </w:rPr>
  </w:style>
  <w:style w:type="paragraph" w:styleId="48">
    <w:name w:val="toc 2"/>
    <w:basedOn w:val="1"/>
    <w:next w:val="1"/>
    <w:qFormat/>
    <w:uiPriority w:val="39"/>
    <w:pPr>
      <w:ind w:left="210"/>
      <w:jc w:val="left"/>
    </w:pPr>
    <w:rPr>
      <w:smallCaps/>
      <w:sz w:val="20"/>
      <w:szCs w:val="20"/>
    </w:rPr>
  </w:style>
  <w:style w:type="paragraph" w:styleId="49">
    <w:name w:val="toc 9"/>
    <w:basedOn w:val="1"/>
    <w:next w:val="1"/>
    <w:qFormat/>
    <w:uiPriority w:val="39"/>
    <w:pPr>
      <w:ind w:left="1680"/>
      <w:jc w:val="left"/>
    </w:pPr>
    <w:rPr>
      <w:sz w:val="18"/>
      <w:szCs w:val="18"/>
    </w:rPr>
  </w:style>
  <w:style w:type="paragraph" w:styleId="50">
    <w:name w:val="Body Text 2"/>
    <w:basedOn w:val="1"/>
    <w:qFormat/>
    <w:uiPriority w:val="0"/>
    <w:rPr>
      <w:sz w:val="28"/>
    </w:rPr>
  </w:style>
  <w:style w:type="paragraph" w:styleId="51">
    <w:name w:val="Message Header"/>
    <w:basedOn w:val="1"/>
    <w:qFormat/>
    <w:uiPriority w:val="0"/>
    <w:pPr>
      <w:widowControl/>
      <w:overflowPunct w:val="0"/>
      <w:autoSpaceDE w:val="0"/>
      <w:autoSpaceDN w:val="0"/>
      <w:adjustRightInd w:val="0"/>
      <w:ind w:left="1134" w:hanging="1134"/>
      <w:jc w:val="left"/>
      <w:textAlignment w:val="baseline"/>
    </w:pPr>
    <w:rPr>
      <w:rFonts w:ascii="Arial" w:hAnsi="Arial"/>
      <w:kern w:val="0"/>
      <w:sz w:val="24"/>
      <w:szCs w:val="20"/>
      <w:lang w:val="de-DE"/>
    </w:rPr>
  </w:style>
  <w:style w:type="paragraph" w:styleId="52">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53">
    <w:name w:val="Normal (Web)"/>
    <w:basedOn w:val="1"/>
    <w:link w:val="87"/>
    <w:qFormat/>
    <w:uiPriority w:val="99"/>
    <w:pPr>
      <w:widowControl/>
      <w:spacing w:before="100" w:beforeAutospacing="1" w:after="100" w:afterAutospacing="1"/>
      <w:jc w:val="left"/>
    </w:pPr>
    <w:rPr>
      <w:rFonts w:ascii="宋体" w:hAnsi="宋体"/>
      <w:kern w:val="0"/>
    </w:rPr>
  </w:style>
  <w:style w:type="paragraph" w:styleId="54">
    <w:name w:val="index 1"/>
    <w:basedOn w:val="1"/>
    <w:next w:val="1"/>
    <w:semiHidden/>
    <w:qFormat/>
    <w:uiPriority w:val="0"/>
    <w:pPr>
      <w:spacing w:line="120" w:lineRule="atLeast"/>
      <w:jc w:val="left"/>
    </w:pPr>
    <w:rPr>
      <w:rFonts w:eastAsia="楷体_GB2312"/>
      <w:sz w:val="30"/>
      <w:szCs w:val="20"/>
    </w:rPr>
  </w:style>
  <w:style w:type="paragraph" w:styleId="55">
    <w:name w:val="Title"/>
    <w:basedOn w:val="1"/>
    <w:qFormat/>
    <w:uiPriority w:val="0"/>
    <w:pPr>
      <w:spacing w:before="240" w:after="60"/>
      <w:jc w:val="center"/>
      <w:outlineLvl w:val="0"/>
    </w:pPr>
    <w:rPr>
      <w:rFonts w:ascii="Arial" w:hAnsi="Arial" w:cs="Arial"/>
      <w:b/>
      <w:bCs/>
      <w:sz w:val="32"/>
      <w:szCs w:val="32"/>
    </w:rPr>
  </w:style>
  <w:style w:type="paragraph" w:styleId="56">
    <w:name w:val="annotation subject"/>
    <w:basedOn w:val="21"/>
    <w:next w:val="21"/>
    <w:semiHidden/>
    <w:qFormat/>
    <w:uiPriority w:val="0"/>
    <w:rPr>
      <w:b/>
      <w:bCs/>
    </w:rPr>
  </w:style>
  <w:style w:type="paragraph" w:styleId="57">
    <w:name w:val="Body Text First Indent 2"/>
    <w:basedOn w:val="26"/>
    <w:next w:val="1"/>
    <w:qFormat/>
    <w:uiPriority w:val="0"/>
    <w:pPr>
      <w:ind w:firstLine="420" w:firstLineChars="200"/>
    </w:pPr>
    <w:rPr>
      <w:sz w:val="21"/>
    </w:rPr>
  </w:style>
  <w:style w:type="table" w:styleId="59">
    <w:name w:val="Table Grid"/>
    <w:basedOn w:val="5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bCs/>
      <w:color w:val="000000"/>
    </w:rPr>
  </w:style>
  <w:style w:type="character" w:styleId="62">
    <w:name w:val="page number"/>
    <w:basedOn w:val="60"/>
    <w:qFormat/>
    <w:uiPriority w:val="0"/>
    <w:rPr>
      <w:rFonts w:ascii="Times New Roman" w:hAnsi="Times New Roman" w:eastAsia="宋体"/>
      <w:b/>
      <w:sz w:val="18"/>
    </w:rPr>
  </w:style>
  <w:style w:type="character" w:styleId="63">
    <w:name w:val="FollowedHyperlink"/>
    <w:qFormat/>
    <w:uiPriority w:val="0"/>
    <w:rPr>
      <w:color w:val="000000"/>
      <w:u w:val="none"/>
    </w:rPr>
  </w:style>
  <w:style w:type="character" w:styleId="64">
    <w:name w:val="Emphasis"/>
    <w:qFormat/>
    <w:uiPriority w:val="0"/>
    <w:rPr>
      <w:i/>
    </w:rPr>
  </w:style>
  <w:style w:type="character" w:styleId="65">
    <w:name w:val="HTML Definition"/>
    <w:qFormat/>
    <w:uiPriority w:val="0"/>
  </w:style>
  <w:style w:type="character" w:styleId="66">
    <w:name w:val="HTML Typewriter"/>
    <w:qFormat/>
    <w:uiPriority w:val="0"/>
    <w:rPr>
      <w:rFonts w:ascii="黑体" w:hAnsi="Courier New" w:eastAsia="黑体" w:cs="Courier New"/>
      <w:sz w:val="18"/>
      <w:szCs w:val="18"/>
    </w:rPr>
  </w:style>
  <w:style w:type="character" w:styleId="67">
    <w:name w:val="HTML Variable"/>
    <w:qFormat/>
    <w:uiPriority w:val="0"/>
  </w:style>
  <w:style w:type="character" w:styleId="68">
    <w:name w:val="Hyperlink"/>
    <w:qFormat/>
    <w:uiPriority w:val="99"/>
    <w:rPr>
      <w:color w:val="000000"/>
      <w:u w:val="none"/>
    </w:rPr>
  </w:style>
  <w:style w:type="character" w:styleId="69">
    <w:name w:val="HTML Code"/>
    <w:qFormat/>
    <w:uiPriority w:val="0"/>
    <w:rPr>
      <w:rFonts w:ascii="宋体" w:hAnsi="宋体" w:eastAsia="宋体" w:cs="宋体"/>
      <w:sz w:val="24"/>
      <w:szCs w:val="24"/>
    </w:rPr>
  </w:style>
  <w:style w:type="character" w:styleId="70">
    <w:name w:val="annotation reference"/>
    <w:semiHidden/>
    <w:qFormat/>
    <w:uiPriority w:val="0"/>
    <w:rPr>
      <w:sz w:val="21"/>
      <w:szCs w:val="21"/>
    </w:rPr>
  </w:style>
  <w:style w:type="character" w:styleId="71">
    <w:name w:val="HTML Cite"/>
    <w:qFormat/>
    <w:uiPriority w:val="0"/>
  </w:style>
  <w:style w:type="character" w:styleId="72">
    <w:name w:val="footnote reference"/>
    <w:semiHidden/>
    <w:qFormat/>
    <w:uiPriority w:val="0"/>
    <w:rPr>
      <w:vertAlign w:val="superscript"/>
    </w:rPr>
  </w:style>
  <w:style w:type="paragraph" w:customStyle="1" w:styleId="73">
    <w:name w:val="样式 正文文本缩进 + 行距: 1.5 倍行距"/>
    <w:basedOn w:val="26"/>
    <w:qFormat/>
    <w:uiPriority w:val="0"/>
    <w:pPr>
      <w:spacing w:after="120"/>
      <w:ind w:left="90" w:leftChars="32" w:firstLine="560" w:firstLineChars="200"/>
    </w:pPr>
    <w:rPr>
      <w:rFonts w:cs="宋体"/>
    </w:rPr>
  </w:style>
  <w:style w:type="paragraph" w:customStyle="1" w:styleId="74">
    <w:name w:val="样式5"/>
    <w:basedOn w:val="75"/>
    <w:qFormat/>
    <w:uiPriority w:val="0"/>
    <w:pPr>
      <w:keepNext w:val="0"/>
      <w:keepLines w:val="0"/>
      <w:pageBreakBefore/>
      <w:spacing w:before="0" w:after="0" w:line="240" w:lineRule="auto"/>
      <w:jc w:val="center"/>
    </w:pPr>
    <w:rPr>
      <w:rFonts w:eastAsia="黑体"/>
      <w:sz w:val="32"/>
    </w:rPr>
  </w:style>
  <w:style w:type="paragraph" w:customStyle="1" w:styleId="75">
    <w:name w:val="正文1"/>
    <w:basedOn w:val="1"/>
    <w:next w:val="1"/>
    <w:qFormat/>
    <w:uiPriority w:val="0"/>
    <w:pPr>
      <w:spacing w:line="500" w:lineRule="exact"/>
      <w:ind w:firstLine="560"/>
    </w:pPr>
    <w:rPr>
      <w:sz w:val="28"/>
    </w:rPr>
  </w:style>
  <w:style w:type="paragraph" w:customStyle="1" w:styleId="76">
    <w:name w:val="样式 正文11 + 首行缩进:  2 字符"/>
    <w:basedOn w:val="1"/>
    <w:next w:val="77"/>
    <w:unhideWhenUsed/>
    <w:qFormat/>
    <w:uiPriority w:val="0"/>
    <w:pPr>
      <w:spacing w:beforeLines="0" w:afterLines="0" w:line="500" w:lineRule="exact"/>
      <w:ind w:firstLine="560" w:firstLineChars="200"/>
    </w:pPr>
    <w:rPr>
      <w:rFonts w:hint="eastAsia" w:ascii="宋体" w:hAnsi="宋体"/>
      <w:color w:val="FF0000"/>
      <w:sz w:val="28"/>
    </w:rPr>
  </w:style>
  <w:style w:type="paragraph" w:customStyle="1" w:styleId="77">
    <w:name w:val="样式 博士论文标题2 + 段前: 0.2 行 段后: 0.2 行"/>
    <w:basedOn w:val="1"/>
    <w:qFormat/>
    <w:uiPriority w:val="0"/>
    <w:pPr>
      <w:widowControl/>
      <w:spacing w:before="62" w:beforeLines="20" w:after="62" w:afterLines="20" w:line="360" w:lineRule="auto"/>
      <w:jc w:val="left"/>
    </w:pPr>
    <w:rPr>
      <w:rFonts w:ascii="宋体" w:hAnsi="宋体" w:eastAsia="黑体" w:cs="宋体"/>
      <w:kern w:val="0"/>
      <w:sz w:val="28"/>
      <w:szCs w:val="20"/>
    </w:rPr>
  </w:style>
  <w:style w:type="character" w:customStyle="1" w:styleId="78">
    <w:name w:val="标题 2 字符"/>
    <w:link w:val="4"/>
    <w:qFormat/>
    <w:uiPriority w:val="0"/>
    <w:rPr>
      <w:rFonts w:ascii="黑体" w:hAnsi="宋体" w:eastAsia="黑体"/>
      <w:kern w:val="2"/>
      <w:sz w:val="30"/>
      <w:szCs w:val="32"/>
      <w:lang w:val="en-US" w:eastAsia="zh-CN" w:bidi="ar-SA"/>
    </w:rPr>
  </w:style>
  <w:style w:type="character" w:customStyle="1" w:styleId="79">
    <w:name w:val="标题 3 字符"/>
    <w:link w:val="5"/>
    <w:qFormat/>
    <w:uiPriority w:val="0"/>
    <w:rPr>
      <w:rFonts w:eastAsia="宋体"/>
      <w:color w:val="000000"/>
      <w:kern w:val="2"/>
      <w:sz w:val="24"/>
      <w:szCs w:val="24"/>
      <w:lang w:val="en-US" w:eastAsia="zh-CN" w:bidi="ar-SA"/>
    </w:rPr>
  </w:style>
  <w:style w:type="character" w:customStyle="1" w:styleId="80">
    <w:name w:val="报告书正文 Char"/>
    <w:link w:val="6"/>
    <w:qFormat/>
    <w:uiPriority w:val="0"/>
    <w:rPr>
      <w:rFonts w:eastAsia="宋体"/>
      <w:kern w:val="2"/>
      <w:sz w:val="24"/>
      <w:lang w:val="en-US" w:eastAsia="zh-CN" w:bidi="ar-SA"/>
    </w:rPr>
  </w:style>
  <w:style w:type="character" w:customStyle="1" w:styleId="81">
    <w:name w:val="正文缩进 字符"/>
    <w:link w:val="18"/>
    <w:qFormat/>
    <w:uiPriority w:val="0"/>
    <w:rPr>
      <w:rFonts w:ascii="Arial" w:hAnsi="Arial" w:eastAsia="宋体"/>
      <w:color w:val="000000"/>
      <w:kern w:val="2"/>
      <w:sz w:val="24"/>
      <w:szCs w:val="24"/>
      <w:lang w:val="en-US" w:eastAsia="zh-CN" w:bidi="ar-SA"/>
    </w:rPr>
  </w:style>
  <w:style w:type="character" w:customStyle="1" w:styleId="82">
    <w:name w:val="批注文字 字符"/>
    <w:link w:val="21"/>
    <w:qFormat/>
    <w:uiPriority w:val="0"/>
    <w:rPr>
      <w:rFonts w:eastAsia="宋体"/>
      <w:kern w:val="2"/>
      <w:sz w:val="24"/>
      <w:lang w:val="en-US" w:eastAsia="zh-CN" w:bidi="ar-SA"/>
    </w:rPr>
  </w:style>
  <w:style w:type="character" w:customStyle="1" w:styleId="83">
    <w:name w:val="纯文本 字符"/>
    <w:link w:val="32"/>
    <w:qFormat/>
    <w:uiPriority w:val="0"/>
    <w:rPr>
      <w:rFonts w:ascii="宋体" w:hAnsi="Courier New" w:eastAsia="宋体" w:cs="Courier New"/>
      <w:kern w:val="2"/>
      <w:sz w:val="21"/>
      <w:szCs w:val="21"/>
      <w:lang w:val="en-US" w:eastAsia="zh-CN" w:bidi="ar-SA"/>
    </w:rPr>
  </w:style>
  <w:style w:type="character" w:customStyle="1" w:styleId="84">
    <w:name w:val="日期 字符"/>
    <w:link w:val="36"/>
    <w:qFormat/>
    <w:uiPriority w:val="0"/>
    <w:rPr>
      <w:rFonts w:ascii="宋体" w:hAnsi="宋体" w:eastAsia="宋体"/>
      <w:kern w:val="2"/>
      <w:sz w:val="24"/>
      <w:szCs w:val="24"/>
      <w:lang w:val="en-US" w:eastAsia="zh-CN" w:bidi="ar-SA"/>
    </w:rPr>
  </w:style>
  <w:style w:type="character" w:customStyle="1" w:styleId="85">
    <w:name w:val="页眉 字符"/>
    <w:link w:val="41"/>
    <w:qFormat/>
    <w:uiPriority w:val="0"/>
    <w:rPr>
      <w:rFonts w:eastAsia="宋体"/>
      <w:kern w:val="2"/>
      <w:sz w:val="18"/>
      <w:szCs w:val="18"/>
      <w:lang w:val="en-US" w:eastAsia="zh-CN" w:bidi="ar-SA"/>
    </w:rPr>
  </w:style>
  <w:style w:type="character" w:customStyle="1" w:styleId="86">
    <w:name w:val="正文文本缩进 3 字符"/>
    <w:link w:val="47"/>
    <w:qFormat/>
    <w:uiPriority w:val="0"/>
    <w:rPr>
      <w:rFonts w:ascii="Times New Roman" w:hAnsi="Times New Roman" w:eastAsia="Calibri"/>
      <w:sz w:val="30"/>
    </w:rPr>
  </w:style>
  <w:style w:type="character" w:customStyle="1" w:styleId="87">
    <w:name w:val="普通(网站) 字符"/>
    <w:link w:val="53"/>
    <w:qFormat/>
    <w:uiPriority w:val="99"/>
    <w:rPr>
      <w:rFonts w:ascii="宋体" w:hAnsi="宋体"/>
      <w:sz w:val="24"/>
      <w:szCs w:val="24"/>
    </w:rPr>
  </w:style>
  <w:style w:type="paragraph" w:customStyle="1" w:styleId="88">
    <w:name w:val="正文 任"/>
    <w:basedOn w:val="24"/>
    <w:qFormat/>
    <w:uiPriority w:val="0"/>
    <w:pPr>
      <w:adjustRightInd w:val="0"/>
      <w:snapToGrid w:val="0"/>
      <w:spacing w:after="0" w:line="360" w:lineRule="auto"/>
      <w:ind w:firstLine="480" w:firstLineChars="200"/>
    </w:pPr>
    <w:rPr>
      <w:sz w:val="24"/>
    </w:rPr>
  </w:style>
  <w:style w:type="paragraph" w:customStyle="1" w:styleId="89">
    <w:name w:val="li_正文"/>
    <w:basedOn w:val="1"/>
    <w:qFormat/>
    <w:uiPriority w:val="0"/>
    <w:pPr>
      <w:ind w:firstLine="200" w:firstLineChars="200"/>
      <w:jc w:val="left"/>
    </w:pPr>
    <w:rPr>
      <w:sz w:val="28"/>
      <w:szCs w:val="28"/>
    </w:rPr>
  </w:style>
  <w:style w:type="paragraph" w:customStyle="1" w:styleId="90">
    <w:name w:val="Default"/>
    <w:basedOn w:val="91"/>
    <w:next w:val="1"/>
    <w:qFormat/>
    <w:uiPriority w:val="0"/>
    <w:pPr>
      <w:widowControl w:val="0"/>
      <w:autoSpaceDE w:val="0"/>
      <w:autoSpaceDN w:val="0"/>
      <w:adjustRightInd w:val="0"/>
    </w:pPr>
    <w:rPr>
      <w:color w:val="000000"/>
      <w:kern w:val="2"/>
      <w:sz w:val="24"/>
      <w:szCs w:val="24"/>
      <w:lang w:val="en-US" w:eastAsia="zh-CN" w:bidi="ar-SA"/>
    </w:rPr>
  </w:style>
  <w:style w:type="paragraph" w:customStyle="1" w:styleId="91">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2">
    <w:name w:val="表头"/>
    <w:basedOn w:val="93"/>
    <w:next w:val="39"/>
    <w:link w:val="94"/>
    <w:qFormat/>
    <w:uiPriority w:val="0"/>
    <w:pPr>
      <w:tabs>
        <w:tab w:val="center" w:pos="4060"/>
        <w:tab w:val="right" w:pos="8261"/>
      </w:tabs>
      <w:suppressAutoHyphens/>
      <w:adjustRightInd w:val="0"/>
      <w:spacing w:before="240" w:after="120"/>
    </w:pPr>
    <w:rPr>
      <w:rFonts w:ascii="黑体" w:eastAsia="黑体"/>
      <w:kern w:val="0"/>
      <w:sz w:val="24"/>
      <w:szCs w:val="20"/>
    </w:rPr>
  </w:style>
  <w:style w:type="paragraph" w:customStyle="1" w:styleId="93">
    <w:name w:val="内容"/>
    <w:basedOn w:val="1"/>
    <w:qFormat/>
    <w:uiPriority w:val="0"/>
    <w:pPr>
      <w:spacing w:line="360" w:lineRule="auto"/>
      <w:ind w:firstLine="454"/>
    </w:pPr>
    <w:rPr>
      <w:sz w:val="24"/>
    </w:rPr>
  </w:style>
  <w:style w:type="character" w:customStyle="1" w:styleId="94">
    <w:name w:val="表头 Char"/>
    <w:link w:val="92"/>
    <w:qFormat/>
    <w:uiPriority w:val="0"/>
    <w:rPr>
      <w:rFonts w:ascii="黑体" w:eastAsia="黑体"/>
      <w:sz w:val="24"/>
      <w:lang w:val="en-US" w:eastAsia="zh-CN" w:bidi="ar-SA"/>
    </w:rPr>
  </w:style>
  <w:style w:type="character" w:customStyle="1" w:styleId="95">
    <w:name w:val="bt21"/>
    <w:qFormat/>
    <w:uiPriority w:val="0"/>
    <w:rPr>
      <w:rFonts w:hint="eastAsia" w:ascii="黑体" w:eastAsia="黑体"/>
      <w:sz w:val="24"/>
      <w:szCs w:val="24"/>
    </w:rPr>
  </w:style>
  <w:style w:type="character" w:customStyle="1" w:styleId="96">
    <w:name w:val="中 Char"/>
    <w:link w:val="97"/>
    <w:qFormat/>
    <w:uiPriority w:val="0"/>
    <w:rPr>
      <w:rFonts w:ascii="宋体" w:hAnsi="宋体" w:eastAsia="宋体"/>
      <w:color w:val="000000"/>
      <w:kern w:val="2"/>
      <w:sz w:val="18"/>
      <w:szCs w:val="18"/>
      <w:lang w:val="en-US" w:eastAsia="zh-CN" w:bidi="ar-SA"/>
    </w:rPr>
  </w:style>
  <w:style w:type="paragraph" w:customStyle="1" w:styleId="97">
    <w:name w:val="中"/>
    <w:basedOn w:val="1"/>
    <w:link w:val="96"/>
    <w:qFormat/>
    <w:uiPriority w:val="0"/>
    <w:pPr>
      <w:spacing w:line="280" w:lineRule="exact"/>
      <w:jc w:val="center"/>
    </w:pPr>
    <w:rPr>
      <w:rFonts w:ascii="宋体" w:hAnsi="宋体"/>
      <w:color w:val="000000"/>
      <w:sz w:val="18"/>
      <w:szCs w:val="18"/>
    </w:rPr>
  </w:style>
  <w:style w:type="character" w:customStyle="1" w:styleId="98">
    <w:name w:val="表标题 Char"/>
    <w:link w:val="99"/>
    <w:qFormat/>
    <w:uiPriority w:val="0"/>
    <w:rPr>
      <w:rFonts w:ascii="黑体" w:eastAsia="黑体"/>
      <w:color w:val="003300"/>
      <w:sz w:val="21"/>
      <w:szCs w:val="21"/>
      <w:lang w:val="en-US" w:eastAsia="zh-CN" w:bidi="ar-SA"/>
    </w:rPr>
  </w:style>
  <w:style w:type="paragraph" w:customStyle="1" w:styleId="99">
    <w:name w:val="表标题"/>
    <w:basedOn w:val="1"/>
    <w:link w:val="98"/>
    <w:qFormat/>
    <w:uiPriority w:val="0"/>
    <w:pPr>
      <w:spacing w:line="280" w:lineRule="exact"/>
      <w:jc w:val="center"/>
    </w:pPr>
    <w:rPr>
      <w:rFonts w:ascii="黑体" w:eastAsia="黑体"/>
      <w:color w:val="003300"/>
      <w:kern w:val="0"/>
      <w:szCs w:val="21"/>
    </w:rPr>
  </w:style>
  <w:style w:type="character" w:customStyle="1" w:styleId="100">
    <w:name w:val="font11"/>
    <w:qFormat/>
    <w:uiPriority w:val="0"/>
    <w:rPr>
      <w:rFonts w:hint="default" w:ascii="Times New Roman" w:hAnsi="Times New Roman" w:cs="Times New Roman"/>
      <w:color w:val="000000"/>
      <w:sz w:val="18"/>
      <w:szCs w:val="18"/>
      <w:u w:val="none"/>
    </w:rPr>
  </w:style>
  <w:style w:type="character" w:customStyle="1" w:styleId="101">
    <w:name w:val="place"/>
    <w:qFormat/>
    <w:uiPriority w:val="0"/>
  </w:style>
  <w:style w:type="character" w:customStyle="1" w:styleId="102">
    <w:name w:val="font41"/>
    <w:qFormat/>
    <w:uiPriority w:val="0"/>
    <w:rPr>
      <w:rFonts w:hint="default" w:ascii="Arial" w:hAnsi="Arial" w:cs="Arial"/>
      <w:color w:val="FF0000"/>
      <w:sz w:val="22"/>
      <w:szCs w:val="22"/>
      <w:u w:val="none"/>
    </w:rPr>
  </w:style>
  <w:style w:type="character" w:customStyle="1" w:styleId="103">
    <w:name w:val="style11"/>
    <w:qFormat/>
    <w:uiPriority w:val="0"/>
    <w:rPr>
      <w:color w:val="FF0000"/>
    </w:rPr>
  </w:style>
  <w:style w:type="character" w:customStyle="1" w:styleId="104">
    <w:name w:val="hover11"/>
    <w:qFormat/>
    <w:uiPriority w:val="0"/>
    <w:rPr>
      <w:color w:val="025291"/>
    </w:rPr>
  </w:style>
  <w:style w:type="character" w:customStyle="1" w:styleId="105">
    <w:name w:val="正文王 Char Char"/>
    <w:link w:val="106"/>
    <w:qFormat/>
    <w:uiPriority w:val="0"/>
    <w:rPr>
      <w:rFonts w:eastAsia="宋体"/>
      <w:snapToGrid w:val="0"/>
      <w:sz w:val="24"/>
      <w:szCs w:val="28"/>
      <w:lang w:val="en-US" w:eastAsia="zh-CN" w:bidi="ar-SA"/>
    </w:rPr>
  </w:style>
  <w:style w:type="paragraph" w:customStyle="1" w:styleId="106">
    <w:name w:val="正文王"/>
    <w:basedOn w:val="32"/>
    <w:link w:val="105"/>
    <w:qFormat/>
    <w:uiPriority w:val="0"/>
    <w:pPr>
      <w:widowControl/>
      <w:tabs>
        <w:tab w:val="left" w:pos="7080"/>
      </w:tabs>
      <w:adjustRightInd w:val="0"/>
      <w:snapToGrid w:val="0"/>
      <w:spacing w:line="302" w:lineRule="auto"/>
      <w:ind w:firstLine="480" w:firstLineChars="200"/>
    </w:pPr>
    <w:rPr>
      <w:snapToGrid w:val="0"/>
      <w:kern w:val="0"/>
      <w:sz w:val="24"/>
      <w:szCs w:val="28"/>
    </w:rPr>
  </w:style>
  <w:style w:type="character" w:customStyle="1" w:styleId="107">
    <w:name w:val="place2"/>
    <w:qFormat/>
    <w:uiPriority w:val="0"/>
    <w:rPr>
      <w:rFonts w:ascii="微软雅黑" w:hAnsi="微软雅黑" w:eastAsia="微软雅黑" w:cs="微软雅黑"/>
      <w:color w:val="888888"/>
      <w:sz w:val="25"/>
      <w:szCs w:val="25"/>
    </w:rPr>
  </w:style>
  <w:style w:type="character" w:customStyle="1" w:styleId="108">
    <w:name w:val="place3"/>
    <w:qFormat/>
    <w:uiPriority w:val="0"/>
  </w:style>
  <w:style w:type="character" w:customStyle="1" w:styleId="109">
    <w:name w:val="环保表内字（五号） Char Char"/>
    <w:link w:val="110"/>
    <w:qFormat/>
    <w:uiPriority w:val="0"/>
    <w:rPr>
      <w:snapToGrid w:val="0"/>
      <w:sz w:val="18"/>
      <w:szCs w:val="18"/>
    </w:rPr>
  </w:style>
  <w:style w:type="paragraph" w:customStyle="1" w:styleId="110">
    <w:name w:val="环保表内字（五号）"/>
    <w:basedOn w:val="1"/>
    <w:link w:val="109"/>
    <w:qFormat/>
    <w:uiPriority w:val="0"/>
    <w:pPr>
      <w:adjustRightInd w:val="0"/>
      <w:snapToGrid w:val="0"/>
      <w:spacing w:line="0" w:lineRule="atLeast"/>
    </w:pPr>
    <w:rPr>
      <w:snapToGrid w:val="0"/>
      <w:kern w:val="0"/>
      <w:sz w:val="18"/>
      <w:szCs w:val="18"/>
    </w:rPr>
  </w:style>
  <w:style w:type="character" w:customStyle="1" w:styleId="111">
    <w:name w:val="zhenwen141"/>
    <w:qFormat/>
    <w:uiPriority w:val="0"/>
    <w:rPr>
      <w:rFonts w:hint="default" w:ascii="_x000B__x000C_" w:hAnsi="_x000B__x000C_"/>
      <w:sz w:val="21"/>
      <w:szCs w:val="21"/>
    </w:rPr>
  </w:style>
  <w:style w:type="character" w:customStyle="1" w:styleId="112">
    <w:name w:val="zw1"/>
    <w:qFormat/>
    <w:uiPriority w:val="0"/>
    <w:rPr>
      <w:rFonts w:hint="eastAsia" w:ascii="宋体" w:hAnsi="宋体" w:eastAsia="宋体"/>
      <w:sz w:val="22"/>
      <w:szCs w:val="22"/>
    </w:rPr>
  </w:style>
  <w:style w:type="character" w:customStyle="1" w:styleId="113">
    <w:name w:val="style301"/>
    <w:qFormat/>
    <w:uiPriority w:val="0"/>
    <w:rPr>
      <w:color w:val="FFFFFF"/>
    </w:rPr>
  </w:style>
  <w:style w:type="character" w:customStyle="1" w:styleId="114">
    <w:name w:val="表内字 Char"/>
    <w:link w:val="115"/>
    <w:qFormat/>
    <w:uiPriority w:val="0"/>
    <w:rPr>
      <w:color w:val="000000"/>
      <w:kern w:val="2"/>
      <w:sz w:val="21"/>
      <w:szCs w:val="24"/>
      <w:lang w:val="en-US" w:eastAsia="zh-CN" w:bidi="ar-SA"/>
    </w:rPr>
  </w:style>
  <w:style w:type="paragraph" w:customStyle="1" w:styleId="115">
    <w:name w:val="表内字"/>
    <w:link w:val="114"/>
    <w:qFormat/>
    <w:uiPriority w:val="0"/>
    <w:pPr>
      <w:spacing w:line="312" w:lineRule="auto"/>
      <w:jc w:val="center"/>
    </w:pPr>
    <w:rPr>
      <w:rFonts w:ascii="Times New Roman" w:hAnsi="Times New Roman" w:eastAsia="宋体" w:cs="Times New Roman"/>
      <w:color w:val="000000"/>
      <w:kern w:val="2"/>
      <w:sz w:val="21"/>
      <w:szCs w:val="24"/>
      <w:lang w:val="en-US" w:eastAsia="zh-CN" w:bidi="ar-SA"/>
    </w:rPr>
  </w:style>
  <w:style w:type="character" w:customStyle="1" w:styleId="116">
    <w:name w:val="font31"/>
    <w:qFormat/>
    <w:uiPriority w:val="0"/>
    <w:rPr>
      <w:rFonts w:hint="eastAsia" w:ascii="宋体" w:hAnsi="宋体" w:eastAsia="宋体" w:cs="宋体"/>
      <w:color w:val="FF0000"/>
      <w:sz w:val="22"/>
      <w:szCs w:val="22"/>
      <w:u w:val="none"/>
    </w:rPr>
  </w:style>
  <w:style w:type="character" w:customStyle="1" w:styleId="117">
    <w:name w:val="title"/>
    <w:qFormat/>
    <w:uiPriority w:val="0"/>
  </w:style>
  <w:style w:type="character" w:customStyle="1" w:styleId="118">
    <w:name w:val="keyword1"/>
    <w:qFormat/>
    <w:uiPriority w:val="0"/>
    <w:rPr>
      <w:color w:val="FF0000"/>
    </w:rPr>
  </w:style>
  <w:style w:type="character" w:customStyle="1" w:styleId="119">
    <w:name w:val="font101"/>
    <w:qFormat/>
    <w:uiPriority w:val="0"/>
    <w:rPr>
      <w:rFonts w:hint="eastAsia" w:ascii="宋体" w:hAnsi="宋体" w:eastAsia="宋体" w:cs="宋体"/>
      <w:b/>
      <w:color w:val="000000"/>
      <w:sz w:val="24"/>
      <w:szCs w:val="24"/>
      <w:u w:val="none"/>
    </w:rPr>
  </w:style>
  <w:style w:type="character" w:customStyle="1" w:styleId="120">
    <w:name w:val="样式 样式 标题2 + Char Char"/>
    <w:link w:val="121"/>
    <w:qFormat/>
    <w:uiPriority w:val="0"/>
    <w:rPr>
      <w:rFonts w:cs="宋体"/>
      <w:b/>
      <w:bCs/>
      <w:sz w:val="28"/>
    </w:rPr>
  </w:style>
  <w:style w:type="paragraph" w:customStyle="1" w:styleId="121">
    <w:name w:val="样式 样式 标题2 +"/>
    <w:basedOn w:val="1"/>
    <w:link w:val="120"/>
    <w:qFormat/>
    <w:uiPriority w:val="0"/>
    <w:pPr>
      <w:keepNext/>
      <w:keepLines/>
      <w:adjustRightInd w:val="0"/>
      <w:spacing w:line="360" w:lineRule="auto"/>
      <w:jc w:val="left"/>
      <w:textAlignment w:val="baseline"/>
      <w:outlineLvl w:val="1"/>
    </w:pPr>
    <w:rPr>
      <w:b/>
      <w:bCs/>
      <w:kern w:val="0"/>
      <w:sz w:val="28"/>
      <w:szCs w:val="20"/>
    </w:rPr>
  </w:style>
  <w:style w:type="character" w:customStyle="1" w:styleId="122">
    <w:name w:val="font141"/>
    <w:qFormat/>
    <w:uiPriority w:val="0"/>
    <w:rPr>
      <w:rFonts w:hint="eastAsia" w:ascii="宋体" w:hAnsi="宋体" w:eastAsia="宋体" w:cs="宋体"/>
      <w:color w:val="000000"/>
      <w:sz w:val="24"/>
      <w:szCs w:val="24"/>
      <w:u w:val="none"/>
    </w:rPr>
  </w:style>
  <w:style w:type="character" w:customStyle="1" w:styleId="123">
    <w:name w:val="place1"/>
    <w:qFormat/>
    <w:uiPriority w:val="0"/>
  </w:style>
  <w:style w:type="character" w:customStyle="1" w:styleId="124">
    <w:name w:val="font21"/>
    <w:qFormat/>
    <w:uiPriority w:val="0"/>
    <w:rPr>
      <w:rFonts w:hint="default" w:ascii="Times New Roman" w:hAnsi="Times New Roman" w:cs="Times New Roman"/>
      <w:color w:val="000000"/>
      <w:sz w:val="18"/>
      <w:szCs w:val="18"/>
      <w:u w:val="none"/>
      <w:vertAlign w:val="superscript"/>
    </w:rPr>
  </w:style>
  <w:style w:type="character" w:customStyle="1" w:styleId="125">
    <w:name w:val="宋小四缩 Char"/>
    <w:link w:val="126"/>
    <w:qFormat/>
    <w:uiPriority w:val="0"/>
    <w:rPr>
      <w:rFonts w:ascii="宋体" w:hAnsi="宋体" w:eastAsia="宋体"/>
      <w:color w:val="000000"/>
      <w:kern w:val="2"/>
      <w:sz w:val="24"/>
      <w:szCs w:val="24"/>
      <w:lang w:val="en-US" w:eastAsia="zh-CN" w:bidi="ar-SA"/>
    </w:rPr>
  </w:style>
  <w:style w:type="paragraph" w:customStyle="1" w:styleId="126">
    <w:name w:val="宋小四缩"/>
    <w:basedOn w:val="1"/>
    <w:link w:val="125"/>
    <w:qFormat/>
    <w:uiPriority w:val="0"/>
    <w:pPr>
      <w:spacing w:line="360" w:lineRule="auto"/>
      <w:ind w:firstLine="480" w:firstLineChars="200"/>
      <w:jc w:val="left"/>
    </w:pPr>
    <w:rPr>
      <w:rFonts w:ascii="宋体" w:hAnsi="宋体"/>
      <w:color w:val="000000"/>
      <w:sz w:val="24"/>
    </w:rPr>
  </w:style>
  <w:style w:type="character" w:customStyle="1" w:styleId="127">
    <w:name w:val="datetime"/>
    <w:qFormat/>
    <w:uiPriority w:val="0"/>
  </w:style>
  <w:style w:type="character" w:customStyle="1" w:styleId="128">
    <w:name w:val="font61"/>
    <w:qFormat/>
    <w:uiPriority w:val="0"/>
    <w:rPr>
      <w:rFonts w:hint="eastAsia" w:ascii="宋体" w:hAnsi="宋体" w:eastAsia="宋体" w:cs="宋体"/>
      <w:b/>
      <w:color w:val="000000"/>
      <w:sz w:val="24"/>
      <w:szCs w:val="24"/>
      <w:u w:val="none"/>
      <w:vertAlign w:val="superscript"/>
    </w:rPr>
  </w:style>
  <w:style w:type="character" w:customStyle="1" w:styleId="129">
    <w:name w:val="[1]正文 Char"/>
    <w:link w:val="130"/>
    <w:qFormat/>
    <w:uiPriority w:val="0"/>
    <w:rPr>
      <w:rFonts w:eastAsia="宋体"/>
      <w:sz w:val="28"/>
      <w:szCs w:val="28"/>
      <w:lang w:val="en-GB" w:eastAsia="zh-CN" w:bidi="ar-SA"/>
    </w:rPr>
  </w:style>
  <w:style w:type="paragraph" w:customStyle="1" w:styleId="130">
    <w:name w:val="[1]正文"/>
    <w:basedOn w:val="1"/>
    <w:link w:val="129"/>
    <w:qFormat/>
    <w:uiPriority w:val="0"/>
    <w:pPr>
      <w:tabs>
        <w:tab w:val="left" w:pos="8773"/>
      </w:tabs>
      <w:autoSpaceDE w:val="0"/>
      <w:autoSpaceDN w:val="0"/>
      <w:adjustRightInd w:val="0"/>
      <w:spacing w:line="500" w:lineRule="exact"/>
      <w:ind w:firstLine="200" w:firstLineChars="200"/>
    </w:pPr>
    <w:rPr>
      <w:kern w:val="0"/>
      <w:sz w:val="28"/>
      <w:szCs w:val="28"/>
      <w:lang w:val="en-GB"/>
    </w:rPr>
  </w:style>
  <w:style w:type="character" w:customStyle="1" w:styleId="131">
    <w:name w:val="样式1 Char"/>
    <w:link w:val="132"/>
    <w:qFormat/>
    <w:uiPriority w:val="0"/>
    <w:rPr>
      <w:rFonts w:eastAsia="宋体"/>
      <w:bCs/>
      <w:kern w:val="2"/>
      <w:sz w:val="24"/>
      <w:szCs w:val="24"/>
      <w:lang w:val="en-US" w:eastAsia="zh-CN" w:bidi="ar-SA"/>
    </w:rPr>
  </w:style>
  <w:style w:type="paragraph" w:customStyle="1" w:styleId="132">
    <w:name w:val="样式1"/>
    <w:basedOn w:val="1"/>
    <w:link w:val="131"/>
    <w:qFormat/>
    <w:uiPriority w:val="0"/>
    <w:pPr>
      <w:spacing w:line="360" w:lineRule="auto"/>
      <w:ind w:firstLine="200" w:firstLineChars="200"/>
    </w:pPr>
    <w:rPr>
      <w:bCs/>
      <w:sz w:val="24"/>
    </w:rPr>
  </w:style>
  <w:style w:type="character" w:customStyle="1" w:styleId="133">
    <w:name w:val="!正文2.5.1 Char"/>
    <w:qFormat/>
    <w:uiPriority w:val="0"/>
    <w:rPr>
      <w:rFonts w:eastAsia="宋体"/>
      <w:b/>
      <w:kern w:val="2"/>
      <w:sz w:val="28"/>
      <w:szCs w:val="24"/>
      <w:lang w:val="en-US" w:eastAsia="zh-CN" w:bidi="ar-SA"/>
    </w:rPr>
  </w:style>
  <w:style w:type="character" w:customStyle="1" w:styleId="134">
    <w:name w:val="unnamed21"/>
    <w:qFormat/>
    <w:uiPriority w:val="0"/>
    <w:rPr>
      <w:rFonts w:hint="eastAsia" w:ascii="宋体" w:hAnsi="宋体" w:eastAsia="宋体"/>
      <w:sz w:val="24"/>
      <w:szCs w:val="24"/>
    </w:rPr>
  </w:style>
  <w:style w:type="character" w:customStyle="1" w:styleId="135">
    <w:name w:val="font01"/>
    <w:qFormat/>
    <w:uiPriority w:val="0"/>
    <w:rPr>
      <w:rFonts w:hint="eastAsia" w:ascii="宋体" w:hAnsi="宋体" w:eastAsia="宋体" w:cs="宋体"/>
      <w:color w:val="000000"/>
      <w:sz w:val="18"/>
      <w:szCs w:val="18"/>
      <w:u w:val="none"/>
    </w:rPr>
  </w:style>
  <w:style w:type="character" w:customStyle="1" w:styleId="136">
    <w:name w:val="t_tag"/>
    <w:qFormat/>
    <w:uiPriority w:val="0"/>
  </w:style>
  <w:style w:type="character" w:customStyle="1" w:styleId="137">
    <w:name w:val="highlight1"/>
    <w:qFormat/>
    <w:uiPriority w:val="0"/>
    <w:rPr>
      <w:sz w:val="21"/>
      <w:szCs w:val="21"/>
    </w:rPr>
  </w:style>
  <w:style w:type="character" w:customStyle="1" w:styleId="138">
    <w:name w:val="样式12 Char"/>
    <w:link w:val="139"/>
    <w:qFormat/>
    <w:uiPriority w:val="0"/>
    <w:rPr>
      <w:rFonts w:hAnsi="宋体" w:eastAsia="宋体"/>
      <w:kern w:val="2"/>
      <w:sz w:val="24"/>
      <w:szCs w:val="24"/>
      <w:lang w:val="en-US" w:eastAsia="zh-CN" w:bidi="ar-SA"/>
    </w:rPr>
  </w:style>
  <w:style w:type="paragraph" w:customStyle="1" w:styleId="139">
    <w:name w:val="样式12"/>
    <w:basedOn w:val="37"/>
    <w:link w:val="138"/>
    <w:qFormat/>
    <w:uiPriority w:val="0"/>
    <w:pPr>
      <w:spacing w:line="500" w:lineRule="exact"/>
      <w:ind w:firstLine="480" w:firstLineChars="200"/>
    </w:pPr>
    <w:rPr>
      <w:rFonts w:hAnsi="宋体"/>
      <w:sz w:val="24"/>
    </w:rPr>
  </w:style>
  <w:style w:type="character" w:customStyle="1" w:styleId="140">
    <w:name w:val="正文aa Char"/>
    <w:link w:val="141"/>
    <w:qFormat/>
    <w:uiPriority w:val="0"/>
    <w:rPr>
      <w:rFonts w:eastAsia="宋体"/>
      <w:kern w:val="2"/>
      <w:sz w:val="24"/>
      <w:szCs w:val="24"/>
      <w:lang w:val="en-US" w:eastAsia="zh-CN" w:bidi="ar-SA"/>
    </w:rPr>
  </w:style>
  <w:style w:type="paragraph" w:customStyle="1" w:styleId="141">
    <w:name w:val="正文aa"/>
    <w:basedOn w:val="1"/>
    <w:link w:val="140"/>
    <w:qFormat/>
    <w:uiPriority w:val="0"/>
    <w:pPr>
      <w:spacing w:line="360" w:lineRule="auto"/>
      <w:ind w:firstLine="200" w:firstLineChars="200"/>
    </w:pPr>
  </w:style>
  <w:style w:type="character" w:customStyle="1" w:styleId="142">
    <w:name w:val="流程图 Char"/>
    <w:link w:val="143"/>
    <w:qFormat/>
    <w:uiPriority w:val="0"/>
    <w:rPr>
      <w:rFonts w:ascii="宋体" w:hAnsi="宋体" w:eastAsia="宋体"/>
      <w:color w:val="000000"/>
      <w:kern w:val="2"/>
      <w:sz w:val="18"/>
      <w:szCs w:val="18"/>
      <w:lang w:val="en-US" w:eastAsia="zh-CN" w:bidi="ar-SA"/>
    </w:rPr>
  </w:style>
  <w:style w:type="paragraph" w:customStyle="1" w:styleId="143">
    <w:name w:val="流程图"/>
    <w:basedOn w:val="1"/>
    <w:link w:val="142"/>
    <w:qFormat/>
    <w:uiPriority w:val="0"/>
    <w:pPr>
      <w:spacing w:line="200" w:lineRule="atLeast"/>
      <w:jc w:val="center"/>
    </w:pPr>
    <w:rPr>
      <w:rFonts w:ascii="宋体" w:hAnsi="宋体"/>
      <w:color w:val="000000"/>
      <w:sz w:val="18"/>
      <w:szCs w:val="18"/>
    </w:rPr>
  </w:style>
  <w:style w:type="character" w:customStyle="1" w:styleId="144">
    <w:name w:val="正文 小丹 Char1"/>
    <w:link w:val="145"/>
    <w:qFormat/>
    <w:uiPriority w:val="0"/>
    <w:rPr>
      <w:rFonts w:ascii="宋体" w:hAnsi="宋体" w:eastAsia="宋体"/>
      <w:color w:val="000000"/>
      <w:spacing w:val="6"/>
      <w:sz w:val="24"/>
      <w:szCs w:val="24"/>
      <w:lang w:val="en-US" w:eastAsia="zh-CN" w:bidi="ar-SA"/>
    </w:rPr>
  </w:style>
  <w:style w:type="paragraph" w:customStyle="1" w:styleId="145">
    <w:name w:val="正文 小丹"/>
    <w:basedOn w:val="2"/>
    <w:link w:val="144"/>
    <w:qFormat/>
    <w:uiPriority w:val="0"/>
    <w:pPr>
      <w:snapToGrid w:val="0"/>
      <w:spacing w:line="360" w:lineRule="auto"/>
      <w:ind w:firstLine="200" w:firstLineChars="200"/>
    </w:pPr>
    <w:rPr>
      <w:rFonts w:ascii="宋体" w:hAnsi="宋体"/>
      <w:color w:val="000000"/>
      <w:spacing w:val="6"/>
      <w:sz w:val="24"/>
      <w:szCs w:val="24"/>
    </w:rPr>
  </w:style>
  <w:style w:type="character" w:customStyle="1" w:styleId="146">
    <w:name w:val="表头王 Char"/>
    <w:link w:val="147"/>
    <w:qFormat/>
    <w:uiPriority w:val="0"/>
    <w:rPr>
      <w:rFonts w:ascii="宋体" w:hAnsi="宋体" w:eastAsia="宋体"/>
      <w:b/>
      <w:color w:val="000000"/>
      <w:spacing w:val="10"/>
      <w:kern w:val="2"/>
      <w:sz w:val="24"/>
      <w:szCs w:val="24"/>
      <w:lang w:val="en-US" w:eastAsia="zh-CN" w:bidi="ar-SA"/>
    </w:rPr>
  </w:style>
  <w:style w:type="paragraph" w:customStyle="1" w:styleId="147">
    <w:name w:val="表头王"/>
    <w:basedOn w:val="1"/>
    <w:link w:val="146"/>
    <w:qFormat/>
    <w:uiPriority w:val="0"/>
    <w:pPr>
      <w:adjustRightInd w:val="0"/>
      <w:snapToGrid w:val="0"/>
      <w:spacing w:line="500" w:lineRule="exact"/>
      <w:jc w:val="center"/>
    </w:pPr>
    <w:rPr>
      <w:rFonts w:ascii="宋体" w:hAnsi="宋体"/>
      <w:b/>
      <w:color w:val="000000"/>
      <w:spacing w:val="10"/>
      <w:sz w:val="24"/>
    </w:rPr>
  </w:style>
  <w:style w:type="character" w:customStyle="1" w:styleId="148">
    <w:name w:val="javascript1"/>
    <w:qFormat/>
    <w:uiPriority w:val="0"/>
    <w:rPr>
      <w:rFonts w:hint="default" w:ascii="Tahoma" w:hAnsi="Tahoma" w:cs="Tahoma"/>
      <w:sz w:val="18"/>
      <w:szCs w:val="18"/>
    </w:rPr>
  </w:style>
  <w:style w:type="character" w:customStyle="1" w:styleId="149">
    <w:name w:val="noline"/>
    <w:qFormat/>
    <w:uiPriority w:val="0"/>
  </w:style>
  <w:style w:type="character" w:customStyle="1" w:styleId="150">
    <w:name w:val="style1"/>
    <w:qFormat/>
    <w:uiPriority w:val="0"/>
  </w:style>
  <w:style w:type="character" w:customStyle="1" w:styleId="151">
    <w:name w:val="font51"/>
    <w:qFormat/>
    <w:uiPriority w:val="0"/>
    <w:rPr>
      <w:rFonts w:hint="eastAsia" w:ascii="宋体" w:hAnsi="宋体" w:eastAsia="宋体" w:cs="宋体"/>
      <w:b/>
      <w:color w:val="000000"/>
      <w:sz w:val="28"/>
      <w:szCs w:val="28"/>
      <w:u w:val="none"/>
    </w:rPr>
  </w:style>
  <w:style w:type="character" w:customStyle="1" w:styleId="152">
    <w:name w:val="f241"/>
    <w:qFormat/>
    <w:uiPriority w:val="0"/>
    <w:rPr>
      <w:sz w:val="36"/>
      <w:szCs w:val="36"/>
    </w:rPr>
  </w:style>
  <w:style w:type="character" w:customStyle="1" w:styleId="153">
    <w:name w:val="表标 Char"/>
    <w:link w:val="154"/>
    <w:qFormat/>
    <w:uiPriority w:val="0"/>
    <w:rPr>
      <w:rFonts w:eastAsia="黑体"/>
      <w:kern w:val="2"/>
      <w:sz w:val="24"/>
      <w:szCs w:val="24"/>
      <w:lang w:val="en-US" w:eastAsia="zh-CN" w:bidi="ar-SA"/>
    </w:rPr>
  </w:style>
  <w:style w:type="paragraph" w:customStyle="1" w:styleId="154">
    <w:name w:val="表标"/>
    <w:next w:val="1"/>
    <w:link w:val="153"/>
    <w:qFormat/>
    <w:uiPriority w:val="0"/>
    <w:pPr>
      <w:tabs>
        <w:tab w:val="left" w:pos="8207"/>
      </w:tabs>
      <w:adjustRightInd w:val="0"/>
      <w:snapToGrid w:val="0"/>
      <w:spacing w:before="120" w:line="312" w:lineRule="auto"/>
      <w:jc w:val="center"/>
      <w:textAlignment w:val="baseline"/>
    </w:pPr>
    <w:rPr>
      <w:rFonts w:ascii="Times New Roman" w:hAnsi="Times New Roman" w:eastAsia="黑体" w:cs="Times New Roman"/>
      <w:kern w:val="2"/>
      <w:sz w:val="24"/>
      <w:szCs w:val="24"/>
      <w:lang w:val="en-US" w:eastAsia="zh-CN" w:bidi="ar-SA"/>
    </w:rPr>
  </w:style>
  <w:style w:type="character" w:customStyle="1" w:styleId="155">
    <w:name w:val="样式8"/>
    <w:qFormat/>
    <w:uiPriority w:val="0"/>
    <w:rPr>
      <w:sz w:val="48"/>
      <w:szCs w:val="48"/>
    </w:rPr>
  </w:style>
  <w:style w:type="character" w:customStyle="1" w:styleId="156">
    <w:name w:val="question-title2"/>
    <w:qFormat/>
    <w:uiPriority w:val="0"/>
  </w:style>
  <w:style w:type="character" w:customStyle="1" w:styleId="157">
    <w:name w:val="info"/>
    <w:qFormat/>
    <w:uiPriority w:val="0"/>
  </w:style>
  <w:style w:type="paragraph" w:customStyle="1" w:styleId="158">
    <w:name w:val="xl83"/>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59">
    <w:name w:val="表标题16.2"/>
    <w:basedOn w:val="115"/>
    <w:next w:val="115"/>
    <w:qFormat/>
    <w:uiPriority w:val="0"/>
    <w:pPr>
      <w:tabs>
        <w:tab w:val="left" w:pos="360"/>
      </w:tabs>
      <w:spacing w:before="240" w:line="0" w:lineRule="atLeast"/>
      <w:ind w:left="-264" w:firstLine="264"/>
    </w:pPr>
    <w:rPr>
      <w:rFonts w:ascii="黑体" w:eastAsia="黑体"/>
      <w:b/>
      <w:color w:val="auto"/>
      <w:sz w:val="24"/>
    </w:rPr>
  </w:style>
  <w:style w:type="paragraph" w:customStyle="1" w:styleId="160">
    <w:name w:val="专家意见正文"/>
    <w:basedOn w:val="1"/>
    <w:qFormat/>
    <w:uiPriority w:val="0"/>
    <w:pPr>
      <w:spacing w:line="360" w:lineRule="auto"/>
      <w:ind w:firstLine="560" w:firstLineChars="200"/>
    </w:pPr>
    <w:rPr>
      <w:rFonts w:ascii="仿宋_GB2312" w:eastAsia="仿宋_GB2312"/>
      <w:color w:val="auto"/>
      <w:kern w:val="40"/>
      <w:szCs w:val="28"/>
    </w:rPr>
  </w:style>
  <w:style w:type="paragraph" w:customStyle="1" w:styleId="161">
    <w:name w:val="表标题11.1"/>
    <w:basedOn w:val="1"/>
    <w:qFormat/>
    <w:uiPriority w:val="0"/>
    <w:pPr>
      <w:spacing w:line="0" w:lineRule="atLeast"/>
      <w:jc w:val="center"/>
    </w:pPr>
    <w:rPr>
      <w:b/>
      <w:sz w:val="24"/>
    </w:rPr>
  </w:style>
  <w:style w:type="paragraph" w:customStyle="1" w:styleId="162">
    <w:name w:val="xl64"/>
    <w:basedOn w:val="1"/>
    <w:qFormat/>
    <w:uiPriority w:val="0"/>
    <w:pPr>
      <w:widowControl/>
      <w:spacing w:before="100" w:beforeAutospacing="1" w:after="100" w:afterAutospacing="1"/>
      <w:jc w:val="right"/>
      <w:textAlignment w:val="center"/>
    </w:pPr>
    <w:rPr>
      <w:rFonts w:ascii="Arial Unicode MS" w:hAnsi="Arial Unicode MS" w:eastAsia="Arial Unicode MS" w:cs="Arial Unicode MS"/>
      <w:kern w:val="0"/>
      <w:sz w:val="24"/>
    </w:rPr>
  </w:style>
  <w:style w:type="paragraph" w:customStyle="1" w:styleId="163">
    <w:name w:val="xl95"/>
    <w:basedOn w:val="1"/>
    <w:qFormat/>
    <w:uiPriority w:val="0"/>
    <w:pPr>
      <w:widowControl/>
      <w:spacing w:before="100" w:beforeAutospacing="1" w:after="100" w:afterAutospacing="1"/>
      <w:jc w:val="right"/>
      <w:textAlignment w:val="center"/>
    </w:pPr>
    <w:rPr>
      <w:rFonts w:ascii="Arial Unicode MS" w:hAnsi="Arial Unicode MS" w:eastAsia="Arial Unicode MS" w:cs="Arial Unicode MS"/>
      <w:color w:val="000000"/>
      <w:kern w:val="0"/>
      <w:sz w:val="20"/>
      <w:szCs w:val="20"/>
    </w:rPr>
  </w:style>
  <w:style w:type="paragraph" w:customStyle="1" w:styleId="164">
    <w:name w:val="表"/>
    <w:qFormat/>
    <w:uiPriority w:val="0"/>
    <w:pPr>
      <w:jc w:val="center"/>
    </w:pPr>
    <w:rPr>
      <w:rFonts w:ascii="Times New Roman" w:hAnsi="Times New Roman" w:eastAsia="宋体" w:cs="Times New Roman"/>
      <w:kern w:val="2"/>
      <w:sz w:val="21"/>
      <w:szCs w:val="24"/>
      <w:lang w:val="en-US" w:eastAsia="zh-CN" w:bidi="ar-SA"/>
    </w:rPr>
  </w:style>
  <w:style w:type="paragraph" w:customStyle="1" w:styleId="165">
    <w:name w:val="font6"/>
    <w:basedOn w:val="1"/>
    <w:qFormat/>
    <w:uiPriority w:val="0"/>
    <w:pPr>
      <w:widowControl/>
      <w:spacing w:before="100" w:beforeAutospacing="1" w:after="100" w:afterAutospacing="1"/>
      <w:jc w:val="left"/>
    </w:pPr>
    <w:rPr>
      <w:rFonts w:hint="eastAsia" w:ascii="宋体" w:hAnsi="宋体" w:cs="Arial Unicode MS"/>
      <w:kern w:val="0"/>
      <w:sz w:val="20"/>
      <w:szCs w:val="20"/>
    </w:rPr>
  </w:style>
  <w:style w:type="paragraph" w:customStyle="1" w:styleId="166">
    <w:name w:val="xl53"/>
    <w:basedOn w:val="1"/>
    <w:qFormat/>
    <w:uiPriority w:val="0"/>
    <w:pPr>
      <w:widowControl/>
      <w:pBdr>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0"/>
      <w:szCs w:val="20"/>
    </w:rPr>
  </w:style>
  <w:style w:type="paragraph" w:customStyle="1" w:styleId="167">
    <w:name w:val="CM4"/>
    <w:basedOn w:val="1"/>
    <w:next w:val="1"/>
    <w:qFormat/>
    <w:uiPriority w:val="0"/>
    <w:pPr>
      <w:autoSpaceDE w:val="0"/>
      <w:autoSpaceDN w:val="0"/>
      <w:adjustRightInd w:val="0"/>
      <w:spacing w:line="400" w:lineRule="atLeast"/>
      <w:ind w:firstLine="480"/>
    </w:pPr>
  </w:style>
  <w:style w:type="paragraph" w:customStyle="1" w:styleId="168">
    <w:name w:val="表标题8.1"/>
    <w:basedOn w:val="1"/>
    <w:qFormat/>
    <w:uiPriority w:val="0"/>
    <w:pPr>
      <w:tabs>
        <w:tab w:val="left" w:pos="360"/>
      </w:tabs>
      <w:spacing w:before="100" w:beforeLines="100" w:line="0" w:lineRule="atLeast"/>
    </w:pPr>
    <w:rPr>
      <w:rFonts w:eastAsia="黑体"/>
      <w:b/>
      <w:sz w:val="24"/>
      <w:szCs w:val="20"/>
    </w:rPr>
  </w:style>
  <w:style w:type="paragraph" w:customStyle="1" w:styleId="169">
    <w:name w:val="标题1"/>
    <w:basedOn w:val="1"/>
    <w:qFormat/>
    <w:uiPriority w:val="0"/>
    <w:pPr>
      <w:numPr>
        <w:ilvl w:val="0"/>
        <w:numId w:val="4"/>
      </w:numPr>
      <w:spacing w:before="250" w:beforeLines="250" w:line="312" w:lineRule="auto"/>
    </w:pPr>
    <w:rPr>
      <w:rFonts w:ascii="宋体" w:hAnsi="宋体" w:cs="宋体"/>
      <w:sz w:val="24"/>
    </w:rPr>
  </w:style>
  <w:style w:type="paragraph" w:customStyle="1" w:styleId="170">
    <w:name w:val="表1"/>
    <w:basedOn w:val="164"/>
    <w:qFormat/>
    <w:uiPriority w:val="0"/>
    <w:pPr>
      <w:adjustRightInd w:val="0"/>
      <w:snapToGrid w:val="0"/>
    </w:pPr>
    <w:rPr>
      <w:color w:val="000000"/>
      <w:szCs w:val="21"/>
    </w:rPr>
  </w:style>
  <w:style w:type="paragraph" w:customStyle="1" w:styleId="171">
    <w:name w:val="样式3"/>
    <w:basedOn w:val="1"/>
    <w:qFormat/>
    <w:uiPriority w:val="0"/>
    <w:pPr>
      <w:tabs>
        <w:tab w:val="left" w:pos="540"/>
        <w:tab w:val="left" w:pos="600"/>
        <w:tab w:val="left" w:pos="720"/>
        <w:tab w:val="left" w:pos="120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right="180"/>
      <w:jc w:val="left"/>
    </w:pPr>
    <w:rPr>
      <w:rFonts w:ascii="黑体" w:hAnsi="宋体" w:eastAsia="黑体"/>
      <w:bCs/>
      <w:kern w:val="0"/>
      <w:sz w:val="28"/>
      <w:szCs w:val="20"/>
    </w:rPr>
  </w:style>
  <w:style w:type="paragraph" w:customStyle="1" w:styleId="172">
    <w:name w:val="xl91"/>
    <w:basedOn w:val="1"/>
    <w:qFormat/>
    <w:uiPriority w:val="0"/>
    <w:pPr>
      <w:widowControl/>
      <w:pBdr>
        <w:bottom w:val="single" w:color="auto" w:sz="4" w:space="0"/>
        <w:right w:val="single" w:color="auto" w:sz="8" w:space="0"/>
      </w:pBdr>
      <w:spacing w:before="100" w:beforeAutospacing="1" w:after="100" w:afterAutospacing="1"/>
      <w:jc w:val="right"/>
      <w:textAlignment w:val="center"/>
    </w:pPr>
    <w:rPr>
      <w:rFonts w:ascii="Arial Unicode MS" w:hAnsi="Arial Unicode MS" w:eastAsia="Arial Unicode MS" w:cs="Arial Unicode MS"/>
      <w:kern w:val="0"/>
      <w:sz w:val="18"/>
      <w:szCs w:val="18"/>
    </w:rPr>
  </w:style>
  <w:style w:type="paragraph" w:customStyle="1" w:styleId="173">
    <w:name w:val="xl59"/>
    <w:basedOn w:val="1"/>
    <w:qFormat/>
    <w:uiPriority w:val="0"/>
    <w:pPr>
      <w:widowControl/>
      <w:spacing w:before="100" w:beforeAutospacing="1" w:after="100" w:afterAutospacing="1"/>
      <w:jc w:val="left"/>
      <w:textAlignment w:val="center"/>
    </w:pPr>
    <w:rPr>
      <w:rFonts w:eastAsia="Arial Unicode MS"/>
      <w:kern w:val="0"/>
      <w:sz w:val="20"/>
      <w:szCs w:val="20"/>
    </w:rPr>
  </w:style>
  <w:style w:type="paragraph" w:customStyle="1" w:styleId="174">
    <w:name w:val="样式 首行缩进:  2 字符2"/>
    <w:basedOn w:val="1"/>
    <w:qFormat/>
    <w:uiPriority w:val="0"/>
    <w:pPr>
      <w:spacing w:line="360" w:lineRule="auto"/>
      <w:ind w:firstLine="480" w:firstLineChars="200"/>
    </w:pPr>
    <w:rPr>
      <w:sz w:val="24"/>
      <w:szCs w:val="20"/>
    </w:rPr>
  </w:style>
  <w:style w:type="paragraph" w:customStyle="1" w:styleId="175">
    <w:name w:val="表内文字"/>
    <w:qFormat/>
    <w:uiPriority w:val="0"/>
    <w:pPr>
      <w:adjustRightInd w:val="0"/>
      <w:snapToGrid w:val="0"/>
    </w:pPr>
    <w:rPr>
      <w:rFonts w:ascii="Times New Roman" w:hAnsi="Times New Roman" w:eastAsia="宋体" w:cs="Times New Roman"/>
      <w:snapToGrid w:val="0"/>
      <w:kern w:val="2"/>
      <w:sz w:val="21"/>
      <w:szCs w:val="24"/>
      <w:lang w:val="en-US" w:eastAsia="zh-CN" w:bidi="ar-SA"/>
    </w:rPr>
  </w:style>
  <w:style w:type="paragraph" w:customStyle="1" w:styleId="176">
    <w:name w:val="表格，五宋"/>
    <w:semiHidden/>
    <w:qFormat/>
    <w:uiPriority w:val="0"/>
    <w:pPr>
      <w:adjustRightInd w:val="0"/>
      <w:spacing w:line="360" w:lineRule="exact"/>
      <w:jc w:val="center"/>
    </w:pPr>
    <w:rPr>
      <w:rFonts w:ascii="Times New Roman" w:hAnsi="Times New Roman" w:eastAsia="宋体" w:cs="Times New Roman"/>
      <w:kern w:val="2"/>
      <w:sz w:val="21"/>
      <w:szCs w:val="24"/>
      <w:lang w:val="en-US" w:eastAsia="zh-CN" w:bidi="ar-SA"/>
    </w:rPr>
  </w:style>
  <w:style w:type="paragraph" w:customStyle="1" w:styleId="177">
    <w:name w:val="xl35"/>
    <w:basedOn w:val="1"/>
    <w:qFormat/>
    <w:uiPriority w:val="0"/>
    <w:pPr>
      <w:widowControl/>
      <w:spacing w:before="100" w:beforeAutospacing="1" w:after="100" w:afterAutospacing="1"/>
      <w:jc w:val="left"/>
      <w:textAlignment w:val="center"/>
    </w:pPr>
    <w:rPr>
      <w:rFonts w:ascii="Arial Unicode MS" w:hAnsi="Arial Unicode MS" w:eastAsia="Arial Unicode MS" w:cs="Arial Unicode MS"/>
      <w:kern w:val="0"/>
      <w:sz w:val="28"/>
      <w:szCs w:val="28"/>
    </w:rPr>
  </w:style>
  <w:style w:type="paragraph" w:customStyle="1" w:styleId="178">
    <w:name w:val="正文缩进1"/>
    <w:basedOn w:val="1"/>
    <w:qFormat/>
    <w:uiPriority w:val="0"/>
    <w:pPr>
      <w:spacing w:line="520" w:lineRule="exact"/>
      <w:ind w:firstLine="420" w:firstLineChars="200"/>
    </w:pPr>
  </w:style>
  <w:style w:type="paragraph" w:customStyle="1" w:styleId="179">
    <w:name w:val="样式7"/>
    <w:basedOn w:val="5"/>
    <w:qFormat/>
    <w:uiPriority w:val="0"/>
    <w:pPr>
      <w:numPr>
        <w:ilvl w:val="2"/>
        <w:numId w:val="5"/>
      </w:numPr>
      <w:tabs>
        <w:tab w:val="left" w:pos="360"/>
      </w:tabs>
      <w:snapToGrid w:val="0"/>
      <w:spacing w:before="50" w:beforeLines="50" w:after="50" w:afterLines="50"/>
    </w:pPr>
    <w:rPr>
      <w:rFonts w:eastAsia="黑体"/>
      <w:b/>
      <w:bCs/>
      <w:color w:val="auto"/>
      <w:szCs w:val="32"/>
    </w:rPr>
  </w:style>
  <w:style w:type="paragraph" w:customStyle="1" w:styleId="180">
    <w:name w:val="标题 2_Heading 111"/>
    <w:basedOn w:val="4"/>
    <w:qFormat/>
    <w:uiPriority w:val="0"/>
    <w:pPr>
      <w:keepNext w:val="0"/>
      <w:keepLines w:val="0"/>
      <w:tabs>
        <w:tab w:val="left" w:pos="540"/>
        <w:tab w:val="left" w:pos="600"/>
        <w:tab w:val="left" w:pos="720"/>
        <w:tab w:val="left" w:pos="1200"/>
        <w:tab w:val="left" w:pos="1440"/>
        <w:tab w:val="left" w:pos="2448"/>
        <w:tab w:val="left" w:pos="3888"/>
        <w:tab w:val="left" w:pos="4800"/>
        <w:tab w:val="left" w:pos="5220"/>
        <w:tab w:val="left" w:pos="6480"/>
        <w:tab w:val="left" w:pos="7353"/>
        <w:tab w:val="left" w:pos="8613"/>
      </w:tabs>
      <w:autoSpaceDE w:val="0"/>
      <w:autoSpaceDN w:val="0"/>
      <w:adjustRightInd w:val="0"/>
      <w:snapToGrid w:val="0"/>
      <w:spacing w:before="0" w:after="0" w:line="300" w:lineRule="auto"/>
      <w:jc w:val="left"/>
      <w:textAlignment w:val="baseline"/>
    </w:pPr>
    <w:rPr>
      <w:rFonts w:ascii="宋体"/>
      <w:sz w:val="28"/>
      <w:szCs w:val="24"/>
    </w:rPr>
  </w:style>
  <w:style w:type="paragraph" w:customStyle="1" w:styleId="181">
    <w:name w:val="xl51"/>
    <w:basedOn w:val="1"/>
    <w:qFormat/>
    <w:uiPriority w:val="0"/>
    <w:pPr>
      <w:widowControl/>
      <w:pBdr>
        <w:bottom w:val="single" w:color="auto" w:sz="4" w:space="0"/>
      </w:pBdr>
      <w:spacing w:before="100" w:beforeAutospacing="1" w:after="100" w:afterAutospacing="1"/>
      <w:jc w:val="right"/>
      <w:textAlignment w:val="center"/>
    </w:pPr>
    <w:rPr>
      <w:rFonts w:ascii="Arial Unicode MS" w:hAnsi="Arial Unicode MS" w:eastAsia="Arial Unicode MS" w:cs="Arial Unicode MS"/>
      <w:kern w:val="0"/>
      <w:sz w:val="20"/>
      <w:szCs w:val="20"/>
    </w:rPr>
  </w:style>
  <w:style w:type="paragraph" w:customStyle="1" w:styleId="182">
    <w:name w:val="表标题3.1"/>
    <w:basedOn w:val="1"/>
    <w:qFormat/>
    <w:uiPriority w:val="0"/>
    <w:pPr>
      <w:tabs>
        <w:tab w:val="left" w:pos="1280"/>
      </w:tabs>
      <w:spacing w:before="240" w:line="0" w:lineRule="atLeast"/>
      <w:jc w:val="center"/>
    </w:pPr>
    <w:rPr>
      <w:rFonts w:eastAsia="黑体"/>
      <w:b/>
      <w:sz w:val="24"/>
    </w:rPr>
  </w:style>
  <w:style w:type="paragraph" w:customStyle="1" w:styleId="183">
    <w:name w:val="xl77"/>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84">
    <w:name w:val="cucd-0 Char"/>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paragraph" w:customStyle="1" w:styleId="185">
    <w:name w:val="font9"/>
    <w:basedOn w:val="1"/>
    <w:qFormat/>
    <w:uiPriority w:val="0"/>
    <w:pPr>
      <w:widowControl/>
      <w:spacing w:before="100" w:beforeAutospacing="1" w:after="100" w:afterAutospacing="1"/>
      <w:jc w:val="left"/>
    </w:pPr>
    <w:rPr>
      <w:rFonts w:hint="eastAsia" w:ascii="宋体" w:hAnsi="宋体" w:cs="Arial Unicode MS"/>
      <w:b/>
      <w:bCs/>
      <w:kern w:val="0"/>
      <w:sz w:val="36"/>
      <w:szCs w:val="36"/>
    </w:rPr>
  </w:style>
  <w:style w:type="paragraph" w:customStyle="1" w:styleId="186">
    <w:name w:val="xl108"/>
    <w:basedOn w:val="1"/>
    <w:qFormat/>
    <w:uiPriority w:val="0"/>
    <w:pPr>
      <w:widowControl/>
      <w:pBdr>
        <w:bottom w:val="single" w:color="auto" w:sz="4" w:space="0"/>
        <w:right w:val="single" w:color="auto" w:sz="8" w:space="0"/>
      </w:pBdr>
      <w:spacing w:before="100" w:beforeAutospacing="1" w:after="100" w:afterAutospacing="1"/>
      <w:jc w:val="right"/>
      <w:textAlignment w:val="center"/>
    </w:pPr>
    <w:rPr>
      <w:rFonts w:ascii="Arial Unicode MS" w:hAnsi="Arial Unicode MS" w:eastAsia="Arial Unicode MS" w:cs="Arial Unicode MS"/>
      <w:color w:val="000000"/>
      <w:kern w:val="0"/>
      <w:sz w:val="18"/>
      <w:szCs w:val="18"/>
    </w:rPr>
  </w:style>
  <w:style w:type="paragraph" w:customStyle="1" w:styleId="187">
    <w:name w:val="xl105"/>
    <w:basedOn w:val="1"/>
    <w:qFormat/>
    <w:uiPriority w:val="0"/>
    <w:pPr>
      <w:widowControl/>
      <w:pBdr>
        <w:top w:val="single" w:color="auto" w:sz="4" w:space="0"/>
        <w:left w:val="single" w:color="auto" w:sz="8"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b/>
      <w:bCs/>
      <w:kern w:val="0"/>
      <w:sz w:val="20"/>
      <w:szCs w:val="20"/>
    </w:rPr>
  </w:style>
  <w:style w:type="paragraph" w:customStyle="1" w:styleId="188">
    <w:name w:val="五级条标题"/>
    <w:basedOn w:val="1"/>
    <w:next w:val="1"/>
    <w:qFormat/>
    <w:uiPriority w:val="0"/>
    <w:pPr>
      <w:widowControl/>
      <w:tabs>
        <w:tab w:val="left" w:pos="570"/>
      </w:tabs>
      <w:outlineLvl w:val="6"/>
    </w:pPr>
    <w:rPr>
      <w:rFonts w:ascii="黑体" w:eastAsia="黑体"/>
      <w:kern w:val="0"/>
      <w:szCs w:val="20"/>
    </w:rPr>
  </w:style>
  <w:style w:type="paragraph" w:customStyle="1" w:styleId="189">
    <w:name w:val="layer2"/>
    <w:basedOn w:val="1"/>
    <w:next w:val="18"/>
    <w:qFormat/>
    <w:uiPriority w:val="0"/>
    <w:pPr>
      <w:tabs>
        <w:tab w:val="left" w:pos="720"/>
      </w:tabs>
      <w:spacing w:before="120" w:after="120" w:line="300" w:lineRule="auto"/>
      <w:ind w:left="567" w:hanging="567"/>
      <w:jc w:val="left"/>
    </w:pPr>
    <w:rPr>
      <w:rFonts w:eastAsia="黑体"/>
      <w:sz w:val="36"/>
      <w:szCs w:val="20"/>
    </w:rPr>
  </w:style>
  <w:style w:type="paragraph" w:customStyle="1" w:styleId="190">
    <w:name w:val="xl68"/>
    <w:basedOn w:val="1"/>
    <w:qFormat/>
    <w:uiPriority w:val="0"/>
    <w:pPr>
      <w:widowControl/>
      <w:spacing w:before="100" w:beforeAutospacing="1" w:after="100" w:afterAutospacing="1"/>
      <w:jc w:val="right"/>
      <w:textAlignment w:val="center"/>
    </w:pPr>
    <w:rPr>
      <w:rFonts w:ascii="Arial Unicode MS" w:hAnsi="Arial Unicode MS" w:eastAsia="Arial Unicode MS" w:cs="Arial Unicode MS"/>
      <w:kern w:val="0"/>
      <w:sz w:val="24"/>
    </w:rPr>
  </w:style>
  <w:style w:type="paragraph" w:customStyle="1" w:styleId="191">
    <w:name w:val="表格2"/>
    <w:basedOn w:val="1"/>
    <w:qFormat/>
    <w:uiPriority w:val="0"/>
    <w:pPr>
      <w:adjustRightInd w:val="0"/>
      <w:snapToGrid w:val="0"/>
      <w:spacing w:before="156" w:beforeLines="50"/>
      <w:jc w:val="center"/>
    </w:pPr>
    <w:rPr>
      <w:rFonts w:ascii="宋体"/>
      <w:color w:val="000000"/>
      <w:kern w:val="0"/>
      <w:sz w:val="24"/>
      <w:u w:val="none" w:color="000000"/>
    </w:rPr>
  </w:style>
  <w:style w:type="paragraph" w:customStyle="1" w:styleId="192">
    <w:name w:val="xl80"/>
    <w:basedOn w:val="1"/>
    <w:qFormat/>
    <w:uiPriority w:val="0"/>
    <w:pPr>
      <w:widowControl/>
      <w:pBdr>
        <w:top w:val="single" w:color="auto" w:sz="4" w:space="0"/>
        <w:left w:val="single" w:color="auto" w:sz="8" w:space="0"/>
        <w:bottom w:val="single" w:color="auto" w:sz="4" w:space="0"/>
      </w:pBdr>
      <w:spacing w:before="100" w:beforeAutospacing="1" w:after="100" w:afterAutospacing="1"/>
      <w:jc w:val="left"/>
      <w:textAlignment w:val="center"/>
    </w:pPr>
    <w:rPr>
      <w:rFonts w:ascii="Arial Unicode MS" w:hAnsi="Arial Unicode MS" w:eastAsia="Arial Unicode MS" w:cs="Arial Unicode MS"/>
      <w:color w:val="000000"/>
      <w:kern w:val="0"/>
      <w:sz w:val="20"/>
      <w:szCs w:val="20"/>
    </w:rPr>
  </w:style>
  <w:style w:type="paragraph" w:customStyle="1" w:styleId="193">
    <w:name w:val="样式9"/>
    <w:basedOn w:val="154"/>
    <w:qFormat/>
    <w:uiPriority w:val="0"/>
  </w:style>
  <w:style w:type="paragraph" w:customStyle="1" w:styleId="194">
    <w:name w:val="xl46"/>
    <w:basedOn w:val="1"/>
    <w:qFormat/>
    <w:uiPriority w:val="0"/>
    <w:pPr>
      <w:widowControl/>
      <w:pBdr>
        <w:top w:val="single" w:color="auto" w:sz="8" w:space="0"/>
        <w:right w:val="single" w:color="auto" w:sz="8" w:space="0"/>
      </w:pBdr>
      <w:spacing w:before="100" w:beforeAutospacing="1" w:after="100" w:afterAutospacing="1"/>
      <w:jc w:val="right"/>
      <w:textAlignment w:val="center"/>
    </w:pPr>
    <w:rPr>
      <w:rFonts w:ascii="Arial Unicode MS" w:hAnsi="Arial Unicode MS" w:eastAsia="Arial Unicode MS" w:cs="Arial Unicode MS"/>
      <w:kern w:val="0"/>
      <w:sz w:val="18"/>
      <w:szCs w:val="18"/>
    </w:rPr>
  </w:style>
  <w:style w:type="paragraph" w:customStyle="1" w:styleId="195">
    <w:name w:val="默认段落字体 Para Char Char Char Char Char Char Char"/>
    <w:basedOn w:val="1"/>
    <w:qFormat/>
    <w:uiPriority w:val="0"/>
    <w:rPr>
      <w:sz w:val="21"/>
      <w:szCs w:val="20"/>
    </w:rPr>
  </w:style>
  <w:style w:type="paragraph" w:customStyle="1" w:styleId="196">
    <w:name w:val="xl101"/>
    <w:basedOn w:val="1"/>
    <w:qFormat/>
    <w:uiPriority w:val="0"/>
    <w:pPr>
      <w:widowControl/>
      <w:pBdr>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0"/>
      <w:szCs w:val="20"/>
    </w:rPr>
  </w:style>
  <w:style w:type="paragraph" w:customStyle="1" w:styleId="197">
    <w:name w:val="xl94"/>
    <w:basedOn w:val="1"/>
    <w:qFormat/>
    <w:uiPriority w:val="0"/>
    <w:pPr>
      <w:widowControl/>
      <w:pBdr>
        <w:top w:val="single" w:color="auto" w:sz="4" w:space="0"/>
        <w:bottom w:val="single" w:color="auto" w:sz="8" w:space="0"/>
        <w:right w:val="single" w:color="auto" w:sz="8" w:space="0"/>
      </w:pBdr>
      <w:spacing w:before="100" w:beforeAutospacing="1" w:after="100" w:afterAutospacing="1"/>
      <w:jc w:val="right"/>
      <w:textAlignment w:val="center"/>
    </w:pPr>
    <w:rPr>
      <w:rFonts w:ascii="Arial Unicode MS" w:hAnsi="Arial Unicode MS" w:eastAsia="Arial Unicode MS" w:cs="Arial Unicode MS"/>
      <w:kern w:val="0"/>
      <w:sz w:val="18"/>
      <w:szCs w:val="18"/>
    </w:rPr>
  </w:style>
  <w:style w:type="paragraph" w:customStyle="1" w:styleId="198">
    <w:name w:val="xl54"/>
    <w:basedOn w:val="1"/>
    <w:qFormat/>
    <w:uiPriority w:val="0"/>
    <w:pPr>
      <w:widowControl/>
      <w:pBdr>
        <w:top w:val="single" w:color="auto" w:sz="4" w:space="0"/>
        <w:left w:val="single" w:color="auto" w:sz="8"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0"/>
      <w:szCs w:val="20"/>
    </w:rPr>
  </w:style>
  <w:style w:type="paragraph" w:customStyle="1" w:styleId="199">
    <w:name w:val="样式 标题 1H1TPHead1H11H12H13H14H15H16H17H18 + 居中"/>
    <w:basedOn w:val="3"/>
    <w:qFormat/>
    <w:uiPriority w:val="0"/>
    <w:pPr>
      <w:keepNext w:val="0"/>
      <w:keepLines w:val="0"/>
      <w:pageBreakBefore/>
      <w:spacing w:before="0" w:after="0" w:line="240" w:lineRule="auto"/>
      <w:ind w:left="432" w:hanging="432"/>
      <w:jc w:val="center"/>
    </w:pPr>
    <w:rPr>
      <w:rFonts w:ascii="黑体" w:eastAsia="黑体" w:cs="宋体"/>
      <w:sz w:val="36"/>
      <w:szCs w:val="36"/>
    </w:rPr>
  </w:style>
  <w:style w:type="paragraph" w:customStyle="1" w:styleId="200">
    <w:name w:val="表标题3.2"/>
    <w:basedOn w:val="1"/>
    <w:qFormat/>
    <w:uiPriority w:val="0"/>
    <w:pPr>
      <w:tabs>
        <w:tab w:val="left" w:pos="1280"/>
      </w:tabs>
      <w:spacing w:before="240" w:beforeLines="100" w:line="0" w:lineRule="atLeast"/>
      <w:ind w:left="1280" w:hanging="720"/>
    </w:pPr>
    <w:rPr>
      <w:rFonts w:eastAsia="黑体"/>
      <w:b/>
      <w:sz w:val="24"/>
    </w:rPr>
  </w:style>
  <w:style w:type="paragraph" w:customStyle="1" w:styleId="201">
    <w:name w:val="xl61"/>
    <w:basedOn w:val="1"/>
    <w:qFormat/>
    <w:uiPriority w:val="0"/>
    <w:pPr>
      <w:widowControl/>
      <w:pBdr>
        <w:bottom w:val="single" w:color="auto" w:sz="4" w:space="0"/>
      </w:pBdr>
      <w:spacing w:before="100" w:beforeAutospacing="1" w:after="100" w:afterAutospacing="1"/>
      <w:jc w:val="right"/>
      <w:textAlignment w:val="center"/>
    </w:pPr>
    <w:rPr>
      <w:rFonts w:ascii="Arial Unicode MS" w:hAnsi="Arial Unicode MS" w:eastAsia="Arial Unicode MS" w:cs="Arial Unicode MS"/>
      <w:kern w:val="0"/>
      <w:sz w:val="20"/>
      <w:szCs w:val="20"/>
    </w:rPr>
  </w:style>
  <w:style w:type="paragraph" w:customStyle="1" w:styleId="202">
    <w:name w:val="表内容"/>
    <w:basedOn w:val="1"/>
    <w:next w:val="1"/>
    <w:qFormat/>
    <w:uiPriority w:val="0"/>
    <w:pPr>
      <w:spacing w:line="320" w:lineRule="exact"/>
      <w:jc w:val="center"/>
    </w:pPr>
    <w:rPr>
      <w:szCs w:val="20"/>
    </w:rPr>
  </w:style>
  <w:style w:type="paragraph" w:customStyle="1" w:styleId="203">
    <w:name w:val="p0"/>
    <w:basedOn w:val="1"/>
    <w:qFormat/>
    <w:uiPriority w:val="0"/>
    <w:pPr>
      <w:widowControl/>
    </w:pPr>
    <w:rPr>
      <w:kern w:val="0"/>
      <w:szCs w:val="21"/>
    </w:rPr>
  </w:style>
  <w:style w:type="paragraph" w:customStyle="1" w:styleId="204">
    <w:name w:val="xl60"/>
    <w:basedOn w:val="1"/>
    <w:qFormat/>
    <w:uiPriority w:val="0"/>
    <w:pPr>
      <w:widowControl/>
      <w:spacing w:before="100" w:beforeAutospacing="1" w:after="100" w:afterAutospacing="1"/>
      <w:jc w:val="right"/>
      <w:textAlignment w:val="center"/>
    </w:pPr>
    <w:rPr>
      <w:rFonts w:eastAsia="Arial Unicode MS"/>
      <w:kern w:val="0"/>
      <w:sz w:val="18"/>
      <w:szCs w:val="18"/>
    </w:rPr>
  </w:style>
  <w:style w:type="paragraph" w:customStyle="1" w:styleId="205">
    <w:name w:val="xl85"/>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206">
    <w:name w:val="表标题3.4"/>
    <w:basedOn w:val="1"/>
    <w:qFormat/>
    <w:uiPriority w:val="0"/>
    <w:pPr>
      <w:tabs>
        <w:tab w:val="left" w:pos="720"/>
      </w:tabs>
      <w:spacing w:before="100" w:beforeLines="100" w:line="0" w:lineRule="atLeast"/>
      <w:ind w:left="284" w:firstLine="6"/>
    </w:pPr>
    <w:rPr>
      <w:rFonts w:eastAsia="黑体"/>
      <w:b/>
      <w:sz w:val="24"/>
    </w:rPr>
  </w:style>
  <w:style w:type="paragraph" w:customStyle="1" w:styleId="207">
    <w:name w:val="xl70"/>
    <w:basedOn w:val="1"/>
    <w:qFormat/>
    <w:uiPriority w:val="0"/>
    <w:pPr>
      <w:widowControl/>
      <w:spacing w:before="100" w:beforeAutospacing="1" w:after="100" w:afterAutospacing="1"/>
      <w:jc w:val="left"/>
      <w:textAlignment w:val="center"/>
    </w:pPr>
    <w:rPr>
      <w:rFonts w:eastAsia="Arial Unicode MS"/>
      <w:kern w:val="0"/>
      <w:sz w:val="18"/>
      <w:szCs w:val="18"/>
    </w:rPr>
  </w:style>
  <w:style w:type="paragraph" w:customStyle="1" w:styleId="208">
    <w:name w:val="xl73"/>
    <w:basedOn w:val="1"/>
    <w:qFormat/>
    <w:uiPriority w:val="0"/>
    <w:pPr>
      <w:widowControl/>
      <w:spacing w:before="100" w:beforeAutospacing="1" w:after="100" w:afterAutospacing="1"/>
      <w:jc w:val="right"/>
      <w:textAlignment w:val="center"/>
    </w:pPr>
    <w:rPr>
      <w:rFonts w:eastAsia="Arial Unicode MS"/>
      <w:kern w:val="0"/>
      <w:sz w:val="20"/>
      <w:szCs w:val="20"/>
    </w:rPr>
  </w:style>
  <w:style w:type="paragraph" w:customStyle="1" w:styleId="209">
    <w:name w:val="表 头"/>
    <w:basedOn w:val="1"/>
    <w:qFormat/>
    <w:uiPriority w:val="0"/>
    <w:pPr>
      <w:tabs>
        <w:tab w:val="left" w:pos="1418"/>
      </w:tabs>
      <w:adjustRightInd w:val="0"/>
      <w:spacing w:before="120" w:after="120" w:line="360" w:lineRule="atLeast"/>
      <w:ind w:right="-120"/>
      <w:jc w:val="center"/>
    </w:pPr>
    <w:rPr>
      <w:rFonts w:ascii="Arial" w:cs="Arial"/>
      <w:color w:val="000000"/>
      <w:kern w:val="0"/>
      <w:sz w:val="24"/>
    </w:rPr>
  </w:style>
  <w:style w:type="paragraph" w:customStyle="1" w:styleId="210">
    <w:name w:val="环保表内字（小五）"/>
    <w:basedOn w:val="110"/>
    <w:qFormat/>
    <w:uiPriority w:val="0"/>
    <w:pPr>
      <w:spacing w:before="100" w:beforeAutospacing="1" w:line="360" w:lineRule="exact"/>
      <w:jc w:val="center"/>
    </w:pPr>
    <w:rPr>
      <w:color w:val="000000"/>
      <w:szCs w:val="21"/>
    </w:rPr>
  </w:style>
  <w:style w:type="paragraph" w:customStyle="1" w:styleId="211">
    <w:name w:val="xl38"/>
    <w:basedOn w:val="1"/>
    <w:qFormat/>
    <w:uiPriority w:val="0"/>
    <w:pPr>
      <w:widowControl/>
      <w:pBdr>
        <w:bottom w:val="single" w:color="auto" w:sz="4" w:space="0"/>
      </w:pBdr>
      <w:spacing w:before="100" w:beforeAutospacing="1" w:after="100" w:afterAutospacing="1"/>
      <w:jc w:val="right"/>
      <w:textAlignment w:val="center"/>
    </w:pPr>
    <w:rPr>
      <w:rFonts w:ascii="Arial Unicode MS" w:hAnsi="Arial Unicode MS" w:eastAsia="Arial Unicode MS" w:cs="Arial Unicode MS"/>
      <w:kern w:val="0"/>
      <w:sz w:val="18"/>
      <w:szCs w:val="18"/>
    </w:rPr>
  </w:style>
  <w:style w:type="paragraph" w:customStyle="1" w:styleId="212">
    <w:name w:val="样式 标题 4 + (中文) 宋体 四号 行距: 1.5 倍行距"/>
    <w:basedOn w:val="7"/>
    <w:qFormat/>
    <w:uiPriority w:val="0"/>
    <w:pPr>
      <w:spacing w:line="360" w:lineRule="auto"/>
      <w:jc w:val="left"/>
    </w:pPr>
    <w:rPr>
      <w:rFonts w:ascii="Arial Narrow" w:hAnsi="Arial Narrow" w:eastAsia="楷体_GB2312"/>
      <w:color w:val="000000"/>
      <w:sz w:val="28"/>
    </w:rPr>
  </w:style>
  <w:style w:type="paragraph" w:customStyle="1" w:styleId="213">
    <w:name w:val="备注"/>
    <w:basedOn w:val="2"/>
    <w:qFormat/>
    <w:uiPriority w:val="0"/>
    <w:pPr>
      <w:keepNext/>
      <w:widowControl/>
      <w:tabs>
        <w:tab w:val="left" w:pos="628"/>
        <w:tab w:val="left" w:pos="1727"/>
        <w:tab w:val="left" w:pos="1884"/>
        <w:tab w:val="left" w:pos="4900"/>
      </w:tabs>
      <w:snapToGrid w:val="0"/>
      <w:spacing w:line="0" w:lineRule="atLeast"/>
      <w:ind w:firstLine="0"/>
      <w:textAlignment w:val="auto"/>
    </w:pPr>
    <w:rPr>
      <w:rFonts w:ascii="宋体" w:hAnsi="宋体" w:cs="Arial"/>
      <w:sz w:val="18"/>
      <w:szCs w:val="18"/>
    </w:rPr>
  </w:style>
  <w:style w:type="paragraph" w:customStyle="1" w:styleId="214">
    <w:name w:val="样式 标题 3 + (中文) 宋体 左侧:  0 厘米 首行缩进:  0 厘米 段前: 3 磅 段后: 3 磅"/>
    <w:basedOn w:val="5"/>
    <w:qFormat/>
    <w:uiPriority w:val="0"/>
    <w:pPr>
      <w:keepNext w:val="0"/>
      <w:keepLines w:val="0"/>
      <w:numPr>
        <w:ilvl w:val="2"/>
        <w:numId w:val="0"/>
      </w:numPr>
      <w:snapToGrid w:val="0"/>
      <w:spacing w:line="360" w:lineRule="auto"/>
      <w:jc w:val="left"/>
    </w:pPr>
    <w:rPr>
      <w:rFonts w:ascii="宋体" w:hAnsi="宋体" w:eastAsia="黑体"/>
      <w:sz w:val="28"/>
      <w:szCs w:val="30"/>
    </w:rPr>
  </w:style>
  <w:style w:type="paragraph" w:customStyle="1" w:styleId="215">
    <w:name w:val="标题16.1.1.1"/>
    <w:basedOn w:val="7"/>
    <w:qFormat/>
    <w:uiPriority w:val="0"/>
    <w:pPr>
      <w:numPr>
        <w:ilvl w:val="3"/>
        <w:numId w:val="6"/>
      </w:numPr>
      <w:spacing w:before="120" w:after="120" w:line="312" w:lineRule="auto"/>
    </w:pPr>
    <w:rPr>
      <w:rFonts w:ascii="Arial" w:hAnsi="Arial" w:eastAsia="黑体"/>
      <w:b/>
      <w:bCs/>
      <w:szCs w:val="24"/>
    </w:rPr>
  </w:style>
  <w:style w:type="paragraph" w:customStyle="1" w:styleId="216">
    <w:name w:val="ooo"/>
    <w:basedOn w:val="1"/>
    <w:qFormat/>
    <w:uiPriority w:val="0"/>
    <w:pPr>
      <w:spacing w:line="500" w:lineRule="atLeast"/>
      <w:ind w:firstLine="567"/>
    </w:pPr>
    <w:rPr>
      <w:sz w:val="28"/>
      <w:szCs w:val="20"/>
    </w:rPr>
  </w:style>
  <w:style w:type="paragraph" w:customStyle="1" w:styleId="217">
    <w:name w:val="xl111"/>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218">
    <w:name w:val="xl27"/>
    <w:basedOn w:val="1"/>
    <w:qFormat/>
    <w:uiPriority w:val="0"/>
    <w:pPr>
      <w:widowControl/>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219">
    <w:name w:val="xl66"/>
    <w:basedOn w:val="1"/>
    <w:qFormat/>
    <w:uiPriority w:val="0"/>
    <w:pPr>
      <w:widowControl/>
      <w:spacing w:before="100" w:beforeAutospacing="1" w:after="100" w:afterAutospacing="1"/>
      <w:jc w:val="right"/>
      <w:textAlignment w:val="center"/>
    </w:pPr>
    <w:rPr>
      <w:rFonts w:ascii="Arial Unicode MS" w:hAnsi="Arial Unicode MS" w:eastAsia="Arial Unicode MS" w:cs="Arial Unicode MS"/>
      <w:kern w:val="0"/>
      <w:sz w:val="24"/>
    </w:rPr>
  </w:style>
  <w:style w:type="paragraph" w:customStyle="1" w:styleId="220">
    <w:name w:val="框图"/>
    <w:basedOn w:val="1"/>
    <w:qFormat/>
    <w:uiPriority w:val="0"/>
    <w:pPr>
      <w:tabs>
        <w:tab w:val="left" w:pos="2408"/>
      </w:tabs>
      <w:adjustRightInd w:val="0"/>
      <w:snapToGrid w:val="0"/>
      <w:spacing w:line="300" w:lineRule="auto"/>
      <w:ind w:right="-147"/>
      <w:jc w:val="left"/>
    </w:pPr>
    <w:rPr>
      <w:rFonts w:ascii="宋体" w:hAnsi="宋体"/>
      <w:sz w:val="10"/>
      <w:szCs w:val="20"/>
    </w:rPr>
  </w:style>
  <w:style w:type="paragraph" w:customStyle="1" w:styleId="221">
    <w:name w:val="表格样式1"/>
    <w:basedOn w:val="1"/>
    <w:qFormat/>
    <w:uiPriority w:val="0"/>
    <w:pPr>
      <w:adjustRightInd w:val="0"/>
      <w:spacing w:line="20" w:lineRule="atLeast"/>
      <w:jc w:val="center"/>
      <w:textAlignment w:val="baseline"/>
    </w:pPr>
    <w:rPr>
      <w:rFonts w:ascii="宋体"/>
      <w:kern w:val="0"/>
      <w:szCs w:val="20"/>
    </w:rPr>
  </w:style>
  <w:style w:type="paragraph" w:customStyle="1" w:styleId="222">
    <w:name w:val="样式 标题 1 + 华文中宋 两端对齐 左侧:  0 厘米"/>
    <w:basedOn w:val="3"/>
    <w:qFormat/>
    <w:uiPriority w:val="0"/>
    <w:pPr>
      <w:widowControl/>
      <w:spacing w:line="240" w:lineRule="auto"/>
      <w:ind w:left="432" w:hanging="432" w:firstLineChars="200"/>
    </w:pPr>
    <w:rPr>
      <w:rFonts w:ascii="华文中宋" w:hAnsi="华文中宋" w:eastAsia="华文中宋"/>
    </w:rPr>
  </w:style>
  <w:style w:type="paragraph" w:customStyle="1" w:styleId="223">
    <w:name w:val="样式2"/>
    <w:basedOn w:val="1"/>
    <w:qFormat/>
    <w:uiPriority w:val="0"/>
    <w:pPr>
      <w:spacing w:line="360" w:lineRule="auto"/>
    </w:pPr>
    <w:rPr>
      <w:kern w:val="0"/>
      <w:sz w:val="28"/>
      <w:szCs w:val="20"/>
    </w:rPr>
  </w:style>
  <w:style w:type="paragraph" w:customStyle="1" w:styleId="224">
    <w:name w:val="xl58"/>
    <w:basedOn w:val="1"/>
    <w:qFormat/>
    <w:uiPriority w:val="0"/>
    <w:pPr>
      <w:widowControl/>
      <w:pBdr>
        <w:top w:val="single" w:color="auto" w:sz="8" w:space="0"/>
        <w:right w:val="single" w:color="auto" w:sz="8" w:space="0"/>
      </w:pBdr>
      <w:spacing w:before="100" w:beforeAutospacing="1" w:after="100" w:afterAutospacing="1"/>
      <w:jc w:val="right"/>
      <w:textAlignment w:val="center"/>
    </w:pPr>
    <w:rPr>
      <w:rFonts w:ascii="Arial Unicode MS" w:hAnsi="Arial Unicode MS" w:eastAsia="Arial Unicode MS" w:cs="Arial Unicode MS"/>
      <w:kern w:val="0"/>
      <w:sz w:val="20"/>
      <w:szCs w:val="20"/>
    </w:rPr>
  </w:style>
  <w:style w:type="paragraph" w:customStyle="1" w:styleId="225">
    <w:name w:val="xl45"/>
    <w:basedOn w:val="1"/>
    <w:qFormat/>
    <w:uiPriority w:val="0"/>
    <w:pPr>
      <w:widowControl/>
      <w:spacing w:before="100" w:beforeAutospacing="1" w:after="100" w:afterAutospacing="1"/>
      <w:jc w:val="right"/>
      <w:textAlignment w:val="center"/>
    </w:pPr>
    <w:rPr>
      <w:rFonts w:ascii="Arial Unicode MS" w:hAnsi="Arial Unicode MS" w:eastAsia="Arial Unicode MS" w:cs="Arial Unicode MS"/>
      <w:kern w:val="0"/>
      <w:sz w:val="28"/>
      <w:szCs w:val="28"/>
    </w:rPr>
  </w:style>
  <w:style w:type="paragraph" w:customStyle="1" w:styleId="226">
    <w:name w:val="xl110"/>
    <w:basedOn w:val="1"/>
    <w:qFormat/>
    <w:uiPriority w:val="0"/>
    <w:pPr>
      <w:widowControl/>
      <w:pBdr>
        <w:bottom w:val="single" w:color="auto" w:sz="8" w:space="0"/>
      </w:pBdr>
      <w:spacing w:before="100" w:beforeAutospacing="1" w:after="100" w:afterAutospacing="1"/>
      <w:jc w:val="right"/>
      <w:textAlignment w:val="center"/>
    </w:pPr>
    <w:rPr>
      <w:rFonts w:ascii="Arial Unicode MS" w:hAnsi="Arial Unicode MS" w:eastAsia="Arial Unicode MS" w:cs="Arial Unicode MS"/>
      <w:kern w:val="0"/>
      <w:sz w:val="20"/>
      <w:szCs w:val="20"/>
    </w:rPr>
  </w:style>
  <w:style w:type="paragraph" w:customStyle="1" w:styleId="227">
    <w:name w:val="xl99"/>
    <w:basedOn w:val="1"/>
    <w:qFormat/>
    <w:uiPriority w:val="0"/>
    <w:pPr>
      <w:widowControl/>
      <w:pBdr>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28">
    <w:name w:val="正文（永和）"/>
    <w:qFormat/>
    <w:uiPriority w:val="0"/>
    <w:pPr>
      <w:spacing w:line="360" w:lineRule="auto"/>
      <w:ind w:firstLine="200" w:firstLineChars="200"/>
      <w:jc w:val="both"/>
    </w:pPr>
    <w:rPr>
      <w:rFonts w:ascii="Times New Roman" w:hAnsi="Times New Roman" w:eastAsia="宋体" w:cs="Times New Roman"/>
      <w:bCs/>
      <w:kern w:val="2"/>
      <w:sz w:val="28"/>
      <w:szCs w:val="28"/>
      <w:lang w:val="en-US" w:eastAsia="zh-CN" w:bidi="ar-SA"/>
    </w:rPr>
  </w:style>
  <w:style w:type="paragraph" w:customStyle="1" w:styleId="229">
    <w:name w:val="样式 左侧:  0.74 厘米"/>
    <w:basedOn w:val="1"/>
    <w:qFormat/>
    <w:uiPriority w:val="0"/>
    <w:rPr>
      <w:rFonts w:cs="宋体"/>
      <w:szCs w:val="20"/>
    </w:rPr>
  </w:style>
  <w:style w:type="paragraph" w:customStyle="1" w:styleId="230">
    <w:name w:val="正文首行不缩进"/>
    <w:basedOn w:val="1"/>
    <w:qFormat/>
    <w:uiPriority w:val="0"/>
    <w:pPr>
      <w:adjustRightInd w:val="0"/>
      <w:snapToGrid w:val="0"/>
      <w:spacing w:line="300" w:lineRule="auto"/>
      <w:ind w:right="-34"/>
      <w:jc w:val="left"/>
    </w:pPr>
    <w:rPr>
      <w:rFonts w:ascii="Arial Narrow" w:hAnsi="Arial Narrow"/>
      <w:snapToGrid w:val="0"/>
      <w:color w:val="000000"/>
      <w:kern w:val="0"/>
      <w:sz w:val="28"/>
    </w:rPr>
  </w:style>
  <w:style w:type="paragraph" w:customStyle="1" w:styleId="231">
    <w:name w:val="表体"/>
    <w:basedOn w:val="24"/>
    <w:qFormat/>
    <w:uiPriority w:val="0"/>
    <w:pPr>
      <w:spacing w:after="0" w:line="280" w:lineRule="exact"/>
      <w:jc w:val="center"/>
    </w:pPr>
    <w:rPr>
      <w:rFonts w:ascii="宋体" w:hAnsi="宋体"/>
      <w:sz w:val="18"/>
      <w:szCs w:val="20"/>
    </w:rPr>
  </w:style>
  <w:style w:type="paragraph" w:customStyle="1" w:styleId="232">
    <w:name w:val="Body Text Indent 2"/>
    <w:basedOn w:val="1"/>
    <w:qFormat/>
    <w:uiPriority w:val="0"/>
    <w:pPr>
      <w:spacing w:after="120" w:line="480" w:lineRule="auto"/>
      <w:ind w:left="420" w:leftChars="200"/>
    </w:pPr>
    <w:rPr>
      <w:rFonts w:ascii="Calibri" w:hAnsi="Calibri" w:cs="Calibri"/>
      <w:sz w:val="21"/>
    </w:rPr>
  </w:style>
  <w:style w:type="paragraph" w:customStyle="1" w:styleId="233">
    <w:name w:val="正文首行缩进1"/>
    <w:basedOn w:val="1"/>
    <w:next w:val="1"/>
    <w:qFormat/>
    <w:uiPriority w:val="0"/>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jc w:val="left"/>
      <w:textAlignment w:val="baseline"/>
    </w:pPr>
    <w:rPr>
      <w:color w:val="000000"/>
      <w:kern w:val="0"/>
      <w:sz w:val="28"/>
    </w:rPr>
  </w:style>
  <w:style w:type="paragraph" w:customStyle="1" w:styleId="234">
    <w:name w:val="a"/>
    <w:basedOn w:val="1"/>
    <w:qFormat/>
    <w:uiPriority w:val="0"/>
    <w:pPr>
      <w:widowControl/>
      <w:spacing w:before="100" w:beforeAutospacing="1" w:after="100" w:afterAutospacing="1"/>
      <w:jc w:val="left"/>
    </w:pPr>
    <w:rPr>
      <w:rFonts w:ascii="宋体" w:hAnsi="宋体" w:cs="宋体"/>
      <w:kern w:val="0"/>
      <w:sz w:val="24"/>
    </w:rPr>
  </w:style>
  <w:style w:type="paragraph" w:customStyle="1" w:styleId="235">
    <w:name w:val="xl103"/>
    <w:basedOn w:val="1"/>
    <w:qFormat/>
    <w:uiPriority w:val="0"/>
    <w:pPr>
      <w:widowControl/>
      <w:pBdr>
        <w:bottom w:val="single" w:color="auto" w:sz="4" w:space="0"/>
        <w:right w:val="single" w:color="auto" w:sz="8" w:space="0"/>
      </w:pBdr>
      <w:spacing w:before="100" w:beforeAutospacing="1" w:after="100" w:afterAutospacing="1"/>
      <w:jc w:val="right"/>
      <w:textAlignment w:val="center"/>
    </w:pPr>
    <w:rPr>
      <w:rFonts w:eastAsia="Arial Unicode MS"/>
      <w:kern w:val="0"/>
      <w:sz w:val="18"/>
      <w:szCs w:val="18"/>
    </w:rPr>
  </w:style>
  <w:style w:type="paragraph" w:customStyle="1" w:styleId="236">
    <w:name w:val="文字缩"/>
    <w:basedOn w:val="1"/>
    <w:qFormat/>
    <w:uiPriority w:val="0"/>
    <w:pPr>
      <w:autoSpaceDE w:val="0"/>
      <w:autoSpaceDN w:val="0"/>
      <w:adjustRightInd w:val="0"/>
      <w:snapToGrid w:val="0"/>
      <w:spacing w:line="480" w:lineRule="atLeast"/>
      <w:ind w:firstLine="200" w:firstLineChars="200"/>
      <w:jc w:val="left"/>
    </w:pPr>
    <w:rPr>
      <w:rFonts w:ascii="宋体"/>
      <w:snapToGrid w:val="0"/>
      <w:spacing w:val="6"/>
      <w:kern w:val="0"/>
      <w:sz w:val="24"/>
      <w:szCs w:val="20"/>
    </w:rPr>
  </w:style>
  <w:style w:type="paragraph" w:customStyle="1" w:styleId="237">
    <w:name w:val="layer4"/>
    <w:basedOn w:val="18"/>
    <w:next w:val="18"/>
    <w:qFormat/>
    <w:uiPriority w:val="0"/>
    <w:pPr>
      <w:tabs>
        <w:tab w:val="left" w:pos="1440"/>
      </w:tabs>
      <w:spacing w:before="120" w:after="120" w:line="300" w:lineRule="auto"/>
      <w:ind w:left="851" w:hanging="851" w:firstLineChars="0"/>
      <w:jc w:val="left"/>
    </w:pPr>
    <w:rPr>
      <w:rFonts w:eastAsia="楷体_GB2312"/>
      <w:color w:val="auto"/>
      <w:sz w:val="30"/>
      <w:szCs w:val="20"/>
    </w:rPr>
  </w:style>
  <w:style w:type="paragraph" w:customStyle="1" w:styleId="238">
    <w:name w:val="报告正文"/>
    <w:basedOn w:val="1"/>
    <w:qFormat/>
    <w:uiPriority w:val="0"/>
    <w:pPr>
      <w:adjustRightInd w:val="0"/>
      <w:snapToGrid w:val="0"/>
      <w:spacing w:line="300" w:lineRule="auto"/>
    </w:pPr>
    <w:rPr>
      <w:rFonts w:ascii="宋体"/>
      <w:sz w:val="28"/>
      <w:szCs w:val="20"/>
    </w:rPr>
  </w:style>
  <w:style w:type="paragraph" w:customStyle="1" w:styleId="239">
    <w:name w:val="xl67"/>
    <w:basedOn w:val="1"/>
    <w:qFormat/>
    <w:uiPriority w:val="0"/>
    <w:pPr>
      <w:widowControl/>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240">
    <w:name w:val="样式 四号 行距: 固定值 25 磅"/>
    <w:basedOn w:val="1"/>
    <w:qFormat/>
    <w:uiPriority w:val="0"/>
    <w:pPr>
      <w:spacing w:line="500" w:lineRule="exact"/>
      <w:ind w:firstLine="560" w:firstLineChars="200"/>
    </w:pPr>
    <w:rPr>
      <w:sz w:val="28"/>
      <w:szCs w:val="20"/>
    </w:rPr>
  </w:style>
  <w:style w:type="paragraph" w:customStyle="1" w:styleId="241">
    <w:name w:val="xl93"/>
    <w:basedOn w:val="1"/>
    <w:qFormat/>
    <w:uiPriority w:val="0"/>
    <w:pPr>
      <w:widowControl/>
      <w:pBdr>
        <w:top w:val="single" w:color="auto" w:sz="4" w:space="0"/>
        <w:bottom w:val="single" w:color="auto" w:sz="8" w:space="0"/>
      </w:pBdr>
      <w:spacing w:before="100" w:beforeAutospacing="1" w:after="100" w:afterAutospacing="1"/>
      <w:jc w:val="left"/>
      <w:textAlignment w:val="center"/>
    </w:pPr>
    <w:rPr>
      <w:rFonts w:ascii="Arial Unicode MS" w:hAnsi="Arial Unicode MS" w:eastAsia="Arial Unicode MS" w:cs="Arial Unicode MS"/>
      <w:kern w:val="0"/>
      <w:sz w:val="20"/>
      <w:szCs w:val="20"/>
    </w:rPr>
  </w:style>
  <w:style w:type="paragraph" w:customStyle="1" w:styleId="242">
    <w:name w:val="xl84"/>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243">
    <w:name w:val="TableText"/>
    <w:qFormat/>
    <w:uiPriority w:val="0"/>
    <w:pPr>
      <w:jc w:val="center"/>
    </w:pPr>
    <w:rPr>
      <w:rFonts w:ascii="Times New Roman" w:hAnsi="Times New Roman" w:eastAsia="宋体" w:cs="Times New Roman"/>
      <w:kern w:val="2"/>
      <w:sz w:val="21"/>
      <w:szCs w:val="24"/>
      <w:lang w:val="en-US" w:eastAsia="zh-CN" w:bidi="ar-SA"/>
    </w:rPr>
  </w:style>
  <w:style w:type="paragraph" w:customStyle="1" w:styleId="244">
    <w:name w:val="表中文字"/>
    <w:basedOn w:val="1"/>
    <w:qFormat/>
    <w:uiPriority w:val="0"/>
    <w:pPr>
      <w:spacing w:line="240" w:lineRule="exact"/>
      <w:jc w:val="center"/>
    </w:pPr>
    <w:rPr>
      <w:rFonts w:ascii="宋体" w:hAnsi="宋体"/>
      <w:szCs w:val="20"/>
    </w:rPr>
  </w:style>
  <w:style w:type="paragraph" w:customStyle="1" w:styleId="245">
    <w:name w:val="xl25"/>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46">
    <w:name w:val="xl116"/>
    <w:basedOn w:val="1"/>
    <w:qFormat/>
    <w:uiPriority w:val="0"/>
    <w:pPr>
      <w:widowControl/>
      <w:pBdr>
        <w:top w:val="single" w:color="auto" w:sz="8" w:space="0"/>
        <w:left w:val="single" w:color="auto" w:sz="8" w:space="0"/>
        <w:bottom w:val="single" w:color="auto" w:sz="4" w:space="0"/>
        <w:right w:val="single" w:color="auto" w:sz="8" w:space="0"/>
      </w:pBdr>
      <w:spacing w:before="100" w:beforeAutospacing="1" w:after="100" w:afterAutospacing="1"/>
      <w:jc w:val="center"/>
      <w:textAlignment w:val="center"/>
    </w:pPr>
    <w:rPr>
      <w:rFonts w:eastAsia="Arial Unicode MS"/>
      <w:b/>
      <w:bCs/>
      <w:kern w:val="0"/>
      <w:sz w:val="24"/>
    </w:rPr>
  </w:style>
  <w:style w:type="paragraph" w:customStyle="1" w:styleId="247">
    <w:name w:val="1 Char"/>
    <w:basedOn w:val="1"/>
    <w:qFormat/>
    <w:uiPriority w:val="0"/>
    <w:rPr>
      <w:szCs w:val="21"/>
    </w:rPr>
  </w:style>
  <w:style w:type="paragraph" w:customStyle="1" w:styleId="248">
    <w:name w:val="正文缩"/>
    <w:basedOn w:val="1"/>
    <w:qFormat/>
    <w:uiPriority w:val="0"/>
    <w:pPr>
      <w:autoSpaceDE w:val="0"/>
      <w:autoSpaceDN w:val="0"/>
      <w:adjustRightInd w:val="0"/>
      <w:snapToGrid w:val="0"/>
      <w:spacing w:line="480" w:lineRule="atLeast"/>
      <w:ind w:firstLine="200" w:firstLineChars="200"/>
      <w:textAlignment w:val="baseline"/>
    </w:pPr>
    <w:rPr>
      <w:rFonts w:ascii="宋体"/>
      <w:snapToGrid w:val="0"/>
      <w:spacing w:val="6"/>
      <w:kern w:val="0"/>
      <w:sz w:val="28"/>
      <w:szCs w:val="20"/>
    </w:rPr>
  </w:style>
  <w:style w:type="paragraph" w:customStyle="1" w:styleId="249">
    <w:name w:val="List Paragraph"/>
    <w:basedOn w:val="1"/>
    <w:qFormat/>
    <w:uiPriority w:val="0"/>
    <w:pPr>
      <w:ind w:firstLine="420" w:firstLineChars="200"/>
    </w:pPr>
    <w:rPr>
      <w:rFonts w:ascii="Calibri" w:hAnsi="Calibri"/>
      <w:szCs w:val="22"/>
    </w:rPr>
  </w:style>
  <w:style w:type="paragraph" w:customStyle="1" w:styleId="250">
    <w:name w:val="图名，环保"/>
    <w:basedOn w:val="1"/>
    <w:next w:val="1"/>
    <w:qFormat/>
    <w:uiPriority w:val="0"/>
    <w:pPr>
      <w:spacing w:line="300" w:lineRule="auto"/>
      <w:jc w:val="center"/>
    </w:pPr>
    <w:rPr>
      <w:rFonts w:ascii="宋体" w:hAnsi="宋体"/>
      <w:b/>
      <w:kern w:val="0"/>
      <w:sz w:val="24"/>
      <w:szCs w:val="20"/>
    </w:rPr>
  </w:style>
  <w:style w:type="paragraph" w:customStyle="1" w:styleId="251">
    <w:name w:val="xl40"/>
    <w:basedOn w:val="1"/>
    <w:qFormat/>
    <w:uiPriority w:val="0"/>
    <w:pPr>
      <w:widowControl/>
      <w:spacing w:before="100" w:beforeAutospacing="1" w:after="100" w:afterAutospacing="1"/>
      <w:jc w:val="right"/>
      <w:textAlignment w:val="center"/>
    </w:pPr>
    <w:rPr>
      <w:rFonts w:ascii="Arial Unicode MS" w:hAnsi="Arial Unicode MS" w:eastAsia="Arial Unicode MS" w:cs="Arial Unicode MS"/>
      <w:kern w:val="0"/>
      <w:sz w:val="18"/>
      <w:szCs w:val="18"/>
    </w:rPr>
  </w:style>
  <w:style w:type="paragraph" w:customStyle="1" w:styleId="252">
    <w:name w:val="表中字"/>
    <w:basedOn w:val="1"/>
    <w:qFormat/>
    <w:uiPriority w:val="0"/>
    <w:pPr>
      <w:jc w:val="center"/>
    </w:pPr>
    <w:rPr>
      <w:szCs w:val="20"/>
    </w:rPr>
  </w:style>
  <w:style w:type="paragraph" w:customStyle="1" w:styleId="253">
    <w:name w:val="样式 样式2 + 首行缩进:  2 字符"/>
    <w:basedOn w:val="223"/>
    <w:qFormat/>
    <w:uiPriority w:val="0"/>
    <w:pPr>
      <w:tabs>
        <w:tab w:val="right" w:leader="dot" w:pos="9061"/>
      </w:tabs>
      <w:spacing w:before="120" w:after="120" w:line="240" w:lineRule="auto"/>
      <w:ind w:firstLine="200"/>
    </w:pPr>
    <w:rPr>
      <w:rFonts w:cs="宋体"/>
      <w:b/>
      <w:caps/>
      <w:kern w:val="2"/>
      <w:sz w:val="20"/>
    </w:rPr>
  </w:style>
  <w:style w:type="paragraph" w:customStyle="1" w:styleId="254">
    <w:name w:val="font7"/>
    <w:basedOn w:val="1"/>
    <w:qFormat/>
    <w:uiPriority w:val="0"/>
    <w:pPr>
      <w:widowControl/>
      <w:spacing w:before="100" w:beforeAutospacing="1" w:after="100" w:afterAutospacing="1"/>
      <w:jc w:val="left"/>
    </w:pPr>
    <w:rPr>
      <w:rFonts w:eastAsia="Arial Unicode MS"/>
      <w:kern w:val="0"/>
      <w:sz w:val="18"/>
      <w:szCs w:val="18"/>
    </w:rPr>
  </w:style>
  <w:style w:type="paragraph" w:customStyle="1" w:styleId="255">
    <w:name w:val="xl74"/>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color w:val="FFFFFF"/>
      <w:kern w:val="0"/>
      <w:sz w:val="20"/>
      <w:szCs w:val="20"/>
    </w:rPr>
  </w:style>
  <w:style w:type="paragraph" w:customStyle="1" w:styleId="256">
    <w:name w:val="样式 环保表内字（五号） + 自动设置"/>
    <w:basedOn w:val="110"/>
    <w:qFormat/>
    <w:uiPriority w:val="0"/>
    <w:rPr>
      <w:sz w:val="21"/>
      <w:szCs w:val="21"/>
      <w:lang w:val="en-US" w:eastAsia="zh-CN"/>
    </w:rPr>
  </w:style>
  <w:style w:type="paragraph" w:customStyle="1" w:styleId="257">
    <w:name w:val="xl79"/>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0"/>
      <w:szCs w:val="20"/>
    </w:rPr>
  </w:style>
  <w:style w:type="paragraph" w:customStyle="1" w:styleId="258">
    <w:name w:val=".."/>
    <w:basedOn w:val="1"/>
    <w:next w:val="1"/>
    <w:qFormat/>
    <w:uiPriority w:val="0"/>
    <w:pPr>
      <w:autoSpaceDE w:val="0"/>
      <w:autoSpaceDN w:val="0"/>
      <w:adjustRightInd w:val="0"/>
      <w:jc w:val="left"/>
    </w:pPr>
    <w:rPr>
      <w:rFonts w:ascii="Arial" w:hAnsi="Arial"/>
      <w:kern w:val="0"/>
      <w:sz w:val="24"/>
    </w:rPr>
  </w:style>
  <w:style w:type="paragraph" w:customStyle="1" w:styleId="259">
    <w:name w:val="xl48"/>
    <w:basedOn w:val="1"/>
    <w:qFormat/>
    <w:uiPriority w:val="0"/>
    <w:pPr>
      <w:widowControl/>
      <w:pBdr>
        <w:right w:val="single" w:color="auto" w:sz="8" w:space="0"/>
      </w:pBdr>
      <w:spacing w:before="100" w:beforeAutospacing="1" w:after="100" w:afterAutospacing="1"/>
      <w:jc w:val="right"/>
      <w:textAlignment w:val="center"/>
    </w:pPr>
    <w:rPr>
      <w:rFonts w:ascii="Arial Unicode MS" w:hAnsi="Arial Unicode MS" w:eastAsia="Arial Unicode MS" w:cs="Arial Unicode MS"/>
      <w:kern w:val="0"/>
      <w:sz w:val="18"/>
      <w:szCs w:val="18"/>
    </w:rPr>
  </w:style>
  <w:style w:type="paragraph" w:customStyle="1" w:styleId="260">
    <w:name w:val="封面项目名称"/>
    <w:basedOn w:val="1"/>
    <w:qFormat/>
    <w:uiPriority w:val="0"/>
    <w:pPr>
      <w:adjustRightInd w:val="0"/>
      <w:snapToGrid w:val="0"/>
      <w:spacing w:line="300" w:lineRule="auto"/>
      <w:jc w:val="center"/>
    </w:pPr>
    <w:rPr>
      <w:rFonts w:eastAsia="黑体"/>
      <w:sz w:val="32"/>
    </w:rPr>
  </w:style>
  <w:style w:type="paragraph" w:customStyle="1" w:styleId="261">
    <w:name w:val="xl37"/>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262">
    <w:name w:val="样式 首行缩进:  2 字符"/>
    <w:basedOn w:val="1"/>
    <w:qFormat/>
    <w:uiPriority w:val="0"/>
    <w:pPr>
      <w:spacing w:line="360" w:lineRule="auto"/>
      <w:ind w:firstLine="200" w:firstLineChars="200"/>
    </w:pPr>
    <w:rPr>
      <w:sz w:val="24"/>
      <w:szCs w:val="20"/>
    </w:rPr>
  </w:style>
  <w:style w:type="paragraph" w:customStyle="1" w:styleId="263">
    <w:name w:val="xl113"/>
    <w:basedOn w:val="1"/>
    <w:qFormat/>
    <w:uiPriority w:val="0"/>
    <w:pPr>
      <w:widowControl/>
      <w:spacing w:before="100" w:beforeAutospacing="1" w:after="100" w:afterAutospacing="1"/>
      <w:jc w:val="left"/>
      <w:textAlignment w:val="center"/>
    </w:pPr>
    <w:rPr>
      <w:rFonts w:eastAsia="Arial Unicode MS"/>
      <w:kern w:val="0"/>
      <w:sz w:val="24"/>
    </w:rPr>
  </w:style>
  <w:style w:type="paragraph" w:customStyle="1" w:styleId="264">
    <w:name w:val="默认段落字体 Para Char"/>
    <w:basedOn w:val="1"/>
    <w:next w:val="1"/>
    <w:qFormat/>
    <w:uiPriority w:val="0"/>
    <w:pPr>
      <w:spacing w:line="360" w:lineRule="auto"/>
      <w:ind w:left="150" w:leftChars="150" w:firstLine="200" w:firstLineChars="200"/>
    </w:pPr>
    <w:rPr>
      <w:rFonts w:ascii="宋体" w:hAnsi="宋体" w:cs="宋体"/>
      <w:sz w:val="24"/>
    </w:rPr>
  </w:style>
  <w:style w:type="paragraph" w:customStyle="1" w:styleId="265">
    <w:name w:val="表标10.1"/>
    <w:basedOn w:val="154"/>
    <w:qFormat/>
    <w:uiPriority w:val="0"/>
    <w:pPr>
      <w:widowControl w:val="0"/>
      <w:tabs>
        <w:tab w:val="left" w:pos="840"/>
        <w:tab w:val="left" w:pos="3880"/>
        <w:tab w:val="clear" w:pos="8207"/>
      </w:tabs>
      <w:adjustRightInd/>
      <w:snapToGrid/>
      <w:spacing w:before="240" w:beforeLines="100" w:line="0" w:lineRule="atLeast"/>
      <w:ind w:left="2800"/>
      <w:textAlignment w:val="auto"/>
    </w:pPr>
    <w:rPr>
      <w:b/>
      <w:szCs w:val="24"/>
    </w:rPr>
  </w:style>
  <w:style w:type="paragraph" w:customStyle="1" w:styleId="266">
    <w:name w:val="xl63"/>
    <w:basedOn w:val="1"/>
    <w:qFormat/>
    <w:uiPriority w:val="0"/>
    <w:pPr>
      <w:widowControl/>
      <w:pBdr>
        <w:bottom w:val="single" w:color="auto" w:sz="4" w:space="0"/>
      </w:pBdr>
      <w:spacing w:before="100" w:beforeAutospacing="1" w:after="100" w:afterAutospacing="1"/>
      <w:jc w:val="right"/>
      <w:textAlignment w:val="center"/>
    </w:pPr>
    <w:rPr>
      <w:rFonts w:ascii="Arial Unicode MS" w:hAnsi="Arial Unicode MS" w:eastAsia="Arial Unicode MS" w:cs="Arial Unicode MS"/>
      <w:kern w:val="0"/>
      <w:sz w:val="18"/>
      <w:szCs w:val="18"/>
    </w:rPr>
  </w:style>
  <w:style w:type="paragraph" w:customStyle="1" w:styleId="267">
    <w:name w:val="xl62"/>
    <w:basedOn w:val="1"/>
    <w:qFormat/>
    <w:uiPriority w:val="0"/>
    <w:pPr>
      <w:widowControl/>
      <w:pBdr>
        <w:top w:val="single" w:color="auto" w:sz="4" w:space="0"/>
        <w:bottom w:val="single" w:color="auto" w:sz="4" w:space="0"/>
      </w:pBdr>
      <w:spacing w:before="100" w:beforeAutospacing="1" w:after="100" w:afterAutospacing="1"/>
      <w:jc w:val="right"/>
      <w:textAlignment w:val="center"/>
    </w:pPr>
    <w:rPr>
      <w:rFonts w:ascii="Arial Unicode MS" w:hAnsi="Arial Unicode MS" w:eastAsia="Arial Unicode MS" w:cs="Arial Unicode MS"/>
      <w:kern w:val="0"/>
      <w:sz w:val="20"/>
      <w:szCs w:val="20"/>
    </w:rPr>
  </w:style>
  <w:style w:type="paragraph" w:customStyle="1" w:styleId="268">
    <w:name w:val="xl34"/>
    <w:basedOn w:val="1"/>
    <w:qFormat/>
    <w:uiPriority w:val="0"/>
    <w:pPr>
      <w:widowControl/>
      <w:pBdr>
        <w:left w:val="single" w:color="auto" w:sz="8"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6"/>
      <w:szCs w:val="16"/>
    </w:rPr>
  </w:style>
  <w:style w:type="paragraph" w:customStyle="1" w:styleId="269">
    <w:name w:val="意见正文编号"/>
    <w:basedOn w:val="160"/>
    <w:qFormat/>
    <w:uiPriority w:val="0"/>
    <w:pPr>
      <w:outlineLvl w:val="0"/>
    </w:pPr>
    <w:rPr>
      <w:rFonts w:cs="Arial"/>
      <w:bCs/>
      <w:color w:val="FF0000"/>
    </w:rPr>
  </w:style>
  <w:style w:type="paragraph" w:customStyle="1" w:styleId="270">
    <w:name w:val="xl24"/>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271">
    <w:name w:val="_Style 2"/>
    <w:qFormat/>
    <w:uiPriority w:val="1"/>
    <w:pPr>
      <w:widowControl w:val="0"/>
      <w:jc w:val="both"/>
    </w:pPr>
    <w:rPr>
      <w:rFonts w:ascii="Calibri" w:hAnsi="Calibri" w:eastAsia="宋体" w:cs="Calibri"/>
      <w:kern w:val="2"/>
      <w:sz w:val="21"/>
      <w:szCs w:val="22"/>
      <w:lang w:val="en-US" w:eastAsia="zh-CN" w:bidi="ar-SA"/>
    </w:rPr>
  </w:style>
  <w:style w:type="paragraph" w:customStyle="1" w:styleId="272">
    <w:name w:val="xl87"/>
    <w:basedOn w:val="1"/>
    <w:qFormat/>
    <w:uiPriority w:val="0"/>
    <w:pPr>
      <w:widowControl/>
      <w:pBdr>
        <w:top w:val="single" w:color="auto" w:sz="4" w:space="0"/>
        <w:left w:val="single" w:color="auto" w:sz="8"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b/>
      <w:bCs/>
      <w:kern w:val="0"/>
      <w:sz w:val="20"/>
      <w:szCs w:val="20"/>
    </w:rPr>
  </w:style>
  <w:style w:type="paragraph" w:customStyle="1" w:styleId="273">
    <w:name w:val="xl92"/>
    <w:basedOn w:val="1"/>
    <w:qFormat/>
    <w:uiPriority w:val="0"/>
    <w:pPr>
      <w:widowControl/>
      <w:pBdr>
        <w:top w:val="single" w:color="auto" w:sz="4" w:space="0"/>
        <w:bottom w:val="single" w:color="auto" w:sz="4" w:space="0"/>
        <w:right w:val="single" w:color="auto" w:sz="8" w:space="0"/>
      </w:pBdr>
      <w:spacing w:before="100" w:beforeAutospacing="1" w:after="100" w:afterAutospacing="1"/>
      <w:jc w:val="right"/>
      <w:textAlignment w:val="center"/>
    </w:pPr>
    <w:rPr>
      <w:rFonts w:ascii="Arial Unicode MS" w:hAnsi="Arial Unicode MS" w:eastAsia="Arial Unicode MS" w:cs="Arial Unicode MS"/>
      <w:kern w:val="0"/>
      <w:sz w:val="18"/>
      <w:szCs w:val="18"/>
    </w:rPr>
  </w:style>
  <w:style w:type="paragraph" w:customStyle="1" w:styleId="274">
    <w:name w:val="表注"/>
    <w:basedOn w:val="1"/>
    <w:qFormat/>
    <w:uiPriority w:val="0"/>
    <w:pPr>
      <w:spacing w:line="360" w:lineRule="exact"/>
      <w:ind w:left="200" w:hanging="200" w:hangingChars="200"/>
    </w:pPr>
  </w:style>
  <w:style w:type="paragraph" w:customStyle="1" w:styleId="275">
    <w:name w:val="layer1"/>
    <w:basedOn w:val="1"/>
    <w:next w:val="18"/>
    <w:qFormat/>
    <w:uiPriority w:val="0"/>
    <w:pPr>
      <w:tabs>
        <w:tab w:val="left" w:pos="425"/>
      </w:tabs>
      <w:spacing w:before="240" w:after="240" w:line="300" w:lineRule="auto"/>
      <w:ind w:left="425" w:hanging="425"/>
      <w:jc w:val="left"/>
    </w:pPr>
    <w:rPr>
      <w:rFonts w:eastAsia="黑体"/>
      <w:b/>
      <w:sz w:val="44"/>
      <w:szCs w:val="20"/>
    </w:rPr>
  </w:style>
  <w:style w:type="paragraph" w:customStyle="1" w:styleId="276">
    <w:name w:val="表内字五"/>
    <w:basedOn w:val="45"/>
    <w:qFormat/>
    <w:uiPriority w:val="0"/>
    <w:pPr>
      <w:snapToGrid/>
      <w:spacing w:line="0" w:lineRule="atLeast"/>
      <w:ind w:left="-99" w:leftChars="-40" w:right="-99" w:rightChars="-40"/>
      <w:jc w:val="left"/>
    </w:pPr>
    <w:rPr>
      <w:rFonts w:ascii="Times New Roman"/>
      <w:kern w:val="0"/>
      <w:szCs w:val="21"/>
    </w:rPr>
  </w:style>
  <w:style w:type="paragraph" w:customStyle="1" w:styleId="277">
    <w:name w:val="xl31"/>
    <w:basedOn w:val="1"/>
    <w:qFormat/>
    <w:uiPriority w:val="0"/>
    <w:pPr>
      <w:widowControl/>
      <w:pBdr>
        <w:bottom w:val="single" w:color="auto" w:sz="8" w:space="0"/>
      </w:pBdr>
      <w:spacing w:before="100" w:beforeAutospacing="1" w:after="100" w:afterAutospacing="1"/>
      <w:jc w:val="left"/>
      <w:textAlignment w:val="center"/>
    </w:pPr>
    <w:rPr>
      <w:rFonts w:ascii="Arial Unicode MS" w:hAnsi="Arial Unicode MS" w:eastAsia="Arial Unicode MS" w:cs="Arial Unicode MS"/>
      <w:kern w:val="0"/>
      <w:sz w:val="20"/>
      <w:szCs w:val="20"/>
    </w:rPr>
  </w:style>
  <w:style w:type="paragraph" w:customStyle="1" w:styleId="278">
    <w:name w:val="xl106"/>
    <w:basedOn w:val="1"/>
    <w:qFormat/>
    <w:uiPriority w:val="0"/>
    <w:pPr>
      <w:widowControl/>
      <w:pBdr>
        <w:bottom w:val="single" w:color="auto" w:sz="4" w:space="0"/>
      </w:pBdr>
      <w:spacing w:before="100" w:beforeAutospacing="1" w:after="100" w:afterAutospacing="1"/>
      <w:jc w:val="left"/>
      <w:textAlignment w:val="center"/>
    </w:pPr>
    <w:rPr>
      <w:rFonts w:eastAsia="Arial Unicode MS"/>
      <w:kern w:val="0"/>
      <w:sz w:val="18"/>
      <w:szCs w:val="18"/>
    </w:rPr>
  </w:style>
  <w:style w:type="paragraph" w:customStyle="1" w:styleId="279">
    <w:name w:val="表标题7"/>
    <w:basedOn w:val="1"/>
    <w:qFormat/>
    <w:uiPriority w:val="0"/>
    <w:pPr>
      <w:spacing w:before="100" w:beforeLines="100"/>
    </w:pPr>
    <w:rPr>
      <w:rFonts w:eastAsia="黑体"/>
      <w:b/>
      <w:sz w:val="24"/>
    </w:rPr>
  </w:style>
  <w:style w:type="paragraph" w:customStyle="1" w:styleId="280">
    <w:name w:val=" Char Char Char Char"/>
    <w:basedOn w:val="1"/>
    <w:qFormat/>
    <w:uiPriority w:val="0"/>
    <w:pPr>
      <w:spacing w:line="360" w:lineRule="auto"/>
      <w:ind w:firstLine="454"/>
    </w:pPr>
    <w:rPr>
      <w:sz w:val="24"/>
      <w:szCs w:val="21"/>
    </w:rPr>
  </w:style>
  <w:style w:type="paragraph" w:customStyle="1" w:styleId="281">
    <w:name w:val=" Char"/>
    <w:basedOn w:val="1"/>
    <w:qFormat/>
    <w:uiPriority w:val="0"/>
    <w:pPr>
      <w:widowControl/>
      <w:spacing w:after="160" w:line="240" w:lineRule="exact"/>
      <w:jc w:val="left"/>
    </w:pPr>
    <w:rPr>
      <w:rFonts w:ascii="Verdana" w:hAnsi="Verdana" w:eastAsia="黑体"/>
      <w:b/>
      <w:kern w:val="0"/>
      <w:sz w:val="32"/>
      <w:szCs w:val="32"/>
      <w:lang w:eastAsia="en-US"/>
    </w:rPr>
  </w:style>
  <w:style w:type="paragraph" w:customStyle="1" w:styleId="282">
    <w:name w:val="标题三"/>
    <w:basedOn w:val="1"/>
    <w:qFormat/>
    <w:uiPriority w:val="0"/>
    <w:rPr>
      <w:rFonts w:ascii="Verdana" w:hAnsi="Verdana" w:eastAsia="黑体"/>
      <w:b/>
      <w:kern w:val="0"/>
      <w:sz w:val="32"/>
      <w:szCs w:val="32"/>
      <w:lang w:eastAsia="en-US"/>
    </w:rPr>
  </w:style>
  <w:style w:type="paragraph" w:customStyle="1" w:styleId="283">
    <w:name w:val="xl69"/>
    <w:basedOn w:val="1"/>
    <w:qFormat/>
    <w:uiPriority w:val="0"/>
    <w:pPr>
      <w:widowControl/>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284">
    <w:name w:val="xl36"/>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285">
    <w:name w:val="样式10"/>
    <w:basedOn w:val="5"/>
    <w:qFormat/>
    <w:uiPriority w:val="0"/>
    <w:pPr>
      <w:snapToGrid w:val="0"/>
      <w:spacing w:before="50" w:beforeLines="50" w:after="50" w:afterLines="50" w:line="240" w:lineRule="auto"/>
    </w:pPr>
    <w:rPr>
      <w:rFonts w:eastAsia="黑体"/>
      <w:b/>
      <w:bCs/>
      <w:szCs w:val="32"/>
    </w:rPr>
  </w:style>
  <w:style w:type="paragraph" w:customStyle="1" w:styleId="286">
    <w:name w:val="xl32"/>
    <w:basedOn w:val="1"/>
    <w:qFormat/>
    <w:uiPriority w:val="0"/>
    <w:pPr>
      <w:widowControl/>
      <w:spacing w:before="100" w:beforeAutospacing="1" w:after="100" w:afterAutospacing="1"/>
      <w:jc w:val="left"/>
      <w:textAlignment w:val="center"/>
    </w:pPr>
    <w:rPr>
      <w:rFonts w:ascii="Arial Unicode MS" w:hAnsi="Arial Unicode MS" w:eastAsia="Arial Unicode MS" w:cs="Arial Unicode MS"/>
      <w:kern w:val="0"/>
      <w:sz w:val="20"/>
      <w:szCs w:val="20"/>
    </w:rPr>
  </w:style>
  <w:style w:type="paragraph" w:customStyle="1" w:styleId="287">
    <w:name w:val="xl90"/>
    <w:basedOn w:val="1"/>
    <w:qFormat/>
    <w:uiPriority w:val="0"/>
    <w:pPr>
      <w:widowControl/>
      <w:pBdr>
        <w:top w:val="single" w:color="auto" w:sz="4" w:space="0"/>
        <w:bottom w:val="single" w:color="auto" w:sz="8"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288">
    <w:name w:val="样式 四号 首行缩进:  0.99 厘米 行距: 固定值 25 磅1"/>
    <w:basedOn w:val="1"/>
    <w:qFormat/>
    <w:uiPriority w:val="0"/>
    <w:pPr>
      <w:spacing w:line="500" w:lineRule="exact"/>
      <w:ind w:firstLine="560"/>
    </w:pPr>
    <w:rPr>
      <w:sz w:val="28"/>
      <w:szCs w:val="20"/>
    </w:rPr>
  </w:style>
  <w:style w:type="paragraph" w:customStyle="1" w:styleId="289">
    <w:name w:val="xl78"/>
    <w:basedOn w:val="1"/>
    <w:qFormat/>
    <w:uiPriority w:val="0"/>
    <w:pPr>
      <w:widowControl/>
      <w:pBdr>
        <w:top w:val="single" w:color="auto" w:sz="4" w:space="0"/>
        <w:bottom w:val="single" w:color="auto" w:sz="4" w:space="0"/>
      </w:pBdr>
      <w:spacing w:before="100" w:beforeAutospacing="1" w:after="100" w:afterAutospacing="1"/>
      <w:jc w:val="right"/>
      <w:textAlignment w:val="center"/>
    </w:pPr>
    <w:rPr>
      <w:rFonts w:ascii="Arial Unicode MS" w:hAnsi="Arial Unicode MS" w:eastAsia="Arial Unicode MS" w:cs="Arial Unicode MS"/>
      <w:kern w:val="0"/>
      <w:sz w:val="18"/>
      <w:szCs w:val="18"/>
    </w:rPr>
  </w:style>
  <w:style w:type="paragraph" w:customStyle="1" w:styleId="290">
    <w:name w:val="样式 标题 3H3B Head条标题1.1.1 + 段前: 1 行"/>
    <w:basedOn w:val="5"/>
    <w:qFormat/>
    <w:uiPriority w:val="0"/>
    <w:pPr>
      <w:adjustRightInd w:val="0"/>
      <w:snapToGrid w:val="0"/>
      <w:spacing w:before="360" w:beforeLines="150" w:line="360" w:lineRule="auto"/>
    </w:pPr>
    <w:rPr>
      <w:rFonts w:cs="宋体"/>
      <w:color w:val="auto"/>
      <w:sz w:val="28"/>
      <w:szCs w:val="20"/>
    </w:rPr>
  </w:style>
  <w:style w:type="paragraph" w:customStyle="1" w:styleId="291">
    <w:name w:val="table"/>
    <w:basedOn w:val="1"/>
    <w:qFormat/>
    <w:uiPriority w:val="0"/>
    <w:pPr>
      <w:adjustRightInd w:val="0"/>
      <w:spacing w:line="240" w:lineRule="atLeast"/>
      <w:textAlignment w:val="baseline"/>
    </w:pPr>
    <w:rPr>
      <w:rFonts w:ascii="Arial"/>
      <w:kern w:val="0"/>
      <w:szCs w:val="20"/>
    </w:rPr>
  </w:style>
  <w:style w:type="paragraph" w:customStyle="1" w:styleId="292">
    <w:name w:val="biaoge 表1"/>
    <w:basedOn w:val="1"/>
    <w:qFormat/>
    <w:uiPriority w:val="0"/>
    <w:pPr>
      <w:jc w:val="center"/>
    </w:pPr>
    <w:rPr>
      <w:szCs w:val="20"/>
    </w:rPr>
  </w:style>
  <w:style w:type="paragraph" w:customStyle="1" w:styleId="293">
    <w:name w:val="xl82"/>
    <w:basedOn w:val="1"/>
    <w:qFormat/>
    <w:uiPriority w:val="0"/>
    <w:pPr>
      <w:widowControl/>
      <w:pBdr>
        <w:top w:val="single" w:color="auto" w:sz="4" w:space="0"/>
        <w:bottom w:val="single" w:color="auto" w:sz="4" w:space="0"/>
      </w:pBdr>
      <w:spacing w:before="100" w:beforeAutospacing="1" w:after="100" w:afterAutospacing="1"/>
      <w:jc w:val="right"/>
      <w:textAlignment w:val="center"/>
    </w:pPr>
    <w:rPr>
      <w:rFonts w:ascii="Arial Unicode MS" w:hAnsi="Arial Unicode MS" w:eastAsia="Arial Unicode MS" w:cs="Arial Unicode MS"/>
      <w:color w:val="000000"/>
      <w:kern w:val="0"/>
      <w:sz w:val="20"/>
      <w:szCs w:val="20"/>
    </w:rPr>
  </w:style>
  <w:style w:type="paragraph" w:customStyle="1" w:styleId="294">
    <w:name w:val="xl86"/>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295">
    <w:name w:val="正文(首行缩进)"/>
    <w:basedOn w:val="1"/>
    <w:qFormat/>
    <w:uiPriority w:val="0"/>
    <w:pPr>
      <w:spacing w:line="300" w:lineRule="auto"/>
      <w:ind w:firstLine="200" w:firstLineChars="200"/>
    </w:pPr>
    <w:rPr>
      <w:snapToGrid w:val="0"/>
      <w:color w:val="000000"/>
      <w:kern w:val="0"/>
      <w:sz w:val="24"/>
    </w:rPr>
  </w:style>
  <w:style w:type="paragraph" w:customStyle="1" w:styleId="296">
    <w:name w:val="xl30"/>
    <w:basedOn w:val="1"/>
    <w:qFormat/>
    <w:uiPriority w:val="0"/>
    <w:pPr>
      <w:widowControl/>
      <w:pBdr>
        <w:left w:val="single" w:color="auto" w:sz="4" w:space="0"/>
        <w:right w:val="single" w:color="auto" w:sz="4" w:space="0"/>
      </w:pBdr>
      <w:spacing w:before="100" w:beforeAutospacing="1" w:after="100" w:afterAutospacing="1"/>
      <w:textAlignment w:val="top"/>
    </w:pPr>
    <w:rPr>
      <w:kern w:val="0"/>
      <w:szCs w:val="21"/>
    </w:rPr>
  </w:style>
  <w:style w:type="paragraph" w:customStyle="1" w:styleId="297">
    <w:name w:val="WPS Plain"/>
    <w:qFormat/>
    <w:uiPriority w:val="0"/>
    <w:rPr>
      <w:rFonts w:ascii="Times New Roman" w:hAnsi="Times New Roman" w:eastAsia="宋体" w:cs="Times New Roman"/>
      <w:kern w:val="2"/>
      <w:sz w:val="24"/>
      <w:szCs w:val="24"/>
      <w:lang w:val="en-US" w:eastAsia="zh-CN" w:bidi="ar-SA"/>
    </w:rPr>
  </w:style>
  <w:style w:type="paragraph" w:customStyle="1" w:styleId="298">
    <w:name w:val="xl28"/>
    <w:basedOn w:val="1"/>
    <w:qFormat/>
    <w:uiPriority w:val="0"/>
    <w:pPr>
      <w:widowControl/>
      <w:spacing w:before="100" w:after="100"/>
      <w:jc w:val="center"/>
    </w:pPr>
    <w:rPr>
      <w:rFonts w:ascii="Arial Unicode MS" w:hAnsi="Arial Unicode MS" w:eastAsia="Arial Unicode MS"/>
      <w:kern w:val="0"/>
      <w:sz w:val="24"/>
      <w:szCs w:val="20"/>
    </w:rPr>
  </w:style>
  <w:style w:type="paragraph" w:customStyle="1" w:styleId="299">
    <w:name w:val="xl109"/>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300">
    <w:name w:val="表题"/>
    <w:qFormat/>
    <w:uiPriority w:val="0"/>
    <w:pPr>
      <w:widowControl w:val="0"/>
      <w:adjustRightInd w:val="0"/>
      <w:snapToGrid w:val="0"/>
      <w:ind w:firstLine="480" w:firstLineChars="200"/>
      <w:jc w:val="center"/>
    </w:pPr>
    <w:rPr>
      <w:rFonts w:ascii="黑体" w:hAnsi="Times New Roman" w:eastAsia="黑体" w:cs="Times New Roman"/>
      <w:color w:val="000000"/>
      <w:kern w:val="2"/>
      <w:sz w:val="24"/>
      <w:szCs w:val="24"/>
      <w:lang w:val="en-US" w:eastAsia="zh-CN" w:bidi="ar-SA"/>
    </w:rPr>
  </w:style>
  <w:style w:type="paragraph" w:customStyle="1" w:styleId="301">
    <w:name w:val="xl49"/>
    <w:basedOn w:val="1"/>
    <w:qFormat/>
    <w:uiPriority w:val="0"/>
    <w:pPr>
      <w:widowControl/>
      <w:spacing w:before="100" w:beforeAutospacing="1" w:after="100" w:afterAutospacing="1"/>
      <w:jc w:val="right"/>
      <w:textAlignment w:val="center"/>
    </w:pPr>
    <w:rPr>
      <w:rFonts w:ascii="Arial Unicode MS" w:hAnsi="Arial Unicode MS" w:eastAsia="Arial Unicode MS" w:cs="Arial Unicode MS"/>
      <w:kern w:val="0"/>
      <w:sz w:val="20"/>
      <w:szCs w:val="20"/>
    </w:rPr>
  </w:style>
  <w:style w:type="paragraph" w:customStyle="1" w:styleId="302">
    <w:name w:val="正文文字２"/>
    <w:basedOn w:val="1"/>
    <w:qFormat/>
    <w:uiPriority w:val="0"/>
    <w:pPr>
      <w:spacing w:line="500" w:lineRule="exact"/>
      <w:ind w:firstLine="567"/>
    </w:pPr>
    <w:rPr>
      <w:sz w:val="28"/>
    </w:rPr>
  </w:style>
  <w:style w:type="paragraph" w:customStyle="1" w:styleId="303">
    <w:name w:val="font8"/>
    <w:basedOn w:val="1"/>
    <w:qFormat/>
    <w:uiPriority w:val="0"/>
    <w:pPr>
      <w:widowControl/>
      <w:spacing w:before="100" w:beforeAutospacing="1" w:after="100" w:afterAutospacing="1"/>
      <w:jc w:val="left"/>
    </w:pPr>
    <w:rPr>
      <w:rFonts w:eastAsia="Arial Unicode MS"/>
      <w:kern w:val="0"/>
      <w:sz w:val="20"/>
      <w:szCs w:val="20"/>
    </w:rPr>
  </w:style>
  <w:style w:type="paragraph" w:customStyle="1" w:styleId="304">
    <w:name w:val="font10"/>
    <w:basedOn w:val="1"/>
    <w:qFormat/>
    <w:uiPriority w:val="0"/>
    <w:pPr>
      <w:widowControl/>
      <w:spacing w:before="100" w:beforeAutospacing="1" w:after="100" w:afterAutospacing="1"/>
      <w:jc w:val="left"/>
    </w:pPr>
    <w:rPr>
      <w:rFonts w:ascii="Arial Narrow" w:hAnsi="Arial Narrow" w:eastAsia="Arial Unicode MS" w:cs="Arial Unicode MS"/>
      <w:kern w:val="0"/>
      <w:sz w:val="18"/>
      <w:szCs w:val="18"/>
    </w:rPr>
  </w:style>
  <w:style w:type="paragraph" w:customStyle="1" w:styleId="305">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306">
    <w:name w:val="xl119"/>
    <w:basedOn w:val="1"/>
    <w:qFormat/>
    <w:uiPriority w:val="0"/>
    <w:pPr>
      <w:widowControl/>
      <w:pBdr>
        <w:bottom w:val="single" w:color="auto" w:sz="8" w:space="0"/>
        <w:right w:val="single" w:color="auto" w:sz="8" w:space="0"/>
      </w:pBdr>
      <w:spacing w:before="100" w:beforeAutospacing="1" w:after="100" w:afterAutospacing="1"/>
      <w:jc w:val="right"/>
      <w:textAlignment w:val="center"/>
    </w:pPr>
    <w:rPr>
      <w:rFonts w:ascii="Arial Unicode MS" w:hAnsi="Arial Unicode MS" w:eastAsia="Arial Unicode MS" w:cs="Arial Unicode MS"/>
      <w:kern w:val="0"/>
      <w:sz w:val="18"/>
      <w:szCs w:val="18"/>
    </w:rPr>
  </w:style>
  <w:style w:type="paragraph" w:customStyle="1" w:styleId="307">
    <w:name w:val="xl89"/>
    <w:basedOn w:val="1"/>
    <w:qFormat/>
    <w:uiPriority w:val="0"/>
    <w:pPr>
      <w:widowControl/>
      <w:pBdr>
        <w:bottom w:val="single" w:color="auto" w:sz="4" w:space="0"/>
      </w:pBdr>
      <w:spacing w:before="100" w:beforeAutospacing="1" w:after="100" w:afterAutospacing="1"/>
      <w:jc w:val="right"/>
      <w:textAlignment w:val="center"/>
    </w:pPr>
    <w:rPr>
      <w:rFonts w:ascii="Arial Unicode MS" w:hAnsi="Arial Unicode MS" w:eastAsia="Arial Unicode MS" w:cs="Arial Unicode MS"/>
      <w:color w:val="000000"/>
      <w:kern w:val="0"/>
      <w:sz w:val="20"/>
      <w:szCs w:val="20"/>
    </w:rPr>
  </w:style>
  <w:style w:type="paragraph" w:customStyle="1" w:styleId="308">
    <w:name w:val="a0"/>
    <w:basedOn w:val="1"/>
    <w:qFormat/>
    <w:uiPriority w:val="0"/>
    <w:pPr>
      <w:widowControl/>
      <w:spacing w:before="100" w:beforeAutospacing="1" w:after="100" w:afterAutospacing="1"/>
      <w:jc w:val="left"/>
    </w:pPr>
    <w:rPr>
      <w:rFonts w:ascii="宋体" w:hAnsi="宋体" w:cs="宋体"/>
      <w:kern w:val="0"/>
      <w:sz w:val="24"/>
    </w:rPr>
  </w:style>
  <w:style w:type="paragraph" w:customStyle="1" w:styleId="309">
    <w:name w:val="xl115"/>
    <w:basedOn w:val="1"/>
    <w:qFormat/>
    <w:uiPriority w:val="0"/>
    <w:pPr>
      <w:widowControl/>
      <w:pBdr>
        <w:bottom w:val="single" w:color="auto" w:sz="4" w:space="0"/>
      </w:pBdr>
      <w:spacing w:before="100" w:beforeAutospacing="1" w:after="100" w:afterAutospacing="1"/>
      <w:jc w:val="right"/>
      <w:textAlignment w:val="center"/>
    </w:pPr>
    <w:rPr>
      <w:rFonts w:eastAsia="Arial Unicode MS"/>
      <w:kern w:val="0"/>
      <w:sz w:val="18"/>
      <w:szCs w:val="18"/>
    </w:rPr>
  </w:style>
  <w:style w:type="paragraph" w:customStyle="1" w:styleId="310">
    <w:name w:val="13点"/>
    <w:basedOn w:val="1"/>
    <w:qFormat/>
    <w:uiPriority w:val="0"/>
    <w:pPr>
      <w:numPr>
        <w:ilvl w:val="1"/>
        <w:numId w:val="0"/>
      </w:numPr>
      <w:adjustRightInd w:val="0"/>
      <w:snapToGrid w:val="0"/>
      <w:spacing w:line="300" w:lineRule="auto"/>
      <w:jc w:val="center"/>
    </w:pPr>
    <w:rPr>
      <w:rFonts w:ascii="宋体" w:hAnsi="宋体"/>
      <w:sz w:val="24"/>
    </w:rPr>
  </w:style>
  <w:style w:type="paragraph" w:customStyle="1" w:styleId="311">
    <w:name w:val="xl26"/>
    <w:basedOn w:val="1"/>
    <w:qFormat/>
    <w:uiPriority w:val="0"/>
    <w:pPr>
      <w:widowControl/>
      <w:pBdr>
        <w:left w:val="single" w:color="auto" w:sz="8"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312">
    <w:name w:val="xl117"/>
    <w:basedOn w:val="1"/>
    <w:qFormat/>
    <w:uiPriority w:val="0"/>
    <w:pPr>
      <w:widowControl/>
      <w:spacing w:before="100" w:beforeAutospacing="1" w:after="100" w:afterAutospacing="1"/>
      <w:jc w:val="left"/>
      <w:textAlignment w:val="center"/>
    </w:pPr>
    <w:rPr>
      <w:rFonts w:eastAsia="Arial Unicode MS"/>
      <w:b/>
      <w:bCs/>
      <w:kern w:val="0"/>
      <w:sz w:val="36"/>
      <w:szCs w:val="36"/>
    </w:rPr>
  </w:style>
  <w:style w:type="paragraph" w:customStyle="1" w:styleId="313">
    <w:name w:val="xl50"/>
    <w:basedOn w:val="1"/>
    <w:qFormat/>
    <w:uiPriority w:val="0"/>
    <w:pPr>
      <w:widowControl/>
      <w:pBdr>
        <w:left w:val="single" w:color="auto" w:sz="8"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0"/>
      <w:szCs w:val="20"/>
    </w:rPr>
  </w:style>
  <w:style w:type="paragraph" w:customStyle="1" w:styleId="314">
    <w:name w:val="样式 标题 3 + 段前: 0.5 行 段后: 0.5 行"/>
    <w:basedOn w:val="5"/>
    <w:qFormat/>
    <w:uiPriority w:val="0"/>
    <w:pPr>
      <w:numPr>
        <w:ilvl w:val="2"/>
        <w:numId w:val="7"/>
      </w:numPr>
      <w:spacing w:before="120" w:beforeLines="50" w:after="120" w:afterLines="50" w:line="240" w:lineRule="auto"/>
    </w:pPr>
    <w:rPr>
      <w:rFonts w:eastAsia="黑体"/>
      <w:b/>
      <w:bCs/>
      <w:color w:val="auto"/>
      <w:sz w:val="28"/>
      <w:szCs w:val="20"/>
    </w:rPr>
  </w:style>
  <w:style w:type="paragraph" w:customStyle="1" w:styleId="315">
    <w:name w:val="layer3"/>
    <w:basedOn w:val="1"/>
    <w:next w:val="18"/>
    <w:qFormat/>
    <w:uiPriority w:val="0"/>
    <w:pPr>
      <w:spacing w:before="120" w:after="120" w:line="300" w:lineRule="auto"/>
      <w:jc w:val="left"/>
    </w:pPr>
    <w:rPr>
      <w:rFonts w:eastAsia="楷体_GB2312"/>
      <w:b/>
      <w:sz w:val="32"/>
      <w:szCs w:val="20"/>
    </w:rPr>
  </w:style>
  <w:style w:type="paragraph" w:customStyle="1" w:styleId="316">
    <w:name w:val="xl114"/>
    <w:basedOn w:val="1"/>
    <w:qFormat/>
    <w:uiPriority w:val="0"/>
    <w:pPr>
      <w:widowControl/>
      <w:pBdr>
        <w:bottom w:val="single" w:color="auto" w:sz="4" w:space="0"/>
      </w:pBdr>
      <w:spacing w:before="100" w:beforeAutospacing="1" w:after="100" w:afterAutospacing="1"/>
      <w:jc w:val="left"/>
      <w:textAlignment w:val="center"/>
    </w:pPr>
    <w:rPr>
      <w:rFonts w:eastAsia="Arial Unicode MS"/>
      <w:color w:val="000000"/>
      <w:kern w:val="0"/>
      <w:sz w:val="18"/>
      <w:szCs w:val="18"/>
    </w:rPr>
  </w:style>
  <w:style w:type="paragraph" w:customStyle="1" w:styleId="317">
    <w:name w:val="样式 居中"/>
    <w:basedOn w:val="1"/>
    <w:qFormat/>
    <w:uiPriority w:val="0"/>
    <w:pPr>
      <w:snapToGrid w:val="0"/>
      <w:jc w:val="center"/>
    </w:pPr>
    <w:rPr>
      <w:sz w:val="24"/>
      <w:szCs w:val="20"/>
    </w:rPr>
  </w:style>
  <w:style w:type="paragraph" w:customStyle="1" w:styleId="318">
    <w:name w:val="xl47"/>
    <w:basedOn w:val="1"/>
    <w:qFormat/>
    <w:uiPriority w:val="0"/>
    <w:pPr>
      <w:widowControl/>
      <w:pBdr>
        <w:bottom w:val="single" w:color="auto" w:sz="8" w:space="0"/>
        <w:right w:val="single" w:color="auto" w:sz="8" w:space="0"/>
      </w:pBdr>
      <w:spacing w:before="100" w:beforeAutospacing="1" w:after="100" w:afterAutospacing="1"/>
      <w:jc w:val="right"/>
      <w:textAlignment w:val="center"/>
    </w:pPr>
    <w:rPr>
      <w:rFonts w:ascii="Arial Unicode MS" w:hAnsi="Arial Unicode MS" w:eastAsia="Arial Unicode MS" w:cs="Arial Unicode MS"/>
      <w:kern w:val="0"/>
      <w:sz w:val="18"/>
      <w:szCs w:val="18"/>
    </w:rPr>
  </w:style>
  <w:style w:type="paragraph" w:customStyle="1" w:styleId="319">
    <w:name w:val="样式94"/>
    <w:basedOn w:val="5"/>
    <w:qFormat/>
    <w:uiPriority w:val="0"/>
    <w:pPr>
      <w:snapToGrid w:val="0"/>
      <w:spacing w:before="120" w:beforeLines="50" w:after="120" w:afterLines="50" w:line="240" w:lineRule="auto"/>
      <w:ind w:left="720" w:hanging="720"/>
    </w:pPr>
    <w:rPr>
      <w:rFonts w:eastAsia="黑体"/>
      <w:bCs/>
      <w:color w:val="auto"/>
      <w:sz w:val="28"/>
      <w:szCs w:val="32"/>
    </w:rPr>
  </w:style>
  <w:style w:type="paragraph" w:customStyle="1" w:styleId="320">
    <w:name w:val=" Char Char Char Char Char Char Char"/>
    <w:basedOn w:val="1"/>
    <w:qFormat/>
    <w:uiPriority w:val="0"/>
  </w:style>
  <w:style w:type="paragraph" w:customStyle="1" w:styleId="321">
    <w:name w:val="表格内容"/>
    <w:basedOn w:val="18"/>
    <w:qFormat/>
    <w:uiPriority w:val="0"/>
    <w:pPr>
      <w:jc w:val="center"/>
    </w:pPr>
    <w:rPr>
      <w:sz w:val="18"/>
      <w:szCs w:val="20"/>
    </w:rPr>
  </w:style>
  <w:style w:type="paragraph" w:customStyle="1" w:styleId="322">
    <w:name w:val="xl96"/>
    <w:basedOn w:val="1"/>
    <w:qFormat/>
    <w:uiPriority w:val="0"/>
    <w:pPr>
      <w:widowControl/>
      <w:pBdr>
        <w:top w:val="single" w:color="auto" w:sz="4" w:space="0"/>
        <w:bottom w:val="single" w:color="auto" w:sz="8" w:space="0"/>
      </w:pBdr>
      <w:spacing w:before="100" w:beforeAutospacing="1" w:after="100" w:afterAutospacing="1"/>
      <w:jc w:val="right"/>
      <w:textAlignment w:val="center"/>
    </w:pPr>
    <w:rPr>
      <w:rFonts w:ascii="Arial Unicode MS" w:hAnsi="Arial Unicode MS" w:eastAsia="Arial Unicode MS" w:cs="Arial Unicode MS"/>
      <w:color w:val="000000"/>
      <w:kern w:val="0"/>
      <w:sz w:val="20"/>
      <w:szCs w:val="20"/>
    </w:rPr>
  </w:style>
  <w:style w:type="paragraph" w:customStyle="1" w:styleId="323">
    <w:name w:val="样式11"/>
    <w:basedOn w:val="159"/>
    <w:qFormat/>
    <w:uiPriority w:val="0"/>
    <w:pPr>
      <w:numPr>
        <w:ilvl w:val="0"/>
        <w:numId w:val="8"/>
      </w:numPr>
    </w:pPr>
  </w:style>
  <w:style w:type="paragraph" w:customStyle="1" w:styleId="324">
    <w:name w:val=" Char Char Char Char Char Char"/>
    <w:basedOn w:val="1"/>
    <w:qFormat/>
    <w:uiPriority w:val="0"/>
  </w:style>
  <w:style w:type="paragraph" w:customStyle="1" w:styleId="325">
    <w:name w:val="xl98"/>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326">
    <w:name w:val="xl104"/>
    <w:basedOn w:val="1"/>
    <w:qFormat/>
    <w:uiPriority w:val="0"/>
    <w:pPr>
      <w:widowControl/>
      <w:pBdr>
        <w:top w:val="single" w:color="auto" w:sz="4" w:space="0"/>
        <w:bottom w:val="single" w:color="auto" w:sz="4" w:space="0"/>
        <w:right w:val="single" w:color="auto" w:sz="8" w:space="0"/>
      </w:pBdr>
      <w:spacing w:before="100" w:beforeAutospacing="1" w:after="100" w:afterAutospacing="1"/>
      <w:jc w:val="right"/>
      <w:textAlignment w:val="center"/>
    </w:pPr>
    <w:rPr>
      <w:rFonts w:eastAsia="Arial Unicode MS"/>
      <w:kern w:val="0"/>
      <w:sz w:val="18"/>
      <w:szCs w:val="18"/>
    </w:rPr>
  </w:style>
  <w:style w:type="paragraph" w:customStyle="1" w:styleId="327">
    <w:name w:val="标题 2环保 + 段前: 0.5 行"/>
    <w:basedOn w:val="4"/>
    <w:next w:val="1"/>
    <w:qFormat/>
    <w:uiPriority w:val="0"/>
    <w:pPr>
      <w:keepNext w:val="0"/>
      <w:keepLines w:val="0"/>
      <w:numPr>
        <w:ilvl w:val="0"/>
        <w:numId w:val="0"/>
      </w:numPr>
      <w:spacing w:before="156" w:beforeLines="50" w:after="0" w:line="300" w:lineRule="auto"/>
      <w:ind w:left="576" w:hanging="576"/>
    </w:pPr>
    <w:rPr>
      <w:rFonts w:ascii="Times New Roman" w:hAnsi="Times New Roman"/>
      <w:kern w:val="0"/>
      <w:sz w:val="24"/>
      <w:szCs w:val="20"/>
    </w:rPr>
  </w:style>
  <w:style w:type="paragraph" w:customStyle="1" w:styleId="328">
    <w:name w:val="表目"/>
    <w:basedOn w:val="1"/>
    <w:qFormat/>
    <w:uiPriority w:val="0"/>
    <w:pPr>
      <w:autoSpaceDE w:val="0"/>
      <w:autoSpaceDN w:val="0"/>
      <w:adjustRightInd w:val="0"/>
      <w:spacing w:line="312" w:lineRule="auto"/>
      <w:jc w:val="center"/>
      <w:textAlignment w:val="center"/>
      <w:outlineLvl w:val="6"/>
    </w:pPr>
    <w:rPr>
      <w:b/>
      <w:snapToGrid w:val="0"/>
      <w:kern w:val="0"/>
      <w:sz w:val="24"/>
      <w:szCs w:val="20"/>
    </w:rPr>
  </w:style>
  <w:style w:type="paragraph" w:customStyle="1" w:styleId="329">
    <w:name w:val="xl42"/>
    <w:basedOn w:val="1"/>
    <w:qFormat/>
    <w:uiPriority w:val="0"/>
    <w:pPr>
      <w:widowControl/>
      <w:spacing w:before="100" w:beforeAutospacing="1" w:after="100" w:afterAutospacing="1"/>
      <w:jc w:val="right"/>
      <w:textAlignment w:val="center"/>
    </w:pPr>
    <w:rPr>
      <w:rFonts w:ascii="Arial Unicode MS" w:hAnsi="Arial Unicode MS" w:eastAsia="Arial Unicode MS" w:cs="Arial Unicode MS"/>
      <w:kern w:val="0"/>
      <w:sz w:val="18"/>
      <w:szCs w:val="18"/>
    </w:rPr>
  </w:style>
  <w:style w:type="paragraph" w:customStyle="1" w:styleId="330">
    <w:name w:val="表格横"/>
    <w:basedOn w:val="1"/>
    <w:qFormat/>
    <w:uiPriority w:val="0"/>
    <w:pPr>
      <w:widowControl/>
      <w:spacing w:before="40" w:after="40" w:line="264" w:lineRule="auto"/>
      <w:jc w:val="center"/>
    </w:pPr>
    <w:rPr>
      <w:kern w:val="0"/>
      <w:sz w:val="18"/>
      <w:szCs w:val="20"/>
    </w:rPr>
  </w:style>
  <w:style w:type="paragraph" w:customStyle="1" w:styleId="331">
    <w:name w:val="注"/>
    <w:basedOn w:val="1"/>
    <w:next w:val="1"/>
    <w:qFormat/>
    <w:uiPriority w:val="0"/>
    <w:pPr>
      <w:widowControl/>
      <w:spacing w:before="60" w:after="60" w:line="324" w:lineRule="auto"/>
      <w:jc w:val="left"/>
    </w:pPr>
    <w:rPr>
      <w:rFonts w:ascii="黑体" w:eastAsia="黑体"/>
      <w:kern w:val="0"/>
      <w:szCs w:val="20"/>
    </w:rPr>
  </w:style>
  <w:style w:type="paragraph" w:customStyle="1" w:styleId="332">
    <w:name w:val="!正文缩2"/>
    <w:basedOn w:val="1"/>
    <w:qFormat/>
    <w:uiPriority w:val="0"/>
    <w:pPr>
      <w:spacing w:line="500" w:lineRule="exact"/>
      <w:ind w:firstLine="200" w:firstLineChars="200"/>
    </w:pPr>
    <w:rPr>
      <w:rFonts w:ascii="宋体" w:hAnsi="宋体" w:cs="宋体"/>
      <w:sz w:val="28"/>
      <w:szCs w:val="28"/>
      <w:lang w:val="zh-CN"/>
    </w:rPr>
  </w:style>
  <w:style w:type="paragraph" w:customStyle="1" w:styleId="333">
    <w:name w:val="合稿【表头】"/>
    <w:basedOn w:val="1"/>
    <w:qFormat/>
    <w:uiPriority w:val="0"/>
    <w:pPr>
      <w:adjustRightInd w:val="0"/>
      <w:snapToGrid w:val="0"/>
      <w:spacing w:line="360" w:lineRule="auto"/>
      <w:jc w:val="center"/>
    </w:pPr>
    <w:rPr>
      <w:b/>
      <w:snapToGrid w:val="0"/>
      <w:color w:val="000000"/>
      <w:kern w:val="28"/>
      <w:sz w:val="24"/>
      <w:szCs w:val="20"/>
    </w:rPr>
  </w:style>
  <w:style w:type="paragraph" w:customStyle="1" w:styleId="334">
    <w:name w:val="说明"/>
    <w:basedOn w:val="1"/>
    <w:qFormat/>
    <w:uiPriority w:val="0"/>
    <w:pPr>
      <w:tabs>
        <w:tab w:val="left" w:pos="1272"/>
      </w:tabs>
      <w:spacing w:line="312" w:lineRule="auto"/>
      <w:ind w:left="1272" w:hanging="705"/>
      <w:jc w:val="left"/>
    </w:pPr>
    <w:rPr>
      <w:kern w:val="0"/>
      <w:sz w:val="24"/>
    </w:rPr>
  </w:style>
  <w:style w:type="paragraph" w:customStyle="1" w:styleId="335">
    <w:name w:val="xl33"/>
    <w:basedOn w:val="1"/>
    <w:qFormat/>
    <w:uiPriority w:val="0"/>
    <w:pPr>
      <w:widowControl/>
      <w:pBdr>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336">
    <w:name w:val="xl22"/>
    <w:basedOn w:val="1"/>
    <w:qFormat/>
    <w:uiPriority w:val="0"/>
    <w:pPr>
      <w:widowControl/>
      <w:pBdr>
        <w:right w:val="single" w:color="auto" w:sz="4" w:space="0"/>
      </w:pBdr>
      <w:spacing w:before="100" w:beforeAutospacing="1" w:after="100" w:afterAutospacing="1"/>
      <w:jc w:val="center"/>
    </w:pPr>
    <w:rPr>
      <w:rFonts w:ascii="宋体" w:hAnsi="宋体"/>
      <w:kern w:val="0"/>
      <w:szCs w:val="21"/>
    </w:rPr>
  </w:style>
  <w:style w:type="paragraph" w:customStyle="1" w:styleId="337">
    <w:name w:val="样式 标题 1 + 段前: 2 行 段后: 2 行"/>
    <w:basedOn w:val="3"/>
    <w:qFormat/>
    <w:uiPriority w:val="0"/>
    <w:pPr>
      <w:widowControl/>
      <w:tabs>
        <w:tab w:val="left" w:pos="1280"/>
      </w:tabs>
      <w:spacing w:before="0" w:beforeLines="200" w:after="0" w:afterLines="200" w:line="240" w:lineRule="auto"/>
      <w:ind w:left="1280" w:hanging="720"/>
      <w:jc w:val="center"/>
    </w:pPr>
    <w:rPr>
      <w:rFonts w:eastAsia="黑体"/>
      <w:b w:val="0"/>
      <w:bCs w:val="0"/>
      <w:color w:val="000000"/>
      <w:sz w:val="36"/>
      <w:szCs w:val="20"/>
    </w:rPr>
  </w:style>
  <w:style w:type="paragraph" w:customStyle="1" w:styleId="338">
    <w:name w:val="xl39"/>
    <w:basedOn w:val="1"/>
    <w:qFormat/>
    <w:uiPriority w:val="0"/>
    <w:pPr>
      <w:widowControl/>
      <w:spacing w:before="100" w:beforeAutospacing="1" w:after="100" w:afterAutospacing="1"/>
      <w:jc w:val="right"/>
      <w:textAlignment w:val="center"/>
    </w:pPr>
    <w:rPr>
      <w:rFonts w:ascii="Arial Unicode MS" w:hAnsi="Arial Unicode MS" w:eastAsia="Arial Unicode MS" w:cs="Arial Unicode MS"/>
      <w:kern w:val="0"/>
      <w:sz w:val="18"/>
      <w:szCs w:val="18"/>
    </w:rPr>
  </w:style>
  <w:style w:type="paragraph" w:customStyle="1" w:styleId="339">
    <w:name w:val="xl71"/>
    <w:basedOn w:val="1"/>
    <w:qFormat/>
    <w:uiPriority w:val="0"/>
    <w:pPr>
      <w:widowControl/>
      <w:pBdr>
        <w:top w:val="single" w:color="auto" w:sz="4" w:space="0"/>
        <w:bottom w:val="single" w:color="auto" w:sz="4" w:space="0"/>
      </w:pBdr>
      <w:spacing w:before="100" w:beforeAutospacing="1" w:after="100" w:afterAutospacing="1"/>
      <w:jc w:val="right"/>
      <w:textAlignment w:val="center"/>
    </w:pPr>
    <w:rPr>
      <w:rFonts w:ascii="Arial Unicode MS" w:hAnsi="Arial Unicode MS" w:eastAsia="Arial Unicode MS" w:cs="Arial Unicode MS"/>
      <w:kern w:val="0"/>
      <w:sz w:val="18"/>
      <w:szCs w:val="18"/>
    </w:rPr>
  </w:style>
  <w:style w:type="paragraph" w:customStyle="1" w:styleId="340">
    <w:name w:val="xl97"/>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0"/>
      <w:szCs w:val="20"/>
    </w:rPr>
  </w:style>
  <w:style w:type="paragraph" w:customStyle="1" w:styleId="341">
    <w:name w:val="xl52"/>
    <w:basedOn w:val="1"/>
    <w:qFormat/>
    <w:uiPriority w:val="0"/>
    <w:pPr>
      <w:widowControl/>
      <w:pBdr>
        <w:bottom w:val="single" w:color="auto" w:sz="4" w:space="0"/>
      </w:pBdr>
      <w:spacing w:before="100" w:beforeAutospacing="1" w:after="100" w:afterAutospacing="1"/>
      <w:jc w:val="right"/>
      <w:textAlignment w:val="center"/>
    </w:pPr>
    <w:rPr>
      <w:rFonts w:ascii="Arial Unicode MS" w:hAnsi="Arial Unicode MS" w:eastAsia="Arial Unicode MS" w:cs="Arial Unicode MS"/>
      <w:kern w:val="0"/>
      <w:sz w:val="20"/>
      <w:szCs w:val="20"/>
    </w:rPr>
  </w:style>
  <w:style w:type="paragraph" w:customStyle="1" w:styleId="342">
    <w:name w:val="xl44"/>
    <w:basedOn w:val="1"/>
    <w:qFormat/>
    <w:uiPriority w:val="0"/>
    <w:pPr>
      <w:widowControl/>
      <w:pBdr>
        <w:bottom w:val="single" w:color="auto" w:sz="8" w:space="0"/>
      </w:pBdr>
      <w:spacing w:before="100" w:beforeAutospacing="1" w:after="100" w:afterAutospacing="1"/>
      <w:jc w:val="right"/>
      <w:textAlignment w:val="center"/>
    </w:pPr>
    <w:rPr>
      <w:rFonts w:ascii="Arial Unicode MS" w:hAnsi="Arial Unicode MS" w:eastAsia="Arial Unicode MS" w:cs="Arial Unicode MS"/>
      <w:kern w:val="0"/>
      <w:sz w:val="18"/>
      <w:szCs w:val="18"/>
    </w:rPr>
  </w:style>
  <w:style w:type="paragraph" w:customStyle="1" w:styleId="343">
    <w:name w:val="xl107"/>
    <w:basedOn w:val="1"/>
    <w:qFormat/>
    <w:uiPriority w:val="0"/>
    <w:pPr>
      <w:widowControl/>
      <w:pBdr>
        <w:bottom w:val="single" w:color="auto" w:sz="4" w:space="0"/>
        <w:right w:val="single" w:color="auto" w:sz="8" w:space="0"/>
      </w:pBdr>
      <w:spacing w:before="100" w:beforeAutospacing="1" w:after="100" w:afterAutospacing="1"/>
      <w:jc w:val="right"/>
      <w:textAlignment w:val="center"/>
    </w:pPr>
    <w:rPr>
      <w:rFonts w:ascii="Arial Unicode MS" w:hAnsi="Arial Unicode MS" w:eastAsia="Arial Unicode MS" w:cs="Arial Unicode MS"/>
      <w:kern w:val="0"/>
      <w:sz w:val="18"/>
      <w:szCs w:val="18"/>
    </w:rPr>
  </w:style>
  <w:style w:type="paragraph" w:customStyle="1" w:styleId="344">
    <w:name w:val="Char Char Char Char"/>
    <w:basedOn w:val="1"/>
    <w:qFormat/>
    <w:uiPriority w:val="0"/>
    <w:rPr>
      <w:rFonts w:ascii="Verdana" w:hAnsi="Verdana" w:eastAsia="黑体"/>
      <w:b/>
      <w:kern w:val="0"/>
      <w:sz w:val="32"/>
      <w:szCs w:val="32"/>
      <w:lang w:eastAsia="en-US"/>
    </w:rPr>
  </w:style>
  <w:style w:type="paragraph" w:customStyle="1" w:styleId="345">
    <w:name w:val="xl56"/>
    <w:basedOn w:val="1"/>
    <w:qFormat/>
    <w:uiPriority w:val="0"/>
    <w:pPr>
      <w:widowControl/>
      <w:pBdr>
        <w:bottom w:val="single" w:color="auto" w:sz="8" w:space="0"/>
        <w:right w:val="single" w:color="auto" w:sz="8" w:space="0"/>
      </w:pBdr>
      <w:spacing w:before="100" w:beforeAutospacing="1" w:after="100" w:afterAutospacing="1"/>
      <w:jc w:val="right"/>
      <w:textAlignment w:val="center"/>
    </w:pPr>
    <w:rPr>
      <w:rFonts w:ascii="Arial Unicode MS" w:hAnsi="Arial Unicode MS" w:eastAsia="Arial Unicode MS" w:cs="Arial Unicode MS"/>
      <w:kern w:val="0"/>
      <w:sz w:val="20"/>
      <w:szCs w:val="20"/>
    </w:rPr>
  </w:style>
  <w:style w:type="paragraph" w:customStyle="1" w:styleId="346">
    <w:name w:val="xl41"/>
    <w:basedOn w:val="1"/>
    <w:qFormat/>
    <w:uiPriority w:val="0"/>
    <w:pPr>
      <w:widowControl/>
      <w:pBdr>
        <w:bottom w:val="single" w:color="auto" w:sz="4" w:space="0"/>
      </w:pBdr>
      <w:spacing w:before="100" w:beforeAutospacing="1" w:after="100" w:afterAutospacing="1"/>
      <w:jc w:val="right"/>
      <w:textAlignment w:val="center"/>
    </w:pPr>
    <w:rPr>
      <w:rFonts w:ascii="Arial Unicode MS" w:hAnsi="Arial Unicode MS" w:eastAsia="Arial Unicode MS" w:cs="Arial Unicode MS"/>
      <w:kern w:val="0"/>
      <w:sz w:val="18"/>
      <w:szCs w:val="18"/>
    </w:rPr>
  </w:style>
  <w:style w:type="paragraph" w:customStyle="1" w:styleId="347">
    <w:name w:val="ÕýÎÄ"/>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szCs w:val="24"/>
      <w:lang w:val="en-US" w:eastAsia="zh-CN" w:bidi="ar-SA"/>
    </w:rPr>
  </w:style>
  <w:style w:type="paragraph" w:customStyle="1" w:styleId="348">
    <w:name w:val="xl76"/>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349">
    <w:name w:val="xl102"/>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350">
    <w:name w:val="xl65"/>
    <w:basedOn w:val="1"/>
    <w:qFormat/>
    <w:uiPriority w:val="0"/>
    <w:pPr>
      <w:widowControl/>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351">
    <w:name w:val="xl29"/>
    <w:basedOn w:val="1"/>
    <w:qFormat/>
    <w:uiPriority w:val="0"/>
    <w:pPr>
      <w:widowControl/>
      <w:pBdr>
        <w:top w:val="single" w:color="auto" w:sz="4" w:space="0"/>
        <w:left w:val="single" w:color="auto" w:sz="8"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352">
    <w:name w:val="xl88"/>
    <w:basedOn w:val="1"/>
    <w:qFormat/>
    <w:uiPriority w:val="0"/>
    <w:pPr>
      <w:widowControl/>
      <w:pBdr>
        <w:top w:val="single" w:color="auto" w:sz="4" w:space="0"/>
        <w:left w:val="single" w:color="auto" w:sz="8"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353">
    <w:name w:val="封面文字1"/>
    <w:basedOn w:val="1"/>
    <w:qFormat/>
    <w:uiPriority w:val="0"/>
    <w:pPr>
      <w:spacing w:line="300" w:lineRule="auto"/>
      <w:jc w:val="center"/>
    </w:pPr>
    <w:rPr>
      <w:rFonts w:ascii="宋体"/>
      <w:b/>
      <w:sz w:val="44"/>
    </w:rPr>
  </w:style>
  <w:style w:type="paragraph" w:customStyle="1" w:styleId="354">
    <w:name w:val="！正文"/>
    <w:basedOn w:val="1"/>
    <w:qFormat/>
    <w:uiPriority w:val="0"/>
    <w:pPr>
      <w:spacing w:line="360" w:lineRule="auto"/>
      <w:ind w:firstLine="200" w:firstLineChars="200"/>
    </w:pPr>
    <w:rPr>
      <w:sz w:val="24"/>
      <w:szCs w:val="22"/>
    </w:rPr>
  </w:style>
  <w:style w:type="paragraph" w:customStyle="1" w:styleId="355">
    <w:name w:val="xl100"/>
    <w:basedOn w:val="1"/>
    <w:qFormat/>
    <w:uiPriority w:val="0"/>
    <w:pPr>
      <w:widowControl/>
      <w:pBdr>
        <w:top w:val="single" w:color="auto" w:sz="4" w:space="0"/>
        <w:bottom w:val="single" w:color="auto" w:sz="8" w:space="0"/>
        <w:right w:val="single" w:color="auto" w:sz="8" w:space="0"/>
      </w:pBdr>
      <w:spacing w:before="100" w:beforeAutospacing="1" w:after="100" w:afterAutospacing="1"/>
      <w:jc w:val="right"/>
      <w:textAlignment w:val="center"/>
    </w:pPr>
    <w:rPr>
      <w:rFonts w:ascii="Arial Unicode MS" w:hAnsi="Arial Unicode MS" w:eastAsia="Arial Unicode MS" w:cs="Arial Unicode MS"/>
      <w:kern w:val="0"/>
      <w:sz w:val="18"/>
      <w:szCs w:val="18"/>
    </w:rPr>
  </w:style>
  <w:style w:type="paragraph" w:customStyle="1" w:styleId="356">
    <w:name w:val="样式 正文aa"/>
    <w:basedOn w:val="1"/>
    <w:qFormat/>
    <w:uiPriority w:val="0"/>
    <w:pPr>
      <w:spacing w:line="360" w:lineRule="auto"/>
    </w:pPr>
    <w:rPr>
      <w:rFonts w:cs="宋体"/>
      <w:sz w:val="24"/>
      <w:szCs w:val="20"/>
    </w:rPr>
  </w:style>
  <w:style w:type="paragraph" w:customStyle="1" w:styleId="357">
    <w:name w:val="样式4"/>
    <w:basedOn w:val="1"/>
    <w:qFormat/>
    <w:uiPriority w:val="0"/>
    <w:pPr>
      <w:tabs>
        <w:tab w:val="left" w:pos="0"/>
      </w:tabs>
      <w:spacing w:line="400" w:lineRule="atLeast"/>
      <w:jc w:val="center"/>
    </w:pPr>
    <w:rPr>
      <w:rFonts w:hint="eastAsia" w:ascii="宋体" w:hAnsi="宋体"/>
    </w:rPr>
  </w:style>
  <w:style w:type="paragraph" w:customStyle="1" w:styleId="358">
    <w:name w:val="样式6"/>
    <w:basedOn w:val="3"/>
    <w:qFormat/>
    <w:uiPriority w:val="0"/>
    <w:pPr>
      <w:keepNext w:val="0"/>
      <w:keepLines w:val="0"/>
      <w:pageBreakBefore/>
      <w:spacing w:before="0" w:after="0" w:line="240" w:lineRule="auto"/>
      <w:jc w:val="center"/>
    </w:pPr>
    <w:rPr>
      <w:rFonts w:eastAsia="黑体"/>
    </w:rPr>
  </w:style>
  <w:style w:type="paragraph" w:customStyle="1" w:styleId="359">
    <w:name w:val="表字1"/>
    <w:basedOn w:val="1"/>
    <w:qFormat/>
    <w:uiPriority w:val="0"/>
    <w:pPr>
      <w:adjustRightInd w:val="0"/>
      <w:spacing w:line="360" w:lineRule="auto"/>
      <w:jc w:val="center"/>
      <w:textAlignment w:val="baseline"/>
    </w:pPr>
    <w:rPr>
      <w:rFonts w:ascii="宋体"/>
      <w:kern w:val="0"/>
      <w:szCs w:val="20"/>
    </w:rPr>
  </w:style>
  <w:style w:type="paragraph" w:customStyle="1" w:styleId="360">
    <w:name w:val="Char Char Char Char Char Char Char"/>
    <w:basedOn w:val="1"/>
    <w:qFormat/>
    <w:uiPriority w:val="0"/>
    <w:rPr>
      <w:rFonts w:ascii="Tahoma" w:hAnsi="Tahoma"/>
      <w:sz w:val="24"/>
      <w:szCs w:val="20"/>
    </w:rPr>
  </w:style>
  <w:style w:type="paragraph" w:customStyle="1" w:styleId="361">
    <w:name w:val="xl112"/>
    <w:basedOn w:val="1"/>
    <w:qFormat/>
    <w:uiPriority w:val="0"/>
    <w:pPr>
      <w:widowControl/>
      <w:pBdr>
        <w:top w:val="single" w:color="auto" w:sz="4" w:space="0"/>
        <w:bottom w:val="single" w:color="auto" w:sz="4" w:space="0"/>
      </w:pBdr>
      <w:spacing w:before="100" w:beforeAutospacing="1" w:after="100" w:afterAutospacing="1"/>
      <w:jc w:val="right"/>
      <w:textAlignment w:val="center"/>
    </w:pPr>
    <w:rPr>
      <w:rFonts w:ascii="Arial Unicode MS" w:hAnsi="Arial Unicode MS" w:eastAsia="Arial Unicode MS" w:cs="Arial Unicode MS"/>
      <w:kern w:val="0"/>
      <w:sz w:val="18"/>
      <w:szCs w:val="18"/>
    </w:rPr>
  </w:style>
  <w:style w:type="paragraph" w:customStyle="1" w:styleId="362">
    <w:name w:val="xl118"/>
    <w:basedOn w:val="1"/>
    <w:qFormat/>
    <w:uiPriority w:val="0"/>
    <w:pPr>
      <w:widowControl/>
      <w:spacing w:before="100" w:beforeAutospacing="1" w:after="100" w:afterAutospacing="1"/>
      <w:jc w:val="left"/>
      <w:textAlignment w:val="center"/>
    </w:pPr>
    <w:rPr>
      <w:rFonts w:ascii="Arial Unicode MS" w:hAnsi="Arial Unicode MS" w:eastAsia="Arial Unicode MS" w:cs="Arial Unicode MS"/>
      <w:kern w:val="0"/>
      <w:sz w:val="36"/>
      <w:szCs w:val="36"/>
    </w:rPr>
  </w:style>
  <w:style w:type="paragraph" w:customStyle="1" w:styleId="363">
    <w:name w:val="xl72"/>
    <w:basedOn w:val="1"/>
    <w:qFormat/>
    <w:uiPriority w:val="0"/>
    <w:pPr>
      <w:widowControl/>
      <w:pBdr>
        <w:left w:val="single" w:color="auto" w:sz="8" w:space="0"/>
        <w:bottom w:val="single" w:color="auto" w:sz="8" w:space="0"/>
        <w:right w:val="single" w:color="auto" w:sz="8" w:space="0"/>
      </w:pBdr>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364">
    <w:name w:val="Body Text Indent 3"/>
    <w:basedOn w:val="1"/>
    <w:qFormat/>
    <w:uiPriority w:val="0"/>
    <w:pPr>
      <w:adjustRightInd w:val="0"/>
      <w:spacing w:line="360" w:lineRule="atLeast"/>
      <w:ind w:firstLine="720"/>
      <w:jc w:val="left"/>
    </w:pPr>
    <w:rPr>
      <w:rFonts w:hint="eastAsia" w:ascii="宋体"/>
      <w:spacing w:val="-2"/>
      <w:kern w:val="0"/>
      <w:sz w:val="28"/>
      <w:szCs w:val="20"/>
    </w:rPr>
  </w:style>
  <w:style w:type="paragraph" w:customStyle="1" w:styleId="365">
    <w:name w:val="样式 标题 1标题 1 Char标1第一章章一级标题，黑粗，三号，序号可研-标题 1PartH1H11H12..."/>
    <w:basedOn w:val="1"/>
    <w:qFormat/>
    <w:uiPriority w:val="0"/>
    <w:pPr>
      <w:spacing w:line="360" w:lineRule="auto"/>
      <w:ind w:left="432" w:hanging="432"/>
    </w:pPr>
    <w:rPr>
      <w:sz w:val="24"/>
      <w:szCs w:val="20"/>
    </w:rPr>
  </w:style>
  <w:style w:type="paragraph" w:customStyle="1" w:styleId="366">
    <w:name w:val="表号"/>
    <w:basedOn w:val="115"/>
    <w:next w:val="115"/>
    <w:qFormat/>
    <w:uiPriority w:val="0"/>
    <w:pPr>
      <w:tabs>
        <w:tab w:val="left" w:pos="360"/>
      </w:tabs>
      <w:spacing w:line="240" w:lineRule="atLeast"/>
      <w:ind w:left="-264" w:firstLine="264"/>
      <w:jc w:val="right"/>
    </w:pPr>
    <w:rPr>
      <w:rFonts w:ascii="黑体" w:eastAsia="黑体"/>
      <w:color w:val="auto"/>
    </w:rPr>
  </w:style>
  <w:style w:type="paragraph" w:customStyle="1" w:styleId="367">
    <w:name w:val="xl55"/>
    <w:basedOn w:val="1"/>
    <w:qFormat/>
    <w:uiPriority w:val="0"/>
    <w:pPr>
      <w:widowControl/>
      <w:pBdr>
        <w:top w:val="single" w:color="auto" w:sz="4" w:space="0"/>
        <w:bottom w:val="single" w:color="auto" w:sz="4" w:space="0"/>
      </w:pBdr>
      <w:spacing w:before="100" w:beforeAutospacing="1" w:after="100" w:afterAutospacing="1"/>
      <w:jc w:val="right"/>
      <w:textAlignment w:val="center"/>
    </w:pPr>
    <w:rPr>
      <w:rFonts w:ascii="Arial Unicode MS" w:hAnsi="Arial Unicode MS" w:eastAsia="Arial Unicode MS" w:cs="Arial Unicode MS"/>
      <w:kern w:val="0"/>
      <w:sz w:val="20"/>
      <w:szCs w:val="20"/>
    </w:rPr>
  </w:style>
  <w:style w:type="paragraph" w:customStyle="1" w:styleId="368">
    <w:name w:val=" Char Char Char Char Char Char Char Char Char Char1 Char Char Char Char Char Char Char Char Char Char Char Char1"/>
    <w:basedOn w:val="1"/>
    <w:qFormat/>
    <w:uiPriority w:val="0"/>
    <w:rPr>
      <w:szCs w:val="21"/>
    </w:rPr>
  </w:style>
  <w:style w:type="paragraph" w:customStyle="1" w:styleId="369">
    <w:name w:val="0正文"/>
    <w:basedOn w:val="26"/>
    <w:qFormat/>
    <w:uiPriority w:val="0"/>
    <w:pPr>
      <w:ind w:firstLine="720"/>
    </w:pPr>
  </w:style>
  <w:style w:type="paragraph" w:customStyle="1" w:styleId="370">
    <w:name w:val="标题4"/>
    <w:basedOn w:val="1"/>
    <w:qFormat/>
    <w:uiPriority w:val="0"/>
    <w:pPr>
      <w:spacing w:line="360" w:lineRule="auto"/>
      <w:outlineLvl w:val="3"/>
    </w:pPr>
    <w:rPr>
      <w:rFonts w:hint="eastAsia" w:ascii="仿宋_GB2312" w:eastAsia="仿宋_GB2312"/>
      <w:b/>
      <w:bCs/>
      <w:color w:val="000000"/>
      <w:sz w:val="24"/>
    </w:rPr>
  </w:style>
  <w:style w:type="paragraph" w:customStyle="1" w:styleId="371">
    <w:name w:val="文本框文字"/>
    <w:basedOn w:val="1"/>
    <w:qFormat/>
    <w:uiPriority w:val="0"/>
    <w:pPr>
      <w:jc w:val="center"/>
    </w:pPr>
  </w:style>
  <w:style w:type="paragraph" w:customStyle="1" w:styleId="372">
    <w:name w:val="xl75"/>
    <w:basedOn w:val="1"/>
    <w:qFormat/>
    <w:uiPriority w:val="0"/>
    <w:pPr>
      <w:widowControl/>
      <w:spacing w:before="100" w:beforeAutospacing="1" w:after="100" w:afterAutospacing="1"/>
      <w:jc w:val="right"/>
      <w:textAlignment w:val="center"/>
    </w:pPr>
    <w:rPr>
      <w:rFonts w:ascii="Arial Unicode MS" w:hAnsi="Arial Unicode MS" w:eastAsia="Arial Unicode MS" w:cs="Arial Unicode MS"/>
      <w:color w:val="FFFFFF"/>
      <w:kern w:val="0"/>
      <w:sz w:val="20"/>
      <w:szCs w:val="20"/>
    </w:rPr>
  </w:style>
  <w:style w:type="paragraph" w:customStyle="1" w:styleId="373">
    <w:name w:val="Char Char"/>
    <w:basedOn w:val="1"/>
    <w:qFormat/>
    <w:uiPriority w:val="0"/>
    <w:pPr>
      <w:snapToGrid w:val="0"/>
      <w:spacing w:line="440" w:lineRule="atLeast"/>
    </w:pPr>
    <w:rPr>
      <w:rFonts w:ascii="宋体" w:eastAsia="楷体_GB2312"/>
      <w:sz w:val="24"/>
    </w:rPr>
  </w:style>
  <w:style w:type="paragraph" w:customStyle="1" w:styleId="374">
    <w:name w:val="环保表头"/>
    <w:qFormat/>
    <w:uiPriority w:val="0"/>
    <w:pPr>
      <w:spacing w:before="156" w:beforeLines="50"/>
      <w:jc w:val="center"/>
    </w:pPr>
    <w:rPr>
      <w:rFonts w:ascii="宋体" w:hAnsi="宋体" w:eastAsia="黑体" w:cs="Times New Roman"/>
      <w:kern w:val="2"/>
      <w:sz w:val="24"/>
      <w:szCs w:val="24"/>
      <w:lang w:val="en-US" w:eastAsia="zh-CN" w:bidi="ar-SA"/>
    </w:rPr>
  </w:style>
  <w:style w:type="paragraph" w:customStyle="1" w:styleId="375">
    <w:name w:val="表格文字"/>
    <w:basedOn w:val="1"/>
    <w:next w:val="1"/>
    <w:qFormat/>
    <w:uiPriority w:val="0"/>
    <w:pPr>
      <w:adjustRightInd w:val="0"/>
      <w:snapToGrid w:val="0"/>
      <w:spacing w:line="240" w:lineRule="exact"/>
      <w:jc w:val="center"/>
    </w:pPr>
  </w:style>
  <w:style w:type="paragraph" w:customStyle="1" w:styleId="376">
    <w:name w:val="9"/>
    <w:basedOn w:val="1"/>
    <w:qFormat/>
    <w:uiPriority w:val="0"/>
    <w:pPr>
      <w:spacing w:beforeLines="30" w:afterLines="30" w:line="360" w:lineRule="auto"/>
      <w:ind w:firstLine="540" w:firstLineChars="225"/>
    </w:pPr>
    <w:rPr>
      <w:szCs w:val="24"/>
    </w:rPr>
  </w:style>
  <w:style w:type="paragraph" w:customStyle="1" w:styleId="377">
    <w:name w:val="简单回函地址"/>
    <w:basedOn w:val="1"/>
    <w:qFormat/>
    <w:uiPriority w:val="0"/>
    <w:rPr>
      <w:szCs w:val="20"/>
    </w:rPr>
  </w:style>
  <w:style w:type="paragraph" w:customStyle="1" w:styleId="378">
    <w:name w:val="xl57"/>
    <w:basedOn w:val="1"/>
    <w:qFormat/>
    <w:uiPriority w:val="0"/>
    <w:pPr>
      <w:widowControl/>
      <w:spacing w:before="100" w:beforeAutospacing="1" w:after="100" w:afterAutospacing="1"/>
      <w:jc w:val="right"/>
      <w:textAlignment w:val="center"/>
    </w:pPr>
    <w:rPr>
      <w:rFonts w:ascii="Arial Unicode MS" w:hAnsi="Arial Unicode MS" w:eastAsia="Arial Unicode MS" w:cs="Arial Unicode MS"/>
      <w:kern w:val="0"/>
      <w:sz w:val="20"/>
      <w:szCs w:val="20"/>
    </w:rPr>
  </w:style>
  <w:style w:type="paragraph" w:customStyle="1" w:styleId="379">
    <w:name w:val="xl81"/>
    <w:basedOn w:val="1"/>
    <w:qFormat/>
    <w:uiPriority w:val="0"/>
    <w:pPr>
      <w:widowControl/>
      <w:pBdr>
        <w:top w:val="single" w:color="auto" w:sz="4" w:space="0"/>
        <w:bottom w:val="single" w:color="auto" w:sz="4" w:space="0"/>
      </w:pBdr>
      <w:spacing w:before="100" w:beforeAutospacing="1" w:after="100" w:afterAutospacing="1"/>
      <w:jc w:val="right"/>
      <w:textAlignment w:val="center"/>
    </w:pPr>
    <w:rPr>
      <w:rFonts w:ascii="Arial Unicode MS" w:hAnsi="Arial Unicode MS" w:eastAsia="Arial Unicode MS" w:cs="Arial Unicode MS"/>
      <w:color w:val="000000"/>
      <w:kern w:val="0"/>
      <w:sz w:val="20"/>
      <w:szCs w:val="20"/>
    </w:rPr>
  </w:style>
  <w:style w:type="paragraph" w:customStyle="1" w:styleId="380">
    <w:name w:val="Normal Indent"/>
    <w:basedOn w:val="1"/>
    <w:qFormat/>
    <w:uiPriority w:val="0"/>
    <w:pPr>
      <w:tabs>
        <w:tab w:val="left" w:pos="280"/>
      </w:tabs>
      <w:spacing w:line="312" w:lineRule="auto"/>
      <w:ind w:firstLine="200" w:firstLineChars="200"/>
    </w:pPr>
    <w:rPr>
      <w:rFonts w:ascii="Verdana" w:hAnsi="Verdana" w:eastAsia="宋体"/>
      <w:b/>
      <w:kern w:val="2"/>
      <w:sz w:val="28"/>
      <w:szCs w:val="18"/>
      <w:lang w:val="en-US" w:eastAsia="zh-CN"/>
    </w:rPr>
  </w:style>
  <w:style w:type="paragraph" w:customStyle="1" w:styleId="381">
    <w:name w:val="表字"/>
    <w:basedOn w:val="1"/>
    <w:qFormat/>
    <w:uiPriority w:val="0"/>
    <w:pPr>
      <w:jc w:val="center"/>
    </w:pPr>
    <w:rPr>
      <w:rFonts w:ascii="宋体"/>
      <w:szCs w:val="20"/>
    </w:rPr>
  </w:style>
  <w:style w:type="paragraph" w:customStyle="1" w:styleId="382">
    <w:name w:val="xl43"/>
    <w:basedOn w:val="1"/>
    <w:qFormat/>
    <w:uiPriority w:val="0"/>
    <w:pPr>
      <w:widowControl/>
      <w:pBdr>
        <w:bottom w:val="single" w:color="auto" w:sz="8" w:space="0"/>
      </w:pBdr>
      <w:spacing w:before="100" w:beforeAutospacing="1" w:after="100" w:afterAutospacing="1"/>
      <w:jc w:val="right"/>
      <w:textAlignment w:val="center"/>
    </w:pPr>
    <w:rPr>
      <w:rFonts w:ascii="Arial Unicode MS" w:hAnsi="Arial Unicode MS" w:eastAsia="Arial Unicode MS" w:cs="Arial Unicode MS"/>
      <w:kern w:val="0"/>
      <w:sz w:val="18"/>
      <w:szCs w:val="18"/>
    </w:rPr>
  </w:style>
  <w:style w:type="paragraph" w:customStyle="1" w:styleId="383">
    <w:name w:val="+正文"/>
    <w:basedOn w:val="1"/>
    <w:qFormat/>
    <w:uiPriority w:val="0"/>
    <w:pPr>
      <w:spacing w:line="360" w:lineRule="auto"/>
      <w:ind w:firstLine="200" w:firstLineChars="200"/>
    </w:pPr>
    <w:rPr>
      <w:rFonts w:ascii="Calibri" w:hAnsi="Calibri" w:cs="Calibri"/>
      <w:sz w:val="28"/>
      <w:szCs w:val="28"/>
    </w:rPr>
  </w:style>
  <w:style w:type="table" w:customStyle="1" w:styleId="384">
    <w:name w:val="样式 编号 (中文) 黑体 小四 加粗"/>
    <w:basedOn w:val="58"/>
    <w:qFormat/>
    <w:uiPriority w:val="0"/>
  </w:style>
  <w:style w:type="paragraph" w:customStyle="1" w:styleId="385">
    <w:name w:val="EIS_TABLE_TEXT"/>
    <w:basedOn w:val="386"/>
    <w:qFormat/>
    <w:uiPriority w:val="0"/>
    <w:pPr>
      <w:spacing w:before="0" w:beforeLines="0" w:after="0" w:afterLines="0" w:line="240" w:lineRule="auto"/>
      <w:ind w:firstLine="0" w:firstLineChars="0"/>
      <w:jc w:val="center"/>
    </w:pPr>
    <w:rPr>
      <w:sz w:val="21"/>
      <w:szCs w:val="21"/>
    </w:rPr>
  </w:style>
  <w:style w:type="paragraph" w:customStyle="1" w:styleId="386">
    <w:name w:val="EIS_TEXT"/>
    <w:basedOn w:val="1"/>
    <w:qFormat/>
    <w:uiPriority w:val="0"/>
    <w:pPr>
      <w:adjustRightInd w:val="0"/>
      <w:snapToGrid w:val="0"/>
      <w:spacing w:before="20" w:beforeLines="20" w:after="20" w:afterLines="20" w:line="360" w:lineRule="auto"/>
      <w:ind w:firstLine="480" w:firstLineChars="200"/>
      <w:contextualSpacing/>
    </w:pPr>
    <w:rPr>
      <w:sz w:val="24"/>
      <w:szCs w:val="24"/>
    </w:rPr>
  </w:style>
  <w:style w:type="character" w:customStyle="1" w:styleId="387">
    <w:name w:val="style41"/>
    <w:qFormat/>
    <w:uiPriority w:val="99"/>
    <w:rPr>
      <w:sz w:val="18"/>
      <w:szCs w:val="18"/>
    </w:rPr>
  </w:style>
  <w:style w:type="paragraph" w:customStyle="1" w:styleId="388">
    <w:name w:val="EIS_TABLE_TITLE"/>
    <w:basedOn w:val="386"/>
    <w:next w:val="386"/>
    <w:qFormat/>
    <w:uiPriority w:val="0"/>
    <w:pPr>
      <w:numPr>
        <w:ilvl w:val="4"/>
        <w:numId w:val="9"/>
      </w:numPr>
      <w:spacing w:before="50" w:beforeLines="50" w:after="0" w:afterLines="0" w:line="240" w:lineRule="auto"/>
      <w:ind w:firstLineChars="0"/>
      <w:jc w:val="center"/>
    </w:pPr>
    <w:rPr>
      <w:b/>
    </w:rPr>
  </w:style>
  <w:style w:type="paragraph" w:customStyle="1" w:styleId="389">
    <w:name w:val="表格"/>
    <w:basedOn w:val="390"/>
    <w:next w:val="1"/>
    <w:qFormat/>
    <w:uiPriority w:val="0"/>
    <w:pPr>
      <w:widowControl/>
      <w:spacing w:line="400" w:lineRule="exact"/>
      <w:ind w:firstLine="235" w:firstLineChars="235"/>
      <w:jc w:val="center"/>
    </w:pPr>
    <w:rPr>
      <w:rFonts w:ascii="Times New Roman" w:hAnsi="Times New Roman" w:eastAsia="楷体_GB2312"/>
      <w:kern w:val="0"/>
      <w:szCs w:val="20"/>
    </w:rPr>
  </w:style>
  <w:style w:type="paragraph" w:customStyle="1" w:styleId="390">
    <w:name w:val="表格格式"/>
    <w:basedOn w:val="1"/>
    <w:qFormat/>
    <w:uiPriority w:val="0"/>
    <w:pPr>
      <w:spacing w:line="240" w:lineRule="auto"/>
      <w:ind w:firstLine="0" w:firstLineChars="0"/>
      <w:jc w:val="center"/>
    </w:pPr>
    <w:rPr>
      <w:rFonts w:ascii="Times New Roman" w:hAnsi="Times New Roman"/>
      <w:kern w:val="0"/>
      <w:sz w:val="21"/>
      <w:szCs w:val="21"/>
    </w:rPr>
  </w:style>
  <w:style w:type="paragraph" w:customStyle="1" w:styleId="391">
    <w:name w:val="晓丹"/>
    <w:basedOn w:val="2"/>
    <w:qFormat/>
    <w:uiPriority w:val="0"/>
    <w:pPr>
      <w:widowControl w:val="0"/>
      <w:adjustRightInd w:val="0"/>
      <w:snapToGrid w:val="0"/>
      <w:spacing w:after="0" w:line="360" w:lineRule="auto"/>
      <w:ind w:firstLine="200" w:firstLineChars="200"/>
      <w:textAlignment w:val="baseline"/>
    </w:pPr>
    <w:rPr>
      <w:rFonts w:hint="default" w:ascii="宋体" w:hAnsi="宋体"/>
      <w:color w:val="000000"/>
      <w:spacing w:val="6"/>
      <w:kern w:val="0"/>
      <w:sz w:val="24"/>
    </w:rPr>
  </w:style>
  <w:style w:type="paragraph" w:customStyle="1" w:styleId="392">
    <w:name w:val="三道垃圾场封场正文"/>
    <w:basedOn w:val="1"/>
    <w:qFormat/>
    <w:uiPriority w:val="0"/>
    <w:pPr>
      <w:adjustRightInd w:val="0"/>
      <w:snapToGrid w:val="0"/>
      <w:spacing w:line="360" w:lineRule="auto"/>
      <w:ind w:firstLine="640" w:firstLineChars="200"/>
    </w:pPr>
    <w:rPr>
      <w:rFonts w:ascii="Times New Roman" w:hAnsi="Times New Roman"/>
      <w:sz w:val="24"/>
      <w:szCs w:val="24"/>
    </w:rPr>
  </w:style>
  <w:style w:type="paragraph" w:customStyle="1" w:styleId="393">
    <w:name w:val="图名表名"/>
    <w:basedOn w:val="1"/>
    <w:qFormat/>
    <w:uiPriority w:val="0"/>
    <w:pPr>
      <w:spacing w:line="360" w:lineRule="auto"/>
      <w:jc w:val="center"/>
    </w:pPr>
    <w:rPr>
      <w:rFonts w:eastAsia="Times New Roman"/>
      <w:b/>
      <w:bCs/>
      <w:szCs w:val="20"/>
    </w:rPr>
  </w:style>
  <w:style w:type="paragraph" w:customStyle="1" w:styleId="394">
    <w:name w:val="Table Paragraph"/>
    <w:basedOn w:val="1"/>
    <w:qFormat/>
    <w:uiPriority w:val="1"/>
    <w:pPr>
      <w:autoSpaceDE w:val="0"/>
      <w:autoSpaceDN w:val="0"/>
      <w:adjustRightInd w:val="0"/>
      <w:jc w:val="left"/>
    </w:pPr>
    <w:rPr>
      <w:kern w:val="0"/>
      <w:sz w:val="24"/>
    </w:rPr>
  </w:style>
  <w:style w:type="paragraph" w:customStyle="1" w:styleId="395">
    <w:name w:val="吉林省冶金规划环评正文"/>
    <w:basedOn w:val="1"/>
    <w:qFormat/>
    <w:uiPriority w:val="0"/>
    <w:pPr>
      <w:adjustRightInd w:val="0"/>
      <w:snapToGrid w:val="0"/>
      <w:spacing w:line="360" w:lineRule="auto"/>
      <w:ind w:firstLine="420" w:firstLineChars="200"/>
    </w:pPr>
    <w:rPr>
      <w:rFonts w:ascii="Times New Roman" w:hAnsi="Times New Roman" w:eastAsia="仿宋_GB2312"/>
      <w:sz w:val="24"/>
    </w:rPr>
  </w:style>
  <w:style w:type="paragraph" w:customStyle="1" w:styleId="396">
    <w:name w:val="27-四级"/>
    <w:basedOn w:val="7"/>
    <w:qFormat/>
    <w:uiPriority w:val="0"/>
    <w:pPr>
      <w:spacing w:before="0" w:after="0" w:line="360" w:lineRule="auto"/>
      <w:jc w:val="left"/>
    </w:pPr>
    <w:rPr>
      <w:rFonts w:ascii="Times New Roman" w:hAnsi="Times New Roman"/>
    </w:rPr>
  </w:style>
  <w:style w:type="paragraph" w:customStyle="1" w:styleId="397">
    <w:name w:val="【正文】"/>
    <w:basedOn w:val="1"/>
    <w:next w:val="51"/>
    <w:qFormat/>
    <w:uiPriority w:val="0"/>
    <w:pPr>
      <w:adjustRightInd w:val="0"/>
      <w:snapToGrid w:val="0"/>
      <w:spacing w:line="480" w:lineRule="exact"/>
      <w:ind w:firstLine="200" w:firstLineChars="200"/>
    </w:pPr>
    <w:rPr>
      <w:rFonts w:ascii="Times New Roman"/>
      <w:color w:val="0070C0"/>
      <w:kern w:val="2"/>
    </w:rPr>
  </w:style>
  <w:style w:type="paragraph" w:customStyle="1" w:styleId="398">
    <w:name w:val="文字描述"/>
    <w:basedOn w:val="1"/>
    <w:qFormat/>
    <w:uiPriority w:val="0"/>
    <w:pPr>
      <w:adjustRightInd w:val="0"/>
      <w:snapToGrid w:val="0"/>
      <w:spacing w:line="360" w:lineRule="auto"/>
      <w:ind w:firstLine="200" w:firstLineChars="200"/>
    </w:pPr>
    <w:rPr>
      <w:spacing w:val="-2"/>
      <w:sz w:val="24"/>
      <w:szCs w:val="24"/>
    </w:rPr>
  </w:style>
  <w:style w:type="paragraph" w:customStyle="1" w:styleId="399">
    <w:name w:val="0表格内容"/>
    <w:basedOn w:val="1"/>
    <w:qFormat/>
    <w:uiPriority w:val="0"/>
    <w:pPr>
      <w:jc w:val="center"/>
    </w:pPr>
    <w:rPr>
      <w:rFonts w:cs="宋体"/>
      <w:szCs w:val="20"/>
    </w:rPr>
  </w:style>
  <w:style w:type="paragraph" w:customStyle="1" w:styleId="400">
    <w:name w:val="表、图标题"/>
    <w:basedOn w:val="1"/>
    <w:qFormat/>
    <w:uiPriority w:val="0"/>
    <w:pPr>
      <w:keepNext/>
      <w:adjustRightInd w:val="0"/>
      <w:snapToGrid w:val="0"/>
      <w:spacing w:before="50" w:beforeLines="50" w:after="50" w:afterLines="50" w:line="360" w:lineRule="exact"/>
      <w:ind w:firstLine="560" w:firstLineChars="200"/>
    </w:pPr>
    <w:rPr>
      <w:rFonts w:eastAsia="黑体"/>
      <w:sz w:val="24"/>
      <w:szCs w:val="24"/>
    </w:rPr>
  </w:style>
  <w:style w:type="paragraph" w:customStyle="1" w:styleId="401">
    <w:name w:val="表格字体"/>
    <w:basedOn w:val="1"/>
    <w:next w:val="1"/>
    <w:qFormat/>
    <w:uiPriority w:val="0"/>
    <w:pPr>
      <w:jc w:val="center"/>
    </w:pPr>
    <w:rPr>
      <w:color w:val="000000"/>
      <w:kern w:val="0"/>
      <w:szCs w:val="21"/>
    </w:rPr>
  </w:style>
  <w:style w:type="paragraph" w:customStyle="1" w:styleId="402">
    <w:name w:val="正文4"/>
    <w:basedOn w:val="249"/>
    <w:qFormat/>
    <w:uiPriority w:val="0"/>
    <w:pPr>
      <w:adjustRightInd w:val="0"/>
      <w:snapToGrid w:val="0"/>
      <w:spacing w:line="360" w:lineRule="auto"/>
      <w:ind w:firstLine="480" w:firstLineChars="200"/>
    </w:pPr>
    <w:rPr>
      <w:rFonts w:ascii="Times New Roman" w:hAnsi="宋体"/>
      <w:sz w:val="24"/>
    </w:rPr>
  </w:style>
  <w:style w:type="paragraph" w:customStyle="1" w:styleId="403">
    <w:name w:val="List Paragraph_904b7a66-d275-433e-8b2f-7a478184ee2b"/>
    <w:basedOn w:val="1"/>
    <w:qFormat/>
    <w:uiPriority w:val="0"/>
    <w:pPr>
      <w:widowControl/>
      <w:ind w:firstLine="420"/>
    </w:pPr>
    <w:rPr>
      <w:rFonts w:ascii="Calibri" w:hAnsi="Calibri"/>
      <w:kern w:val="0"/>
    </w:rPr>
  </w:style>
  <w:style w:type="paragraph" w:customStyle="1" w:styleId="404">
    <w:name w:val="表头2"/>
    <w:basedOn w:val="26"/>
    <w:qFormat/>
    <w:uiPriority w:val="0"/>
    <w:pPr>
      <w:spacing w:before="20" w:beforeLines="20" w:after="0"/>
      <w:ind w:left="0" w:leftChars="0"/>
      <w:jc w:val="center"/>
    </w:pPr>
    <w:rPr>
      <w:b/>
      <w:sz w:val="24"/>
    </w:rPr>
  </w:style>
  <w:style w:type="paragraph" w:customStyle="1" w:styleId="405">
    <w:name w:val="正文样式3"/>
    <w:basedOn w:val="1"/>
    <w:qFormat/>
    <w:uiPriority w:val="0"/>
    <w:pPr>
      <w:keepLines/>
      <w:adjustRightInd w:val="0"/>
      <w:spacing w:line="20" w:lineRule="atLeast"/>
      <w:jc w:val="center"/>
      <w:textAlignment w:val="baseline"/>
    </w:pPr>
    <w:rPr>
      <w:kern w:val="0"/>
      <w:sz w:val="24"/>
    </w:rPr>
  </w:style>
  <w:style w:type="paragraph" w:customStyle="1" w:styleId="406">
    <w:name w:val="表头 1"/>
    <w:basedOn w:val="24"/>
    <w:next w:val="24"/>
    <w:qFormat/>
    <w:uiPriority w:val="0"/>
    <w:pPr>
      <w:adjustRightInd w:val="0"/>
      <w:snapToGrid w:val="0"/>
      <w:spacing w:after="0"/>
      <w:jc w:val="center"/>
    </w:pPr>
    <w:rPr>
      <w:b/>
      <w:sz w:val="24"/>
      <w:szCs w:val="24"/>
    </w:rPr>
  </w:style>
  <w:style w:type="paragraph" w:customStyle="1" w:styleId="407">
    <w:name w:val="任表格"/>
    <w:basedOn w:val="1"/>
    <w:qFormat/>
    <w:uiPriority w:val="0"/>
    <w:pPr>
      <w:adjustRightInd w:val="0"/>
      <w:snapToGrid w:val="0"/>
      <w:jc w:val="center"/>
    </w:pPr>
    <w:rPr>
      <w:rFonts w:ascii="Times New Roman" w:hAnsi="Times New Roman" w:eastAsia="宋体" w:cs="Times New Roman"/>
      <w:szCs w:val="21"/>
    </w:rPr>
  </w:style>
  <w:style w:type="paragraph" w:customStyle="1" w:styleId="408">
    <w:name w:val="表格正文"/>
    <w:basedOn w:val="409"/>
    <w:next w:val="410"/>
    <w:qFormat/>
    <w:uiPriority w:val="0"/>
    <w:pPr>
      <w:widowControl w:val="0"/>
      <w:spacing w:before="0" w:beforeAutospacing="0" w:after="0" w:afterAutospacing="0" w:line="360" w:lineRule="exact"/>
      <w:jc w:val="center"/>
    </w:pPr>
    <w:rPr>
      <w:rFonts w:ascii="Times New Roman" w:hAnsi="Times New Roman"/>
      <w:kern w:val="2"/>
      <w:sz w:val="21"/>
    </w:rPr>
  </w:style>
  <w:style w:type="paragraph" w:customStyle="1" w:styleId="409">
    <w:name w:val="表格标题"/>
    <w:basedOn w:val="1"/>
    <w:next w:val="53"/>
    <w:qFormat/>
    <w:uiPriority w:val="0"/>
    <w:pPr>
      <w:widowControl/>
      <w:spacing w:before="100" w:beforeAutospacing="1" w:after="100" w:afterAutospacing="1"/>
      <w:jc w:val="left"/>
    </w:pPr>
    <w:rPr>
      <w:rFonts w:ascii="宋体" w:hAnsi="宋体"/>
      <w:kern w:val="0"/>
      <w:sz w:val="24"/>
    </w:rPr>
  </w:style>
  <w:style w:type="paragraph" w:customStyle="1" w:styleId="410">
    <w:name w:val="1正文"/>
    <w:basedOn w:val="1"/>
    <w:qFormat/>
    <w:uiPriority w:val="0"/>
    <w:pPr>
      <w:spacing w:line="360" w:lineRule="auto"/>
    </w:pPr>
  </w:style>
  <w:style w:type="paragraph" w:customStyle="1" w:styleId="411">
    <w:name w:val="表格内"/>
    <w:basedOn w:val="45"/>
    <w:next w:val="1"/>
    <w:qFormat/>
    <w:uiPriority w:val="0"/>
    <w:pPr>
      <w:spacing w:line="360" w:lineRule="exact"/>
      <w:ind w:firstLine="0" w:firstLineChars="0"/>
    </w:pPr>
    <w:rPr>
      <w:rFonts w:eastAsia="Times New Roman"/>
      <w:sz w:val="21"/>
      <w:szCs w:val="21"/>
    </w:rPr>
  </w:style>
  <w:style w:type="paragraph" w:customStyle="1" w:styleId="412">
    <w:name w:val="样式 博士论文标题3 + 段前: 0.2 行 段后: 0.2 行"/>
    <w:basedOn w:val="1"/>
    <w:qFormat/>
    <w:uiPriority w:val="0"/>
    <w:pPr>
      <w:widowControl/>
      <w:spacing w:beforeLines="20" w:afterLines="20" w:line="360" w:lineRule="auto"/>
      <w:jc w:val="left"/>
    </w:pPr>
    <w:rPr>
      <w:rFonts w:ascii="宋体" w:hAnsi="宋体" w:cs="宋体"/>
      <w:kern w:val="0"/>
      <w:sz w:val="28"/>
      <w:szCs w:val="20"/>
    </w:rPr>
  </w:style>
  <w:style w:type="paragraph" w:customStyle="1" w:styleId="413">
    <w:name w:val="提头"/>
    <w:basedOn w:val="1"/>
    <w:next w:val="1"/>
    <w:qFormat/>
    <w:uiPriority w:val="0"/>
    <w:pPr>
      <w:numPr>
        <w:ilvl w:val="4"/>
        <w:numId w:val="10"/>
      </w:numPr>
      <w:spacing w:line="360" w:lineRule="auto"/>
      <w:jc w:val="center"/>
    </w:pPr>
    <w:rPr>
      <w:b/>
      <w:sz w:val="24"/>
    </w:rPr>
  </w:style>
  <w:style w:type="paragraph" w:customStyle="1" w:styleId="414">
    <w:name w:val="样式标题5"/>
    <w:basedOn w:val="1"/>
    <w:next w:val="6"/>
    <w:qFormat/>
    <w:uiPriority w:val="0"/>
    <w:pPr>
      <w:numPr>
        <w:ilvl w:val="6"/>
        <w:numId w:val="10"/>
      </w:numPr>
      <w:spacing w:line="360" w:lineRule="auto"/>
    </w:pPr>
    <w:rPr>
      <w:sz w:val="24"/>
    </w:rPr>
  </w:style>
  <w:style w:type="paragraph" w:customStyle="1" w:styleId="415">
    <w:name w:val="环评2级"/>
    <w:basedOn w:val="416"/>
    <w:qFormat/>
    <w:uiPriority w:val="0"/>
    <w:pPr>
      <w:spacing w:after="50" w:afterLines="50"/>
      <w:jc w:val="left"/>
      <w:outlineLvl w:val="1"/>
    </w:pPr>
    <w:rPr>
      <w:sz w:val="28"/>
      <w:szCs w:val="30"/>
    </w:rPr>
  </w:style>
  <w:style w:type="paragraph" w:customStyle="1" w:styleId="416">
    <w:name w:val="环评1级"/>
    <w:basedOn w:val="1"/>
    <w:qFormat/>
    <w:uiPriority w:val="0"/>
    <w:pPr>
      <w:spacing w:before="50" w:beforeLines="50" w:after="100" w:afterLines="100"/>
      <w:jc w:val="center"/>
      <w:outlineLvl w:val="0"/>
    </w:pPr>
    <w:rPr>
      <w:rFonts w:ascii="Times New Roman" w:hAnsi="Times New Roman"/>
      <w:b/>
      <w:bCs/>
      <w:sz w:val="32"/>
      <w:szCs w:val="32"/>
    </w:rPr>
  </w:style>
  <w:style w:type="paragraph" w:customStyle="1" w:styleId="417">
    <w:name w:val="环评3级"/>
    <w:basedOn w:val="415"/>
    <w:qFormat/>
    <w:uiPriority w:val="0"/>
    <w:pPr>
      <w:outlineLvl w:val="2"/>
    </w:pPr>
    <w:rPr>
      <w:sz w:val="24"/>
    </w:rPr>
  </w:style>
  <w:style w:type="paragraph" w:customStyle="1" w:styleId="418">
    <w:name w:val="_Style 417"/>
    <w:unhideWhenUsed/>
    <w:qFormat/>
    <w:uiPriority w:val="99"/>
    <w:rPr>
      <w:rFonts w:ascii="Times New Roman" w:hAnsi="Times New Roman" w:eastAsia="宋体" w:cs="Times New Roman"/>
      <w:kern w:val="2"/>
      <w:sz w:val="24"/>
      <w:szCs w:val="24"/>
      <w:lang w:val="en-US" w:eastAsia="zh-CN" w:bidi="ar-SA"/>
    </w:rPr>
  </w:style>
  <w:style w:type="paragraph" w:customStyle="1" w:styleId="419">
    <w:name w:val="环评正文"/>
    <w:basedOn w:val="1"/>
    <w:qFormat/>
    <w:uiPriority w:val="0"/>
    <w:pPr>
      <w:spacing w:line="360" w:lineRule="auto"/>
      <w:ind w:firstLine="425" w:firstLineChars="177"/>
    </w:pPr>
    <w:rPr>
      <w:rFonts w:ascii="宋体" w:hAnsi="宋体"/>
      <w:kern w:val="0"/>
      <w:sz w:val="24"/>
    </w:rPr>
  </w:style>
  <w:style w:type="table" w:customStyle="1" w:styleId="420">
    <w:name w:val="表格式4"/>
    <w:basedOn w:val="58"/>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21">
    <w:name w:val="一级条标题"/>
    <w:next w:val="18"/>
    <w:qFormat/>
    <w:uiPriority w:val="0"/>
    <w:pPr>
      <w:outlineLvl w:val="2"/>
    </w:pPr>
    <w:rPr>
      <w:rFonts w:ascii="Times New Roman" w:hAnsi="Times New Roman" w:eastAsia="黑体" w:cs="Times New Roman"/>
      <w:sz w:val="21"/>
      <w:lang w:val="en-US" w:eastAsia="zh-CN" w:bidi="ar-SA"/>
    </w:rPr>
  </w:style>
  <w:style w:type="paragraph" w:customStyle="1" w:styleId="422">
    <w:name w:val="雷丹正文"/>
    <w:basedOn w:val="1"/>
    <w:qFormat/>
    <w:uiPriority w:val="0"/>
    <w:pPr>
      <w:adjustRightInd w:val="0"/>
      <w:snapToGrid w:val="0"/>
      <w:jc w:val="both"/>
    </w:pPr>
    <w:rPr>
      <w:rFonts w:eastAsia="宋体" w:cs="Times New Roman"/>
    </w:rPr>
  </w:style>
  <w:style w:type="paragraph" w:customStyle="1" w:styleId="423">
    <w:name w:val="样式 标题 2 + 行距: 1.5 倍行距"/>
    <w:basedOn w:val="4"/>
    <w:qFormat/>
    <w:uiPriority w:val="0"/>
    <w:pPr>
      <w:tabs>
        <w:tab w:val="left" w:pos="540"/>
      </w:tabs>
      <w:spacing w:before="120" w:beforeLines="50" w:after="120" w:afterLines="50" w:line="360" w:lineRule="auto"/>
    </w:pPr>
    <w:rPr>
      <w:rFonts w:ascii="Times New Roman"/>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wmf"/><Relationship Id="rId53" Type="http://schemas.openxmlformats.org/officeDocument/2006/relationships/oleObject" Target="embeddings/oleObject7.bin"/><Relationship Id="rId52" Type="http://schemas.openxmlformats.org/officeDocument/2006/relationships/image" Target="media/image26.wmf"/><Relationship Id="rId51" Type="http://schemas.openxmlformats.org/officeDocument/2006/relationships/oleObject" Target="embeddings/oleObject6.bin"/><Relationship Id="rId50" Type="http://schemas.openxmlformats.org/officeDocument/2006/relationships/image" Target="media/image25.wmf"/><Relationship Id="rId5" Type="http://schemas.openxmlformats.org/officeDocument/2006/relationships/footer" Target="footer2.xml"/><Relationship Id="rId49" Type="http://schemas.openxmlformats.org/officeDocument/2006/relationships/oleObject" Target="embeddings/oleObject5.bin"/><Relationship Id="rId48" Type="http://schemas.openxmlformats.org/officeDocument/2006/relationships/image" Target="media/image24.wmf"/><Relationship Id="rId47" Type="http://schemas.openxmlformats.org/officeDocument/2006/relationships/oleObject" Target="embeddings/oleObject4.bin"/><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footer" Target="footer1.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wmf"/><Relationship Id="rId36" Type="http://schemas.openxmlformats.org/officeDocument/2006/relationships/oleObject" Target="embeddings/oleObject3.bin"/><Relationship Id="rId35" Type="http://schemas.openxmlformats.org/officeDocument/2006/relationships/image" Target="media/image13.wmf"/><Relationship Id="rId34" Type="http://schemas.openxmlformats.org/officeDocument/2006/relationships/oleObject" Target="embeddings/oleObject2.bin"/><Relationship Id="rId33" Type="http://schemas.openxmlformats.org/officeDocument/2006/relationships/image" Target="media/image12.wmf"/><Relationship Id="rId32" Type="http://schemas.openxmlformats.org/officeDocument/2006/relationships/oleObject" Target="embeddings/oleObject1.bin"/><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emf"/><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222"/>
    <customShpInfo spid="_x0000_s2223"/>
    <customShpInfo spid="_x0000_s222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Legend (Beijing) Limited</Company>
  <Pages>166</Pages>
  <Words>19975</Words>
  <Characters>113859</Characters>
  <Lines>948</Lines>
  <Paragraphs>267</Paragraphs>
  <TotalTime>5</TotalTime>
  <ScaleCrop>false</ScaleCrop>
  <LinksUpToDate>false</LinksUpToDate>
  <CharactersWithSpaces>133567</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2019-05-18T13:31:00Z</dcterms:created>
  <dc:creator>Legend User</dc:creator>
  <cp:lastModifiedBy>Administrator</cp:lastModifiedBy>
  <cp:lastPrinted>2012-12-05T00:38:00Z</cp:lastPrinted>
  <dcterms:modified xsi:type="dcterms:W3CDTF">2024-12-23T05:56:39Z</dcterms:modified>
  <dc:title>吉林市环境综合治理热源建设工程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A02624D0DEE641D690544BA8447C5D13_13</vt:lpwstr>
  </property>
</Properties>
</file>