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508CF">
      <w:pPr>
        <w:ind w:firstLine="480"/>
      </w:pPr>
      <w:r>
        <w:rPr>
          <w:rFonts w:hint="eastAsia"/>
        </w:rPr>
        <w:t xml:space="preserve">                            </w:t>
      </w:r>
    </w:p>
    <w:p w14:paraId="1B0D78B8">
      <w:pPr>
        <w:ind w:firstLine="640"/>
        <w:rPr>
          <w:rFonts w:hint="eastAsia" w:ascii="仿宋" w:hAnsi="仿宋" w:eastAsia="仿宋"/>
          <w:bCs/>
          <w:sz w:val="32"/>
          <w:szCs w:val="32"/>
        </w:rPr>
      </w:pPr>
      <w:r>
        <w:rPr>
          <w:rFonts w:hint="eastAsia" w:ascii="仿宋" w:hAnsi="仿宋" w:eastAsia="仿宋"/>
          <w:bCs/>
          <w:sz w:val="32"/>
          <w:szCs w:val="32"/>
        </w:rPr>
        <w:t xml:space="preserve">                   </w:t>
      </w:r>
    </w:p>
    <w:p w14:paraId="078278FE">
      <w:pPr>
        <w:ind w:firstLine="640"/>
        <w:rPr>
          <w:rFonts w:hint="eastAsia" w:ascii="仿宋" w:hAnsi="仿宋" w:eastAsia="仿宋"/>
          <w:bCs/>
          <w:sz w:val="32"/>
          <w:szCs w:val="32"/>
        </w:rPr>
      </w:pPr>
    </w:p>
    <w:p w14:paraId="6AB5C788">
      <w:pPr>
        <w:ind w:firstLine="640"/>
        <w:rPr>
          <w:rFonts w:hint="eastAsia" w:ascii="仿宋" w:hAnsi="仿宋" w:eastAsia="仿宋"/>
          <w:bCs/>
          <w:sz w:val="32"/>
          <w:szCs w:val="32"/>
        </w:rPr>
      </w:pPr>
    </w:p>
    <w:p w14:paraId="56CB93D8">
      <w:pPr>
        <w:ind w:firstLine="640"/>
        <w:rPr>
          <w:rFonts w:hint="eastAsia" w:ascii="仿宋" w:hAnsi="仿宋" w:eastAsia="仿宋"/>
          <w:bCs/>
          <w:sz w:val="32"/>
          <w:szCs w:val="32"/>
        </w:rPr>
      </w:pPr>
    </w:p>
    <w:p w14:paraId="3D717182">
      <w:pPr>
        <w:ind w:firstLine="640"/>
        <w:rPr>
          <w:rFonts w:hint="eastAsia" w:ascii="仿宋" w:hAnsi="仿宋" w:eastAsia="仿宋"/>
          <w:bCs/>
          <w:sz w:val="32"/>
          <w:szCs w:val="32"/>
        </w:rPr>
      </w:pPr>
    </w:p>
    <w:p w14:paraId="30571B0D">
      <w:pPr>
        <w:ind w:firstLine="640"/>
        <w:rPr>
          <w:rFonts w:hint="eastAsia" w:ascii="仿宋" w:hAnsi="仿宋" w:eastAsia="仿宋"/>
          <w:bCs/>
          <w:sz w:val="32"/>
          <w:szCs w:val="32"/>
        </w:rPr>
      </w:pPr>
    </w:p>
    <w:p w14:paraId="48BAA425">
      <w:pPr>
        <w:ind w:firstLine="640"/>
        <w:rPr>
          <w:rFonts w:hint="eastAsia" w:ascii="仿宋" w:hAnsi="仿宋" w:eastAsia="仿宋"/>
          <w:bCs/>
          <w:sz w:val="32"/>
          <w:szCs w:val="32"/>
        </w:rPr>
      </w:pPr>
    </w:p>
    <w:p w14:paraId="1117D1A6">
      <w:pPr>
        <w:ind w:firstLine="640"/>
        <w:rPr>
          <w:rFonts w:hint="eastAsia" w:ascii="仿宋" w:hAnsi="仿宋" w:eastAsia="仿宋"/>
          <w:bCs/>
          <w:sz w:val="32"/>
          <w:szCs w:val="32"/>
        </w:rPr>
      </w:pPr>
    </w:p>
    <w:p w14:paraId="4AA8CDA5">
      <w:pPr>
        <w:ind w:firstLine="640"/>
        <w:rPr>
          <w:rFonts w:ascii="仿宋" w:hAnsi="仿宋" w:eastAsia="仿宋"/>
          <w:bCs/>
          <w:sz w:val="32"/>
          <w:szCs w:val="32"/>
        </w:rPr>
      </w:pPr>
      <w:r>
        <w:rPr>
          <w:rFonts w:hint="eastAsia" w:ascii="仿宋" w:hAnsi="仿宋" w:eastAsia="仿宋"/>
          <w:bCs/>
          <w:sz w:val="32"/>
          <w:szCs w:val="32"/>
        </w:rPr>
        <w:t xml:space="preserve">                         </w:t>
      </w:r>
    </w:p>
    <w:p w14:paraId="39F8832D">
      <w:pPr>
        <w:ind w:firstLine="2080" w:firstLineChars="650"/>
      </w:pPr>
      <w:r>
        <w:rPr>
          <w:rFonts w:hint="eastAsia" w:ascii="仿宋" w:hAnsi="仿宋" w:eastAsia="仿宋"/>
          <w:bCs/>
          <w:sz w:val="32"/>
          <w:szCs w:val="32"/>
        </w:rPr>
        <w:t>白山环审字(书)［2025］03号</w:t>
      </w:r>
    </w:p>
    <w:p w14:paraId="40650AC4">
      <w:pPr>
        <w:spacing w:line="560" w:lineRule="exact"/>
        <w:ind w:firstLine="0" w:firstLineChars="0"/>
        <w:jc w:val="center"/>
        <w:rPr>
          <w:rFonts w:ascii="宋体" w:hAnsi="宋体"/>
          <w:sz w:val="44"/>
          <w:szCs w:val="44"/>
        </w:rPr>
      </w:pPr>
      <w:r>
        <w:rPr>
          <w:rFonts w:hint="eastAsia" w:ascii="宋体" w:hAnsi="宋体"/>
          <w:sz w:val="44"/>
          <w:szCs w:val="44"/>
        </w:rPr>
        <w:t>白山市生态环境局关于</w:t>
      </w:r>
    </w:p>
    <w:p w14:paraId="2526D8C6">
      <w:pPr>
        <w:spacing w:line="560" w:lineRule="exact"/>
        <w:ind w:firstLine="0" w:firstLineChars="0"/>
        <w:jc w:val="center"/>
        <w:rPr>
          <w:rFonts w:ascii="宋体" w:hAnsi="宋体"/>
          <w:color w:val="000000"/>
          <w:sz w:val="44"/>
          <w:szCs w:val="44"/>
        </w:rPr>
      </w:pPr>
      <w:r>
        <w:rPr>
          <w:rFonts w:ascii="宋体" w:hAnsi="宋体"/>
          <w:color w:val="000000"/>
          <w:sz w:val="44"/>
          <w:szCs w:val="44"/>
        </w:rPr>
        <w:t>长春中医药大学附属医院白山医院建设</w:t>
      </w:r>
    </w:p>
    <w:p w14:paraId="62EA626A">
      <w:pPr>
        <w:spacing w:line="560" w:lineRule="exact"/>
        <w:ind w:firstLine="0" w:firstLineChars="0"/>
        <w:jc w:val="center"/>
        <w:rPr>
          <w:rFonts w:ascii="宋体" w:hAnsi="宋体"/>
          <w:color w:val="000000"/>
          <w:sz w:val="44"/>
          <w:szCs w:val="44"/>
        </w:rPr>
      </w:pPr>
      <w:r>
        <w:rPr>
          <w:rFonts w:ascii="宋体" w:hAnsi="宋体"/>
          <w:color w:val="000000"/>
          <w:sz w:val="44"/>
          <w:szCs w:val="44"/>
        </w:rPr>
        <w:t>项目</w:t>
      </w:r>
      <w:r>
        <w:rPr>
          <w:rFonts w:hint="eastAsia" w:ascii="宋体" w:hAnsi="宋体"/>
          <w:color w:val="000000"/>
          <w:sz w:val="44"/>
          <w:szCs w:val="44"/>
        </w:rPr>
        <w:t>环境影响报告书的批复</w:t>
      </w:r>
    </w:p>
    <w:p w14:paraId="469B4B98">
      <w:pPr>
        <w:ind w:firstLine="0" w:firstLineChars="0"/>
        <w:rPr>
          <w:rFonts w:ascii="仿宋" w:hAnsi="仿宋" w:eastAsia="仿宋"/>
          <w:sz w:val="32"/>
          <w:szCs w:val="32"/>
        </w:rPr>
      </w:pPr>
    </w:p>
    <w:p w14:paraId="60665500">
      <w:pPr>
        <w:spacing w:line="560" w:lineRule="exact"/>
        <w:ind w:firstLine="0" w:firstLineChars="0"/>
        <w:rPr>
          <w:rFonts w:ascii="仿宋" w:hAnsi="仿宋" w:eastAsia="仿宋" w:cs="仿宋"/>
          <w:sz w:val="32"/>
          <w:szCs w:val="32"/>
        </w:rPr>
      </w:pPr>
      <w:r>
        <w:rPr>
          <w:rFonts w:hint="eastAsia" w:ascii="仿宋" w:hAnsi="仿宋" w:eastAsia="仿宋" w:cs="仿宋"/>
          <w:sz w:val="32"/>
          <w:szCs w:val="32"/>
        </w:rPr>
        <w:t>长春中医药大学附属医院白山医院:</w:t>
      </w:r>
    </w:p>
    <w:p w14:paraId="1AE78C16">
      <w:pPr>
        <w:spacing w:line="560" w:lineRule="exact"/>
        <w:ind w:firstLine="640"/>
        <w:rPr>
          <w:rFonts w:ascii="仿宋" w:hAnsi="仿宋" w:eastAsia="仿宋" w:cs="仿宋"/>
          <w:sz w:val="32"/>
          <w:szCs w:val="32"/>
        </w:rPr>
      </w:pPr>
      <w:r>
        <w:rPr>
          <w:rFonts w:hint="eastAsia" w:ascii="仿宋" w:hAnsi="仿宋" w:eastAsia="仿宋" w:cs="仿宋"/>
          <w:sz w:val="32"/>
          <w:szCs w:val="32"/>
        </w:rPr>
        <w:t>你单位委托吉林省中环瑞邦环保科技有限公司编制的《长春中医药大学附属医院白山医院建设项目环境影响报告书（报</w:t>
      </w:r>
    </w:p>
    <w:p w14:paraId="2D17803E">
      <w:pPr>
        <w:spacing w:line="560" w:lineRule="exact"/>
        <w:ind w:firstLine="0" w:firstLineChars="0"/>
        <w:rPr>
          <w:rFonts w:ascii="仿宋" w:hAnsi="仿宋" w:eastAsia="仿宋" w:cs="仿宋"/>
          <w:sz w:val="32"/>
          <w:szCs w:val="32"/>
        </w:rPr>
      </w:pPr>
      <w:r>
        <w:rPr>
          <w:rFonts w:hint="eastAsia" w:ascii="仿宋" w:hAnsi="仿宋" w:eastAsia="仿宋" w:cs="仿宋"/>
          <w:sz w:val="32"/>
          <w:szCs w:val="32"/>
        </w:rPr>
        <w:t>批版）》收悉。该项目经公示、专家评审，符合审批要求，现批复如下：</w:t>
      </w:r>
    </w:p>
    <w:p w14:paraId="3586D200">
      <w:pPr>
        <w:spacing w:line="560" w:lineRule="exact"/>
        <w:ind w:firstLine="640"/>
        <w:rPr>
          <w:rFonts w:ascii="仿宋" w:hAnsi="仿宋" w:eastAsia="仿宋" w:cs="仿宋"/>
          <w:sz w:val="32"/>
          <w:szCs w:val="32"/>
        </w:rPr>
      </w:pPr>
      <w:r>
        <w:rPr>
          <w:rFonts w:hint="eastAsia" w:ascii="仿宋" w:hAnsi="仿宋" w:eastAsia="仿宋" w:cs="仿宋"/>
          <w:sz w:val="32"/>
          <w:szCs w:val="32"/>
        </w:rPr>
        <w:t>一、项目基本情况及审批意见</w:t>
      </w:r>
    </w:p>
    <w:p w14:paraId="6E148453">
      <w:pPr>
        <w:spacing w:line="560" w:lineRule="exact"/>
        <w:ind w:firstLine="640"/>
        <w:rPr>
          <w:rFonts w:ascii="仿宋" w:hAnsi="仿宋" w:eastAsia="仿宋" w:cs="仿宋"/>
          <w:color w:val="000000"/>
          <w:sz w:val="32"/>
          <w:szCs w:val="32"/>
        </w:rPr>
      </w:pPr>
      <w:r>
        <w:rPr>
          <w:rFonts w:hint="eastAsia" w:ascii="仿宋" w:hAnsi="仿宋" w:eastAsia="仿宋" w:cs="仿宋"/>
          <w:sz w:val="32"/>
          <w:szCs w:val="32"/>
        </w:rPr>
        <w:t>本项目位于吉林省白山市浑江区（鑫德康城小区东南侧），项目代码2302-220600-04-01-428674。项目总占地面积87449m</w:t>
      </w:r>
      <w:r>
        <w:rPr>
          <w:rFonts w:hint="eastAsia" w:ascii="仿宋" w:hAnsi="仿宋" w:eastAsia="仿宋" w:cs="仿宋"/>
          <w:sz w:val="32"/>
          <w:szCs w:val="32"/>
          <w:vertAlign w:val="superscript"/>
        </w:rPr>
        <w:t>2</w:t>
      </w:r>
      <w:r>
        <w:rPr>
          <w:rFonts w:hint="eastAsia" w:ascii="仿宋" w:hAnsi="仿宋" w:eastAsia="仿宋" w:cs="仿宋"/>
          <w:sz w:val="32"/>
          <w:szCs w:val="32"/>
        </w:rPr>
        <w:t>，总建筑面积104474.35m</w:t>
      </w:r>
      <w:r>
        <w:rPr>
          <w:rFonts w:hint="eastAsia" w:ascii="仿宋" w:hAnsi="仿宋" w:eastAsia="仿宋" w:cs="仿宋"/>
          <w:sz w:val="32"/>
          <w:szCs w:val="32"/>
          <w:vertAlign w:val="superscript"/>
        </w:rPr>
        <w:t>2</w:t>
      </w:r>
      <w:r>
        <w:rPr>
          <w:rFonts w:hint="eastAsia" w:ascii="仿宋" w:hAnsi="仿宋" w:eastAsia="仿宋" w:cs="仿宋"/>
          <w:sz w:val="32"/>
          <w:szCs w:val="32"/>
        </w:rPr>
        <w:t>。本项目按医疗要求拟改造既有2座（</w:t>
      </w:r>
      <w:r>
        <w:rPr>
          <w:rFonts w:hint="eastAsia" w:ascii="仿宋" w:hAnsi="仿宋" w:eastAsia="仿宋" w:cs="仿宋"/>
          <w:color w:val="0C0C0C"/>
          <w:sz w:val="32"/>
          <w:szCs w:val="32"/>
        </w:rPr>
        <w:t>原德馨医院综合楼和安养康复公寓</w:t>
      </w:r>
      <w:r>
        <w:rPr>
          <w:rFonts w:hint="eastAsia" w:ascii="仿宋" w:hAnsi="仿宋" w:eastAsia="仿宋" w:cs="仿宋"/>
          <w:sz w:val="32"/>
          <w:szCs w:val="32"/>
        </w:rPr>
        <w:t>）建筑，改造后为本项目的“综合楼”和“科教综合楼”。同时，新建门卫、制氧站、医废暂存间、危险废物贮存库、污水处理站（格栅+调节池+水解酸化池+接触氧氧化池+沉淀池+消毒池）、高压氧仓、综合医疗楼、制剂楼等建筑。项目内设：</w:t>
      </w:r>
      <w:r>
        <w:rPr>
          <w:rFonts w:hint="eastAsia" w:ascii="仿宋" w:hAnsi="仿宋" w:eastAsia="仿宋" w:cs="仿宋"/>
          <w:color w:val="000000"/>
          <w:sz w:val="32"/>
          <w:szCs w:val="32"/>
        </w:rPr>
        <w:t>急诊室、脑病科、心病科、耳鼻喉科、儿科、肾病科、口腔科、医学检验科、医学影像科（不设传染病科和感染性疾病科及病床），建成后设置床位750张。</w:t>
      </w:r>
      <w:r>
        <w:rPr>
          <w:rFonts w:hint="eastAsia" w:ascii="仿宋" w:hAnsi="仿宋" w:eastAsia="仿宋" w:cs="仿宋"/>
          <w:sz w:val="32"/>
          <w:szCs w:val="32"/>
        </w:rPr>
        <w:t>项</w:t>
      </w:r>
      <w:r>
        <w:rPr>
          <w:rFonts w:hint="eastAsia" w:ascii="仿宋" w:hAnsi="仿宋" w:eastAsia="仿宋" w:cs="仿宋"/>
          <w:color w:val="000000"/>
          <w:sz w:val="32"/>
          <w:szCs w:val="32"/>
        </w:rPr>
        <w:t>目总投资为46000万元。</w:t>
      </w:r>
    </w:p>
    <w:p w14:paraId="717482AC">
      <w:pPr>
        <w:spacing w:line="560" w:lineRule="exact"/>
        <w:ind w:firstLine="640"/>
        <w:rPr>
          <w:rFonts w:ascii="仿宋" w:hAnsi="仿宋" w:eastAsia="仿宋" w:cs="仿宋"/>
          <w:sz w:val="32"/>
          <w:szCs w:val="32"/>
        </w:rPr>
      </w:pPr>
      <w:r>
        <w:rPr>
          <w:rFonts w:hint="eastAsia" w:ascii="仿宋" w:hAnsi="仿宋" w:eastAsia="仿宋" w:cs="仿宋"/>
          <w:sz w:val="32"/>
          <w:szCs w:val="32"/>
        </w:rPr>
        <w:t>项目建设符合国家产业政策、符合当地发展规划、项目用地及功能符合《白山市国土空间总体规划（2021-2035）》、符合白山市生态环境分区管控要求。项目在认真落实本报告提出的各项污染防治措施的前提下，污染物可达标排放，固废可得到妥善处置。同时，项目须采取风险防范及应急措施，确保环境风险水平在可接受的范围内。从环境影响评价角度，项目的建设是可行的。</w:t>
      </w:r>
    </w:p>
    <w:p w14:paraId="40871B44">
      <w:pPr>
        <w:spacing w:line="560" w:lineRule="exact"/>
        <w:ind w:firstLine="640"/>
        <w:rPr>
          <w:rFonts w:ascii="仿宋" w:hAnsi="仿宋" w:eastAsia="仿宋" w:cs="仿宋"/>
          <w:sz w:val="32"/>
          <w:szCs w:val="32"/>
        </w:rPr>
      </w:pPr>
      <w:r>
        <w:rPr>
          <w:rFonts w:hint="eastAsia" w:ascii="仿宋" w:hAnsi="仿宋" w:eastAsia="仿宋" w:cs="仿宋"/>
          <w:sz w:val="32"/>
          <w:szCs w:val="32"/>
        </w:rPr>
        <w:t>二、项目应重点做好以下环保工作。</w:t>
      </w:r>
    </w:p>
    <w:p w14:paraId="72914A9A">
      <w:pPr>
        <w:spacing w:line="560" w:lineRule="exact"/>
        <w:ind w:left="480" w:leftChars="200" w:firstLine="0" w:firstLineChars="0"/>
        <w:rPr>
          <w:rFonts w:ascii="仿宋" w:hAnsi="仿宋" w:eastAsia="仿宋" w:cs="仿宋"/>
          <w:sz w:val="32"/>
          <w:szCs w:val="32"/>
        </w:rPr>
      </w:pPr>
      <w:r>
        <w:rPr>
          <w:rFonts w:hint="eastAsia" w:ascii="仿宋" w:hAnsi="仿宋" w:eastAsia="仿宋" w:cs="仿宋"/>
          <w:sz w:val="32"/>
          <w:szCs w:val="32"/>
        </w:rPr>
        <w:t>（一）施工期</w:t>
      </w:r>
    </w:p>
    <w:p w14:paraId="73435826">
      <w:pPr>
        <w:spacing w:line="560" w:lineRule="exact"/>
        <w:ind w:firstLine="640"/>
        <w:rPr>
          <w:rFonts w:ascii="仿宋" w:hAnsi="仿宋" w:eastAsia="仿宋" w:cs="仿宋"/>
          <w:sz w:val="32"/>
          <w:szCs w:val="32"/>
        </w:rPr>
      </w:pPr>
      <w:r>
        <w:rPr>
          <w:rFonts w:hint="eastAsia" w:ascii="仿宋" w:hAnsi="仿宋" w:eastAsia="仿宋" w:cs="仿宋"/>
          <w:sz w:val="32"/>
          <w:szCs w:val="32"/>
        </w:rPr>
        <w:t>加强施工期环境管理和污染防治。认真落实施工过程中各项污染防治和生态保护措施，做到文明施工、清洁施工和科学施工，各类污染物实现达标排放，确保不影响周围居民生活环境。</w:t>
      </w:r>
    </w:p>
    <w:p w14:paraId="08F1EB1E">
      <w:pPr>
        <w:spacing w:line="560" w:lineRule="exact"/>
        <w:ind w:firstLine="320" w:firstLineChars="100"/>
        <w:rPr>
          <w:rFonts w:ascii="仿宋" w:hAnsi="仿宋" w:eastAsia="仿宋" w:cs="仿宋"/>
          <w:sz w:val="32"/>
          <w:szCs w:val="32"/>
        </w:rPr>
      </w:pPr>
      <w:r>
        <w:rPr>
          <w:rFonts w:hint="eastAsia" w:ascii="仿宋" w:hAnsi="仿宋" w:eastAsia="仿宋" w:cs="仿宋"/>
          <w:sz w:val="32"/>
          <w:szCs w:val="32"/>
        </w:rPr>
        <w:t>（二）运营期</w:t>
      </w:r>
    </w:p>
    <w:p w14:paraId="101BF870">
      <w:pPr>
        <w:spacing w:line="560" w:lineRule="exact"/>
        <w:ind w:firstLine="640"/>
        <w:rPr>
          <w:rFonts w:ascii="仿宋" w:hAnsi="仿宋" w:eastAsia="仿宋" w:cs="仿宋"/>
          <w:sz w:val="32"/>
          <w:szCs w:val="32"/>
        </w:rPr>
      </w:pPr>
      <w:r>
        <w:rPr>
          <w:rFonts w:hint="eastAsia" w:ascii="仿宋" w:hAnsi="仿宋" w:eastAsia="仿宋" w:cs="仿宋"/>
          <w:sz w:val="32"/>
          <w:szCs w:val="32"/>
        </w:rPr>
        <w:t>1、废水防治措施</w:t>
      </w:r>
      <w:r>
        <w:rPr>
          <w:rFonts w:hint="eastAsia" w:ascii="仿宋" w:hAnsi="仿宋" w:eastAsia="仿宋" w:cs="仿宋"/>
          <w:bCs/>
          <w:sz w:val="32"/>
          <w:szCs w:val="32"/>
        </w:rPr>
        <w:t>。院区内</w:t>
      </w:r>
      <w:r>
        <w:rPr>
          <w:rFonts w:hint="eastAsia" w:ascii="仿宋" w:hAnsi="仿宋" w:eastAsia="仿宋" w:cs="仿宋"/>
          <w:color w:val="0C0C0C"/>
          <w:sz w:val="32"/>
          <w:szCs w:val="32"/>
        </w:rPr>
        <w:t>采用雨污分流制，院内雨水经</w:t>
      </w:r>
    </w:p>
    <w:p w14:paraId="49A90C2C">
      <w:pPr>
        <w:spacing w:line="560" w:lineRule="exact"/>
        <w:ind w:firstLine="0" w:firstLineChars="0"/>
        <w:rPr>
          <w:rFonts w:ascii="仿宋" w:hAnsi="仿宋" w:eastAsia="仿宋" w:cs="仿宋"/>
          <w:sz w:val="32"/>
          <w:szCs w:val="32"/>
        </w:rPr>
      </w:pPr>
      <w:r>
        <w:rPr>
          <w:rFonts w:hint="eastAsia" w:ascii="仿宋" w:hAnsi="仿宋" w:eastAsia="仿宋" w:cs="仿宋"/>
          <w:color w:val="0C0C0C"/>
          <w:sz w:val="32"/>
          <w:szCs w:val="32"/>
        </w:rPr>
        <w:t>独立管网排入就近市政雨水管道；</w:t>
      </w:r>
      <w:r>
        <w:rPr>
          <w:rFonts w:hint="eastAsia" w:ascii="仿宋" w:hAnsi="仿宋" w:eastAsia="仿宋" w:cs="仿宋"/>
          <w:sz w:val="32"/>
          <w:szCs w:val="32"/>
        </w:rPr>
        <w:t>项目产生的废水（医疗废水、隔油后的餐饮废水、洗衣房废水、清洗废水、生活废水等）经自建的污水处理站（格栅+调节池+水解酸化池+接触氧氧化池+沉淀池+消毒池）处理，处理后废水排放须满足</w:t>
      </w:r>
      <w:r>
        <w:rPr>
          <w:rFonts w:hint="eastAsia" w:ascii="仿宋" w:hAnsi="仿宋" w:eastAsia="仿宋" w:cs="仿宋"/>
          <w:color w:val="0C0C0C"/>
          <w:sz w:val="32"/>
          <w:szCs w:val="32"/>
        </w:rPr>
        <w:t>《医疗机构水污染物排放标准》（GB18466-2005）表2预处理标准，同时</w:t>
      </w:r>
      <w:r>
        <w:rPr>
          <w:rFonts w:hint="eastAsia" w:ascii="仿宋" w:hAnsi="仿宋" w:eastAsia="仿宋" w:cs="仿宋"/>
          <w:sz w:val="32"/>
          <w:szCs w:val="32"/>
        </w:rPr>
        <w:t>须满足白山市虹桥污水处理有限公司进水指标后排入市政污水管网，最终排入白山市虹桥污水处理有限公司进一步处理。</w:t>
      </w:r>
    </w:p>
    <w:p w14:paraId="3580D620">
      <w:pPr>
        <w:numPr>
          <w:ilvl w:val="0"/>
          <w:numId w:val="1"/>
        </w:numPr>
        <w:spacing w:line="560" w:lineRule="exact"/>
        <w:ind w:firstLine="640"/>
        <w:rPr>
          <w:rFonts w:ascii="仿宋" w:hAnsi="仿宋" w:eastAsia="仿宋" w:cs="仿宋"/>
          <w:color w:val="0C0C0C"/>
          <w:sz w:val="32"/>
          <w:szCs w:val="32"/>
        </w:rPr>
      </w:pPr>
      <w:r>
        <w:rPr>
          <w:rFonts w:hint="eastAsia" w:ascii="仿宋" w:hAnsi="仿宋" w:eastAsia="仿宋" w:cs="仿宋"/>
          <w:sz w:val="32"/>
          <w:szCs w:val="32"/>
        </w:rPr>
        <w:t>土壤、地下水防治措施。按照相关要求实施分区防渗，强化对危废暂存间（医疗废物暂存间）及污水处理站等区域地（侧）面进行防腐、防渗等措施，并及时对其进行维护和巡检；若出现指标异常现象，立即采取补救措施，减少对地下水和土壤的不利环境影响。</w:t>
      </w:r>
    </w:p>
    <w:p w14:paraId="4A0115F5">
      <w:pPr>
        <w:numPr>
          <w:ilvl w:val="0"/>
          <w:numId w:val="1"/>
        </w:numPr>
        <w:spacing w:line="560" w:lineRule="exact"/>
        <w:ind w:firstLine="640"/>
        <w:rPr>
          <w:rFonts w:ascii="仿宋" w:hAnsi="仿宋" w:eastAsia="仿宋" w:cs="仿宋"/>
          <w:sz w:val="32"/>
          <w:szCs w:val="32"/>
        </w:rPr>
      </w:pPr>
      <w:r>
        <w:rPr>
          <w:rFonts w:hint="eastAsia" w:ascii="仿宋" w:hAnsi="仿宋" w:eastAsia="仿宋" w:cs="仿宋"/>
          <w:sz w:val="32"/>
          <w:szCs w:val="32"/>
        </w:rPr>
        <w:t>废气防治措施。医院污水处理站</w:t>
      </w:r>
      <w:r>
        <w:rPr>
          <w:rFonts w:hint="eastAsia" w:ascii="仿宋" w:hAnsi="仿宋" w:eastAsia="仿宋" w:cs="仿宋"/>
          <w:color w:val="0C0C0C"/>
          <w:sz w:val="32"/>
          <w:szCs w:val="32"/>
        </w:rPr>
        <w:t>恶臭气体通过“负压收集+活性炭吸附+15m 高排气筒”处理，处理后恶臭气体有组织排放执行执</w:t>
      </w:r>
      <w:r>
        <w:rPr>
          <w:rFonts w:hint="eastAsia" w:ascii="仿宋" w:hAnsi="仿宋" w:eastAsia="仿宋" w:cs="仿宋"/>
          <w:sz w:val="32"/>
          <w:szCs w:val="32"/>
        </w:rPr>
        <w:t>（GB14554-1993）《恶臭污染物排放标准》表2中的恶臭污染物排放标准值；</w:t>
      </w:r>
      <w:r>
        <w:rPr>
          <w:rFonts w:hint="eastAsia" w:ascii="仿宋" w:hAnsi="仿宋" w:eastAsia="仿宋" w:cs="仿宋"/>
          <w:color w:val="0C0C0C"/>
          <w:sz w:val="32"/>
          <w:szCs w:val="32"/>
        </w:rPr>
        <w:t>食堂油烟经“油烟净化器+专用烟道”处理后通过专用烟道引至综合楼楼顶排放，处理后油烟排放执行</w:t>
      </w:r>
      <w:r>
        <w:rPr>
          <w:rFonts w:hint="eastAsia" w:ascii="仿宋" w:hAnsi="仿宋" w:eastAsia="仿宋" w:cs="仿宋"/>
          <w:sz w:val="32"/>
          <w:szCs w:val="32"/>
        </w:rPr>
        <w:t>《饮食业油烟排放标准（试行）》（GB18483-2001）大型食堂标准要求；发电机废气排放执行《大气污染物综合排放标准》（GB16297-1996）标准要求；检验室废气经“通风橱”引至综合楼楼顶排放；</w:t>
      </w:r>
      <w:r>
        <w:rPr>
          <w:rFonts w:hint="eastAsia" w:ascii="仿宋" w:hAnsi="仿宋" w:eastAsia="仿宋" w:cs="仿宋"/>
          <w:color w:val="0C0C0C"/>
          <w:sz w:val="32"/>
          <w:szCs w:val="32"/>
        </w:rPr>
        <w:t>煎药异味经“抽风系统收集”后引至科教综合楼外墙排放。</w:t>
      </w:r>
      <w:r>
        <w:rPr>
          <w:rFonts w:hint="eastAsia" w:ascii="仿宋" w:hAnsi="仿宋" w:eastAsia="仿宋" w:cs="仿宋"/>
          <w:sz w:val="32"/>
          <w:szCs w:val="32"/>
        </w:rPr>
        <w:t>在满足安全应急管理要求的前提下，污水处理站</w:t>
      </w:r>
      <w:r>
        <w:rPr>
          <w:rFonts w:hint="eastAsia" w:ascii="仿宋" w:hAnsi="仿宋" w:eastAsia="仿宋" w:cs="仿宋"/>
          <w:color w:val="0C0C0C"/>
          <w:sz w:val="32"/>
          <w:szCs w:val="32"/>
        </w:rPr>
        <w:t>池顶采取加盖等措施，确保</w:t>
      </w:r>
      <w:r>
        <w:rPr>
          <w:rFonts w:hint="eastAsia" w:ascii="仿宋" w:hAnsi="仿宋" w:eastAsia="仿宋" w:cs="仿宋"/>
          <w:sz w:val="32"/>
          <w:szCs w:val="32"/>
        </w:rPr>
        <w:t>污水处理站周边NH</w:t>
      </w:r>
      <w:r>
        <w:rPr>
          <w:rFonts w:hint="eastAsia" w:ascii="仿宋" w:hAnsi="仿宋" w:eastAsia="仿宋" w:cs="仿宋"/>
          <w:sz w:val="32"/>
          <w:szCs w:val="32"/>
          <w:vertAlign w:val="subscript"/>
        </w:rPr>
        <w:t>3</w:t>
      </w:r>
      <w:r>
        <w:rPr>
          <w:rFonts w:hint="eastAsia" w:ascii="仿宋" w:hAnsi="仿宋" w:eastAsia="仿宋" w:cs="仿宋"/>
          <w:sz w:val="32"/>
          <w:szCs w:val="32"/>
        </w:rPr>
        <w:t>、H</w:t>
      </w:r>
      <w:r>
        <w:rPr>
          <w:rFonts w:hint="eastAsia" w:ascii="仿宋" w:hAnsi="仿宋" w:eastAsia="仿宋" w:cs="仿宋"/>
          <w:sz w:val="32"/>
          <w:szCs w:val="32"/>
          <w:vertAlign w:val="subscript"/>
        </w:rPr>
        <w:t>2</w:t>
      </w:r>
      <w:r>
        <w:rPr>
          <w:rFonts w:hint="eastAsia" w:ascii="仿宋" w:hAnsi="仿宋" w:eastAsia="仿宋" w:cs="仿宋"/>
          <w:sz w:val="32"/>
          <w:szCs w:val="32"/>
        </w:rPr>
        <w:t>S无组织排放执行（GB18466-2005）《医疗机构水污染物排放标准》表3标准限值要求。同时，加强</w:t>
      </w:r>
      <w:r>
        <w:rPr>
          <w:rFonts w:hint="eastAsia" w:ascii="仿宋" w:hAnsi="仿宋" w:eastAsia="仿宋" w:cs="仿宋"/>
          <w:color w:val="0C0C0C"/>
          <w:sz w:val="32"/>
          <w:szCs w:val="32"/>
        </w:rPr>
        <w:t>危废间通风，并定期</w:t>
      </w:r>
      <w:r>
        <w:rPr>
          <w:rFonts w:hint="eastAsia" w:ascii="仿宋" w:hAnsi="仿宋" w:eastAsia="仿宋" w:cs="仿宋"/>
          <w:sz w:val="32"/>
          <w:szCs w:val="32"/>
        </w:rPr>
        <w:t>喷洒除臭剂。</w:t>
      </w:r>
    </w:p>
    <w:p w14:paraId="0C388987">
      <w:pPr>
        <w:numPr>
          <w:ilvl w:val="0"/>
          <w:numId w:val="1"/>
        </w:numPr>
        <w:spacing w:line="560" w:lineRule="exact"/>
        <w:ind w:firstLine="640"/>
        <w:rPr>
          <w:rFonts w:ascii="仿宋" w:hAnsi="仿宋" w:eastAsia="仿宋" w:cs="仿宋"/>
          <w:sz w:val="32"/>
          <w:szCs w:val="32"/>
        </w:rPr>
      </w:pPr>
      <w:r>
        <w:rPr>
          <w:rFonts w:hint="eastAsia" w:ascii="仿宋" w:hAnsi="仿宋" w:eastAsia="仿宋" w:cs="仿宋"/>
          <w:color w:val="000000"/>
          <w:kern w:val="0"/>
          <w:sz w:val="32"/>
          <w:szCs w:val="32"/>
        </w:rPr>
        <w:t>噪声防治措施。</w:t>
      </w:r>
      <w:r>
        <w:rPr>
          <w:rFonts w:hint="eastAsia" w:ascii="仿宋" w:hAnsi="仿宋" w:eastAsia="仿宋" w:cs="仿宋"/>
          <w:color w:val="000000"/>
          <w:sz w:val="32"/>
          <w:szCs w:val="32"/>
        </w:rPr>
        <w:t>优先选用低噪声设备。对</w:t>
      </w:r>
      <w:r>
        <w:rPr>
          <w:rFonts w:hint="eastAsia" w:ascii="仿宋" w:hAnsi="仿宋" w:eastAsia="仿宋" w:cs="仿宋"/>
          <w:sz w:val="32"/>
          <w:szCs w:val="32"/>
        </w:rPr>
        <w:t>发电机、污水处理站水泵、风机等设备采取减震基础、密闭隔声、吸声和消声处理措施减少对周围环境干扰。项目东侧、北侧、西侧厂界噪声排放执行《工业企业厂界环境噪声排放标准》（GB12348-2008）中1类标准限值要求，南侧厂界噪声执行4类标准限值要求，</w:t>
      </w:r>
    </w:p>
    <w:p w14:paraId="350B8929">
      <w:pPr>
        <w:numPr>
          <w:ilvl w:val="0"/>
          <w:numId w:val="1"/>
        </w:numPr>
        <w:spacing w:line="560" w:lineRule="exact"/>
        <w:ind w:firstLine="640"/>
        <w:rPr>
          <w:rFonts w:ascii="仿宋" w:hAnsi="仿宋" w:eastAsia="仿宋" w:cs="仿宋"/>
          <w:sz w:val="32"/>
          <w:szCs w:val="32"/>
        </w:rPr>
      </w:pPr>
      <w:r>
        <w:rPr>
          <w:rFonts w:hint="eastAsia" w:ascii="仿宋" w:hAnsi="仿宋" w:eastAsia="仿宋" w:cs="仿宋"/>
          <w:kern w:val="0"/>
          <w:sz w:val="32"/>
          <w:szCs w:val="32"/>
        </w:rPr>
        <w:t>固体废物处置措施</w:t>
      </w:r>
      <w:r>
        <w:rPr>
          <w:rFonts w:hint="eastAsia" w:ascii="仿宋" w:hAnsi="仿宋" w:eastAsia="仿宋" w:cs="仿宋"/>
          <w:sz w:val="32"/>
          <w:szCs w:val="32"/>
        </w:rPr>
        <w:t>。</w:t>
      </w:r>
      <w:r>
        <w:rPr>
          <w:rFonts w:hint="eastAsia" w:ascii="仿宋" w:hAnsi="仿宋" w:eastAsia="仿宋" w:cs="仿宋"/>
          <w:snapToGrid w:val="0"/>
          <w:sz w:val="32"/>
          <w:szCs w:val="32"/>
        </w:rPr>
        <w:t>项目产生的固废主要为栅渣、化粪池和污水站污泥、医疗废物、生活垃圾、</w:t>
      </w:r>
      <w:r>
        <w:rPr>
          <w:rFonts w:hint="eastAsia" w:ascii="仿宋" w:hAnsi="仿宋" w:eastAsia="仿宋" w:cs="仿宋"/>
          <w:color w:val="0C0C0C"/>
          <w:sz w:val="32"/>
          <w:szCs w:val="32"/>
        </w:rPr>
        <w:t>厨余垃圾、纯水系统废RO膜、</w:t>
      </w:r>
      <w:r>
        <w:rPr>
          <w:rFonts w:hint="eastAsia" w:ascii="仿宋" w:hAnsi="仿宋" w:eastAsia="仿宋" w:cs="仿宋"/>
          <w:sz w:val="32"/>
          <w:szCs w:val="32"/>
        </w:rPr>
        <w:t>废活性炭、废紫外灯管、中药渣、检验废液及废包装盒等。</w:t>
      </w:r>
      <w:r>
        <w:rPr>
          <w:rFonts w:hint="eastAsia" w:ascii="仿宋" w:hAnsi="仿宋" w:eastAsia="仿宋" w:cs="仿宋"/>
          <w:snapToGrid w:val="0"/>
          <w:sz w:val="32"/>
          <w:szCs w:val="32"/>
        </w:rPr>
        <w:t>消毒脱水装袋/桶密封后的栅渣、化粪池和污水站污泥、</w:t>
      </w:r>
      <w:r>
        <w:rPr>
          <w:rFonts w:hint="eastAsia" w:ascii="仿宋" w:hAnsi="仿宋" w:eastAsia="仿宋" w:cs="仿宋"/>
          <w:sz w:val="32"/>
          <w:szCs w:val="32"/>
        </w:rPr>
        <w:t>废活性炭、废紫外灯管、检验废液分类贮存于危险废物贮存库，</w:t>
      </w:r>
      <w:r>
        <w:rPr>
          <w:rFonts w:hint="eastAsia" w:ascii="仿宋" w:hAnsi="仿宋" w:eastAsia="仿宋" w:cs="仿宋"/>
          <w:snapToGrid w:val="0"/>
          <w:sz w:val="32"/>
          <w:szCs w:val="32"/>
        </w:rPr>
        <w:t>医疗废物暂存于</w:t>
      </w:r>
      <w:r>
        <w:rPr>
          <w:rFonts w:hint="eastAsia" w:ascii="仿宋" w:hAnsi="仿宋" w:eastAsia="仿宋" w:cs="仿宋"/>
          <w:sz w:val="32"/>
          <w:szCs w:val="32"/>
        </w:rPr>
        <w:t>医疗废物暂存间</w:t>
      </w:r>
      <w:r>
        <w:rPr>
          <w:rFonts w:hint="eastAsia" w:ascii="仿宋" w:hAnsi="仿宋" w:eastAsia="仿宋" w:cs="仿宋"/>
          <w:snapToGrid w:val="0"/>
          <w:sz w:val="32"/>
          <w:szCs w:val="32"/>
        </w:rPr>
        <w:t>，医疗废物及危险废物定期委托有资质的单位处理。</w:t>
      </w:r>
      <w:r>
        <w:rPr>
          <w:rFonts w:hint="eastAsia" w:ascii="仿宋" w:hAnsi="仿宋" w:eastAsia="仿宋" w:cs="仿宋"/>
          <w:color w:val="0C0C0C"/>
          <w:sz w:val="32"/>
          <w:szCs w:val="32"/>
        </w:rPr>
        <w:t>纯水系统废RO膜经收集后定期由厂家回收</w:t>
      </w:r>
      <w:r>
        <w:rPr>
          <w:rFonts w:hint="eastAsia" w:ascii="仿宋" w:hAnsi="仿宋" w:eastAsia="仿宋" w:cs="仿宋"/>
          <w:sz w:val="32"/>
          <w:szCs w:val="32"/>
        </w:rPr>
        <w:t>，密封包装后的中药渣与</w:t>
      </w:r>
      <w:r>
        <w:rPr>
          <w:rFonts w:hint="eastAsia" w:ascii="仿宋" w:hAnsi="仿宋" w:eastAsia="仿宋" w:cs="仿宋"/>
          <w:snapToGrid w:val="0"/>
          <w:sz w:val="32"/>
          <w:szCs w:val="32"/>
        </w:rPr>
        <w:t>生活垃圾交由环卫部门处理。</w:t>
      </w:r>
      <w:r>
        <w:rPr>
          <w:rFonts w:hint="eastAsia" w:ascii="仿宋" w:hAnsi="仿宋" w:eastAsia="仿宋" w:cs="仿宋"/>
          <w:color w:val="0C0C0C"/>
          <w:sz w:val="32"/>
          <w:szCs w:val="32"/>
        </w:rPr>
        <w:t>厨余垃圾</w:t>
      </w:r>
      <w:r>
        <w:rPr>
          <w:rFonts w:hint="eastAsia" w:ascii="仿宋" w:hAnsi="仿宋" w:eastAsia="仿宋" w:cs="仿宋"/>
          <w:sz w:val="32"/>
          <w:szCs w:val="32"/>
        </w:rPr>
        <w:t>交有餐厨垃圾处理资质的单位每日清运处理；废包装盒收集外售。危险废物收集、贮存和转移措施应满足《危险废物贮存污染控制标准》（GB18597-2023）要求）和《危险废物转移管理办法》等有关规定，栅渣、化粪池和污水站污泥还应落实《医疗机构水污染物排放标准》（GB18466-2005）中的医疗机构污泥控制标准。</w:t>
      </w:r>
    </w:p>
    <w:p w14:paraId="34C13B34">
      <w:pPr>
        <w:numPr>
          <w:ilvl w:val="0"/>
          <w:numId w:val="1"/>
        </w:numPr>
        <w:spacing w:line="560" w:lineRule="exact"/>
        <w:ind w:firstLine="656"/>
        <w:rPr>
          <w:rFonts w:ascii="仿宋" w:hAnsi="仿宋" w:eastAsia="仿宋" w:cs="仿宋"/>
          <w:sz w:val="32"/>
          <w:szCs w:val="32"/>
        </w:rPr>
      </w:pPr>
      <w:r>
        <w:rPr>
          <w:rFonts w:hint="eastAsia" w:ascii="仿宋" w:hAnsi="仿宋" w:eastAsia="仿宋" w:cs="仿宋"/>
          <w:spacing w:val="4"/>
          <w:kern w:val="18"/>
          <w:sz w:val="32"/>
          <w:szCs w:val="32"/>
        </w:rPr>
        <w:t>严格落实环境风险防范措施。严格落实《报告书》提出的各项环境风险防控措施，认真制定环境风险应急预案，配备环境应急设施和装备。一旦发生环境风险事故，必须立即启动环境风险应急预案，减轻对外环境的污染影响。</w:t>
      </w:r>
    </w:p>
    <w:p w14:paraId="42DA618F">
      <w:pPr>
        <w:numPr>
          <w:ilvl w:val="0"/>
          <w:numId w:val="1"/>
        </w:numPr>
        <w:spacing w:line="560" w:lineRule="exact"/>
        <w:ind w:firstLine="640"/>
        <w:rPr>
          <w:rFonts w:ascii="仿宋" w:hAnsi="仿宋" w:eastAsia="仿宋" w:cs="仿宋"/>
          <w:color w:val="555555"/>
          <w:sz w:val="32"/>
          <w:szCs w:val="32"/>
          <w:shd w:val="clear" w:color="auto" w:fill="FFFFFF"/>
        </w:rPr>
      </w:pPr>
      <w:r>
        <w:rPr>
          <w:rFonts w:hint="eastAsia" w:ascii="仿宋" w:hAnsi="仿宋" w:eastAsia="仿宋" w:cs="仿宋"/>
          <w:sz w:val="32"/>
          <w:szCs w:val="32"/>
        </w:rPr>
        <w:t>本环评批复不包括医用射线装置环境影响评价审批内容，不包含制（药）剂生产等其他生产工程。</w:t>
      </w:r>
    </w:p>
    <w:p w14:paraId="0023AD5B">
      <w:pPr>
        <w:spacing w:line="560" w:lineRule="exact"/>
        <w:ind w:firstLine="640"/>
        <w:rPr>
          <w:rFonts w:ascii="仿宋" w:hAnsi="仿宋" w:eastAsia="仿宋" w:cs="仿宋"/>
          <w:color w:val="555555"/>
          <w:sz w:val="32"/>
          <w:szCs w:val="32"/>
          <w:shd w:val="clear" w:color="auto" w:fill="FFFFFF"/>
        </w:rPr>
      </w:pPr>
      <w:r>
        <w:rPr>
          <w:rFonts w:hint="eastAsia" w:ascii="仿宋" w:hAnsi="仿宋" w:eastAsia="仿宋" w:cs="仿宋"/>
          <w:sz w:val="32"/>
          <w:szCs w:val="32"/>
        </w:rPr>
        <w:t>8、</w:t>
      </w:r>
      <w:r>
        <w:rPr>
          <w:rFonts w:hint="eastAsia" w:ascii="仿宋" w:hAnsi="仿宋" w:eastAsia="仿宋" w:cs="仿宋"/>
          <w:color w:val="555555"/>
          <w:sz w:val="32"/>
          <w:szCs w:val="32"/>
          <w:shd w:val="clear" w:color="auto" w:fill="FFFFFF"/>
        </w:rPr>
        <w:t>项目运行排放污染物前，按照排污许可证申请与核发技术规范申请取得排污许可证，并落实排污许可证规定的环境管理和信息公开要求。按照国家有关规定和监测规范，对所排放的污染物开展自行监测，并保存原始监测记录。</w:t>
      </w:r>
    </w:p>
    <w:p w14:paraId="4583F72E">
      <w:pPr>
        <w:spacing w:line="560" w:lineRule="exact"/>
        <w:ind w:firstLine="640"/>
        <w:rPr>
          <w:rFonts w:ascii="仿宋" w:hAnsi="仿宋" w:eastAsia="仿宋" w:cs="仿宋"/>
          <w:color w:val="333333"/>
          <w:kern w:val="0"/>
          <w:sz w:val="32"/>
          <w:szCs w:val="32"/>
        </w:rPr>
      </w:pPr>
      <w:r>
        <w:rPr>
          <w:rFonts w:hint="eastAsia" w:ascii="仿宋" w:hAnsi="仿宋" w:eastAsia="仿宋" w:cs="仿宋"/>
          <w:sz w:val="32"/>
          <w:szCs w:val="32"/>
        </w:rPr>
        <w:t>三、项目建设必须严格执行配套建设的环境保护设施与主体工程同时设计、同时施工、同时投产使用的环境保护“三同时”制度。</w:t>
      </w:r>
      <w:r>
        <w:rPr>
          <w:rFonts w:hint="eastAsia" w:ascii="仿宋" w:hAnsi="仿宋" w:eastAsia="仿宋" w:cs="仿宋"/>
          <w:color w:val="333333"/>
          <w:kern w:val="0"/>
          <w:sz w:val="32"/>
          <w:szCs w:val="32"/>
        </w:rPr>
        <w:t>项目建成及相应环保措施落实后，应按照规定标准和程序及时履行</w:t>
      </w:r>
      <w:r>
        <w:rPr>
          <w:rFonts w:hint="eastAsia" w:ascii="仿宋" w:hAnsi="仿宋" w:eastAsia="仿宋" w:cs="仿宋"/>
          <w:color w:val="333333"/>
          <w:kern w:val="0"/>
          <w:sz w:val="32"/>
          <w:szCs w:val="32"/>
          <w:shd w:val="clear" w:color="auto" w:fill="FFFFFF"/>
        </w:rPr>
        <w:t>竣工环保验收等相关手续，</w:t>
      </w:r>
      <w:r>
        <w:rPr>
          <w:rFonts w:hint="eastAsia" w:ascii="仿宋" w:hAnsi="仿宋" w:eastAsia="仿宋" w:cs="仿宋"/>
          <w:color w:val="333333"/>
          <w:kern w:val="0"/>
          <w:sz w:val="32"/>
          <w:szCs w:val="32"/>
        </w:rPr>
        <w:t>验收合格后，方可正式投入生产。</w:t>
      </w:r>
    </w:p>
    <w:p w14:paraId="1C7911B2">
      <w:pPr>
        <w:spacing w:line="560" w:lineRule="exact"/>
        <w:ind w:firstLine="640"/>
        <w:rPr>
          <w:rFonts w:ascii="仿宋" w:hAnsi="仿宋" w:eastAsia="仿宋" w:cs="仿宋"/>
          <w:sz w:val="32"/>
          <w:szCs w:val="32"/>
        </w:rPr>
      </w:pPr>
      <w:r>
        <w:rPr>
          <w:rFonts w:hint="eastAsia" w:ascii="仿宋" w:hAnsi="仿宋" w:eastAsia="仿宋" w:cs="仿宋"/>
          <w:sz w:val="32"/>
          <w:szCs w:val="32"/>
        </w:rPr>
        <w:t>四、环境影响报告书经批准后，项目的性质、规模、地点或者防止生态破坏、防治污染的措施发生重大变动的，应当重新报批该项目的环境影响报告书。自环境影响报告表批复文件批准之日起,如超过 5 年方决定工程开工建设的，环境影响报告书应当报我局重新审核。</w:t>
      </w:r>
    </w:p>
    <w:p w14:paraId="73EAAABD">
      <w:pPr>
        <w:widowControl/>
        <w:shd w:val="clear" w:color="auto" w:fill="FFFFFF"/>
        <w:spacing w:line="560" w:lineRule="exact"/>
        <w:ind w:firstLine="640"/>
        <w:jc w:val="left"/>
        <w:rPr>
          <w:rFonts w:ascii="仿宋" w:hAnsi="仿宋" w:eastAsia="仿宋" w:cs="仿宋"/>
          <w:color w:val="333333"/>
          <w:kern w:val="0"/>
          <w:sz w:val="32"/>
          <w:szCs w:val="32"/>
        </w:rPr>
      </w:pPr>
      <w:r>
        <w:rPr>
          <w:rFonts w:hint="eastAsia" w:ascii="仿宋" w:hAnsi="仿宋" w:eastAsia="仿宋" w:cs="仿宋"/>
          <w:sz w:val="32"/>
          <w:szCs w:val="32"/>
        </w:rPr>
        <w:t>五、</w:t>
      </w:r>
      <w:r>
        <w:rPr>
          <w:rFonts w:hint="eastAsia" w:ascii="仿宋" w:hAnsi="仿宋" w:eastAsia="仿宋" w:cs="仿宋"/>
          <w:color w:val="333333"/>
          <w:kern w:val="0"/>
          <w:sz w:val="32"/>
          <w:szCs w:val="32"/>
          <w:shd w:val="clear" w:color="auto" w:fill="FFFFFF"/>
        </w:rPr>
        <w:t>本</w:t>
      </w:r>
      <w:r>
        <w:rPr>
          <w:rFonts w:hint="eastAsia" w:ascii="仿宋" w:hAnsi="仿宋" w:eastAsia="仿宋" w:cs="仿宋"/>
          <w:sz w:val="32"/>
          <w:szCs w:val="32"/>
        </w:rPr>
        <w:t>项目施工期及运营期的环境保护“三同时”事中、事后监管工作由白山市生态环境保护综合行政执法支队</w:t>
      </w:r>
      <w:r>
        <w:rPr>
          <w:rFonts w:hint="eastAsia" w:ascii="仿宋" w:hAnsi="仿宋" w:eastAsia="仿宋" w:cs="仿宋"/>
          <w:color w:val="333333"/>
          <w:kern w:val="0"/>
          <w:sz w:val="32"/>
          <w:szCs w:val="32"/>
        </w:rPr>
        <w:t>负责。</w:t>
      </w:r>
    </w:p>
    <w:p w14:paraId="544B6760">
      <w:pPr>
        <w:pStyle w:val="10"/>
        <w:spacing w:line="560" w:lineRule="exact"/>
        <w:rPr>
          <w:rFonts w:ascii="仿宋" w:hAnsi="仿宋" w:eastAsia="仿宋" w:cs="仿宋"/>
          <w:sz w:val="32"/>
          <w:szCs w:val="32"/>
        </w:rPr>
      </w:pPr>
      <w:r>
        <w:rPr>
          <w:rFonts w:ascii="仿宋" w:hAnsi="仿宋" w:eastAsia="仿宋" w:cs="仿宋"/>
          <w:sz w:val="32"/>
          <w:szCs w:val="32"/>
        </w:rPr>
        <w:t>（此页无正文）</w:t>
      </w:r>
    </w:p>
    <w:p w14:paraId="367044D1">
      <w:pPr>
        <w:pStyle w:val="3"/>
        <w:spacing w:line="560" w:lineRule="exact"/>
        <w:ind w:firstLine="320" w:firstLineChars="100"/>
        <w:rPr>
          <w:rFonts w:ascii="仿宋" w:hAnsi="仿宋" w:eastAsia="仿宋" w:cs="仿宋"/>
          <w:sz w:val="32"/>
          <w:szCs w:val="32"/>
        </w:rPr>
      </w:pPr>
    </w:p>
    <w:p w14:paraId="3AE86042">
      <w:pPr>
        <w:spacing w:line="560" w:lineRule="exact"/>
        <w:ind w:left="240" w:leftChars="100" w:firstLine="3200" w:firstLineChars="1000"/>
        <w:rPr>
          <w:rFonts w:hint="eastAsia" w:ascii="仿宋" w:hAnsi="仿宋" w:eastAsia="仿宋" w:cs="仿宋"/>
          <w:sz w:val="32"/>
          <w:szCs w:val="32"/>
        </w:rPr>
      </w:pPr>
    </w:p>
    <w:p w14:paraId="1C11B0F0">
      <w:pPr>
        <w:spacing w:line="560" w:lineRule="exact"/>
        <w:ind w:left="240" w:leftChars="100" w:firstLine="3200" w:firstLineChars="1000"/>
        <w:rPr>
          <w:rFonts w:hint="eastAsia" w:ascii="仿宋" w:hAnsi="仿宋" w:eastAsia="仿宋" w:cs="仿宋"/>
          <w:sz w:val="32"/>
          <w:szCs w:val="32"/>
        </w:rPr>
      </w:pPr>
    </w:p>
    <w:p w14:paraId="22318A39">
      <w:pPr>
        <w:spacing w:line="560" w:lineRule="exact"/>
        <w:ind w:left="240" w:leftChars="100" w:firstLine="3200" w:firstLineChars="1000"/>
        <w:rPr>
          <w:rFonts w:hint="eastAsia" w:ascii="仿宋" w:hAnsi="仿宋" w:eastAsia="仿宋" w:cs="仿宋"/>
          <w:sz w:val="32"/>
          <w:szCs w:val="32"/>
        </w:rPr>
      </w:pPr>
    </w:p>
    <w:p w14:paraId="12A31F75">
      <w:pPr>
        <w:spacing w:line="560" w:lineRule="exact"/>
        <w:ind w:left="240" w:leftChars="100" w:firstLine="3200" w:firstLineChars="1000"/>
        <w:rPr>
          <w:rFonts w:hint="eastAsia" w:ascii="仿宋" w:hAnsi="仿宋" w:eastAsia="仿宋" w:cs="仿宋"/>
          <w:sz w:val="32"/>
          <w:szCs w:val="32"/>
        </w:rPr>
      </w:pPr>
    </w:p>
    <w:p w14:paraId="7C008A80">
      <w:pPr>
        <w:spacing w:line="560" w:lineRule="exact"/>
        <w:ind w:left="240" w:leftChars="100" w:firstLine="3200" w:firstLineChars="1000"/>
        <w:rPr>
          <w:rFonts w:hint="eastAsia" w:ascii="仿宋" w:hAnsi="仿宋" w:eastAsia="仿宋" w:cs="仿宋"/>
          <w:sz w:val="32"/>
          <w:szCs w:val="32"/>
        </w:rPr>
      </w:pPr>
    </w:p>
    <w:p w14:paraId="2577D5F1">
      <w:pPr>
        <w:spacing w:line="560" w:lineRule="exact"/>
        <w:ind w:left="240" w:leftChars="100" w:firstLine="3200" w:firstLineChars="1000"/>
        <w:rPr>
          <w:rFonts w:hint="eastAsia" w:ascii="仿宋" w:hAnsi="仿宋" w:eastAsia="仿宋" w:cs="仿宋"/>
          <w:sz w:val="32"/>
          <w:szCs w:val="32"/>
        </w:rPr>
      </w:pPr>
    </w:p>
    <w:p w14:paraId="751401FE">
      <w:pPr>
        <w:spacing w:line="560" w:lineRule="exact"/>
        <w:ind w:left="240" w:leftChars="100" w:firstLine="3200" w:firstLineChars="1000"/>
        <w:rPr>
          <w:rFonts w:ascii="仿宋" w:hAnsi="仿宋" w:eastAsia="仿宋" w:cs="仿宋"/>
          <w:sz w:val="32"/>
          <w:szCs w:val="32"/>
        </w:rPr>
      </w:pPr>
      <w:r>
        <w:rPr>
          <w:rFonts w:hint="eastAsia" w:ascii="仿宋" w:hAnsi="仿宋" w:eastAsia="仿宋" w:cs="仿宋"/>
          <w:sz w:val="32"/>
          <w:szCs w:val="32"/>
        </w:rPr>
        <w:t>白山市生态环境局</w:t>
      </w:r>
    </w:p>
    <w:p w14:paraId="450D2AB2">
      <w:pPr>
        <w:spacing w:line="560" w:lineRule="exact"/>
        <w:ind w:left="240" w:leftChars="100" w:firstLine="3520" w:firstLineChars="1100"/>
        <w:rPr>
          <w:rFonts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5</w:t>
      </w:r>
      <w:bookmarkStart w:id="0" w:name="_GoBack"/>
      <w:bookmarkEnd w:id="0"/>
      <w:r>
        <w:rPr>
          <w:rFonts w:hint="eastAsia" w:ascii="仿宋" w:hAnsi="仿宋" w:eastAsia="仿宋" w:cs="仿宋"/>
          <w:sz w:val="32"/>
          <w:szCs w:val="32"/>
        </w:rPr>
        <w:t>年1月7日</w:t>
      </w:r>
    </w:p>
    <w:p w14:paraId="512F68D7">
      <w:pPr>
        <w:spacing w:line="560" w:lineRule="exact"/>
        <w:ind w:firstLine="640"/>
        <w:jc w:val="right"/>
        <w:rPr>
          <w:rFonts w:ascii="仿宋" w:hAnsi="仿宋" w:eastAsia="仿宋" w:cs="仿宋"/>
          <w:sz w:val="32"/>
          <w:szCs w:val="32"/>
        </w:rPr>
      </w:pPr>
    </w:p>
    <w:p w14:paraId="63676CC5">
      <w:pPr>
        <w:spacing w:line="560" w:lineRule="exact"/>
        <w:ind w:firstLine="640"/>
        <w:rPr>
          <w:rFonts w:ascii="仿宋" w:hAnsi="仿宋" w:eastAsia="仿宋" w:cs="仿宋"/>
          <w:sz w:val="32"/>
          <w:szCs w:val="32"/>
        </w:rPr>
      </w:pPr>
    </w:p>
    <w:p w14:paraId="1B3A3BDF">
      <w:pPr>
        <w:pStyle w:val="4"/>
        <w:spacing w:line="560" w:lineRule="exact"/>
        <w:ind w:left="0" w:leftChars="0" w:firstLine="0" w:firstLineChars="0"/>
        <w:rPr>
          <w:rFonts w:hint="eastAsia" w:ascii="仿宋" w:hAnsi="仿宋" w:eastAsia="仿宋" w:cs="仿宋"/>
          <w:sz w:val="32"/>
          <w:szCs w:val="32"/>
        </w:rPr>
      </w:pPr>
    </w:p>
    <w:p w14:paraId="51DDBDBC">
      <w:pPr>
        <w:pStyle w:val="4"/>
        <w:spacing w:line="560" w:lineRule="exact"/>
        <w:ind w:left="0" w:leftChars="0" w:firstLine="0" w:firstLineChars="0"/>
        <w:rPr>
          <w:rFonts w:hint="eastAsia" w:ascii="仿宋" w:hAnsi="仿宋" w:eastAsia="仿宋" w:cs="仿宋"/>
          <w:sz w:val="32"/>
          <w:szCs w:val="32"/>
        </w:rPr>
      </w:pPr>
    </w:p>
    <w:p w14:paraId="2483190F">
      <w:pPr>
        <w:pStyle w:val="4"/>
        <w:spacing w:line="560" w:lineRule="exact"/>
        <w:ind w:left="0" w:leftChars="0" w:firstLine="0" w:firstLineChars="0"/>
        <w:rPr>
          <w:rFonts w:hint="eastAsia" w:ascii="仿宋" w:hAnsi="仿宋" w:eastAsia="仿宋" w:cs="仿宋"/>
          <w:sz w:val="32"/>
          <w:szCs w:val="32"/>
        </w:rPr>
      </w:pPr>
    </w:p>
    <w:p w14:paraId="2273B2C1">
      <w:pPr>
        <w:pStyle w:val="4"/>
        <w:spacing w:line="560" w:lineRule="exact"/>
        <w:ind w:left="0" w:leftChars="0" w:firstLine="0" w:firstLineChars="0"/>
        <w:rPr>
          <w:rFonts w:hint="eastAsia" w:ascii="仿宋" w:hAnsi="仿宋" w:eastAsia="仿宋" w:cs="仿宋"/>
          <w:sz w:val="32"/>
          <w:szCs w:val="32"/>
        </w:rPr>
      </w:pPr>
    </w:p>
    <w:p w14:paraId="21A4F310">
      <w:pPr>
        <w:pStyle w:val="4"/>
        <w:spacing w:line="560" w:lineRule="exact"/>
        <w:ind w:left="0" w:leftChars="0" w:firstLine="0" w:firstLineChars="0"/>
        <w:rPr>
          <w:rFonts w:hint="eastAsia" w:ascii="仿宋" w:hAnsi="仿宋" w:eastAsia="仿宋" w:cs="仿宋"/>
          <w:sz w:val="32"/>
          <w:szCs w:val="32"/>
        </w:rPr>
      </w:pPr>
    </w:p>
    <w:p w14:paraId="0CC6F3E7">
      <w:pPr>
        <w:pStyle w:val="4"/>
        <w:spacing w:line="560" w:lineRule="exact"/>
        <w:ind w:left="0" w:leftChars="0" w:firstLine="0" w:firstLineChars="0"/>
        <w:rPr>
          <w:rFonts w:hint="eastAsia" w:ascii="仿宋" w:hAnsi="仿宋" w:eastAsia="仿宋" w:cs="仿宋"/>
          <w:sz w:val="32"/>
          <w:szCs w:val="32"/>
        </w:rPr>
      </w:pPr>
    </w:p>
    <w:p w14:paraId="4C91F6F4">
      <w:pPr>
        <w:pStyle w:val="4"/>
        <w:spacing w:line="560" w:lineRule="exact"/>
        <w:ind w:left="0" w:leftChars="0" w:firstLine="0" w:firstLineChars="0"/>
        <w:rPr>
          <w:rFonts w:hint="eastAsia" w:ascii="仿宋" w:hAnsi="仿宋" w:eastAsia="仿宋" w:cs="仿宋"/>
          <w:sz w:val="32"/>
          <w:szCs w:val="32"/>
        </w:rPr>
      </w:pPr>
    </w:p>
    <w:p w14:paraId="2C06715F">
      <w:pPr>
        <w:pStyle w:val="4"/>
        <w:spacing w:line="560" w:lineRule="exact"/>
        <w:ind w:left="0" w:leftChars="0" w:firstLine="0" w:firstLineChars="0"/>
        <w:rPr>
          <w:rFonts w:ascii="仿宋" w:hAnsi="仿宋" w:eastAsia="仿宋" w:cs="仿宋"/>
          <w:sz w:val="32"/>
          <w:szCs w:val="32"/>
        </w:rPr>
      </w:pPr>
      <w:r>
        <w:rPr>
          <w:rFonts w:hint="eastAsia" w:ascii="仿宋" w:hAnsi="仿宋" w:eastAsia="仿宋" w:cs="仿宋"/>
          <w:sz w:val="32"/>
          <w:szCs w:val="32"/>
        </w:rPr>
        <w:t>抄送：白山市生态环境保护综合行政执法支队</w:t>
      </w:r>
    </w:p>
    <w:p w14:paraId="08593700">
      <w:pPr>
        <w:pStyle w:val="4"/>
        <w:spacing w:line="560" w:lineRule="exact"/>
        <w:ind w:left="480" w:firstLine="640"/>
        <w:rPr>
          <w:rFonts w:ascii="仿宋" w:hAnsi="仿宋" w:eastAsia="仿宋" w:cs="仿宋"/>
          <w:sz w:val="32"/>
          <w:szCs w:val="32"/>
        </w:rPr>
      </w:pPr>
      <w:r>
        <w:rPr>
          <w:rFonts w:hint="eastAsia" w:ascii="仿宋" w:hAnsi="仿宋" w:eastAsia="仿宋" w:cs="仿宋"/>
          <w:sz w:val="32"/>
          <w:szCs w:val="32"/>
        </w:rPr>
        <w:t>吉林省中环瑞邦环保科技有限公司</w:t>
      </w:r>
    </w:p>
    <w:p w14:paraId="24AAA2D7">
      <w:pPr>
        <w:pStyle w:val="9"/>
        <w:spacing w:line="560" w:lineRule="exact"/>
        <w:rPr>
          <w:rFonts w:ascii="仿宋" w:hAnsi="仿宋" w:eastAsia="仿宋" w:cs="仿宋"/>
          <w:sz w:val="32"/>
          <w:szCs w:val="32"/>
        </w:rPr>
        <w:sectPr>
          <w:headerReference r:id="rId7" w:type="first"/>
          <w:footerReference r:id="rId10" w:type="first"/>
          <w:headerReference r:id="rId5" w:type="default"/>
          <w:footerReference r:id="rId8" w:type="default"/>
          <w:headerReference r:id="rId6" w:type="even"/>
          <w:footerReference r:id="rId9" w:type="even"/>
          <w:pgSz w:w="12240" w:h="15840"/>
          <w:pgMar w:top="1440" w:right="1800" w:bottom="1440" w:left="1800" w:header="720" w:footer="720" w:gutter="0"/>
          <w:cols w:space="720" w:num="1"/>
        </w:sectPr>
      </w:pPr>
    </w:p>
    <w:p w14:paraId="16B5A00A">
      <w:pPr>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6E558">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732A5">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28690">
    <w:pPr>
      <w:pStyle w:val="5"/>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CCB0C">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6B9B">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D719D">
    <w:pPr>
      <w:pStyle w:val="6"/>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6CC004"/>
    <w:multiLevelType w:val="singleLevel"/>
    <w:tmpl w:val="F66CC004"/>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E5513"/>
    <w:rsid w:val="000154FD"/>
    <w:rsid w:val="000A47BA"/>
    <w:rsid w:val="000C012D"/>
    <w:rsid w:val="000D0A86"/>
    <w:rsid w:val="001919A6"/>
    <w:rsid w:val="001B456F"/>
    <w:rsid w:val="003B69E9"/>
    <w:rsid w:val="003C0812"/>
    <w:rsid w:val="003E5513"/>
    <w:rsid w:val="00407AE6"/>
    <w:rsid w:val="004640A6"/>
    <w:rsid w:val="004802E7"/>
    <w:rsid w:val="005168CE"/>
    <w:rsid w:val="00524C57"/>
    <w:rsid w:val="006B36A0"/>
    <w:rsid w:val="006C47FD"/>
    <w:rsid w:val="00727348"/>
    <w:rsid w:val="0096377B"/>
    <w:rsid w:val="009A163B"/>
    <w:rsid w:val="00A10BFF"/>
    <w:rsid w:val="00C8575F"/>
    <w:rsid w:val="00D405B6"/>
    <w:rsid w:val="00D952E0"/>
    <w:rsid w:val="00DE2804"/>
    <w:rsid w:val="00E0459C"/>
    <w:rsid w:val="00E26660"/>
    <w:rsid w:val="00E87F4A"/>
    <w:rsid w:val="00EE0014"/>
    <w:rsid w:val="00EE3538"/>
    <w:rsid w:val="065345F9"/>
    <w:rsid w:val="07043D3F"/>
    <w:rsid w:val="0A3D72FF"/>
    <w:rsid w:val="0BC11A15"/>
    <w:rsid w:val="0DD03E48"/>
    <w:rsid w:val="0E477FDA"/>
    <w:rsid w:val="142602DA"/>
    <w:rsid w:val="15A30C01"/>
    <w:rsid w:val="247024AF"/>
    <w:rsid w:val="252D3645"/>
    <w:rsid w:val="26E05A00"/>
    <w:rsid w:val="290C1A2B"/>
    <w:rsid w:val="2B281176"/>
    <w:rsid w:val="30DC6C54"/>
    <w:rsid w:val="35742B8E"/>
    <w:rsid w:val="35781205"/>
    <w:rsid w:val="369F5C4A"/>
    <w:rsid w:val="3725656C"/>
    <w:rsid w:val="396C4498"/>
    <w:rsid w:val="40A83185"/>
    <w:rsid w:val="44502F9F"/>
    <w:rsid w:val="45595ED9"/>
    <w:rsid w:val="46623694"/>
    <w:rsid w:val="47E51270"/>
    <w:rsid w:val="49D83095"/>
    <w:rsid w:val="4ABC1C03"/>
    <w:rsid w:val="4CF32CD9"/>
    <w:rsid w:val="4ED9579E"/>
    <w:rsid w:val="5BC9719E"/>
    <w:rsid w:val="62340FB2"/>
    <w:rsid w:val="68355BB6"/>
    <w:rsid w:val="688251CD"/>
    <w:rsid w:val="6A054E95"/>
    <w:rsid w:val="6AD47013"/>
    <w:rsid w:val="764B5A6D"/>
    <w:rsid w:val="7B611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82" w:firstLineChars="200"/>
      <w:jc w:val="both"/>
    </w:pPr>
    <w:rPr>
      <w:rFonts w:ascii="Times New Roman" w:hAnsi="Times New Roman" w:eastAsia="宋体" w:cs="Times New Roman"/>
      <w:kern w:val="2"/>
      <w:sz w:val="24"/>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next w:val="1"/>
    <w:qFormat/>
    <w:uiPriority w:val="0"/>
    <w:pPr>
      <w:widowControl/>
      <w:snapToGrid w:val="0"/>
      <w:spacing w:before="60" w:after="160" w:line="259" w:lineRule="auto"/>
      <w:ind w:right="113"/>
    </w:pPr>
    <w:rPr>
      <w:kern w:val="0"/>
      <w:sz w:val="18"/>
      <w:szCs w:val="20"/>
    </w:rPr>
  </w:style>
  <w:style w:type="paragraph" w:styleId="4">
    <w:name w:val="Body Text Indent"/>
    <w:basedOn w:val="1"/>
    <w:next w:val="1"/>
    <w:qFormat/>
    <w:uiPriority w:val="0"/>
    <w:pPr>
      <w:spacing w:after="120"/>
      <w:ind w:left="420" w:leftChars="200"/>
    </w:pPr>
    <w:rPr>
      <w:sz w:val="21"/>
    </w:rPr>
  </w:style>
  <w:style w:type="paragraph" w:styleId="5">
    <w:name w:val="footer"/>
    <w:basedOn w:val="1"/>
    <w:link w:val="13"/>
    <w:unhideWhenUsed/>
    <w:uiPriority w:val="99"/>
    <w:pPr>
      <w:tabs>
        <w:tab w:val="center" w:pos="4153"/>
        <w:tab w:val="right" w:pos="8306"/>
      </w:tabs>
      <w:snapToGrid w:val="0"/>
      <w:spacing w:line="240" w:lineRule="auto"/>
      <w:jc w:val="left"/>
    </w:pPr>
    <w:rPr>
      <w:sz w:val="18"/>
      <w:szCs w:val="18"/>
    </w:rPr>
  </w:style>
  <w:style w:type="paragraph" w:styleId="6">
    <w:name w:val="header"/>
    <w:basedOn w:val="1"/>
    <w:link w:val="12"/>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customStyle="1" w:styleId="9">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10">
    <w:name w:val="表格文字"/>
    <w:basedOn w:val="1"/>
    <w:qFormat/>
    <w:uiPriority w:val="0"/>
    <w:pPr>
      <w:spacing w:line="240" w:lineRule="auto"/>
      <w:ind w:firstLine="0" w:firstLineChars="0"/>
      <w:jc w:val="left"/>
    </w:pPr>
    <w:rPr>
      <w:sz w:val="21"/>
      <w:szCs w:val="21"/>
    </w:rPr>
  </w:style>
  <w:style w:type="paragraph" w:customStyle="1" w:styleId="11">
    <w:name w:val="A正文"/>
    <w:basedOn w:val="1"/>
    <w:qFormat/>
    <w:uiPriority w:val="0"/>
    <w:pPr>
      <w:snapToGrid w:val="0"/>
      <w:spacing w:line="240" w:lineRule="auto"/>
      <w:ind w:firstLine="480" w:firstLineChars="0"/>
    </w:pPr>
    <w:rPr>
      <w:rFonts w:ascii="仿宋_GB2312" w:hAnsi="宋体" w:eastAsia="仿宋_GB2312" w:cs="宋体"/>
      <w:spacing w:val="-4"/>
      <w:sz w:val="32"/>
      <w:szCs w:val="32"/>
    </w:rPr>
  </w:style>
  <w:style w:type="character" w:customStyle="1" w:styleId="12">
    <w:name w:val="页眉 Char"/>
    <w:basedOn w:val="8"/>
    <w:link w:val="6"/>
    <w:uiPriority w:val="99"/>
    <w:rPr>
      <w:rFonts w:ascii="Times New Roman" w:hAnsi="Times New Roman" w:eastAsia="宋体" w:cs="Times New Roman"/>
      <w:kern w:val="2"/>
      <w:sz w:val="18"/>
      <w:szCs w:val="18"/>
    </w:rPr>
  </w:style>
  <w:style w:type="character" w:customStyle="1" w:styleId="13">
    <w:name w:val="页脚 Char"/>
    <w:basedOn w:val="8"/>
    <w:link w:val="5"/>
    <w:uiPriority w:val="99"/>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Admin</Company>
  <Pages>7</Pages>
  <Words>2419</Words>
  <Characters>2576</Characters>
  <Lines>19</Lines>
  <Paragraphs>5</Paragraphs>
  <TotalTime>11</TotalTime>
  <ScaleCrop>false</ScaleCrop>
  <LinksUpToDate>false</LinksUpToDate>
  <CharactersWithSpaces>2651</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2024-12-24T04:09:00Z</dcterms:created>
  <dc:creator>Administrator</dc:creator>
  <cp:lastModifiedBy>王宝宇</cp:lastModifiedBy>
  <dcterms:modified xsi:type="dcterms:W3CDTF">2025-01-07T08:02:59Z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eyJoZGlkIjoiZmIwYWIyMWM5MjM2ZmExZDNhNGU2MGFiMTYwZTQyZmQiLCJ1c2VySWQiOiI0Mzc4ODA1NzgifQ==</vt:lpwstr>
  </property>
  <property fmtid="{D5CDD505-2E9C-101B-9397-08002B2CF9AE}" pid="3" name="KSOProductBuildVer">
    <vt:lpwstr>2052-12.1.0.19770</vt:lpwstr>
  </property>
  <property fmtid="{D5CDD505-2E9C-101B-9397-08002B2CF9AE}" pid="4" name="ICV">
    <vt:lpwstr>A7A18A9B9104436893D8738FD92A1700_12</vt:lpwstr>
  </property>
</Properties>
</file>