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4C5E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 w14:paraId="01C38120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 w14:paraId="445DEF16">
      <w:pPr>
        <w:ind w:firstLine="640"/>
        <w:jc w:val="center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白山环审</w:t>
      </w:r>
      <w:r>
        <w:rPr>
          <w:rFonts w:hint="eastAsia" w:ascii="仿宋" w:hAnsi="仿宋" w:eastAsia="仿宋"/>
          <w:sz w:val="32"/>
          <w:szCs w:val="32"/>
          <w:lang w:eastAsia="zh-CN"/>
        </w:rPr>
        <w:t>（书）</w:t>
      </w:r>
      <w:r>
        <w:rPr>
          <w:rFonts w:hint="eastAsia" w:ascii="仿宋" w:hAnsi="仿宋" w:eastAsia="仿宋"/>
          <w:sz w:val="32"/>
          <w:szCs w:val="32"/>
        </w:rPr>
        <w:t>字[2025] 12号</w:t>
      </w:r>
      <w:bookmarkStart w:id="0" w:name="_GoBack"/>
      <w:bookmarkEnd w:id="0"/>
    </w:p>
    <w:p w14:paraId="31BD9465"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白山市生态环境局关于《抚松县中药有限责任公司厄贝沙坦生产线项目-提取车间改扩建工程环境影响报告书（变更）》的批复</w:t>
      </w:r>
    </w:p>
    <w:p w14:paraId="1BD217F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抚松县中药有限责任公司： </w:t>
      </w:r>
    </w:p>
    <w:p w14:paraId="77DB351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关于审查《&lt;</w:t>
      </w:r>
      <w:r>
        <w:rPr>
          <w:rFonts w:hint="eastAsia" w:ascii="仿宋" w:hAnsi="仿宋" w:eastAsia="仿宋" w:cs="仿宋"/>
          <w:sz w:val="32"/>
          <w:szCs w:val="32"/>
        </w:rPr>
        <w:t>抚松县中药有限责任公司厄贝沙坦生产线项目-提取车间改扩建工程环境影响报告书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（变更）</w:t>
      </w:r>
      <w:r>
        <w:rPr>
          <w:rFonts w:hint="eastAsia" w:ascii="仿宋" w:hAnsi="仿宋" w:eastAsia="仿宋" w:cs="仿宋"/>
          <w:kern w:val="0"/>
          <w:sz w:val="32"/>
          <w:szCs w:val="32"/>
        </w:rPr>
        <w:t>&gt;的请示》和</w:t>
      </w:r>
      <w:r>
        <w:rPr>
          <w:rFonts w:hint="eastAsia" w:ascii="仿宋" w:hAnsi="仿宋" w:eastAsia="仿宋" w:cs="仿宋"/>
          <w:sz w:val="32"/>
          <w:szCs w:val="32"/>
        </w:rPr>
        <w:t>委托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吉林省天成环境工程咨询有限公司</w:t>
      </w:r>
      <w:r>
        <w:rPr>
          <w:rFonts w:hint="eastAsia" w:ascii="仿宋" w:hAnsi="仿宋" w:eastAsia="仿宋" w:cs="仿宋"/>
          <w:sz w:val="32"/>
          <w:szCs w:val="32"/>
        </w:rPr>
        <w:t>编制的《抚松县中药有限责任公司厄贝沙坦生产线项目-提取车间改扩建工程环境影响报告书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（变更）</w:t>
      </w:r>
      <w:r>
        <w:rPr>
          <w:rFonts w:hint="eastAsia" w:ascii="仿宋" w:hAnsi="仿宋" w:eastAsia="仿宋" w:cs="仿宋"/>
          <w:sz w:val="32"/>
          <w:szCs w:val="32"/>
        </w:rPr>
        <w:t>》（以下简称《报告书》）及相关材料收悉。经研究，现批复如下：</w:t>
      </w:r>
    </w:p>
    <w:p w14:paraId="497BFC2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项目基本情况及审批意见</w:t>
      </w:r>
    </w:p>
    <w:p w14:paraId="29DE1691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本项目在抚松县中药有限责任公司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现有厂区（</w:t>
      </w:r>
      <w:r>
        <w:rPr>
          <w:rFonts w:hint="eastAsia" w:ascii="仿宋" w:hAnsi="仿宋" w:eastAsia="仿宋" w:cs="仿宋"/>
          <w:sz w:val="32"/>
          <w:szCs w:val="32"/>
        </w:rPr>
        <w:t>吉林省抚松县松江河镇兴业大街751号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）内扩建</w:t>
      </w:r>
      <w:r>
        <w:rPr>
          <w:rFonts w:hint="eastAsia" w:ascii="仿宋" w:hAnsi="仿宋" w:eastAsia="仿宋" w:cs="仿宋"/>
          <w:sz w:val="32"/>
          <w:szCs w:val="32"/>
        </w:rPr>
        <w:t>，厂区总占地面积116600m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，总建筑面积为48062.13㎡。</w:t>
      </w:r>
    </w:p>
    <w:p w14:paraId="57456001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抚松县中药有限责任公司于2021年取得白山市生态环境局《关于抚松县中药有限责任公司厄贝沙坦生产线项目-提取车间改扩建工程环境影响报告书的批复》（</w:t>
      </w:r>
      <w:r>
        <w:rPr>
          <w:rFonts w:hint="eastAsia" w:ascii="仿宋" w:hAnsi="仿宋" w:eastAsia="仿宋" w:cs="仿宋"/>
          <w:bCs/>
          <w:sz w:val="32"/>
          <w:szCs w:val="32"/>
        </w:rPr>
        <w:t>白山环审字(书)［2021］30号</w:t>
      </w:r>
      <w:r>
        <w:rPr>
          <w:rFonts w:hint="eastAsia" w:ascii="仿宋" w:hAnsi="仿宋" w:eastAsia="仿宋" w:cs="仿宋"/>
          <w:sz w:val="32"/>
          <w:szCs w:val="32"/>
        </w:rPr>
        <w:t>），项目在实际建设中参苏补肾胶囊产品规模调整，主要原辅材料变化导致污染物排放量增加，构成重大变动，项目重新报批。</w:t>
      </w:r>
    </w:p>
    <w:p w14:paraId="3D1F515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项目依托现有构筑物，新增部分生产设备，扩建后全厂形成年产片剂10亿片、颗粒剂1亿袋、胶囊剂5亿粒及中药饮片415t的生产能力。扩建后全厂产品方案共有19个制剂品种，原批复的复方金银花颗粒和厄贝沙坦片不再生产。</w:t>
      </w:r>
      <w:r>
        <w:rPr>
          <w:rFonts w:hint="eastAsia" w:ascii="仿宋" w:hAnsi="仿宋" w:eastAsia="仿宋" w:cs="仿宋"/>
          <w:sz w:val="32"/>
          <w:szCs w:val="32"/>
        </w:rPr>
        <w:t>扩建后项目工程组成：主体工程（3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中生产车间、4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固体制剂车间、9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提取车间、10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前处理提取车间）、辅助工程（1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办公楼、2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综合楼、8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污水处理站、11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锅炉房等）、储运工程（6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冷库、7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危险品罐区、23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危废贮存库、21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仓库）、公用工程（给水、排水等）、环保工程（废气、废水、固废及噪声处理工程）。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项目总投资</w:t>
      </w:r>
      <w:r>
        <w:rPr>
          <w:rFonts w:hint="eastAsia" w:ascii="仿宋" w:hAnsi="仿宋" w:eastAsia="仿宋" w:cs="仿宋"/>
          <w:sz w:val="32"/>
          <w:szCs w:val="32"/>
        </w:rPr>
        <w:t>200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万元。</w:t>
      </w:r>
    </w:p>
    <w:p w14:paraId="5FDEC2A2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二、环评结论与批复意见 </w:t>
      </w:r>
    </w:p>
    <w:p w14:paraId="20A28C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N/>
        <w:bidi w:val="0"/>
        <w:spacing w:line="560" w:lineRule="exact"/>
        <w:ind w:left="161" w:leftChars="67" w:right="-161" w:rightChars="-67" w:firstLine="576" w:firstLineChars="180"/>
        <w:textAlignment w:val="auto"/>
        <w:outlineLvl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本项目为制剂及饮片生产项目，不涉及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生物工程类制药。企业在固定各产品系列总产量的前提下，</w:t>
      </w:r>
      <w:r>
        <w:rPr>
          <w:rFonts w:hint="eastAsia" w:ascii="仿宋" w:hAnsi="仿宋" w:eastAsia="仿宋" w:cs="仿宋"/>
          <w:sz w:val="32"/>
          <w:szCs w:val="32"/>
        </w:rPr>
        <w:t>可根据市场需求动态调配同系列内产品组合与产量分配。项目建设符合抚松县工业园区总体规划，项目在全面落实《报告书》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及批复</w:t>
      </w:r>
      <w:r>
        <w:rPr>
          <w:rFonts w:hint="eastAsia" w:ascii="仿宋" w:hAnsi="仿宋" w:eastAsia="仿宋" w:cs="仿宋"/>
          <w:sz w:val="32"/>
          <w:szCs w:val="32"/>
        </w:rPr>
        <w:t>提出的各项环境风险防范、生态保护及污染防治措施后，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所产生的不利环境影响可以得到缓解或控制。</w:t>
      </w:r>
      <w:r>
        <w:rPr>
          <w:rFonts w:hint="eastAsia" w:ascii="仿宋" w:hAnsi="仿宋" w:eastAsia="仿宋" w:cs="仿宋"/>
          <w:sz w:val="32"/>
          <w:szCs w:val="32"/>
        </w:rPr>
        <w:t>因此，从环境保护角度分析，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我局原则同意《报告书》的环境影响评价总体结论和拟采取的生态环境保护措施。</w:t>
      </w:r>
    </w:p>
    <w:p w14:paraId="75FC043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环境保护措施要求</w:t>
      </w:r>
    </w:p>
    <w:p w14:paraId="439DEE4D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全面梳理现有工程存在的环境问题，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结合本次扩建工程，落实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“以新带老”提出的整改方案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，确保问题得到彻底解决。</w:t>
      </w:r>
    </w:p>
    <w:p w14:paraId="667AE36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加强施工期环境管理和污染防治。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制定施工期环境管理计划，设置专职环保管理人员，负责施工现场的环境巡查和管理工作，发现问题及时督促施工单位整改，确保施工期环境影响得到有效控制。 </w:t>
      </w:r>
    </w:p>
    <w:p w14:paraId="2863161D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严格落实水污染防治措施。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按照“清污分流、雨污分流、分类收集、分质处理”原则，设立完善的废水收集、处理系统。</w:t>
      </w:r>
      <w:r>
        <w:rPr>
          <w:rFonts w:hint="eastAsia" w:ascii="仿宋" w:hAnsi="仿宋" w:eastAsia="仿宋" w:cs="仿宋"/>
          <w:sz w:val="32"/>
          <w:szCs w:val="32"/>
        </w:rPr>
        <w:t>隔油后食堂废水与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生产废水、生活污水排入</w:t>
      </w:r>
      <w:r>
        <w:rPr>
          <w:rFonts w:hint="eastAsia" w:ascii="仿宋" w:hAnsi="仿宋" w:eastAsia="仿宋" w:cs="仿宋"/>
          <w:sz w:val="32"/>
          <w:szCs w:val="32"/>
        </w:rPr>
        <w:t>自建污水处理站处理后，水质达到与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松江河恒润污水处理厂</w:t>
      </w:r>
      <w:r>
        <w:rPr>
          <w:rFonts w:hint="eastAsia" w:ascii="仿宋" w:hAnsi="仿宋" w:eastAsia="仿宋" w:cs="仿宋"/>
          <w:sz w:val="32"/>
          <w:szCs w:val="32"/>
        </w:rPr>
        <w:t>商定的入水水质要求后，排入松江河恒润污水处理厂进一步处理达标后排入黄泥河。</w:t>
      </w:r>
    </w:p>
    <w:p w14:paraId="43EC36DF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严格落实大气污染防治措施。10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前处理车间、9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提取车间工艺粉尘和干燥过程中有机废气经密闭收集后经各自的“布袋除尘器+洗涤塔”处理后，污染物排放在满足《制药工业大气污染物排放标准》（GB37823-2019）中表1标准要求后由各自15m高排气筒（1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、2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）排放；3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生产车间工艺粉尘经密闭收集后再经“布袋除尘器”处理后，污染物排放在满足《制药工业大气污染物排放标准》（GB37823-2019）中表1标准要求后由15m高排气筒（3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）排放；4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固体制剂车间工艺粉尘和制粒、干燥、包装工序的有机废气经密闭收集后经“布袋除尘器+洗涤塔”处理后，污染物排放在满足《制药工业大气污染物排放标准》（GB37823-2019）中表1标准要求后由15m高排气筒（4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</w:t>
      </w:r>
      <w:r>
        <w:rPr>
          <w:rFonts w:hint="eastAsia" w:ascii="仿宋" w:hAnsi="仿宋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前处理车间乙醇提取、回收过程产生的乙醇废气密闭收集后经“洗涤塔+除雾器+活性炭吸附”装置处理后，污染物排放在满足（GB37823-2019）《制药工业大气污染物排放标准》中表1标准要求后由15m高排气筒（5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）排放；9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提取车间丙酮提取过程产生的丙酮废气经密闭收集后，经“洗涤塔+除雾器+活性炭吸附”处理后，污染物排放在满足《制药工业大气污染物排放标准》（GB37823-2019）中表1标准要求后由15m高排气筒（6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）排放；水处理站废气通过喷洒除臭剂、封闭管理+活性炭吸附装置处理后经15m高排气筒（7#）排放，有组织恶臭污染物排放应满足《制药工业大气污染物排放标准》（GB37823-2019）中表1标准限值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要求，厂界无组织恶臭污染物排放应满足</w:t>
      </w:r>
      <w:r>
        <w:rPr>
          <w:rFonts w:hint="eastAsia" w:ascii="仿宋" w:hAnsi="仿宋" w:eastAsia="仿宋" w:cs="仿宋"/>
          <w:sz w:val="32"/>
          <w:szCs w:val="32"/>
        </w:rPr>
        <w:t>《恶臭污染物排放标准》GB14554-93中表1厂界标准值要求；锅炉烟气经现有的“布袋除尘器+湿法脱硫+低氮燃烧技术”处理后，污染物排放在满足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（GB13271-2014）《锅炉大气污染物排放标准》中表</w:t>
      </w:r>
      <w:r>
        <w:rPr>
          <w:rFonts w:hint="eastAsia" w:ascii="仿宋" w:hAnsi="仿宋" w:eastAsia="仿宋" w:cs="仿宋"/>
          <w:sz w:val="32"/>
          <w:szCs w:val="32"/>
        </w:rPr>
        <w:t>2燃煤锅炉大气污染物排放浓度限值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后由</w:t>
      </w:r>
      <w:r>
        <w:rPr>
          <w:rFonts w:hint="eastAsia" w:ascii="仿宋" w:hAnsi="仿宋" w:eastAsia="仿宋" w:cs="仿宋"/>
          <w:sz w:val="32"/>
          <w:szCs w:val="32"/>
        </w:rPr>
        <w:t>45m高烟囱（8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）排放；危废贮存库废气经活性炭吸附后，污染物排放在满足（GB37823-2019）《制药工业大气污染物排放标准》中表1标准限制要求由15m高排气筒（9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#</w:t>
      </w:r>
      <w:r>
        <w:rPr>
          <w:rFonts w:hint="eastAsia" w:ascii="仿宋" w:hAnsi="仿宋" w:eastAsia="仿宋" w:cs="仿宋"/>
          <w:sz w:val="32"/>
          <w:szCs w:val="32"/>
        </w:rPr>
        <w:t>）排放；实验室废气经抽排风系统由排风管道抽至房顶排放；车间乙醇、丙酮中间储罐产生的乙醇、丙酮有机废气经采取加强设备密封、优化操作、加强车间通风措施后通过空调系统排放口排放；危废贮存库封闭管理，未被收集的有机废气经强制通风设施无组织排放至大气，厂区内非甲烷总烃执行《制药工业大气污染物排放标准》（GB37823-2019）中表C.1排放限值要求；食堂油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排放能够满足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（GB18438-2001）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《饮食业油烟排放标准（试行）》</w:t>
      </w:r>
      <w:r>
        <w:rPr>
          <w:rFonts w:hint="eastAsia"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中标准要求（2.0mg/m³）。</w:t>
      </w:r>
    </w:p>
    <w:p w14:paraId="7B772E7D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燃料煤卸料粉尘经采用半封闭储煤库、设置围挡、洒水降尘、苫布覆盖等措施处理后无组织排放，厂界无组织颗粒物排放应满足《大气污染物综合排放标准》GB16297-1996表2中新污染源无组织排放监控浓度限值。</w:t>
      </w:r>
    </w:p>
    <w:p w14:paraId="7A6889C7">
      <w:pPr>
        <w:pStyle w:val="17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严格落实噪声污染防治措施。加强高噪声设备控制和管理，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通过选购低噪音设备，从源头上控制设备声级的产生，如封闭车间，设备底部加减振垫，风机口安装消声器等措施，确保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厂界噪声可满足GB12348－2008《工业企业厂界环境噪声排放标准》中3类区标准要求。</w:t>
      </w:r>
    </w:p>
    <w:p w14:paraId="4D408D7D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</w:t>
      </w:r>
      <w:r>
        <w:rPr>
          <w:rFonts w:hint="eastAsia" w:ascii="仿宋" w:hAnsi="仿宋" w:eastAsia="仿宋" w:cs="仿宋"/>
          <w:bCs/>
          <w:sz w:val="32"/>
          <w:szCs w:val="32"/>
        </w:rPr>
        <w:t>严格落实固体废物分类处理污染防治措施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按照“减量化、资源化、无害化”的原则，对固体废物进行处理处置。固体废物贮存、处置设施、场所须满足《一般工业固体废物贮存、处置场污染控制标准》(GB18599)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《危险废物贮存污染控制标准》(GB18597) 及其修改单的有关要求。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危险废物（</w:t>
      </w:r>
      <w:r>
        <w:rPr>
          <w:rFonts w:hint="eastAsia" w:ascii="仿宋" w:hAnsi="仿宋" w:eastAsia="仿宋" w:cs="仿宋"/>
          <w:sz w:val="32"/>
          <w:szCs w:val="32"/>
        </w:rPr>
        <w:t>丙酮回收残液、化验室废有机溶剂、废试剂瓶、不合格药品及废料、废活性炭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，暂存危废贮存库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定期委托有资质单位处置，并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严格执行转移联单制度；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一般固体废物（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前处理杂质、</w:t>
      </w:r>
      <w:r>
        <w:rPr>
          <w:rFonts w:hint="eastAsia" w:ascii="仿宋" w:hAnsi="仿宋" w:eastAsia="仿宋" w:cs="仿宋"/>
          <w:sz w:val="32"/>
          <w:szCs w:val="32"/>
        </w:rPr>
        <w:t>生活垃圾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委托环卫部门统一收运处置；餐厨垃圾及隔油池废油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交由餐厨垃圾处理单位清运处理；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可回收利用的废物（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药渣、布袋除尘器收集的粉尘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送至厂区锅炉房做燃料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废包装材料、锅炉灰渣和脱硫副产物外卖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污水站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污泥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委托污泥处置单位处置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纯水制备反渗透膜由厂家回收处置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属于一般固体废物的不合格药品需按药品监督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管理部门要求进行处置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8DEFF9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落实各项环境风险防范措施。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制定有效的环境风险管理制度，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健全风险防范措施与应急预案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合理配置环境风险防控及应对处置能力。</w:t>
      </w:r>
      <w:r>
        <w:rPr>
          <w:rFonts w:hint="eastAsia" w:ascii="仿宋" w:hAnsi="仿宋" w:eastAsia="仿宋" w:cs="仿宋"/>
          <w:sz w:val="32"/>
          <w:szCs w:val="32"/>
        </w:rPr>
        <w:t>严格落实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《报告书》</w:t>
      </w:r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于乙醇、丙酮使用和储运的环境风险事故防范措施，建设足够容量的防渗事故储存池，防止事故状态下废水排放，避免发生环境风险事故。</w:t>
      </w:r>
    </w:p>
    <w:p w14:paraId="54DD8C7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四、环境管理要求  </w:t>
      </w:r>
    </w:p>
    <w:p w14:paraId="47125162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282C1E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应按照排污许可管理有关规定，在启动生产设施或实际排污前申请取得排污许可证，并严格依照排污许可证规定的污染物排放种类、浓度、总量等要求排放污染物。同时，须认真落实排污许可证规定的自行监测、台账记录、执行报告及信息公开等环境管理要求。</w:t>
      </w:r>
    </w:p>
    <w:p w14:paraId="689015AE"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）项目建设必须严格执行环境保护设施与主体工程同时设计、同时施工、同时投产使用的“三同时”制度。项目竣工后，应按照相关规定开展竣工环境保护验收，经验收合格后方可正式投入运行。</w:t>
      </w:r>
    </w:p>
    <w:p w14:paraId="112120A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环境影响报告书经批准后，项目的性质、规模、地点或者防止生态破坏、防治污染的措施发生重大变动的，应当在变动前重新报批该项目的环境影响报告书。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该项目环境影响报告书自批准之日起满5年，建设项目方开工建设的，其环境影响报告书应当报我局重新审核。</w:t>
      </w:r>
    </w:p>
    <w:p w14:paraId="305342FA"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lang w:eastAsia="zh-CN" w:bidi="ar"/>
        </w:rPr>
        <w:t>（四）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本项目环评批复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生效之日起，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原批复文件《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白山环审字(书)［2021］30号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即行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废止。</w:t>
      </w:r>
    </w:p>
    <w:p w14:paraId="3C55902E"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lang w:bidi="ar"/>
        </w:rPr>
        <w:t>（五）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你公司应在收到本批复后20个工作日内，将批准后的环境影响报告书报送白山市生态环境局抚松县分局，并接受其监督检查。</w:t>
      </w:r>
    </w:p>
    <w:p w14:paraId="69C9EA99">
      <w:pPr>
        <w:pStyle w:val="4"/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</w:p>
    <w:p w14:paraId="546961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bidi="ar"/>
        </w:rPr>
      </w:pPr>
    </w:p>
    <w:p w14:paraId="0426604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6457E4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BD060B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BDF2E5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白山市生态环境局  </w:t>
      </w:r>
    </w:p>
    <w:p w14:paraId="6661976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  </w:t>
      </w:r>
    </w:p>
    <w:p w14:paraId="49D58F84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CA6120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---</w:t>
      </w:r>
    </w:p>
    <w:p w14:paraId="59FAE87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415EEA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E70E9A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E9D62E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6F37E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A1D153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0A6EAE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28E434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F796A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抄送：白山市生态环境局抚松县分局</w:t>
      </w:r>
    </w:p>
    <w:p w14:paraId="2397173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8C3AE4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CF51F2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8DC6CA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FD453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12D6B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0226BF5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27E7"/>
    <w:rsid w:val="0001079A"/>
    <w:rsid w:val="00073201"/>
    <w:rsid w:val="00101B3E"/>
    <w:rsid w:val="002A6D03"/>
    <w:rsid w:val="002B564C"/>
    <w:rsid w:val="00524C57"/>
    <w:rsid w:val="00531AFA"/>
    <w:rsid w:val="006C0E7F"/>
    <w:rsid w:val="00883CA6"/>
    <w:rsid w:val="008A1EAB"/>
    <w:rsid w:val="008D27E7"/>
    <w:rsid w:val="00921364"/>
    <w:rsid w:val="009A163B"/>
    <w:rsid w:val="00AA5065"/>
    <w:rsid w:val="00B31735"/>
    <w:rsid w:val="00C51DDE"/>
    <w:rsid w:val="00C55B84"/>
    <w:rsid w:val="00C6055B"/>
    <w:rsid w:val="00D0230F"/>
    <w:rsid w:val="00E107AC"/>
    <w:rsid w:val="00EA41CB"/>
    <w:rsid w:val="00EE54A0"/>
    <w:rsid w:val="00F770EF"/>
    <w:rsid w:val="014035A9"/>
    <w:rsid w:val="01C35EBB"/>
    <w:rsid w:val="02342499"/>
    <w:rsid w:val="02D55B34"/>
    <w:rsid w:val="036476E9"/>
    <w:rsid w:val="03E25ABB"/>
    <w:rsid w:val="041D7E34"/>
    <w:rsid w:val="04AB7F67"/>
    <w:rsid w:val="05076115"/>
    <w:rsid w:val="05AD682C"/>
    <w:rsid w:val="068F0DCD"/>
    <w:rsid w:val="07A03D8C"/>
    <w:rsid w:val="07B67656"/>
    <w:rsid w:val="089C7597"/>
    <w:rsid w:val="0A357536"/>
    <w:rsid w:val="0A5D7726"/>
    <w:rsid w:val="0A617898"/>
    <w:rsid w:val="0AEC3213"/>
    <w:rsid w:val="0B652993"/>
    <w:rsid w:val="0B8351CB"/>
    <w:rsid w:val="0B931312"/>
    <w:rsid w:val="0BCB06F4"/>
    <w:rsid w:val="0C172615"/>
    <w:rsid w:val="0E1840EB"/>
    <w:rsid w:val="0E8C5980"/>
    <w:rsid w:val="10222CC0"/>
    <w:rsid w:val="103C57E5"/>
    <w:rsid w:val="108712E1"/>
    <w:rsid w:val="11184B23"/>
    <w:rsid w:val="115C2D26"/>
    <w:rsid w:val="11700E3D"/>
    <w:rsid w:val="118C073E"/>
    <w:rsid w:val="12040945"/>
    <w:rsid w:val="1234473C"/>
    <w:rsid w:val="139E1863"/>
    <w:rsid w:val="13A20891"/>
    <w:rsid w:val="13C44A5B"/>
    <w:rsid w:val="13E57992"/>
    <w:rsid w:val="15320E78"/>
    <w:rsid w:val="1601481B"/>
    <w:rsid w:val="161F62B8"/>
    <w:rsid w:val="16C00010"/>
    <w:rsid w:val="16DC0C5E"/>
    <w:rsid w:val="18996A12"/>
    <w:rsid w:val="19294E15"/>
    <w:rsid w:val="1A1947F7"/>
    <w:rsid w:val="1AD02BFD"/>
    <w:rsid w:val="1C8B5310"/>
    <w:rsid w:val="1CAF137A"/>
    <w:rsid w:val="1D075501"/>
    <w:rsid w:val="1DED4C69"/>
    <w:rsid w:val="1E466D30"/>
    <w:rsid w:val="1E880C8A"/>
    <w:rsid w:val="1EBF5274"/>
    <w:rsid w:val="1F033A61"/>
    <w:rsid w:val="1F3A7811"/>
    <w:rsid w:val="20822FA7"/>
    <w:rsid w:val="20B931EF"/>
    <w:rsid w:val="223257B7"/>
    <w:rsid w:val="231A6102"/>
    <w:rsid w:val="25224DCB"/>
    <w:rsid w:val="252875A0"/>
    <w:rsid w:val="25EC6AA9"/>
    <w:rsid w:val="263936B2"/>
    <w:rsid w:val="266B176E"/>
    <w:rsid w:val="26FB15AF"/>
    <w:rsid w:val="27D5101E"/>
    <w:rsid w:val="283946A5"/>
    <w:rsid w:val="29D74105"/>
    <w:rsid w:val="29EE2D37"/>
    <w:rsid w:val="2A32758D"/>
    <w:rsid w:val="2A73531E"/>
    <w:rsid w:val="2AB12E19"/>
    <w:rsid w:val="2B11728F"/>
    <w:rsid w:val="2C083554"/>
    <w:rsid w:val="2C445A71"/>
    <w:rsid w:val="2C854335"/>
    <w:rsid w:val="2CF37B89"/>
    <w:rsid w:val="2D642AF0"/>
    <w:rsid w:val="2D7F02CC"/>
    <w:rsid w:val="2E8F0646"/>
    <w:rsid w:val="2E926CEC"/>
    <w:rsid w:val="2E9D7AB0"/>
    <w:rsid w:val="2EB8293D"/>
    <w:rsid w:val="2ECD0D13"/>
    <w:rsid w:val="2F155149"/>
    <w:rsid w:val="336D45D4"/>
    <w:rsid w:val="339331CB"/>
    <w:rsid w:val="33CA03DE"/>
    <w:rsid w:val="344F1B1B"/>
    <w:rsid w:val="35046294"/>
    <w:rsid w:val="355E0A28"/>
    <w:rsid w:val="360B4A5E"/>
    <w:rsid w:val="360C0002"/>
    <w:rsid w:val="3647349F"/>
    <w:rsid w:val="36737FBC"/>
    <w:rsid w:val="374941FB"/>
    <w:rsid w:val="3AEE611A"/>
    <w:rsid w:val="3B7D3D08"/>
    <w:rsid w:val="3B8B0590"/>
    <w:rsid w:val="3CD06379"/>
    <w:rsid w:val="3CFD7555"/>
    <w:rsid w:val="3F712E43"/>
    <w:rsid w:val="407D655A"/>
    <w:rsid w:val="40A7799D"/>
    <w:rsid w:val="40C84EA2"/>
    <w:rsid w:val="42F14B77"/>
    <w:rsid w:val="42FB7FEA"/>
    <w:rsid w:val="4303196F"/>
    <w:rsid w:val="43337E46"/>
    <w:rsid w:val="43527B09"/>
    <w:rsid w:val="44373336"/>
    <w:rsid w:val="44B12986"/>
    <w:rsid w:val="46DD0EA4"/>
    <w:rsid w:val="46F32997"/>
    <w:rsid w:val="475D1ADE"/>
    <w:rsid w:val="47A64C3A"/>
    <w:rsid w:val="48B274AB"/>
    <w:rsid w:val="48F16EC9"/>
    <w:rsid w:val="49270C1C"/>
    <w:rsid w:val="499836DD"/>
    <w:rsid w:val="4C49505E"/>
    <w:rsid w:val="4D400CC0"/>
    <w:rsid w:val="4D6E0469"/>
    <w:rsid w:val="4E465C3F"/>
    <w:rsid w:val="4ED654FD"/>
    <w:rsid w:val="50C07859"/>
    <w:rsid w:val="52570480"/>
    <w:rsid w:val="527D7EAC"/>
    <w:rsid w:val="52F83ACB"/>
    <w:rsid w:val="530208BE"/>
    <w:rsid w:val="53085A69"/>
    <w:rsid w:val="532273BA"/>
    <w:rsid w:val="538C7084"/>
    <w:rsid w:val="53C50E71"/>
    <w:rsid w:val="54D44BD5"/>
    <w:rsid w:val="55442ED5"/>
    <w:rsid w:val="560E5E6D"/>
    <w:rsid w:val="564634BB"/>
    <w:rsid w:val="56CF6E23"/>
    <w:rsid w:val="5726583A"/>
    <w:rsid w:val="57AA5FEE"/>
    <w:rsid w:val="58361B49"/>
    <w:rsid w:val="59B2443E"/>
    <w:rsid w:val="5A9F702F"/>
    <w:rsid w:val="5C641313"/>
    <w:rsid w:val="5C78136F"/>
    <w:rsid w:val="5DE62955"/>
    <w:rsid w:val="5DEF27DD"/>
    <w:rsid w:val="5EA73025"/>
    <w:rsid w:val="5F7075C8"/>
    <w:rsid w:val="605444DD"/>
    <w:rsid w:val="60551DB9"/>
    <w:rsid w:val="60A8075C"/>
    <w:rsid w:val="6178739E"/>
    <w:rsid w:val="63D230A5"/>
    <w:rsid w:val="64567A36"/>
    <w:rsid w:val="64777555"/>
    <w:rsid w:val="650D4961"/>
    <w:rsid w:val="65186ABA"/>
    <w:rsid w:val="658D0EE5"/>
    <w:rsid w:val="66F96BF5"/>
    <w:rsid w:val="66FE275B"/>
    <w:rsid w:val="67B20327"/>
    <w:rsid w:val="6808169C"/>
    <w:rsid w:val="68373F2A"/>
    <w:rsid w:val="69D84B0F"/>
    <w:rsid w:val="6C125DD9"/>
    <w:rsid w:val="6D2A2F40"/>
    <w:rsid w:val="6D5A3E99"/>
    <w:rsid w:val="6DD91101"/>
    <w:rsid w:val="6E2B7407"/>
    <w:rsid w:val="6F7B4CFB"/>
    <w:rsid w:val="70123735"/>
    <w:rsid w:val="70A504D5"/>
    <w:rsid w:val="70AC50B1"/>
    <w:rsid w:val="710E4792"/>
    <w:rsid w:val="71913769"/>
    <w:rsid w:val="71B247BA"/>
    <w:rsid w:val="71DF78C7"/>
    <w:rsid w:val="72107B78"/>
    <w:rsid w:val="729A7429"/>
    <w:rsid w:val="73684C03"/>
    <w:rsid w:val="75470E99"/>
    <w:rsid w:val="76596434"/>
    <w:rsid w:val="76BA3D3B"/>
    <w:rsid w:val="76DE4B6E"/>
    <w:rsid w:val="7709284B"/>
    <w:rsid w:val="774F5900"/>
    <w:rsid w:val="77DF5A9A"/>
    <w:rsid w:val="78955E8B"/>
    <w:rsid w:val="791B29B4"/>
    <w:rsid w:val="794B58BC"/>
    <w:rsid w:val="7991655E"/>
    <w:rsid w:val="7A4A0C43"/>
    <w:rsid w:val="7A536428"/>
    <w:rsid w:val="7AA408DB"/>
    <w:rsid w:val="7B24498C"/>
    <w:rsid w:val="7BD60B9D"/>
    <w:rsid w:val="7C0F38BC"/>
    <w:rsid w:val="7CB26E8E"/>
    <w:rsid w:val="7CD67231"/>
    <w:rsid w:val="7D054209"/>
    <w:rsid w:val="7D67306A"/>
    <w:rsid w:val="7F9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jc w:val="center"/>
    </w:pPr>
    <w:rPr>
      <w:b/>
      <w:sz w:val="36"/>
      <w:szCs w:val="36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toc 2"/>
    <w:basedOn w:val="1"/>
    <w:next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</w:style>
  <w:style w:type="paragraph" w:styleId="11">
    <w:name w:val="Body Text First Indent 2"/>
    <w:basedOn w:val="5"/>
    <w:qFormat/>
    <w:uiPriority w:val="0"/>
    <w:pPr>
      <w:spacing w:line="240" w:lineRule="auto"/>
      <w:ind w:firstLine="420"/>
    </w:pPr>
    <w:rPr>
      <w:szCs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样式 正文11 + 首行缩进:  2 字符"/>
    <w:basedOn w:val="1"/>
    <w:qFormat/>
    <w:uiPriority w:val="0"/>
    <w:pPr>
      <w:ind w:firstLine="560"/>
    </w:pPr>
    <w:rPr>
      <w:rFonts w:ascii="宋体" w:hAnsi="宋体" w:cs="宋体"/>
      <w:color w:val="FF0000"/>
      <w:szCs w:val="20"/>
    </w:rPr>
  </w:style>
  <w:style w:type="paragraph" w:customStyle="1" w:styleId="18">
    <w:name w:val="正文格式"/>
    <w:basedOn w:val="1"/>
    <w:qFormat/>
    <w:uiPriority w:val="0"/>
    <w:pPr>
      <w:ind w:firstLine="482"/>
    </w:pPr>
  </w:style>
  <w:style w:type="paragraph" w:customStyle="1" w:styleId="19">
    <w:name w:val="环保表头"/>
    <w:qFormat/>
    <w:uiPriority w:val="0"/>
    <w:pPr>
      <w:spacing w:beforeLines="50"/>
      <w:ind w:firstLine="480"/>
      <w:jc w:val="center"/>
    </w:pPr>
    <w:rPr>
      <w:rFonts w:ascii="宋体" w:hAnsi="宋体" w:eastAsia="黑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表格"/>
    <w:basedOn w:val="21"/>
    <w:next w:val="9"/>
    <w:unhideWhenUsed/>
    <w:qFormat/>
    <w:uiPriority w:val="1"/>
    <w:pPr>
      <w:spacing w:line="240" w:lineRule="auto"/>
      <w:ind w:firstLine="0" w:firstLineChars="0"/>
      <w:jc w:val="center"/>
    </w:pPr>
    <w:rPr>
      <w:rFonts w:ascii="Times New Roman" w:eastAsia="宋体"/>
    </w:rPr>
  </w:style>
  <w:style w:type="paragraph" w:customStyle="1" w:styleId="21">
    <w:name w:val="表格格式"/>
    <w:basedOn w:val="1"/>
    <w:qFormat/>
    <w:uiPriority w:val="99"/>
    <w:rPr>
      <w:rFonts w:ascii="仿宋_GB2312" w:eastAsia="仿宋_GB2312"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8</Pages>
  <Words>3260</Words>
  <Characters>3521</Characters>
  <Lines>25</Lines>
  <Paragraphs>7</Paragraphs>
  <TotalTime>0</TotalTime>
  <ScaleCrop>false</ScaleCrop>
  <LinksUpToDate>false</LinksUpToDate>
  <CharactersWithSpaces>3557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2025-05-08T07:45:00Z</dcterms:created>
  <dc:creator>Administrator</dc:creator>
  <cp:lastModifiedBy>Administrator</cp:lastModifiedBy>
  <dcterms:modified xsi:type="dcterms:W3CDTF">2025-10-14T07:39:06Z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eyJoZGlkIjoiZWYzYjQxOTM0Yjc1YWIyNDczNjM1ZDQwODRhNjUyMzMifQ==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7E7B7CD8A1B14D3B908A6F8BFE3072F1_12</vt:lpwstr>
  </property>
</Properties>
</file>